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1.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themeColor="background1"/>
  <w:body>
    <w:p w14:paraId="3B77ADC9" w14:textId="0EF3B68F" w:rsidR="00B1131E" w:rsidRPr="0080580F" w:rsidRDefault="00AF3467" w:rsidP="00C21DF7">
      <w:pPr>
        <w:pStyle w:val="Paragraph"/>
        <w:rPr>
          <w:color w:val="FFFFFF" w:themeColor="background1"/>
          <w:highlight w:val="yellow"/>
        </w:rPr>
      </w:pPr>
      <w:bookmarkStart w:id="0" w:name="_Toc33609441"/>
      <w:bookmarkStart w:id="1" w:name="_Toc35006355"/>
      <w:bookmarkStart w:id="2" w:name="_Toc45015310"/>
      <w:bookmarkStart w:id="3" w:name="_Toc59090121"/>
      <w:bookmarkStart w:id="4" w:name="_Hlk19784699"/>
      <w:r w:rsidRPr="0080580F">
        <w:rPr>
          <w:noProof/>
          <w:color w:val="FFFFFF" w:themeColor="background1"/>
          <w:highlight w:val="yellow"/>
        </w:rPr>
        <w:drawing>
          <wp:anchor distT="0" distB="0" distL="114300" distR="114300" simplePos="0" relativeHeight="251658246" behindDoc="1" locked="0" layoutInCell="1" allowOverlap="1" wp14:anchorId="24E93EF5" wp14:editId="1D62B26B">
            <wp:simplePos x="0" y="0"/>
            <wp:positionH relativeFrom="page">
              <wp:posOffset>0</wp:posOffset>
            </wp:positionH>
            <wp:positionV relativeFrom="page">
              <wp:posOffset>0</wp:posOffset>
            </wp:positionV>
            <wp:extent cx="8082000" cy="235476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referRelativeResize="0">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082000" cy="23547600"/>
                    </a:xfrm>
                    <a:prstGeom prst="rect">
                      <a:avLst/>
                    </a:prstGeom>
                    <a:noFill/>
                  </pic:spPr>
                </pic:pic>
              </a:graphicData>
            </a:graphic>
            <wp14:sizeRelH relativeFrom="margin">
              <wp14:pctWidth>0</wp14:pctWidth>
            </wp14:sizeRelH>
            <wp14:sizeRelV relativeFrom="margin">
              <wp14:pctHeight>0</wp14:pctHeight>
            </wp14:sizeRelV>
          </wp:anchor>
        </w:drawing>
      </w:r>
    </w:p>
    <w:p w14:paraId="22A76066" w14:textId="32B7BF0F" w:rsidR="006E4E5B" w:rsidRPr="0080580F" w:rsidRDefault="006E4E5B" w:rsidP="00C02BED">
      <w:pPr>
        <w:pStyle w:val="Paragraph"/>
        <w:rPr>
          <w:color w:val="FFFFFF" w:themeColor="background1"/>
          <w:highlight w:val="yellow"/>
        </w:rPr>
      </w:pPr>
      <w:bookmarkStart w:id="5" w:name="_Hlk96348976"/>
      <w:bookmarkStart w:id="6" w:name="_Hlk96349639"/>
    </w:p>
    <w:p w14:paraId="0A29E527" w14:textId="77777777" w:rsidR="006E4E5B" w:rsidRPr="0080580F" w:rsidRDefault="006E4E5B" w:rsidP="00C02BED">
      <w:pPr>
        <w:pStyle w:val="Paragraph"/>
        <w:rPr>
          <w:color w:val="FFFFFF" w:themeColor="background1"/>
          <w:highlight w:val="yellow"/>
        </w:rPr>
      </w:pPr>
    </w:p>
    <w:p w14:paraId="0448B036" w14:textId="33A22412" w:rsidR="006E4E5B" w:rsidRPr="0080580F" w:rsidRDefault="006E4E5B" w:rsidP="00C02BED">
      <w:pPr>
        <w:pStyle w:val="Paragraph"/>
        <w:rPr>
          <w:color w:val="FFFFFF" w:themeColor="background1"/>
          <w:highlight w:val="yellow"/>
        </w:rPr>
      </w:pPr>
    </w:p>
    <w:p w14:paraId="739CAD14" w14:textId="77777777" w:rsidR="006E4E5B" w:rsidRPr="0080580F" w:rsidRDefault="006E4E5B" w:rsidP="00C02BED">
      <w:pPr>
        <w:pStyle w:val="Paragraph"/>
        <w:rPr>
          <w:color w:val="FFFFFF" w:themeColor="background1"/>
        </w:rPr>
      </w:pPr>
    </w:p>
    <w:p w14:paraId="5CA8D193" w14:textId="3A780B83" w:rsidR="006E4E5B" w:rsidRPr="0080580F" w:rsidRDefault="0097001C" w:rsidP="00C02BED">
      <w:pPr>
        <w:pStyle w:val="Paragraph"/>
        <w:rPr>
          <w:color w:val="FFFFFF" w:themeColor="background1"/>
        </w:rPr>
      </w:pPr>
      <w:r w:rsidRPr="0080580F">
        <w:rPr>
          <w:noProof/>
          <w:color w:val="FFFFFF" w:themeColor="background1"/>
        </w:rPr>
        <w:drawing>
          <wp:anchor distT="0" distB="0" distL="114300" distR="114300" simplePos="0" relativeHeight="251658247" behindDoc="0" locked="0" layoutInCell="1" allowOverlap="1" wp14:anchorId="66A89919" wp14:editId="6E6387C3">
            <wp:simplePos x="0" y="0"/>
            <wp:positionH relativeFrom="page">
              <wp:posOffset>882015</wp:posOffset>
            </wp:positionH>
            <wp:positionV relativeFrom="page">
              <wp:posOffset>1105535</wp:posOffset>
            </wp:positionV>
            <wp:extent cx="1731600" cy="1436400"/>
            <wp:effectExtent l="0" t="0" r="2540" b="0"/>
            <wp:wrapNone/>
            <wp:docPr id="17617933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793399" name="Picture 1761793399"/>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1731600" cy="1436400"/>
                    </a:xfrm>
                    <a:prstGeom prst="rect">
                      <a:avLst/>
                    </a:prstGeom>
                  </pic:spPr>
                </pic:pic>
              </a:graphicData>
            </a:graphic>
            <wp14:sizeRelH relativeFrom="margin">
              <wp14:pctWidth>0</wp14:pctWidth>
            </wp14:sizeRelH>
            <wp14:sizeRelV relativeFrom="margin">
              <wp14:pctHeight>0</wp14:pctHeight>
            </wp14:sizeRelV>
          </wp:anchor>
        </w:drawing>
      </w:r>
    </w:p>
    <w:p w14:paraId="61C43AFF" w14:textId="7D3B56FA" w:rsidR="006E4E5B" w:rsidRPr="00764135" w:rsidRDefault="007E7D35" w:rsidP="00006120">
      <w:pPr>
        <w:spacing w:line="276" w:lineRule="auto"/>
        <w:ind w:left="-425" w:right="703"/>
        <w:outlineLvl w:val="0"/>
        <w:rPr>
          <w:rFonts w:asciiTheme="minorHAnsi" w:hAnsiTheme="minorHAnsi" w:cs="@MS PMincho"/>
          <w:color w:val="FFFFFF" w:themeColor="background1"/>
          <w:sz w:val="68"/>
          <w:szCs w:val="68"/>
        </w:rPr>
      </w:pPr>
      <w:bookmarkStart w:id="7" w:name="_Hlk97559626"/>
      <w:r w:rsidRPr="00764135">
        <w:rPr>
          <w:rFonts w:asciiTheme="minorHAnsi" w:hAnsiTheme="minorHAnsi" w:cs="@MS PMincho"/>
          <w:color w:val="FFFFFF" w:themeColor="background1"/>
          <w:sz w:val="68"/>
          <w:szCs w:val="68"/>
        </w:rPr>
        <w:t>Members of Parliament (Victoria) Annual Adjustment</w:t>
      </w:r>
      <w:r w:rsidR="00BD7798">
        <w:rPr>
          <w:rFonts w:asciiTheme="minorHAnsi" w:hAnsiTheme="minorHAnsi" w:cs="@MS PMincho"/>
          <w:color w:val="FFFFFF" w:themeColor="background1"/>
          <w:sz w:val="68"/>
          <w:szCs w:val="68"/>
        </w:rPr>
        <w:t xml:space="preserve"> </w:t>
      </w:r>
      <w:r w:rsidR="007C339C">
        <w:rPr>
          <w:rFonts w:asciiTheme="minorHAnsi" w:hAnsiTheme="minorHAnsi" w:cs="@MS PMincho"/>
          <w:color w:val="FFFFFF" w:themeColor="background1"/>
          <w:sz w:val="68"/>
          <w:szCs w:val="68"/>
        </w:rPr>
        <w:br w:type="textWrapping" w:clear="all"/>
      </w:r>
      <w:r w:rsidRPr="00764135">
        <w:rPr>
          <w:rFonts w:asciiTheme="minorHAnsi" w:hAnsiTheme="minorHAnsi" w:cs="@MS PMincho"/>
          <w:color w:val="FFFFFF" w:themeColor="background1"/>
          <w:sz w:val="68"/>
          <w:szCs w:val="68"/>
        </w:rPr>
        <w:t>Determination 202</w:t>
      </w:r>
      <w:bookmarkEnd w:id="7"/>
      <w:r w:rsidR="00764135" w:rsidRPr="00764135">
        <w:rPr>
          <w:rFonts w:asciiTheme="minorHAnsi" w:hAnsiTheme="minorHAnsi" w:cs="@MS PMincho"/>
          <w:color w:val="FFFFFF" w:themeColor="background1"/>
          <w:sz w:val="68"/>
          <w:szCs w:val="68"/>
        </w:rPr>
        <w:t>4</w:t>
      </w:r>
    </w:p>
    <w:p w14:paraId="401827F2" w14:textId="0964E191" w:rsidR="006E4E5B" w:rsidRPr="0080580F" w:rsidRDefault="006E4E5B" w:rsidP="006E4E5B">
      <w:pPr>
        <w:rPr>
          <w:color w:val="FFFFFF" w:themeColor="background1"/>
          <w:highlight w:val="yellow"/>
        </w:rPr>
      </w:pPr>
    </w:p>
    <w:p w14:paraId="79C14A8C" w14:textId="34FB8641" w:rsidR="006E4E5B" w:rsidRPr="00764135" w:rsidRDefault="006E4E5B" w:rsidP="006E4E5B">
      <w:pPr>
        <w:rPr>
          <w:highlight w:val="yellow"/>
        </w:rPr>
      </w:pPr>
    </w:p>
    <w:p w14:paraId="0755E2AF" w14:textId="3BCE6523" w:rsidR="006E4E5B" w:rsidRPr="00764135" w:rsidRDefault="006E4E5B" w:rsidP="006E4E5B">
      <w:pPr>
        <w:tabs>
          <w:tab w:val="right" w:pos="8498"/>
        </w:tabs>
        <w:spacing w:after="80"/>
        <w:rPr>
          <w:b/>
          <w:bCs/>
        </w:rPr>
      </w:pPr>
      <w:r w:rsidRPr="00764135">
        <w:rPr>
          <w:b/>
          <w:bCs/>
          <w:highlight w:val="yellow"/>
        </w:rPr>
        <w:br w:type="page"/>
      </w:r>
      <w:r w:rsidRPr="00764135">
        <w:rPr>
          <w:b/>
          <w:bCs/>
        </w:rPr>
        <w:lastRenderedPageBreak/>
        <w:tab/>
      </w:r>
    </w:p>
    <w:p w14:paraId="181E7617" w14:textId="4FB7D22D" w:rsidR="006E4E5B" w:rsidRPr="00764135" w:rsidRDefault="006E4E5B" w:rsidP="006E4E5B">
      <w:pPr>
        <w:spacing w:after="80"/>
        <w:rPr>
          <w:b/>
          <w:bCs/>
        </w:rPr>
      </w:pPr>
      <w:r w:rsidRPr="00764135">
        <w:rPr>
          <w:noProof/>
        </w:rPr>
        <w:drawing>
          <wp:anchor distT="0" distB="0" distL="114300" distR="114300" simplePos="0" relativeHeight="251658240" behindDoc="0" locked="0" layoutInCell="1" allowOverlap="0" wp14:anchorId="0B6E4787" wp14:editId="20BAC73C">
            <wp:simplePos x="0" y="0"/>
            <wp:positionH relativeFrom="page">
              <wp:posOffset>5537200</wp:posOffset>
            </wp:positionH>
            <wp:positionV relativeFrom="page">
              <wp:posOffset>1159510</wp:posOffset>
            </wp:positionV>
            <wp:extent cx="1540800" cy="9507600"/>
            <wp:effectExtent l="0" t="0" r="2540" b="0"/>
            <wp:wrapSquare wrapText="bothSides"/>
            <wp:docPr id="516" name="Picture 516"/>
            <wp:cNvGraphicFramePr/>
            <a:graphic xmlns:a="http://schemas.openxmlformats.org/drawingml/2006/main">
              <a:graphicData uri="http://schemas.openxmlformats.org/drawingml/2006/picture">
                <pic:pic xmlns:pic="http://schemas.openxmlformats.org/drawingml/2006/picture">
                  <pic:nvPicPr>
                    <pic:cNvPr id="516" name="Picture 516"/>
                    <pic:cNvPicPr/>
                  </pic:nvPicPr>
                  <pic:blipFill>
                    <a:blip r:embed="rId14"/>
                    <a:stretch>
                      <a:fillRect/>
                    </a:stretch>
                  </pic:blipFill>
                  <pic:spPr>
                    <a:xfrm>
                      <a:off x="0" y="0"/>
                      <a:ext cx="1540800" cy="9507600"/>
                    </a:xfrm>
                    <a:prstGeom prst="rect">
                      <a:avLst/>
                    </a:prstGeom>
                  </pic:spPr>
                </pic:pic>
              </a:graphicData>
            </a:graphic>
            <wp14:sizeRelH relativeFrom="margin">
              <wp14:pctWidth>0</wp14:pctWidth>
            </wp14:sizeRelH>
            <wp14:sizeRelV relativeFrom="margin">
              <wp14:pctHeight>0</wp14:pctHeight>
            </wp14:sizeRelV>
          </wp:anchor>
        </w:drawing>
      </w:r>
    </w:p>
    <w:p w14:paraId="27D83EB9" w14:textId="344D7412" w:rsidR="00C3360F" w:rsidRPr="00764135" w:rsidRDefault="00C3360F" w:rsidP="006E4E5B">
      <w:pPr>
        <w:spacing w:after="80"/>
        <w:rPr>
          <w:b/>
          <w:bCs/>
          <w:highlight w:val="yellow"/>
        </w:rPr>
        <w:sectPr w:rsidR="00C3360F" w:rsidRPr="00764135" w:rsidSect="00B1131E">
          <w:headerReference w:type="even" r:id="rId15"/>
          <w:headerReference w:type="default" r:id="rId16"/>
          <w:footerReference w:type="even" r:id="rId17"/>
          <w:footerReference w:type="default" r:id="rId18"/>
          <w:headerReference w:type="first" r:id="rId19"/>
          <w:footerReference w:type="first" r:id="rId20"/>
          <w:type w:val="continuous"/>
          <w:pgSz w:w="11906" w:h="16838"/>
          <w:pgMar w:top="1701" w:right="1701" w:bottom="1559" w:left="1701" w:header="425" w:footer="709" w:gutter="0"/>
          <w:cols w:space="282"/>
          <w:docGrid w:linePitch="360"/>
        </w:sectPr>
      </w:pPr>
    </w:p>
    <w:tbl>
      <w:tblPr>
        <w:tblStyle w:val="ListTable3-Accent2"/>
        <w:tblW w:w="0" w:type="auto"/>
        <w:tblBorders>
          <w:top w:val="none" w:sz="0" w:space="0" w:color="auto"/>
          <w:bottom w:val="none" w:sz="0" w:space="0" w:color="auto"/>
          <w:insideH w:val="none" w:sz="0" w:space="0" w:color="auto"/>
        </w:tblBorders>
        <w:tblLook w:val="04A0" w:firstRow="1" w:lastRow="0" w:firstColumn="1" w:lastColumn="0" w:noHBand="0" w:noVBand="1"/>
      </w:tblPr>
      <w:tblGrid>
        <w:gridCol w:w="4302"/>
        <w:gridCol w:w="4196"/>
      </w:tblGrid>
      <w:tr w:rsidR="00B1131E" w:rsidRPr="00764135" w14:paraId="648F4BA0" w14:textId="77777777" w:rsidTr="00F90BE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302" w:type="dxa"/>
            <w:shd w:val="clear" w:color="auto" w:fill="auto"/>
            <w:tcMar>
              <w:left w:w="0" w:type="dxa"/>
            </w:tcMar>
          </w:tcPr>
          <w:bookmarkEnd w:id="5"/>
          <w:p w14:paraId="4D3852D0" w14:textId="77777777" w:rsidR="00B1131E" w:rsidRPr="00764135" w:rsidRDefault="00B1131E" w:rsidP="00F90BEA">
            <w:pPr>
              <w:pStyle w:val="03VIRTHeading3"/>
            </w:pPr>
            <w:r w:rsidRPr="00764135">
              <w:lastRenderedPageBreak/>
              <w:t>DETERMINATION</w:t>
            </w:r>
          </w:p>
        </w:tc>
        <w:tc>
          <w:tcPr>
            <w:tcW w:w="4196" w:type="dxa"/>
            <w:shd w:val="clear" w:color="auto" w:fill="auto"/>
          </w:tcPr>
          <w:p w14:paraId="04CDC1C5" w14:textId="5738CA64" w:rsidR="00B1131E" w:rsidRPr="00764135" w:rsidRDefault="006C7E46" w:rsidP="00F90BEA">
            <w:pPr>
              <w:pStyle w:val="Instrumenttableofcontents"/>
              <w:jc w:val="right"/>
              <w:cnfStyle w:val="100000000000" w:firstRow="1" w:lastRow="0" w:firstColumn="0" w:lastColumn="0" w:oddVBand="0" w:evenVBand="0" w:oddHBand="0" w:evenHBand="0" w:firstRowFirstColumn="0" w:firstRowLastColumn="0" w:lastRowFirstColumn="0" w:lastRowLastColumn="0"/>
              <w:rPr>
                <w:b w:val="0"/>
                <w:bCs/>
                <w:color w:val="auto"/>
              </w:rPr>
            </w:pPr>
            <w:r w:rsidRPr="006966AF">
              <w:rPr>
                <w:rFonts w:eastAsia="Rockwell" w:cs="Times New Roman"/>
                <w:b w:val="0"/>
                <w:color w:val="auto"/>
                <w:szCs w:val="26"/>
              </w:rPr>
              <w:t>[202</w:t>
            </w:r>
            <w:r w:rsidR="00764135" w:rsidRPr="006966AF">
              <w:rPr>
                <w:rFonts w:eastAsia="Rockwell" w:cs="Times New Roman"/>
                <w:b w:val="0"/>
                <w:color w:val="auto"/>
                <w:szCs w:val="26"/>
              </w:rPr>
              <w:t>4</w:t>
            </w:r>
            <w:r w:rsidRPr="006966AF">
              <w:rPr>
                <w:rFonts w:eastAsia="Rockwell" w:cs="Times New Roman"/>
                <w:b w:val="0"/>
                <w:color w:val="auto"/>
                <w:szCs w:val="26"/>
              </w:rPr>
              <w:t>] DMPA 01</w:t>
            </w:r>
          </w:p>
        </w:tc>
      </w:tr>
    </w:tbl>
    <w:p w14:paraId="685527A4" w14:textId="77777777" w:rsidR="00B1131E" w:rsidRPr="00764135" w:rsidRDefault="00B1131E" w:rsidP="00B1131E">
      <w:pPr>
        <w:pStyle w:val="Instrumenttableofcontents"/>
      </w:pPr>
      <w:r w:rsidRPr="00B329F7">
        <w:rPr>
          <w:i/>
        </w:rPr>
        <w:t>Victorian Independent Remuneration Tribunal and Improving Parliamentary Standards Act 2019</w:t>
      </w:r>
      <w:r w:rsidRPr="00764135">
        <w:t xml:space="preserve"> (Vic)</w:t>
      </w:r>
    </w:p>
    <w:p w14:paraId="25DEBBB6" w14:textId="39DDD398" w:rsidR="00B1131E" w:rsidRPr="00AD5EF1" w:rsidRDefault="00B1131E" w:rsidP="00B1131E">
      <w:pPr>
        <w:pStyle w:val="Instrumenttableofcontents"/>
      </w:pPr>
      <w:r w:rsidRPr="00AD5EF1">
        <w:t>Part 3—</w:t>
      </w:r>
      <w:r w:rsidR="00D33DC0">
        <w:t>Determinations for annual adjustments</w:t>
      </w:r>
      <w:r w:rsidR="00991D34" w:rsidRPr="00AD5EF1">
        <w:t xml:space="preserve"> in relation to Members.</w:t>
      </w:r>
    </w:p>
    <w:p w14:paraId="6CD3F5A1" w14:textId="553CDB85" w:rsidR="00B1131E" w:rsidRPr="00AD5EF1" w:rsidRDefault="00242B9C" w:rsidP="00B1131E">
      <w:pPr>
        <w:pStyle w:val="02VIRTHeading2"/>
        <w:ind w:left="0" w:firstLine="0"/>
      </w:pPr>
      <w:bookmarkStart w:id="8" w:name="_Toc97728581"/>
      <w:bookmarkStart w:id="9" w:name="_Toc99551493"/>
      <w:bookmarkStart w:id="10" w:name="_Toc101263869"/>
      <w:bookmarkStart w:id="11" w:name="_Toc106631657"/>
      <w:bookmarkStart w:id="12" w:name="_Toc106636939"/>
      <w:bookmarkStart w:id="13" w:name="_Toc168049533"/>
      <w:bookmarkStart w:id="14" w:name="_Toc168050476"/>
      <w:bookmarkStart w:id="15" w:name="_Toc168559027"/>
      <w:bookmarkStart w:id="16" w:name="_Toc169253725"/>
      <w:bookmarkStart w:id="17" w:name="_Toc169630984"/>
      <w:bookmarkStart w:id="18" w:name="_Toc169709063"/>
      <w:bookmarkStart w:id="19" w:name="_Toc170226235"/>
      <w:bookmarkStart w:id="20" w:name="_Toc170383535"/>
      <w:r w:rsidRPr="00AD5EF1">
        <w:t>Members of Parliament (Victoria) Annual Adjustment Determination 202</w:t>
      </w:r>
      <w:bookmarkEnd w:id="8"/>
      <w:bookmarkEnd w:id="9"/>
      <w:bookmarkEnd w:id="10"/>
      <w:bookmarkEnd w:id="11"/>
      <w:bookmarkEnd w:id="12"/>
      <w:r w:rsidR="00AD5EF1" w:rsidRPr="00AD5EF1">
        <w:t>4</w:t>
      </w:r>
      <w:bookmarkEnd w:id="13"/>
      <w:bookmarkEnd w:id="14"/>
      <w:bookmarkEnd w:id="15"/>
      <w:bookmarkEnd w:id="16"/>
      <w:bookmarkEnd w:id="17"/>
      <w:bookmarkEnd w:id="18"/>
      <w:bookmarkEnd w:id="19"/>
      <w:bookmarkEnd w:id="20"/>
    </w:p>
    <w:p w14:paraId="1A830A64" w14:textId="77777777" w:rsidR="00B1131E" w:rsidRPr="00764135" w:rsidRDefault="00B1131E" w:rsidP="00BC2BAF">
      <w:pPr>
        <w:pStyle w:val="05Paragraph"/>
        <w:rPr>
          <w:highlight w:val="yellow"/>
        </w:rPr>
      </w:pPr>
      <w:r w:rsidRPr="00764135">
        <w:rPr>
          <w:noProof/>
          <w:highlight w:val="yellow"/>
        </w:rPr>
        <w:drawing>
          <wp:inline distT="0" distB="0" distL="0" distR="0" wp14:anchorId="17A521E4" wp14:editId="3511D888">
            <wp:extent cx="2218055" cy="25463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21">
                      <a:extLst>
                        <a:ext uri="{28A0092B-C50C-407E-A947-70E740481C1C}">
                          <a14:useLocalDpi xmlns:a14="http://schemas.microsoft.com/office/drawing/2010/main" val="0"/>
                        </a:ext>
                      </a:extLst>
                    </a:blip>
                    <a:stretch>
                      <a:fillRect/>
                    </a:stretch>
                  </pic:blipFill>
                  <pic:spPr>
                    <a:xfrm>
                      <a:off x="0" y="0"/>
                      <a:ext cx="2218055" cy="254635"/>
                    </a:xfrm>
                    <a:prstGeom prst="rect">
                      <a:avLst/>
                    </a:prstGeom>
                  </pic:spPr>
                </pic:pic>
              </a:graphicData>
            </a:graphic>
          </wp:inline>
        </w:drawing>
      </w:r>
    </w:p>
    <w:p w14:paraId="1E3E8E93" w14:textId="3E2AC387" w:rsidR="00A43677" w:rsidRPr="00C33D39" w:rsidRDefault="00A43677" w:rsidP="00F44F75">
      <w:pPr>
        <w:pStyle w:val="Parapraph"/>
        <w:numPr>
          <w:ilvl w:val="0"/>
          <w:numId w:val="16"/>
        </w:numPr>
        <w:rPr>
          <w:color w:val="auto"/>
        </w:rPr>
      </w:pPr>
      <w:r w:rsidRPr="00C33D39">
        <w:rPr>
          <w:color w:val="auto"/>
        </w:rPr>
        <w:t xml:space="preserve">Pursuant to section 18(1) of the </w:t>
      </w:r>
      <w:r w:rsidRPr="00C33D39">
        <w:rPr>
          <w:i/>
          <w:iCs/>
          <w:color w:val="auto"/>
        </w:rPr>
        <w:t xml:space="preserve">Victorian Independent Remuneration Tribunal and Improving Parliamentary Standards Act 2019 </w:t>
      </w:r>
      <w:r w:rsidRPr="00C33D39">
        <w:rPr>
          <w:color w:val="auto"/>
        </w:rPr>
        <w:t>(Vic) (VIRTIPS</w:t>
      </w:r>
      <w:r w:rsidR="003C5346" w:rsidRPr="00C33D39">
        <w:rPr>
          <w:color w:val="auto"/>
        </w:rPr>
        <w:t> </w:t>
      </w:r>
      <w:r w:rsidRPr="00C33D39">
        <w:rPr>
          <w:color w:val="auto"/>
        </w:rPr>
        <w:t>Act), the Tribunal determines to make the following adjustment to the values of the salaries and allowances set in the</w:t>
      </w:r>
      <w:r w:rsidRPr="00C33D39">
        <w:rPr>
          <w:i/>
          <w:iCs/>
          <w:color w:val="auto"/>
        </w:rPr>
        <w:t xml:space="preserve"> Members of Parliament (Victoria) Determination No. </w:t>
      </w:r>
      <w:r w:rsidRPr="00094607">
        <w:rPr>
          <w:i/>
          <w:iCs/>
          <w:color w:val="auto"/>
        </w:rPr>
        <w:t>01/20</w:t>
      </w:r>
      <w:r w:rsidR="00C33D39" w:rsidRPr="00094607">
        <w:rPr>
          <w:i/>
          <w:iCs/>
          <w:color w:val="auto"/>
        </w:rPr>
        <w:t>23</w:t>
      </w:r>
      <w:r w:rsidRPr="00094607">
        <w:rPr>
          <w:color w:val="auto"/>
        </w:rPr>
        <w:t>:</w:t>
      </w:r>
    </w:p>
    <w:p w14:paraId="60F05FCA" w14:textId="7F8928F4" w:rsidR="00A43677" w:rsidRPr="00E31D8A" w:rsidRDefault="00A43677" w:rsidP="00535A0B">
      <w:pPr>
        <w:pStyle w:val="Parapraph"/>
        <w:numPr>
          <w:ilvl w:val="0"/>
          <w:numId w:val="17"/>
        </w:numPr>
        <w:ind w:left="1287" w:hanging="567"/>
        <w:rPr>
          <w:color w:val="auto"/>
        </w:rPr>
      </w:pPr>
      <w:r w:rsidRPr="00E31D8A">
        <w:rPr>
          <w:color w:val="auto"/>
        </w:rPr>
        <w:t>Delete ‘</w:t>
      </w:r>
      <w:r w:rsidR="00F10DB6" w:rsidRPr="00E31D8A">
        <w:rPr>
          <w:color w:val="auto"/>
        </w:rPr>
        <w:t>$1</w:t>
      </w:r>
      <w:r w:rsidR="004C0FE9" w:rsidRPr="00E31D8A">
        <w:rPr>
          <w:color w:val="auto"/>
        </w:rPr>
        <w:t>98</w:t>
      </w:r>
      <w:r w:rsidR="00F10DB6" w:rsidRPr="00E31D8A">
        <w:rPr>
          <w:color w:val="auto"/>
        </w:rPr>
        <w:t>,</w:t>
      </w:r>
      <w:r w:rsidR="00C15542" w:rsidRPr="00E31D8A">
        <w:rPr>
          <w:color w:val="auto"/>
        </w:rPr>
        <w:t>839</w:t>
      </w:r>
      <w:r w:rsidRPr="00E31D8A">
        <w:rPr>
          <w:color w:val="auto"/>
        </w:rPr>
        <w:t>’ in clause 5.1 and replace it with ‘$</w:t>
      </w:r>
      <w:r w:rsidR="00E31D8A" w:rsidRPr="00E31D8A">
        <w:rPr>
          <w:color w:val="auto"/>
        </w:rPr>
        <w:t>205</w:t>
      </w:r>
      <w:r w:rsidR="00BC1C8D" w:rsidRPr="00E31D8A">
        <w:rPr>
          <w:color w:val="auto"/>
        </w:rPr>
        <w:t>,</w:t>
      </w:r>
      <w:r w:rsidR="00E31D8A" w:rsidRPr="00E31D8A">
        <w:rPr>
          <w:color w:val="auto"/>
        </w:rPr>
        <w:t>798</w:t>
      </w:r>
      <w:r w:rsidRPr="00E31D8A">
        <w:rPr>
          <w:color w:val="auto"/>
        </w:rPr>
        <w:t>’.</w:t>
      </w:r>
    </w:p>
    <w:p w14:paraId="40B85349" w14:textId="320F3CE7" w:rsidR="00A43677" w:rsidRPr="00972C6D" w:rsidRDefault="00A43677" w:rsidP="00535A0B">
      <w:pPr>
        <w:pStyle w:val="Parapraph"/>
        <w:numPr>
          <w:ilvl w:val="0"/>
          <w:numId w:val="17"/>
        </w:numPr>
        <w:ind w:left="1287" w:hanging="567"/>
        <w:rPr>
          <w:color w:val="auto"/>
        </w:rPr>
      </w:pPr>
      <w:r w:rsidRPr="00972C6D">
        <w:rPr>
          <w:color w:val="auto"/>
        </w:rPr>
        <w:t>Delete ‘</w:t>
      </w:r>
      <w:r w:rsidR="007F4C22" w:rsidRPr="00972C6D">
        <w:rPr>
          <w:color w:val="auto"/>
        </w:rPr>
        <w:t>$4</w:t>
      </w:r>
      <w:r w:rsidR="00C15542" w:rsidRPr="00972C6D">
        <w:rPr>
          <w:color w:val="auto"/>
        </w:rPr>
        <w:t>5</w:t>
      </w:r>
      <w:r w:rsidR="007F4C22" w:rsidRPr="00972C6D">
        <w:rPr>
          <w:color w:val="auto"/>
        </w:rPr>
        <w:t>,0</w:t>
      </w:r>
      <w:r w:rsidR="00C15542" w:rsidRPr="00972C6D">
        <w:rPr>
          <w:color w:val="auto"/>
        </w:rPr>
        <w:t>22</w:t>
      </w:r>
      <w:r w:rsidRPr="00972C6D">
        <w:rPr>
          <w:color w:val="auto"/>
        </w:rPr>
        <w:t xml:space="preserve">’ in clause </w:t>
      </w:r>
      <w:r w:rsidR="005C250F" w:rsidRPr="00972C6D">
        <w:rPr>
          <w:color w:val="auto"/>
        </w:rPr>
        <w:t>8</w:t>
      </w:r>
      <w:r w:rsidRPr="00972C6D">
        <w:rPr>
          <w:color w:val="auto"/>
        </w:rPr>
        <w:t>.1(a) and replace it with ‘</w:t>
      </w:r>
      <w:r w:rsidR="007F4C22" w:rsidRPr="00972C6D">
        <w:rPr>
          <w:color w:val="auto"/>
        </w:rPr>
        <w:t>$</w:t>
      </w:r>
      <w:r w:rsidR="003D5030" w:rsidRPr="00972C6D">
        <w:rPr>
          <w:color w:val="auto"/>
        </w:rPr>
        <w:t>4</w:t>
      </w:r>
      <w:r w:rsidR="00972C6D" w:rsidRPr="00972C6D">
        <w:rPr>
          <w:color w:val="auto"/>
        </w:rPr>
        <w:t>6</w:t>
      </w:r>
      <w:r w:rsidR="003D5030" w:rsidRPr="00972C6D">
        <w:rPr>
          <w:color w:val="auto"/>
        </w:rPr>
        <w:t>,</w:t>
      </w:r>
      <w:r w:rsidR="00972C6D" w:rsidRPr="00972C6D">
        <w:rPr>
          <w:color w:val="auto"/>
        </w:rPr>
        <w:t>643</w:t>
      </w:r>
      <w:r w:rsidRPr="00972C6D">
        <w:rPr>
          <w:color w:val="auto"/>
        </w:rPr>
        <w:t>’.</w:t>
      </w:r>
    </w:p>
    <w:p w14:paraId="7A5FDFE6" w14:textId="1D7AB375" w:rsidR="00A43677" w:rsidRPr="006568A3" w:rsidRDefault="00A43677" w:rsidP="00535A0B">
      <w:pPr>
        <w:pStyle w:val="Parapraph"/>
        <w:numPr>
          <w:ilvl w:val="0"/>
          <w:numId w:val="17"/>
        </w:numPr>
        <w:ind w:left="1287" w:hanging="567"/>
        <w:rPr>
          <w:color w:val="auto"/>
        </w:rPr>
      </w:pPr>
      <w:r w:rsidRPr="006568A3">
        <w:rPr>
          <w:color w:val="auto"/>
        </w:rPr>
        <w:t>Delete ‘</w:t>
      </w:r>
      <w:r w:rsidR="007F4C22" w:rsidRPr="006568A3">
        <w:rPr>
          <w:color w:val="auto"/>
        </w:rPr>
        <w:t>$4</w:t>
      </w:r>
      <w:r w:rsidR="009A39DB" w:rsidRPr="006568A3">
        <w:rPr>
          <w:color w:val="auto"/>
        </w:rPr>
        <w:t>8</w:t>
      </w:r>
      <w:r w:rsidR="007F4C22" w:rsidRPr="006568A3">
        <w:rPr>
          <w:color w:val="auto"/>
        </w:rPr>
        <w:t>,</w:t>
      </w:r>
      <w:r w:rsidR="009A39DB" w:rsidRPr="006568A3">
        <w:rPr>
          <w:color w:val="auto"/>
        </w:rPr>
        <w:t>883</w:t>
      </w:r>
      <w:r w:rsidRPr="006568A3">
        <w:rPr>
          <w:color w:val="auto"/>
        </w:rPr>
        <w:t xml:space="preserve">’ in clause </w:t>
      </w:r>
      <w:r w:rsidR="005C250F" w:rsidRPr="006568A3">
        <w:rPr>
          <w:color w:val="auto"/>
        </w:rPr>
        <w:t>8</w:t>
      </w:r>
      <w:r w:rsidRPr="006568A3">
        <w:rPr>
          <w:color w:val="auto"/>
        </w:rPr>
        <w:t>.1(b) and replace it with ‘</w:t>
      </w:r>
      <w:r w:rsidR="007F4C22" w:rsidRPr="006568A3">
        <w:rPr>
          <w:color w:val="auto"/>
        </w:rPr>
        <w:t>$</w:t>
      </w:r>
      <w:r w:rsidR="00A92949" w:rsidRPr="006568A3">
        <w:rPr>
          <w:color w:val="auto"/>
        </w:rPr>
        <w:t>50</w:t>
      </w:r>
      <w:r w:rsidR="00DF4547" w:rsidRPr="006568A3">
        <w:rPr>
          <w:color w:val="auto"/>
        </w:rPr>
        <w:t>,</w:t>
      </w:r>
      <w:r w:rsidR="00A92949" w:rsidRPr="006568A3">
        <w:rPr>
          <w:color w:val="auto"/>
        </w:rPr>
        <w:t>643</w:t>
      </w:r>
      <w:r w:rsidRPr="006568A3">
        <w:rPr>
          <w:color w:val="auto"/>
        </w:rPr>
        <w:t>’.</w:t>
      </w:r>
    </w:p>
    <w:p w14:paraId="4B1D663A" w14:textId="1E6808FB" w:rsidR="00A43677" w:rsidRPr="00E71CB7" w:rsidRDefault="00A43677" w:rsidP="00535A0B">
      <w:pPr>
        <w:pStyle w:val="Parapraph"/>
        <w:numPr>
          <w:ilvl w:val="0"/>
          <w:numId w:val="17"/>
        </w:numPr>
        <w:ind w:left="1287" w:hanging="567"/>
        <w:rPr>
          <w:color w:val="auto"/>
        </w:rPr>
      </w:pPr>
      <w:r w:rsidRPr="00E71CB7">
        <w:rPr>
          <w:color w:val="auto"/>
        </w:rPr>
        <w:t>Delete ‘</w:t>
      </w:r>
      <w:r w:rsidR="007F4C22" w:rsidRPr="00E71CB7">
        <w:rPr>
          <w:color w:val="auto"/>
        </w:rPr>
        <w:t>$</w:t>
      </w:r>
      <w:r w:rsidR="009A39DB" w:rsidRPr="00E71CB7">
        <w:rPr>
          <w:color w:val="auto"/>
        </w:rPr>
        <w:t>53</w:t>
      </w:r>
      <w:r w:rsidR="007F4C22" w:rsidRPr="00E71CB7">
        <w:rPr>
          <w:color w:val="auto"/>
        </w:rPr>
        <w:t>,</w:t>
      </w:r>
      <w:r w:rsidR="009A39DB" w:rsidRPr="00E71CB7">
        <w:rPr>
          <w:color w:val="auto"/>
        </w:rPr>
        <w:t>933</w:t>
      </w:r>
      <w:r w:rsidRPr="00E71CB7">
        <w:rPr>
          <w:color w:val="auto"/>
        </w:rPr>
        <w:t xml:space="preserve">’ in clause </w:t>
      </w:r>
      <w:r w:rsidR="005C250F" w:rsidRPr="00E71CB7">
        <w:rPr>
          <w:color w:val="auto"/>
        </w:rPr>
        <w:t>8</w:t>
      </w:r>
      <w:r w:rsidRPr="00E71CB7">
        <w:rPr>
          <w:color w:val="auto"/>
        </w:rPr>
        <w:t>.1(c) and replace it with ‘</w:t>
      </w:r>
      <w:r w:rsidR="007F4C22" w:rsidRPr="00E71CB7">
        <w:rPr>
          <w:color w:val="auto"/>
        </w:rPr>
        <w:t>$</w:t>
      </w:r>
      <w:r w:rsidR="00DF4547" w:rsidRPr="00E71CB7">
        <w:rPr>
          <w:color w:val="auto"/>
        </w:rPr>
        <w:t>5</w:t>
      </w:r>
      <w:r w:rsidR="00E71CB7" w:rsidRPr="00E71CB7">
        <w:rPr>
          <w:color w:val="auto"/>
        </w:rPr>
        <w:t>5</w:t>
      </w:r>
      <w:r w:rsidR="00DF4547" w:rsidRPr="00E71CB7">
        <w:rPr>
          <w:color w:val="auto"/>
        </w:rPr>
        <w:t>,</w:t>
      </w:r>
      <w:r w:rsidR="00E71CB7" w:rsidRPr="00E71CB7">
        <w:rPr>
          <w:color w:val="auto"/>
        </w:rPr>
        <w:t>875</w:t>
      </w:r>
      <w:r w:rsidRPr="00E71CB7">
        <w:rPr>
          <w:color w:val="auto"/>
        </w:rPr>
        <w:t>’.</w:t>
      </w:r>
    </w:p>
    <w:p w14:paraId="7900DB2E" w14:textId="46EFD5E7" w:rsidR="0079341E" w:rsidRPr="00CA2CC0" w:rsidRDefault="0079341E" w:rsidP="00535A0B">
      <w:pPr>
        <w:pStyle w:val="Parapraph"/>
        <w:numPr>
          <w:ilvl w:val="0"/>
          <w:numId w:val="17"/>
        </w:numPr>
        <w:ind w:left="1287" w:hanging="567"/>
        <w:rPr>
          <w:color w:val="auto"/>
        </w:rPr>
      </w:pPr>
      <w:r w:rsidRPr="00CA2CC0">
        <w:rPr>
          <w:color w:val="auto"/>
        </w:rPr>
        <w:t>Delete</w:t>
      </w:r>
      <w:r w:rsidR="008C0205" w:rsidRPr="00CA2CC0">
        <w:rPr>
          <w:color w:val="auto"/>
        </w:rPr>
        <w:t xml:space="preserve"> ‘$</w:t>
      </w:r>
      <w:r w:rsidR="008B72D5" w:rsidRPr="00CA2CC0">
        <w:rPr>
          <w:color w:val="auto"/>
        </w:rPr>
        <w:t>53</w:t>
      </w:r>
      <w:r w:rsidR="00870A07" w:rsidRPr="00CA2CC0">
        <w:rPr>
          <w:color w:val="auto"/>
        </w:rPr>
        <w:t>,217</w:t>
      </w:r>
      <w:r w:rsidR="008C0205" w:rsidRPr="00CA2CC0">
        <w:rPr>
          <w:color w:val="auto"/>
        </w:rPr>
        <w:t>’ in clause 9.1(a) and replace it with ‘$</w:t>
      </w:r>
      <w:r w:rsidR="00870A07" w:rsidRPr="00CA2CC0">
        <w:rPr>
          <w:color w:val="auto"/>
        </w:rPr>
        <w:t>55,</w:t>
      </w:r>
      <w:r w:rsidR="0095381E" w:rsidRPr="00CA2CC0">
        <w:rPr>
          <w:color w:val="auto"/>
        </w:rPr>
        <w:t>133</w:t>
      </w:r>
      <w:r w:rsidR="00AC43E3" w:rsidRPr="00CA2CC0">
        <w:rPr>
          <w:color w:val="auto"/>
        </w:rPr>
        <w:t>’.</w:t>
      </w:r>
    </w:p>
    <w:p w14:paraId="01D2785D" w14:textId="2DA384F4" w:rsidR="00AC43E3" w:rsidRPr="00CA2CC0" w:rsidRDefault="00AC43E3" w:rsidP="00AC43E3">
      <w:pPr>
        <w:pStyle w:val="Parapraph"/>
        <w:numPr>
          <w:ilvl w:val="0"/>
          <w:numId w:val="17"/>
        </w:numPr>
        <w:ind w:left="1287" w:hanging="567"/>
        <w:rPr>
          <w:color w:val="auto"/>
        </w:rPr>
      </w:pPr>
      <w:r w:rsidRPr="00CA2CC0">
        <w:rPr>
          <w:color w:val="auto"/>
        </w:rPr>
        <w:t>Delete ‘$</w:t>
      </w:r>
      <w:r w:rsidR="00385BA3" w:rsidRPr="00CA2CC0">
        <w:rPr>
          <w:color w:val="auto"/>
        </w:rPr>
        <w:t>46,565</w:t>
      </w:r>
      <w:r w:rsidRPr="00CA2CC0">
        <w:rPr>
          <w:color w:val="auto"/>
        </w:rPr>
        <w:t>’ in clause 9.1(b) and replace it with ‘$</w:t>
      </w:r>
      <w:r w:rsidR="0026689C" w:rsidRPr="00CA2CC0">
        <w:rPr>
          <w:color w:val="auto"/>
        </w:rPr>
        <w:t>48,241</w:t>
      </w:r>
      <w:r w:rsidRPr="00CA2CC0">
        <w:rPr>
          <w:color w:val="auto"/>
        </w:rPr>
        <w:t>’.</w:t>
      </w:r>
    </w:p>
    <w:p w14:paraId="42245BA0" w14:textId="233FA0D7" w:rsidR="00AC43E3" w:rsidRPr="00CA2CC0" w:rsidRDefault="00AC43E3" w:rsidP="00AC43E3">
      <w:pPr>
        <w:pStyle w:val="Parapraph"/>
        <w:numPr>
          <w:ilvl w:val="0"/>
          <w:numId w:val="17"/>
        </w:numPr>
        <w:ind w:left="1287" w:hanging="567"/>
        <w:rPr>
          <w:color w:val="auto"/>
        </w:rPr>
      </w:pPr>
      <w:r w:rsidRPr="00CA2CC0">
        <w:rPr>
          <w:color w:val="auto"/>
        </w:rPr>
        <w:t>Delete ‘$</w:t>
      </w:r>
      <w:r w:rsidR="00121314" w:rsidRPr="00CA2CC0">
        <w:rPr>
          <w:color w:val="auto"/>
        </w:rPr>
        <w:t>39,910</w:t>
      </w:r>
      <w:r w:rsidRPr="00CA2CC0">
        <w:rPr>
          <w:color w:val="auto"/>
        </w:rPr>
        <w:t>’ in clause 9.1(c) and replace it with ‘$</w:t>
      </w:r>
      <w:r w:rsidR="00982F1E" w:rsidRPr="00CA2CC0">
        <w:rPr>
          <w:color w:val="auto"/>
        </w:rPr>
        <w:t>41,</w:t>
      </w:r>
      <w:r w:rsidR="007A5633" w:rsidRPr="00CA2CC0">
        <w:rPr>
          <w:color w:val="auto"/>
        </w:rPr>
        <w:t>347</w:t>
      </w:r>
      <w:r w:rsidRPr="00CA2CC0">
        <w:rPr>
          <w:color w:val="auto"/>
        </w:rPr>
        <w:t>’.</w:t>
      </w:r>
    </w:p>
    <w:p w14:paraId="187F4E55" w14:textId="51AB46CD" w:rsidR="00AC43E3" w:rsidRPr="00CA2CC0" w:rsidRDefault="00AC43E3" w:rsidP="00AC43E3">
      <w:pPr>
        <w:pStyle w:val="Parapraph"/>
        <w:numPr>
          <w:ilvl w:val="0"/>
          <w:numId w:val="17"/>
        </w:numPr>
        <w:ind w:left="1287" w:hanging="567"/>
        <w:rPr>
          <w:color w:val="auto"/>
        </w:rPr>
      </w:pPr>
      <w:r w:rsidRPr="00CA2CC0">
        <w:rPr>
          <w:color w:val="auto"/>
        </w:rPr>
        <w:t>Delete ‘$</w:t>
      </w:r>
      <w:r w:rsidR="00612497" w:rsidRPr="00CA2CC0">
        <w:rPr>
          <w:color w:val="auto"/>
        </w:rPr>
        <w:t>26,609</w:t>
      </w:r>
      <w:r w:rsidRPr="00CA2CC0">
        <w:rPr>
          <w:color w:val="auto"/>
        </w:rPr>
        <w:t>’ in clause 9.1(d) and replace it with ‘$</w:t>
      </w:r>
      <w:r w:rsidR="00CA2CC0" w:rsidRPr="00CA2CC0">
        <w:rPr>
          <w:color w:val="auto"/>
        </w:rPr>
        <w:t>27,567</w:t>
      </w:r>
      <w:r w:rsidRPr="00CA2CC0">
        <w:rPr>
          <w:color w:val="auto"/>
        </w:rPr>
        <w:t>’.</w:t>
      </w:r>
    </w:p>
    <w:p w14:paraId="763263E9" w14:textId="32296F7C" w:rsidR="00B24245" w:rsidRPr="00BC4623" w:rsidRDefault="0002483F" w:rsidP="00535A0B">
      <w:pPr>
        <w:pStyle w:val="Parapraph"/>
        <w:numPr>
          <w:ilvl w:val="0"/>
          <w:numId w:val="17"/>
        </w:numPr>
        <w:ind w:left="1287" w:hanging="567"/>
        <w:rPr>
          <w:color w:val="auto"/>
        </w:rPr>
      </w:pPr>
      <w:r w:rsidRPr="00BC4623">
        <w:rPr>
          <w:color w:val="auto"/>
        </w:rPr>
        <w:t>Delete ‘$2</w:t>
      </w:r>
      <w:r w:rsidR="00A41274" w:rsidRPr="00BC4623">
        <w:rPr>
          <w:color w:val="auto"/>
        </w:rPr>
        <w:t>3</w:t>
      </w:r>
      <w:r w:rsidRPr="00BC4623">
        <w:rPr>
          <w:color w:val="auto"/>
        </w:rPr>
        <w:t>,</w:t>
      </w:r>
      <w:r w:rsidR="00A41274" w:rsidRPr="00BC4623">
        <w:rPr>
          <w:color w:val="auto"/>
        </w:rPr>
        <w:t>225</w:t>
      </w:r>
      <w:r w:rsidRPr="00BC4623">
        <w:rPr>
          <w:color w:val="auto"/>
        </w:rPr>
        <w:t xml:space="preserve">’ in clause </w:t>
      </w:r>
      <w:r w:rsidR="004611A4" w:rsidRPr="00BC4623">
        <w:rPr>
          <w:color w:val="auto"/>
        </w:rPr>
        <w:t>10</w:t>
      </w:r>
      <w:r w:rsidRPr="00BC4623">
        <w:rPr>
          <w:color w:val="auto"/>
        </w:rPr>
        <w:t>.1(a)</w:t>
      </w:r>
      <w:r w:rsidR="008C07D7" w:rsidRPr="00BC4623">
        <w:rPr>
          <w:color w:val="auto"/>
        </w:rPr>
        <w:t xml:space="preserve"> </w:t>
      </w:r>
      <w:r w:rsidR="00C64253" w:rsidRPr="00BC4623">
        <w:rPr>
          <w:color w:val="auto"/>
        </w:rPr>
        <w:t xml:space="preserve">and replace it with </w:t>
      </w:r>
      <w:r w:rsidR="00FA68FE" w:rsidRPr="00BC4623">
        <w:rPr>
          <w:color w:val="auto"/>
        </w:rPr>
        <w:t>‘</w:t>
      </w:r>
      <w:r w:rsidR="00C64253" w:rsidRPr="00BC4623">
        <w:rPr>
          <w:color w:val="auto"/>
        </w:rPr>
        <w:t>$2</w:t>
      </w:r>
      <w:r w:rsidR="00BC4623" w:rsidRPr="00BC4623">
        <w:rPr>
          <w:color w:val="auto"/>
        </w:rPr>
        <w:t>4</w:t>
      </w:r>
      <w:r w:rsidR="00490262" w:rsidRPr="00BC4623">
        <w:rPr>
          <w:color w:val="auto"/>
        </w:rPr>
        <w:t>,</w:t>
      </w:r>
      <w:r w:rsidR="00BC4623" w:rsidRPr="00BC4623">
        <w:rPr>
          <w:color w:val="auto"/>
        </w:rPr>
        <w:t>015</w:t>
      </w:r>
      <w:r w:rsidR="00490262" w:rsidRPr="00BC4623">
        <w:rPr>
          <w:color w:val="auto"/>
        </w:rPr>
        <w:t>’.</w:t>
      </w:r>
    </w:p>
    <w:p w14:paraId="5769B940" w14:textId="149747BF" w:rsidR="00490262" w:rsidRPr="00753FE6" w:rsidRDefault="00490262" w:rsidP="00535A0B">
      <w:pPr>
        <w:pStyle w:val="Parapraph"/>
        <w:numPr>
          <w:ilvl w:val="0"/>
          <w:numId w:val="17"/>
        </w:numPr>
        <w:ind w:left="1287" w:hanging="567"/>
        <w:rPr>
          <w:color w:val="auto"/>
        </w:rPr>
      </w:pPr>
      <w:r w:rsidRPr="00753FE6">
        <w:rPr>
          <w:color w:val="auto"/>
        </w:rPr>
        <w:t>Delete ‘$3</w:t>
      </w:r>
      <w:r w:rsidR="00A41274" w:rsidRPr="00753FE6">
        <w:rPr>
          <w:color w:val="auto"/>
        </w:rPr>
        <w:t>4</w:t>
      </w:r>
      <w:r w:rsidRPr="00753FE6">
        <w:rPr>
          <w:color w:val="auto"/>
        </w:rPr>
        <w:t>,</w:t>
      </w:r>
      <w:r w:rsidR="00A41274" w:rsidRPr="00753FE6">
        <w:rPr>
          <w:color w:val="auto"/>
        </w:rPr>
        <w:t>994</w:t>
      </w:r>
      <w:r w:rsidRPr="00753FE6">
        <w:rPr>
          <w:color w:val="auto"/>
        </w:rPr>
        <w:t xml:space="preserve">’ in clause </w:t>
      </w:r>
      <w:r w:rsidR="004611A4" w:rsidRPr="00753FE6">
        <w:rPr>
          <w:color w:val="auto"/>
        </w:rPr>
        <w:t>10</w:t>
      </w:r>
      <w:r w:rsidR="00D335D1" w:rsidRPr="00753FE6">
        <w:rPr>
          <w:color w:val="auto"/>
        </w:rPr>
        <w:t>.1(b) and replace it wi</w:t>
      </w:r>
      <w:r w:rsidR="00DD5C04" w:rsidRPr="00753FE6">
        <w:rPr>
          <w:color w:val="auto"/>
        </w:rPr>
        <w:t>th</w:t>
      </w:r>
      <w:r w:rsidR="00D335D1" w:rsidRPr="00753FE6">
        <w:rPr>
          <w:color w:val="auto"/>
        </w:rPr>
        <w:t xml:space="preserve"> ‘$3</w:t>
      </w:r>
      <w:r w:rsidR="00753FE6" w:rsidRPr="00753FE6">
        <w:rPr>
          <w:color w:val="auto"/>
        </w:rPr>
        <w:t>6</w:t>
      </w:r>
      <w:r w:rsidR="00D335D1" w:rsidRPr="00753FE6">
        <w:rPr>
          <w:color w:val="auto"/>
        </w:rPr>
        <w:t>,</w:t>
      </w:r>
      <w:r w:rsidR="00753FE6" w:rsidRPr="00753FE6">
        <w:rPr>
          <w:color w:val="auto"/>
        </w:rPr>
        <w:t>184</w:t>
      </w:r>
      <w:r w:rsidR="00D335D1" w:rsidRPr="00753FE6">
        <w:rPr>
          <w:color w:val="auto"/>
        </w:rPr>
        <w:t>’.</w:t>
      </w:r>
    </w:p>
    <w:p w14:paraId="03A1E223" w14:textId="49BCF5ED" w:rsidR="002A76E4" w:rsidRDefault="00072D46" w:rsidP="00535A0B">
      <w:pPr>
        <w:pStyle w:val="Parapraph"/>
        <w:numPr>
          <w:ilvl w:val="0"/>
          <w:numId w:val="17"/>
        </w:numPr>
        <w:ind w:left="1287" w:hanging="567"/>
        <w:rPr>
          <w:color w:val="auto"/>
        </w:rPr>
      </w:pPr>
      <w:r w:rsidRPr="001F58CA">
        <w:rPr>
          <w:color w:val="auto"/>
        </w:rPr>
        <w:t>Delete ‘$5,195’</w:t>
      </w:r>
      <w:r w:rsidR="001F58CA" w:rsidRPr="001F58CA">
        <w:rPr>
          <w:color w:val="auto"/>
        </w:rPr>
        <w:t xml:space="preserve"> in clause 12.1(a) and replace </w:t>
      </w:r>
      <w:r w:rsidR="001F58CA" w:rsidRPr="00C83269">
        <w:rPr>
          <w:color w:val="auto"/>
        </w:rPr>
        <w:t xml:space="preserve">it with </w:t>
      </w:r>
      <w:r w:rsidR="00D57E1B">
        <w:rPr>
          <w:color w:val="auto"/>
        </w:rPr>
        <w:t>‘</w:t>
      </w:r>
      <w:r w:rsidR="001F58CA" w:rsidRPr="00C83269">
        <w:rPr>
          <w:color w:val="auto"/>
        </w:rPr>
        <w:t>$</w:t>
      </w:r>
      <w:r w:rsidR="00C05509">
        <w:rPr>
          <w:color w:val="auto"/>
        </w:rPr>
        <w:t>5,372</w:t>
      </w:r>
      <w:r w:rsidR="001F58CA" w:rsidRPr="00C83269">
        <w:rPr>
          <w:color w:val="auto"/>
        </w:rPr>
        <w:t>’.</w:t>
      </w:r>
    </w:p>
    <w:p w14:paraId="4758950C" w14:textId="6E7E7FE9" w:rsidR="001F58CA" w:rsidRDefault="00EB3692" w:rsidP="00535A0B">
      <w:pPr>
        <w:pStyle w:val="Parapraph"/>
        <w:numPr>
          <w:ilvl w:val="0"/>
          <w:numId w:val="17"/>
        </w:numPr>
        <w:ind w:left="1287" w:hanging="567"/>
        <w:rPr>
          <w:color w:val="auto"/>
        </w:rPr>
      </w:pPr>
      <w:r>
        <w:rPr>
          <w:color w:val="auto"/>
        </w:rPr>
        <w:t>Delete ‘$</w:t>
      </w:r>
      <w:r w:rsidR="00573591">
        <w:rPr>
          <w:color w:val="auto"/>
        </w:rPr>
        <w:t>11,399’ in clause 12.1(b) and replace it with '</w:t>
      </w:r>
      <w:r w:rsidR="00C83269">
        <w:rPr>
          <w:color w:val="auto"/>
        </w:rPr>
        <w:t>$</w:t>
      </w:r>
      <w:r w:rsidR="00D40E3E">
        <w:rPr>
          <w:color w:val="auto"/>
        </w:rPr>
        <w:t>11,787</w:t>
      </w:r>
      <w:r w:rsidR="00C83269">
        <w:rPr>
          <w:color w:val="auto"/>
        </w:rPr>
        <w:t>’.</w:t>
      </w:r>
    </w:p>
    <w:p w14:paraId="0D5D5BA5" w14:textId="2A513304" w:rsidR="00C83269" w:rsidRPr="001F58CA" w:rsidRDefault="00C83269" w:rsidP="00535A0B">
      <w:pPr>
        <w:pStyle w:val="Parapraph"/>
        <w:numPr>
          <w:ilvl w:val="0"/>
          <w:numId w:val="17"/>
        </w:numPr>
        <w:ind w:left="1287" w:hanging="567"/>
        <w:rPr>
          <w:color w:val="auto"/>
        </w:rPr>
      </w:pPr>
      <w:r>
        <w:rPr>
          <w:color w:val="auto"/>
        </w:rPr>
        <w:t>Delete ‘$17,898' in clause 12.1(c)</w:t>
      </w:r>
      <w:r w:rsidR="003C0745">
        <w:rPr>
          <w:color w:val="auto"/>
        </w:rPr>
        <w:t xml:space="preserve"> and replace it with '$</w:t>
      </w:r>
      <w:r w:rsidR="00D40E3E">
        <w:rPr>
          <w:color w:val="auto"/>
        </w:rPr>
        <w:t>18,507</w:t>
      </w:r>
      <w:r w:rsidR="003C0745">
        <w:rPr>
          <w:color w:val="auto"/>
        </w:rPr>
        <w:t>’.</w:t>
      </w:r>
    </w:p>
    <w:p w14:paraId="5B095749" w14:textId="7CC5E18B" w:rsidR="00D713A6" w:rsidRPr="003C5B70" w:rsidRDefault="00D713A6" w:rsidP="00D713A6">
      <w:pPr>
        <w:pStyle w:val="Parapraph"/>
        <w:numPr>
          <w:ilvl w:val="0"/>
          <w:numId w:val="17"/>
        </w:numPr>
        <w:ind w:left="1287" w:hanging="567"/>
        <w:rPr>
          <w:color w:val="auto"/>
        </w:rPr>
      </w:pPr>
      <w:r w:rsidRPr="003C5B70">
        <w:rPr>
          <w:color w:val="auto"/>
        </w:rPr>
        <w:lastRenderedPageBreak/>
        <w:t>Delete ‘$</w:t>
      </w:r>
      <w:r w:rsidR="0092089D" w:rsidRPr="003C5B70">
        <w:rPr>
          <w:color w:val="auto"/>
        </w:rPr>
        <w:t>10,</w:t>
      </w:r>
      <w:r w:rsidR="003C5B70" w:rsidRPr="003C5B70">
        <w:rPr>
          <w:color w:val="auto"/>
        </w:rPr>
        <w:t>765</w:t>
      </w:r>
      <w:r w:rsidRPr="003C5B70">
        <w:rPr>
          <w:color w:val="auto"/>
        </w:rPr>
        <w:t>’ in clause 13.1 and replace it with ‘$</w:t>
      </w:r>
      <w:r w:rsidR="003C5B70" w:rsidRPr="003C5B70">
        <w:rPr>
          <w:color w:val="auto"/>
        </w:rPr>
        <w:t>11,153</w:t>
      </w:r>
      <w:r w:rsidRPr="003C5B70">
        <w:rPr>
          <w:color w:val="auto"/>
        </w:rPr>
        <w:t>’.</w:t>
      </w:r>
    </w:p>
    <w:p w14:paraId="0226C3BA" w14:textId="09C8AE84" w:rsidR="00A43677" w:rsidRPr="00586D09" w:rsidRDefault="00873B97" w:rsidP="00535A0B">
      <w:pPr>
        <w:pStyle w:val="Parapraph"/>
        <w:numPr>
          <w:ilvl w:val="0"/>
          <w:numId w:val="17"/>
        </w:numPr>
        <w:ind w:left="1287" w:hanging="567"/>
        <w:rPr>
          <w:color w:val="auto"/>
        </w:rPr>
      </w:pPr>
      <w:r w:rsidRPr="00586D09">
        <w:rPr>
          <w:color w:val="auto"/>
        </w:rPr>
        <w:t xml:space="preserve">Add </w:t>
      </w:r>
      <w:r w:rsidR="007625EC" w:rsidRPr="00586D09">
        <w:rPr>
          <w:color w:val="auto"/>
        </w:rPr>
        <w:t xml:space="preserve">‘, </w:t>
      </w:r>
      <w:r w:rsidRPr="00586D09">
        <w:rPr>
          <w:color w:val="auto"/>
        </w:rPr>
        <w:t>multiplied by</w:t>
      </w:r>
      <w:r w:rsidR="007625EC" w:rsidRPr="00586D09">
        <w:rPr>
          <w:color w:val="auto"/>
        </w:rPr>
        <w:t xml:space="preserve"> </w:t>
      </w:r>
      <w:r w:rsidR="00AF4075">
        <w:rPr>
          <w:color w:val="auto"/>
        </w:rPr>
        <w:t>1.061</w:t>
      </w:r>
      <w:r w:rsidR="000B5277">
        <w:rPr>
          <w:color w:val="auto"/>
        </w:rPr>
        <w:t>’</w:t>
      </w:r>
      <w:r w:rsidR="00906554" w:rsidRPr="00586D09">
        <w:rPr>
          <w:color w:val="auto"/>
        </w:rPr>
        <w:t xml:space="preserve"> after</w:t>
      </w:r>
      <w:r w:rsidR="00A43677" w:rsidRPr="00586D09">
        <w:rPr>
          <w:color w:val="auto"/>
        </w:rPr>
        <w:t>:</w:t>
      </w:r>
    </w:p>
    <w:p w14:paraId="242F6241" w14:textId="6E1F3F36" w:rsidR="00A43677" w:rsidRPr="00586D09" w:rsidRDefault="00A43677" w:rsidP="00535A0B">
      <w:pPr>
        <w:pStyle w:val="Parapraph"/>
        <w:ind w:left="1843" w:hanging="567"/>
        <w:rPr>
          <w:color w:val="auto"/>
        </w:rPr>
      </w:pPr>
      <w:r w:rsidRPr="00586D09">
        <w:rPr>
          <w:color w:val="auto"/>
        </w:rPr>
        <w:t>-</w:t>
      </w:r>
      <w:r w:rsidRPr="00586D09">
        <w:rPr>
          <w:color w:val="auto"/>
        </w:rPr>
        <w:tab/>
      </w:r>
      <w:r w:rsidR="00B36CA9" w:rsidRPr="00586D09">
        <w:rPr>
          <w:color w:val="auto"/>
        </w:rPr>
        <w:t xml:space="preserve">‘multiplied by </w:t>
      </w:r>
      <w:r w:rsidR="000122B6" w:rsidRPr="00586D09">
        <w:rPr>
          <w:color w:val="auto"/>
        </w:rPr>
        <w:t>$1.03</w:t>
      </w:r>
      <w:r w:rsidR="00781935" w:rsidRPr="00586D09">
        <w:rPr>
          <w:color w:val="auto"/>
        </w:rPr>
        <w:t xml:space="preserve">’ in </w:t>
      </w:r>
      <w:r w:rsidRPr="00586D09">
        <w:rPr>
          <w:color w:val="auto"/>
        </w:rPr>
        <w:t>clause 1</w:t>
      </w:r>
      <w:r w:rsidR="005D794E" w:rsidRPr="00586D09">
        <w:rPr>
          <w:color w:val="auto"/>
        </w:rPr>
        <w:t>4</w:t>
      </w:r>
      <w:r w:rsidRPr="00586D09">
        <w:rPr>
          <w:color w:val="auto"/>
        </w:rPr>
        <w:t>.1 (a) i., and</w:t>
      </w:r>
    </w:p>
    <w:p w14:paraId="48D92D7C" w14:textId="74A61A71" w:rsidR="00A43677" w:rsidRPr="00586D09" w:rsidRDefault="00A43677" w:rsidP="00535A0B">
      <w:pPr>
        <w:pStyle w:val="Parapraph"/>
        <w:ind w:left="1843" w:hanging="567"/>
        <w:rPr>
          <w:color w:val="auto"/>
        </w:rPr>
      </w:pPr>
      <w:r w:rsidRPr="00586D09">
        <w:rPr>
          <w:color w:val="auto"/>
        </w:rPr>
        <w:t>-</w:t>
      </w:r>
      <w:r w:rsidRPr="00586D09">
        <w:rPr>
          <w:color w:val="auto"/>
        </w:rPr>
        <w:tab/>
      </w:r>
      <w:r w:rsidR="00781935" w:rsidRPr="00586D09">
        <w:rPr>
          <w:color w:val="auto"/>
        </w:rPr>
        <w:t xml:space="preserve">‘multiplied by $1.36’ in </w:t>
      </w:r>
      <w:r w:rsidRPr="00586D09">
        <w:rPr>
          <w:color w:val="auto"/>
        </w:rPr>
        <w:t>clause 1</w:t>
      </w:r>
      <w:r w:rsidR="005D794E" w:rsidRPr="00586D09">
        <w:rPr>
          <w:color w:val="auto"/>
        </w:rPr>
        <w:t>4</w:t>
      </w:r>
      <w:r w:rsidRPr="00586D09">
        <w:rPr>
          <w:color w:val="auto"/>
        </w:rPr>
        <w:t>.1 (a) ii., and</w:t>
      </w:r>
    </w:p>
    <w:p w14:paraId="1E2CACA9" w14:textId="6D044633" w:rsidR="00847450" w:rsidRPr="00586D09" w:rsidRDefault="00A43677" w:rsidP="00535A0B">
      <w:pPr>
        <w:pStyle w:val="Parapraph"/>
        <w:ind w:left="1843" w:hanging="567"/>
        <w:rPr>
          <w:color w:val="auto"/>
        </w:rPr>
      </w:pPr>
      <w:r w:rsidRPr="00586D09">
        <w:rPr>
          <w:color w:val="auto"/>
        </w:rPr>
        <w:t>-</w:t>
      </w:r>
      <w:r w:rsidRPr="00586D09">
        <w:rPr>
          <w:color w:val="auto"/>
        </w:rPr>
        <w:tab/>
      </w:r>
      <w:r w:rsidR="00F67B8C" w:rsidRPr="00586D09">
        <w:rPr>
          <w:color w:val="auto"/>
        </w:rPr>
        <w:t xml:space="preserve">‘multiplied by $2.39’ in </w:t>
      </w:r>
      <w:r w:rsidRPr="00586D09">
        <w:rPr>
          <w:color w:val="auto"/>
        </w:rPr>
        <w:t>clause 1</w:t>
      </w:r>
      <w:r w:rsidR="005D794E" w:rsidRPr="00586D09">
        <w:rPr>
          <w:color w:val="auto"/>
        </w:rPr>
        <w:t>4</w:t>
      </w:r>
      <w:r w:rsidRPr="00586D09">
        <w:rPr>
          <w:color w:val="auto"/>
        </w:rPr>
        <w:t>.1 (b)</w:t>
      </w:r>
      <w:r w:rsidR="00586D09" w:rsidRPr="00586D09">
        <w:rPr>
          <w:color w:val="auto"/>
        </w:rPr>
        <w:t>., and</w:t>
      </w:r>
    </w:p>
    <w:p w14:paraId="567AB3C5" w14:textId="534248D6" w:rsidR="003C2EA7" w:rsidRPr="00586D09" w:rsidRDefault="00C57E9B" w:rsidP="00535A0B">
      <w:pPr>
        <w:pStyle w:val="Parapraph"/>
        <w:ind w:left="1843" w:hanging="567"/>
        <w:rPr>
          <w:color w:val="auto"/>
        </w:rPr>
      </w:pPr>
      <w:r w:rsidRPr="00586D09">
        <w:rPr>
          <w:color w:val="auto"/>
        </w:rPr>
        <w:t>-</w:t>
      </w:r>
      <w:r w:rsidRPr="00586D09">
        <w:rPr>
          <w:color w:val="auto"/>
        </w:rPr>
        <w:tab/>
        <w:t>‘multiplied by $1.36’ in clause 14.</w:t>
      </w:r>
      <w:r w:rsidR="00422C93" w:rsidRPr="00586D09">
        <w:rPr>
          <w:color w:val="auto"/>
        </w:rPr>
        <w:t>2</w:t>
      </w:r>
      <w:r w:rsidRPr="00586D09">
        <w:rPr>
          <w:color w:val="auto"/>
        </w:rPr>
        <w:t xml:space="preserve"> (b)</w:t>
      </w:r>
      <w:r w:rsidR="00422C93" w:rsidRPr="00586D09">
        <w:rPr>
          <w:color w:val="auto"/>
        </w:rPr>
        <w:t xml:space="preserve"> i</w:t>
      </w:r>
      <w:r w:rsidR="00A43677" w:rsidRPr="00586D09">
        <w:rPr>
          <w:color w:val="auto"/>
        </w:rPr>
        <w:t>.</w:t>
      </w:r>
    </w:p>
    <w:p w14:paraId="3A49910B" w14:textId="3B61EF2C" w:rsidR="00A43677" w:rsidRPr="00FB58BD" w:rsidRDefault="00A43677" w:rsidP="00535A0B">
      <w:pPr>
        <w:pStyle w:val="Parapraph"/>
        <w:numPr>
          <w:ilvl w:val="0"/>
          <w:numId w:val="17"/>
        </w:numPr>
        <w:ind w:left="1287" w:hanging="567"/>
        <w:rPr>
          <w:color w:val="auto"/>
        </w:rPr>
      </w:pPr>
      <w:r w:rsidRPr="00FB58BD">
        <w:rPr>
          <w:color w:val="auto"/>
        </w:rPr>
        <w:t xml:space="preserve">Delete the table in Schedule A and replace it with the table in Schedule A of this </w:t>
      </w:r>
      <w:r w:rsidR="003F2C0F" w:rsidRPr="008C0A16">
        <w:rPr>
          <w:i/>
          <w:iCs/>
          <w:color w:val="auto"/>
        </w:rPr>
        <w:t>Members of Parliament (Victoria) Annual Adjustment Determination 202</w:t>
      </w:r>
      <w:r w:rsidR="000711BB" w:rsidRPr="008C0A16">
        <w:rPr>
          <w:i/>
          <w:iCs/>
          <w:color w:val="auto"/>
        </w:rPr>
        <w:t>4</w:t>
      </w:r>
      <w:r w:rsidRPr="00FB58BD">
        <w:rPr>
          <w:color w:val="auto"/>
        </w:rPr>
        <w:t>.</w:t>
      </w:r>
    </w:p>
    <w:p w14:paraId="334E348E" w14:textId="01E91017" w:rsidR="00A43677" w:rsidRPr="003560F0" w:rsidRDefault="00A43677" w:rsidP="00F44F75">
      <w:pPr>
        <w:pStyle w:val="Parapraph"/>
        <w:numPr>
          <w:ilvl w:val="0"/>
          <w:numId w:val="16"/>
        </w:numPr>
        <w:rPr>
          <w:color w:val="auto"/>
        </w:rPr>
      </w:pPr>
      <w:r w:rsidRPr="003560F0">
        <w:rPr>
          <w:color w:val="auto"/>
        </w:rPr>
        <w:t>This Determination commences on 1 July 202</w:t>
      </w:r>
      <w:r w:rsidR="003560F0" w:rsidRPr="003560F0">
        <w:rPr>
          <w:color w:val="auto"/>
        </w:rPr>
        <w:t>4</w:t>
      </w:r>
      <w:r w:rsidRPr="003560F0">
        <w:rPr>
          <w:color w:val="auto"/>
        </w:rPr>
        <w:t>.</w:t>
      </w:r>
    </w:p>
    <w:p w14:paraId="5A42F218" w14:textId="38AC8D77" w:rsidR="00A43677" w:rsidRPr="003560F0" w:rsidRDefault="00A43677" w:rsidP="00F44F75">
      <w:pPr>
        <w:pStyle w:val="Parapraph"/>
        <w:numPr>
          <w:ilvl w:val="0"/>
          <w:numId w:val="16"/>
        </w:numPr>
        <w:rPr>
          <w:color w:val="auto"/>
        </w:rPr>
      </w:pPr>
      <w:r w:rsidRPr="003560F0">
        <w:rPr>
          <w:color w:val="auto"/>
        </w:rPr>
        <w:t xml:space="preserve">The </w:t>
      </w:r>
      <w:r w:rsidRPr="003560F0">
        <w:rPr>
          <w:i/>
          <w:iCs/>
          <w:color w:val="auto"/>
        </w:rPr>
        <w:t>Members of Parliament (Victoria) Determination No. 01/20</w:t>
      </w:r>
      <w:r w:rsidR="003560F0" w:rsidRPr="003560F0">
        <w:rPr>
          <w:i/>
          <w:iCs/>
          <w:color w:val="auto"/>
        </w:rPr>
        <w:t>23</w:t>
      </w:r>
      <w:r w:rsidRPr="003560F0">
        <w:rPr>
          <w:color w:val="auto"/>
        </w:rPr>
        <w:t xml:space="preserve"> as varied is available on the Tribunal’s website. </w:t>
      </w:r>
    </w:p>
    <w:p w14:paraId="554E59A2" w14:textId="77777777" w:rsidR="00A43677" w:rsidRPr="00764135" w:rsidRDefault="00A43677" w:rsidP="0004067E">
      <w:pPr>
        <w:pStyle w:val="Parapraph"/>
        <w:rPr>
          <w:highlight w:val="yellow"/>
        </w:rPr>
      </w:pPr>
    </w:p>
    <w:p w14:paraId="39D190AA" w14:textId="77777777" w:rsidR="00A43677" w:rsidRPr="00764135" w:rsidRDefault="00A43677" w:rsidP="00A43677">
      <w:pPr>
        <w:pStyle w:val="Parapraph"/>
        <w:rPr>
          <w:highlight w:val="yellow"/>
        </w:rPr>
      </w:pPr>
    </w:p>
    <w:p w14:paraId="37A7AA6B" w14:textId="77777777" w:rsidR="00A43677" w:rsidRPr="00764135" w:rsidRDefault="00A43677" w:rsidP="00A43677">
      <w:pPr>
        <w:pStyle w:val="Parapraph"/>
        <w:rPr>
          <w:highlight w:val="yellow"/>
        </w:rPr>
      </w:pPr>
    </w:p>
    <w:p w14:paraId="064D0384" w14:textId="77777777" w:rsidR="00A43677" w:rsidRPr="00785450" w:rsidRDefault="00A43677" w:rsidP="00785450">
      <w:pPr>
        <w:spacing w:before="180" w:after="240" w:line="276" w:lineRule="auto"/>
        <w:jc w:val="both"/>
        <w:rPr>
          <w:rFonts w:ascii="Calibri Light" w:eastAsia="Rockwell" w:hAnsi="Calibri Light" w:cs="Times New Roman"/>
          <w:color w:val="auto"/>
          <w:sz w:val="26"/>
        </w:rPr>
      </w:pPr>
    </w:p>
    <w:p w14:paraId="51C95767" w14:textId="77777777" w:rsidR="002D3C91" w:rsidRDefault="002D3C91" w:rsidP="00785450">
      <w:pPr>
        <w:spacing w:before="180" w:after="240" w:line="276" w:lineRule="auto"/>
        <w:jc w:val="both"/>
        <w:rPr>
          <w:rFonts w:ascii="Calibri Light" w:eastAsia="Rockwell" w:hAnsi="Calibri Light" w:cs="Times New Roman"/>
          <w:color w:val="auto"/>
          <w:sz w:val="26"/>
        </w:rPr>
      </w:pPr>
    </w:p>
    <w:p w14:paraId="34786778" w14:textId="77777777" w:rsidR="002D3C91" w:rsidRPr="00785450" w:rsidRDefault="002D3C91" w:rsidP="00785450">
      <w:pPr>
        <w:spacing w:before="180" w:after="240" w:line="276" w:lineRule="auto"/>
        <w:jc w:val="both"/>
        <w:rPr>
          <w:rFonts w:ascii="Calibri Light" w:eastAsia="Rockwell" w:hAnsi="Calibri Light" w:cs="Times New Roman"/>
          <w:color w:val="auto"/>
          <w:sz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1"/>
        <w:gridCol w:w="2832"/>
      </w:tblGrid>
      <w:tr w:rsidR="002D3C91" w:rsidRPr="006F1B2E" w14:paraId="7AEF9A44" w14:textId="77777777" w:rsidTr="00A9246E">
        <w:tc>
          <w:tcPr>
            <w:tcW w:w="2881" w:type="dxa"/>
          </w:tcPr>
          <w:p w14:paraId="24B8F437" w14:textId="77777777" w:rsidR="002D3C91" w:rsidRPr="006F1B2E" w:rsidRDefault="002D3C91" w:rsidP="00A9246E">
            <w:pPr>
              <w:spacing w:after="0"/>
              <w:rPr>
                <w:rFonts w:ascii="Calibri Light" w:hAnsi="Calibri Light" w:cs="Calibri Light"/>
                <w:color w:val="auto"/>
                <w:sz w:val="26"/>
                <w:szCs w:val="26"/>
              </w:rPr>
            </w:pPr>
            <w:r w:rsidRPr="006F1B2E">
              <w:rPr>
                <w:noProof/>
              </w:rPr>
              <w:drawing>
                <wp:inline distT="0" distB="0" distL="0" distR="0" wp14:anchorId="6758E930" wp14:editId="58F6D60A">
                  <wp:extent cx="1466850" cy="508000"/>
                  <wp:effectExtent l="0" t="0" r="0" b="6350"/>
                  <wp:docPr id="400146992" name="Picture 400146992" descr="Warren McCann'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Warren McCann's signature"/>
                          <pic:cNvPicPr>
                            <a:picLocks noChangeAspect="1"/>
                          </pic:cNvPicPr>
                        </pic:nvPicPr>
                        <pic:blipFill>
                          <a:blip r:embed="rId22"/>
                          <a:stretch>
                            <a:fillRect/>
                          </a:stretch>
                        </pic:blipFill>
                        <pic:spPr>
                          <a:xfrm>
                            <a:off x="0" y="0"/>
                            <a:ext cx="1466850" cy="508000"/>
                          </a:xfrm>
                          <a:prstGeom prst="rect">
                            <a:avLst/>
                          </a:prstGeom>
                        </pic:spPr>
                      </pic:pic>
                    </a:graphicData>
                  </a:graphic>
                </wp:inline>
              </w:drawing>
            </w:r>
          </w:p>
        </w:tc>
        <w:tc>
          <w:tcPr>
            <w:tcW w:w="2832" w:type="dxa"/>
            <w:vAlign w:val="center"/>
          </w:tcPr>
          <w:p w14:paraId="667D95FB" w14:textId="77777777" w:rsidR="002D3C91" w:rsidRPr="006F1B2E" w:rsidRDefault="002D3C91" w:rsidP="00A9246E">
            <w:pPr>
              <w:spacing w:after="0"/>
              <w:rPr>
                <w:rFonts w:ascii="Calibri Light" w:hAnsi="Calibri Light" w:cs="Calibri Light"/>
                <w:color w:val="auto"/>
                <w:sz w:val="26"/>
                <w:szCs w:val="26"/>
              </w:rPr>
            </w:pPr>
            <w:r w:rsidRPr="006F1B2E">
              <w:rPr>
                <w:noProof/>
              </w:rPr>
              <w:drawing>
                <wp:inline distT="0" distB="0" distL="0" distR="0" wp14:anchorId="107E244A" wp14:editId="5242D883">
                  <wp:extent cx="1661160" cy="294640"/>
                  <wp:effectExtent l="0" t="0" r="0" b="0"/>
                  <wp:docPr id="235" name="Picture 235" descr="Laurinda Gardner'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Picture 235" descr="Laurinda Gardner's signature"/>
                          <pic:cNvPicPr>
                            <a:picLocks noChangeAspect="1"/>
                          </pic:cNvPicPr>
                        </pic:nvPicPr>
                        <pic:blipFill>
                          <a:blip r:embed="rId23"/>
                          <a:stretch>
                            <a:fillRect/>
                          </a:stretch>
                        </pic:blipFill>
                        <pic:spPr>
                          <a:xfrm>
                            <a:off x="0" y="0"/>
                            <a:ext cx="1661160" cy="294640"/>
                          </a:xfrm>
                          <a:prstGeom prst="rect">
                            <a:avLst/>
                          </a:prstGeom>
                        </pic:spPr>
                      </pic:pic>
                    </a:graphicData>
                  </a:graphic>
                </wp:inline>
              </w:drawing>
            </w:r>
          </w:p>
        </w:tc>
      </w:tr>
      <w:tr w:rsidR="002D3C91" w:rsidRPr="006F1B2E" w14:paraId="638349CC" w14:textId="77777777" w:rsidTr="00A9246E">
        <w:tc>
          <w:tcPr>
            <w:tcW w:w="2881" w:type="dxa"/>
          </w:tcPr>
          <w:p w14:paraId="54FE2BF9" w14:textId="77777777" w:rsidR="002D3C91" w:rsidRPr="006F1B2E" w:rsidRDefault="002D3C91" w:rsidP="00A9246E">
            <w:pPr>
              <w:spacing w:after="0"/>
              <w:rPr>
                <w:rFonts w:ascii="Calibri Light" w:hAnsi="Calibri Light" w:cs="Calibri Light"/>
                <w:color w:val="auto"/>
                <w:sz w:val="26"/>
                <w:szCs w:val="26"/>
              </w:rPr>
            </w:pPr>
          </w:p>
        </w:tc>
        <w:tc>
          <w:tcPr>
            <w:tcW w:w="2832" w:type="dxa"/>
          </w:tcPr>
          <w:p w14:paraId="35E9C04E" w14:textId="77777777" w:rsidR="002D3C91" w:rsidRPr="006F1B2E" w:rsidRDefault="002D3C91" w:rsidP="00A9246E">
            <w:pPr>
              <w:spacing w:after="0"/>
              <w:rPr>
                <w:rFonts w:ascii="Calibri Light" w:hAnsi="Calibri Light" w:cs="Calibri Light"/>
                <w:color w:val="auto"/>
                <w:sz w:val="26"/>
                <w:szCs w:val="26"/>
              </w:rPr>
            </w:pPr>
          </w:p>
        </w:tc>
      </w:tr>
      <w:tr w:rsidR="002D3C91" w:rsidRPr="006F1B2E" w14:paraId="5F1715AF" w14:textId="77777777" w:rsidTr="00A9246E">
        <w:tc>
          <w:tcPr>
            <w:tcW w:w="2881" w:type="dxa"/>
            <w:hideMark/>
          </w:tcPr>
          <w:p w14:paraId="3EB312AB" w14:textId="77777777" w:rsidR="002D3C91" w:rsidRDefault="002D3C91" w:rsidP="00A9246E">
            <w:pPr>
              <w:spacing w:before="120" w:after="120"/>
              <w:rPr>
                <w:rFonts w:ascii="Calibri Light" w:hAnsi="Calibri Light" w:cs="Calibri Light"/>
                <w:color w:val="auto"/>
                <w:sz w:val="26"/>
                <w:szCs w:val="26"/>
              </w:rPr>
            </w:pPr>
            <w:r w:rsidRPr="006F1B2E">
              <w:rPr>
                <w:rFonts w:ascii="Calibri Light" w:hAnsi="Calibri Light" w:cs="Calibri Light"/>
                <w:color w:val="auto"/>
                <w:sz w:val="26"/>
                <w:szCs w:val="26"/>
              </w:rPr>
              <w:t>Warren McCann</w:t>
            </w:r>
          </w:p>
          <w:p w14:paraId="76DFF1C0" w14:textId="77777777" w:rsidR="002D3C91" w:rsidRDefault="002D3C91" w:rsidP="00A9246E">
            <w:pPr>
              <w:spacing w:before="120" w:after="120"/>
              <w:rPr>
                <w:rFonts w:ascii="Calibri Light" w:hAnsi="Calibri Light" w:cs="Calibri Light"/>
                <w:i/>
                <w:color w:val="auto"/>
                <w:sz w:val="26"/>
                <w:szCs w:val="26"/>
              </w:rPr>
            </w:pPr>
            <w:r w:rsidRPr="006F1B2E">
              <w:rPr>
                <w:rFonts w:ascii="Calibri Light" w:hAnsi="Calibri Light" w:cs="Calibri Light"/>
                <w:i/>
                <w:color w:val="auto"/>
                <w:sz w:val="26"/>
                <w:szCs w:val="26"/>
              </w:rPr>
              <w:t>Chair</w:t>
            </w:r>
          </w:p>
          <w:p w14:paraId="084A4578" w14:textId="77777777" w:rsidR="002D3C91" w:rsidRPr="00893FF3" w:rsidRDefault="002D3C91" w:rsidP="00A9246E">
            <w:pPr>
              <w:spacing w:before="120" w:after="120"/>
              <w:rPr>
                <w:rFonts w:ascii="Calibri Light" w:hAnsi="Calibri Light" w:cs="Calibri Light"/>
                <w:color w:val="auto"/>
                <w:sz w:val="26"/>
                <w:szCs w:val="26"/>
              </w:rPr>
            </w:pPr>
            <w:r w:rsidRPr="006F1B2E">
              <w:rPr>
                <w:rFonts w:ascii="Calibri Light" w:hAnsi="Calibri Light" w:cs="Calibri Light"/>
                <w:color w:val="auto"/>
                <w:sz w:val="26"/>
                <w:szCs w:val="26"/>
              </w:rPr>
              <w:t>Victorian Independent Remuneration Tribunal</w:t>
            </w:r>
          </w:p>
        </w:tc>
        <w:tc>
          <w:tcPr>
            <w:tcW w:w="2832" w:type="dxa"/>
          </w:tcPr>
          <w:p w14:paraId="2457C3AB" w14:textId="77777777" w:rsidR="002D3C91" w:rsidRDefault="002D3C91" w:rsidP="00A9246E">
            <w:pPr>
              <w:spacing w:before="120" w:after="120"/>
              <w:rPr>
                <w:rFonts w:ascii="Calibri Light" w:hAnsi="Calibri Light" w:cs="Calibri Light"/>
                <w:color w:val="auto"/>
                <w:sz w:val="26"/>
                <w:szCs w:val="26"/>
              </w:rPr>
            </w:pPr>
            <w:r w:rsidRPr="006F1B2E">
              <w:rPr>
                <w:rFonts w:ascii="Calibri Light" w:hAnsi="Calibri Light" w:cs="Calibri Light"/>
                <w:color w:val="auto"/>
                <w:sz w:val="26"/>
                <w:szCs w:val="26"/>
              </w:rPr>
              <w:t>Laurinda Gardner</w:t>
            </w:r>
          </w:p>
          <w:p w14:paraId="55FA3E01" w14:textId="77777777" w:rsidR="002D3C91" w:rsidRDefault="002D3C91" w:rsidP="00A9246E">
            <w:pPr>
              <w:spacing w:before="120" w:after="120"/>
              <w:rPr>
                <w:rFonts w:ascii="Calibri Light" w:hAnsi="Calibri Light" w:cs="Calibri Light"/>
                <w:color w:val="auto"/>
                <w:sz w:val="26"/>
                <w:szCs w:val="26"/>
              </w:rPr>
            </w:pPr>
            <w:r w:rsidRPr="006F1B2E">
              <w:rPr>
                <w:rFonts w:ascii="Calibri Light" w:hAnsi="Calibri Light" w:cs="Calibri Light"/>
                <w:i/>
                <w:color w:val="auto"/>
                <w:sz w:val="26"/>
                <w:szCs w:val="26"/>
              </w:rPr>
              <w:t>Member</w:t>
            </w:r>
            <w:r w:rsidRPr="006F1B2E">
              <w:rPr>
                <w:rFonts w:ascii="Calibri Light" w:hAnsi="Calibri Light" w:cs="Calibri Light"/>
                <w:color w:val="auto"/>
                <w:sz w:val="26"/>
                <w:szCs w:val="26"/>
              </w:rPr>
              <w:t xml:space="preserve"> </w:t>
            </w:r>
          </w:p>
          <w:p w14:paraId="7C297FC1" w14:textId="77777777" w:rsidR="002D3C91" w:rsidRPr="006F1B2E" w:rsidRDefault="002D3C91" w:rsidP="00A9246E">
            <w:pPr>
              <w:spacing w:before="120" w:after="120"/>
              <w:rPr>
                <w:rFonts w:ascii="Calibri Light" w:hAnsi="Calibri Light" w:cs="Calibri Light"/>
                <w:color w:val="auto"/>
                <w:sz w:val="26"/>
                <w:szCs w:val="26"/>
              </w:rPr>
            </w:pPr>
            <w:r w:rsidRPr="006F1B2E">
              <w:rPr>
                <w:rFonts w:ascii="Calibri Light" w:hAnsi="Calibri Light" w:cs="Calibri Light"/>
                <w:color w:val="auto"/>
                <w:sz w:val="26"/>
                <w:szCs w:val="26"/>
              </w:rPr>
              <w:t>Victorian Independent Remuneration Tribunal</w:t>
            </w:r>
          </w:p>
        </w:tc>
      </w:tr>
      <w:tr w:rsidR="002D3C91" w:rsidRPr="006F1B2E" w14:paraId="39B1716B" w14:textId="77777777" w:rsidTr="00A9246E">
        <w:tc>
          <w:tcPr>
            <w:tcW w:w="2881" w:type="dxa"/>
            <w:hideMark/>
          </w:tcPr>
          <w:p w14:paraId="13A7BD1C" w14:textId="29AE2023" w:rsidR="002D3C91" w:rsidRPr="006F1B2E" w:rsidRDefault="002D3C91" w:rsidP="00A9246E">
            <w:pPr>
              <w:spacing w:before="120" w:after="120"/>
              <w:rPr>
                <w:rFonts w:ascii="Calibri Light" w:hAnsi="Calibri Light" w:cs="Calibri Light"/>
                <w:color w:val="auto"/>
                <w:sz w:val="26"/>
                <w:szCs w:val="26"/>
              </w:rPr>
            </w:pPr>
            <w:r w:rsidRPr="006F1B2E">
              <w:rPr>
                <w:rFonts w:ascii="Calibri Light" w:hAnsi="Calibri Light" w:cs="Calibri Light"/>
                <w:color w:val="auto"/>
                <w:sz w:val="26"/>
                <w:szCs w:val="26"/>
              </w:rPr>
              <w:t xml:space="preserve">Date: </w:t>
            </w:r>
            <w:r>
              <w:rPr>
                <w:rFonts w:ascii="Calibri Light" w:hAnsi="Calibri Light" w:cs="Calibri Light"/>
                <w:color w:val="auto"/>
                <w:sz w:val="26"/>
                <w:szCs w:val="26"/>
              </w:rPr>
              <w:t>1</w:t>
            </w:r>
            <w:r w:rsidRPr="006F1B2E">
              <w:rPr>
                <w:rFonts w:ascii="Calibri Light" w:hAnsi="Calibri Light" w:cs="Calibri Light"/>
                <w:color w:val="auto"/>
                <w:sz w:val="26"/>
                <w:szCs w:val="26"/>
              </w:rPr>
              <w:t xml:space="preserve"> July 2024</w:t>
            </w:r>
          </w:p>
        </w:tc>
        <w:tc>
          <w:tcPr>
            <w:tcW w:w="2832" w:type="dxa"/>
          </w:tcPr>
          <w:p w14:paraId="250E892E" w14:textId="77777777" w:rsidR="002D3C91" w:rsidRPr="006F1B2E" w:rsidRDefault="002D3C91" w:rsidP="00A9246E">
            <w:pPr>
              <w:spacing w:before="120" w:after="120"/>
              <w:rPr>
                <w:rFonts w:ascii="Calibri Light" w:hAnsi="Calibri Light" w:cs="Calibri Light"/>
                <w:color w:val="auto"/>
                <w:sz w:val="26"/>
                <w:szCs w:val="26"/>
              </w:rPr>
            </w:pPr>
          </w:p>
        </w:tc>
      </w:tr>
    </w:tbl>
    <w:p w14:paraId="3AE36B75" w14:textId="0AFD9FA6" w:rsidR="00D36B69" w:rsidRPr="00764135" w:rsidRDefault="00D36B69" w:rsidP="00AD76DC">
      <w:pPr>
        <w:pStyle w:val="Instrumenttableofcontents"/>
        <w:rPr>
          <w:bCs w:val="0"/>
          <w:highlight w:val="yellow"/>
        </w:rPr>
      </w:pPr>
      <w:r w:rsidRPr="00764135">
        <w:rPr>
          <w:bCs w:val="0"/>
          <w:highlight w:val="yellow"/>
        </w:rPr>
        <w:br w:type="page"/>
      </w:r>
    </w:p>
    <w:p w14:paraId="77367A4D" w14:textId="03F97CBD" w:rsidR="00B1131E" w:rsidRPr="003D3BE0" w:rsidRDefault="00B1131E" w:rsidP="00221053">
      <w:pPr>
        <w:pStyle w:val="03VIRTHeading3"/>
      </w:pPr>
      <w:bookmarkStart w:id="21" w:name="_Toc74833626"/>
      <w:bookmarkStart w:id="22" w:name="_Toc74833666"/>
      <w:bookmarkStart w:id="23" w:name="_Toc96353781"/>
      <w:bookmarkStart w:id="24" w:name="_Toc96429460"/>
      <w:bookmarkStart w:id="25" w:name="_Toc97105408"/>
      <w:bookmarkStart w:id="26" w:name="_Toc97282686"/>
      <w:bookmarkStart w:id="27" w:name="_Toc97728582"/>
      <w:bookmarkStart w:id="28" w:name="_Toc99551494"/>
      <w:bookmarkStart w:id="29" w:name="_Toc101263870"/>
      <w:bookmarkStart w:id="30" w:name="_Toc106631658"/>
      <w:bookmarkStart w:id="31" w:name="_Toc106636940"/>
      <w:bookmarkStart w:id="32" w:name="_Toc168049534"/>
      <w:bookmarkStart w:id="33" w:name="_Toc168050477"/>
      <w:bookmarkStart w:id="34" w:name="_Toc168559028"/>
      <w:r w:rsidRPr="003D3BE0">
        <w:lastRenderedPageBreak/>
        <w:t xml:space="preserve">Schedule A — </w:t>
      </w:r>
      <w:bookmarkEnd w:id="21"/>
      <w:bookmarkEnd w:id="22"/>
      <w:bookmarkEnd w:id="23"/>
      <w:bookmarkEnd w:id="24"/>
      <w:bookmarkEnd w:id="25"/>
      <w:bookmarkEnd w:id="26"/>
      <w:bookmarkEnd w:id="27"/>
      <w:r w:rsidR="001C42C2" w:rsidRPr="003D3BE0">
        <w:t>Additional salary and expense allowance rates</w:t>
      </w:r>
      <w:bookmarkEnd w:id="28"/>
      <w:bookmarkEnd w:id="29"/>
      <w:bookmarkEnd w:id="30"/>
      <w:bookmarkEnd w:id="31"/>
      <w:bookmarkEnd w:id="32"/>
      <w:bookmarkEnd w:id="33"/>
      <w:bookmarkEnd w:id="34"/>
    </w:p>
    <w:tbl>
      <w:tblPr>
        <w:tblStyle w:val="ListTable3-Accent214"/>
        <w:tblW w:w="5000" w:type="pct"/>
        <w:tblLook w:val="04A0" w:firstRow="1" w:lastRow="0" w:firstColumn="1" w:lastColumn="0" w:noHBand="0" w:noVBand="1"/>
      </w:tblPr>
      <w:tblGrid>
        <w:gridCol w:w="3679"/>
        <w:gridCol w:w="2233"/>
        <w:gridCol w:w="2592"/>
      </w:tblGrid>
      <w:tr w:rsidR="006F4F7D" w:rsidRPr="00764135" w14:paraId="656039CC" w14:textId="77777777" w:rsidTr="00124B7D">
        <w:trPr>
          <w:cnfStyle w:val="100000000000" w:firstRow="1" w:lastRow="0" w:firstColumn="0" w:lastColumn="0" w:oddVBand="0" w:evenVBand="0" w:oddHBand="0" w:evenHBand="0" w:firstRowFirstColumn="0" w:firstRowLastColumn="0" w:lastRowFirstColumn="0" w:lastRowLastColumn="0"/>
          <w:cantSplit/>
          <w:trHeight w:val="1105"/>
        </w:trPr>
        <w:tc>
          <w:tcPr>
            <w:cnfStyle w:val="001000000100" w:firstRow="0" w:lastRow="0" w:firstColumn="1" w:lastColumn="0" w:oddVBand="0" w:evenVBand="0" w:oddHBand="0" w:evenHBand="0" w:firstRowFirstColumn="1" w:firstRowLastColumn="0" w:lastRowFirstColumn="0" w:lastRowLastColumn="0"/>
            <w:tcW w:w="2163" w:type="pct"/>
            <w:vAlign w:val="top"/>
          </w:tcPr>
          <w:bookmarkEnd w:id="6"/>
          <w:p w14:paraId="7FF7BC68" w14:textId="4CD2712F" w:rsidR="006F4F7D" w:rsidRPr="003D3BE0" w:rsidRDefault="006F4F7D" w:rsidP="006F4F7D">
            <w:pPr>
              <w:spacing w:after="160" w:line="276" w:lineRule="auto"/>
              <w:rPr>
                <w:rFonts w:ascii="Calibri" w:eastAsia="Rockwell" w:hAnsi="Calibri" w:cs="Times New Roman"/>
                <w:color w:val="FFFFFF" w:themeColor="background1"/>
                <w:szCs w:val="20"/>
              </w:rPr>
            </w:pPr>
            <w:r w:rsidRPr="003D3BE0">
              <w:rPr>
                <w:rFonts w:ascii="Calibri" w:eastAsia="Rockwell" w:hAnsi="Calibri" w:cs="Times New Roman"/>
                <w:color w:val="FFFFFF" w:themeColor="background1"/>
                <w:szCs w:val="20"/>
              </w:rPr>
              <w:t>Column 1</w:t>
            </w:r>
            <w:r w:rsidR="00124B7D">
              <w:rPr>
                <w:rFonts w:ascii="Calibri" w:eastAsia="Rockwell" w:hAnsi="Calibri" w:cs="Times New Roman"/>
                <w:color w:val="FFFFFF" w:themeColor="background1"/>
                <w:szCs w:val="20"/>
              </w:rPr>
              <w:br/>
            </w:r>
            <w:r w:rsidRPr="003D3BE0">
              <w:rPr>
                <w:rFonts w:ascii="Calibri" w:eastAsia="Rockwell" w:hAnsi="Calibri" w:cs="Times New Roman"/>
                <w:color w:val="FFFFFF" w:themeColor="background1"/>
                <w:szCs w:val="20"/>
              </w:rPr>
              <w:t>Specified parliamentary office holder</w:t>
            </w:r>
          </w:p>
        </w:tc>
        <w:tc>
          <w:tcPr>
            <w:tcW w:w="1313" w:type="pct"/>
            <w:vAlign w:val="top"/>
          </w:tcPr>
          <w:p w14:paraId="0774AB0D" w14:textId="1983F250" w:rsidR="006F4F7D" w:rsidRPr="003D3BE0" w:rsidRDefault="006F4F7D" w:rsidP="000329DB">
            <w:pPr>
              <w:spacing w:after="0" w:line="276" w:lineRule="auto"/>
              <w:jc w:val="right"/>
              <w:cnfStyle w:val="100000000000" w:firstRow="1" w:lastRow="0" w:firstColumn="0" w:lastColumn="0" w:oddVBand="0" w:evenVBand="0" w:oddHBand="0" w:evenHBand="0" w:firstRowFirstColumn="0" w:firstRowLastColumn="0" w:lastRowFirstColumn="0" w:lastRowLastColumn="0"/>
              <w:rPr>
                <w:rFonts w:ascii="Calibri" w:eastAsia="Rockwell" w:hAnsi="Calibri" w:cs="Times New Roman"/>
                <w:color w:val="FFFFFF" w:themeColor="background1"/>
                <w:szCs w:val="20"/>
              </w:rPr>
            </w:pPr>
            <w:r w:rsidRPr="003D3BE0">
              <w:rPr>
                <w:rFonts w:ascii="Calibri" w:eastAsia="Rockwell" w:hAnsi="Calibri" w:cs="Times New Roman"/>
                <w:color w:val="FFFFFF" w:themeColor="background1"/>
                <w:szCs w:val="20"/>
              </w:rPr>
              <w:t>Column 2</w:t>
            </w:r>
            <w:r w:rsidR="00124B7D">
              <w:rPr>
                <w:rFonts w:ascii="Calibri" w:eastAsia="Rockwell" w:hAnsi="Calibri" w:cs="Times New Roman"/>
                <w:color w:val="FFFFFF" w:themeColor="background1"/>
                <w:szCs w:val="20"/>
              </w:rPr>
              <w:br/>
            </w:r>
            <w:r w:rsidRPr="003D3BE0">
              <w:rPr>
                <w:rFonts w:ascii="Calibri" w:eastAsia="Rockwell" w:hAnsi="Calibri" w:cs="Times New Roman"/>
                <w:color w:val="FFFFFF" w:themeColor="background1"/>
                <w:szCs w:val="20"/>
              </w:rPr>
              <w:t>Additional salary from 1 July 202</w:t>
            </w:r>
            <w:r w:rsidR="003D3BE0">
              <w:rPr>
                <w:rFonts w:ascii="Calibri" w:eastAsia="Rockwell" w:hAnsi="Calibri" w:cs="Times New Roman"/>
                <w:color w:val="FFFFFF" w:themeColor="background1"/>
                <w:szCs w:val="20"/>
              </w:rPr>
              <w:t>4</w:t>
            </w:r>
            <w:r w:rsidR="00124B7D">
              <w:rPr>
                <w:rFonts w:ascii="Calibri" w:eastAsia="Rockwell" w:hAnsi="Calibri" w:cs="Times New Roman"/>
                <w:color w:val="FFFFFF" w:themeColor="background1"/>
                <w:szCs w:val="20"/>
              </w:rPr>
              <w:br/>
              <w:t>(</w:t>
            </w:r>
            <w:r w:rsidRPr="003D3BE0">
              <w:rPr>
                <w:rFonts w:ascii="Calibri" w:eastAsia="Rockwell" w:hAnsi="Calibri" w:cs="Times New Roman"/>
                <w:color w:val="FFFFFF" w:themeColor="background1"/>
                <w:szCs w:val="20"/>
              </w:rPr>
              <w:t>$</w:t>
            </w:r>
            <w:r w:rsidR="00124B7D">
              <w:rPr>
                <w:rFonts w:ascii="Calibri" w:eastAsia="Rockwell" w:hAnsi="Calibri" w:cs="Times New Roman"/>
                <w:color w:val="FFFFFF" w:themeColor="background1"/>
                <w:szCs w:val="20"/>
              </w:rPr>
              <w:t xml:space="preserve"> per annum)</w:t>
            </w:r>
          </w:p>
        </w:tc>
        <w:tc>
          <w:tcPr>
            <w:tcW w:w="1524" w:type="pct"/>
            <w:vAlign w:val="top"/>
          </w:tcPr>
          <w:p w14:paraId="07EB3516" w14:textId="4FA6AA21" w:rsidR="006F4F7D" w:rsidRPr="003D3BE0" w:rsidRDefault="006F4F7D" w:rsidP="000329DB">
            <w:pPr>
              <w:spacing w:after="0" w:line="276" w:lineRule="auto"/>
              <w:jc w:val="right"/>
              <w:cnfStyle w:val="100000000000" w:firstRow="1" w:lastRow="0" w:firstColumn="0" w:lastColumn="0" w:oddVBand="0" w:evenVBand="0" w:oddHBand="0" w:evenHBand="0" w:firstRowFirstColumn="0" w:firstRowLastColumn="0" w:lastRowFirstColumn="0" w:lastRowLastColumn="0"/>
              <w:rPr>
                <w:rFonts w:ascii="Calibri" w:eastAsia="Rockwell" w:hAnsi="Calibri" w:cs="Times New Roman"/>
                <w:color w:val="FFFFFF" w:themeColor="background1"/>
                <w:szCs w:val="20"/>
              </w:rPr>
            </w:pPr>
            <w:r w:rsidRPr="003D3BE0">
              <w:rPr>
                <w:rFonts w:ascii="Calibri" w:eastAsia="Rockwell" w:hAnsi="Calibri" w:cs="Times New Roman"/>
                <w:color w:val="FFFFFF" w:themeColor="background1"/>
                <w:szCs w:val="20"/>
              </w:rPr>
              <w:t>Column 3</w:t>
            </w:r>
            <w:r w:rsidR="00124B7D">
              <w:rPr>
                <w:rFonts w:ascii="Calibri" w:eastAsia="Rockwell" w:hAnsi="Calibri" w:cs="Times New Roman"/>
                <w:color w:val="FFFFFF" w:themeColor="background1"/>
                <w:szCs w:val="20"/>
              </w:rPr>
              <w:br/>
            </w:r>
            <w:r w:rsidRPr="003D3BE0">
              <w:rPr>
                <w:rFonts w:ascii="Calibri" w:eastAsia="Rockwell" w:hAnsi="Calibri" w:cs="Times New Roman"/>
                <w:color w:val="FFFFFF" w:themeColor="background1"/>
                <w:szCs w:val="20"/>
              </w:rPr>
              <w:t>Expense allowance from 1 July 202</w:t>
            </w:r>
            <w:r w:rsidR="003D3BE0">
              <w:rPr>
                <w:rFonts w:ascii="Calibri" w:eastAsia="Rockwell" w:hAnsi="Calibri" w:cs="Times New Roman"/>
                <w:color w:val="FFFFFF" w:themeColor="background1"/>
                <w:szCs w:val="20"/>
              </w:rPr>
              <w:t>4</w:t>
            </w:r>
            <w:r w:rsidR="00124B7D">
              <w:rPr>
                <w:rFonts w:ascii="Calibri" w:eastAsia="Rockwell" w:hAnsi="Calibri" w:cs="Times New Roman"/>
                <w:color w:val="FFFFFF" w:themeColor="background1"/>
                <w:szCs w:val="20"/>
              </w:rPr>
              <w:br/>
              <w:t>(</w:t>
            </w:r>
            <w:r w:rsidR="00124B7D" w:rsidRPr="003D3BE0">
              <w:rPr>
                <w:rFonts w:ascii="Calibri" w:eastAsia="Rockwell" w:hAnsi="Calibri" w:cs="Times New Roman"/>
                <w:color w:val="FFFFFF" w:themeColor="background1"/>
                <w:szCs w:val="20"/>
              </w:rPr>
              <w:t>$</w:t>
            </w:r>
            <w:r w:rsidR="00124B7D">
              <w:rPr>
                <w:rFonts w:ascii="Calibri" w:eastAsia="Rockwell" w:hAnsi="Calibri" w:cs="Times New Roman"/>
                <w:color w:val="FFFFFF" w:themeColor="background1"/>
                <w:szCs w:val="20"/>
              </w:rPr>
              <w:t xml:space="preserve"> per annum)</w:t>
            </w:r>
          </w:p>
        </w:tc>
      </w:tr>
      <w:tr w:rsidR="002C2A9A" w:rsidRPr="00764135" w14:paraId="5AEE58D3" w14:textId="77777777" w:rsidTr="002C2A9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63" w:type="pct"/>
          </w:tcPr>
          <w:p w14:paraId="379638C7" w14:textId="77777777" w:rsidR="002C2A9A" w:rsidRPr="008E5BAA" w:rsidRDefault="002C2A9A" w:rsidP="002C2A9A">
            <w:pPr>
              <w:pStyle w:val="10Tabletext"/>
              <w:rPr>
                <w:b w:val="0"/>
                <w:bCs w:val="0"/>
              </w:rPr>
            </w:pPr>
            <w:r w:rsidRPr="008E5BAA">
              <w:rPr>
                <w:b w:val="0"/>
                <w:bCs w:val="0"/>
              </w:rPr>
              <w:t>Premier</w:t>
            </w:r>
          </w:p>
        </w:tc>
        <w:tc>
          <w:tcPr>
            <w:tcW w:w="1313" w:type="pct"/>
            <w:shd w:val="clear" w:color="auto" w:fill="auto"/>
            <w:vAlign w:val="top"/>
          </w:tcPr>
          <w:p w14:paraId="190CF2D4" w14:textId="04F96606" w:rsidR="002C2A9A" w:rsidRPr="0017710A" w:rsidRDefault="002C2A9A" w:rsidP="002C2A9A">
            <w:pPr>
              <w:pStyle w:val="10Tabletext"/>
              <w:jc w:val="right"/>
              <w:cnfStyle w:val="000000100000" w:firstRow="0" w:lastRow="0" w:firstColumn="0" w:lastColumn="0" w:oddVBand="0" w:evenVBand="0" w:oddHBand="1" w:evenHBand="0" w:firstRowFirstColumn="0" w:firstRowLastColumn="0" w:lastRowFirstColumn="0" w:lastRowLastColumn="0"/>
              <w:rPr>
                <w:rFonts w:cs="Calibri Light"/>
                <w:highlight w:val="yellow"/>
              </w:rPr>
            </w:pPr>
            <w:r w:rsidRPr="0017710A">
              <w:rPr>
                <w:rFonts w:cs="Calibri Light"/>
                <w:color w:val="000000"/>
              </w:rPr>
              <w:t>229,636</w:t>
            </w:r>
          </w:p>
        </w:tc>
        <w:tc>
          <w:tcPr>
            <w:tcW w:w="1524" w:type="pct"/>
            <w:shd w:val="clear" w:color="auto" w:fill="auto"/>
            <w:vAlign w:val="top"/>
          </w:tcPr>
          <w:p w14:paraId="20CC5BE6" w14:textId="5AF1E189" w:rsidR="002C2A9A" w:rsidRPr="002C2A9A" w:rsidRDefault="002C2A9A" w:rsidP="002C2A9A">
            <w:pPr>
              <w:pStyle w:val="10Tabletext"/>
              <w:jc w:val="right"/>
              <w:cnfStyle w:val="000000100000" w:firstRow="0" w:lastRow="0" w:firstColumn="0" w:lastColumn="0" w:oddVBand="0" w:evenVBand="0" w:oddHBand="1" w:evenHBand="0" w:firstRowFirstColumn="0" w:firstRowLastColumn="0" w:lastRowFirstColumn="0" w:lastRowLastColumn="0"/>
              <w:rPr>
                <w:rFonts w:cs="Calibri Light"/>
                <w:highlight w:val="yellow"/>
              </w:rPr>
            </w:pPr>
            <w:r w:rsidRPr="002C2A9A">
              <w:rPr>
                <w:rFonts w:cs="Calibri Light"/>
                <w:color w:val="000000"/>
              </w:rPr>
              <w:t>62,597</w:t>
            </w:r>
          </w:p>
        </w:tc>
      </w:tr>
      <w:tr w:rsidR="002C2A9A" w:rsidRPr="00764135" w14:paraId="5F64ABE2" w14:textId="77777777" w:rsidTr="002C2A9A">
        <w:trPr>
          <w:cantSplit/>
        </w:trPr>
        <w:tc>
          <w:tcPr>
            <w:cnfStyle w:val="001000000000" w:firstRow="0" w:lastRow="0" w:firstColumn="1" w:lastColumn="0" w:oddVBand="0" w:evenVBand="0" w:oddHBand="0" w:evenHBand="0" w:firstRowFirstColumn="0" w:firstRowLastColumn="0" w:lastRowFirstColumn="0" w:lastRowLastColumn="0"/>
            <w:tcW w:w="2163" w:type="pct"/>
          </w:tcPr>
          <w:p w14:paraId="04D2816E" w14:textId="77777777" w:rsidR="002C2A9A" w:rsidRPr="008E5BAA" w:rsidRDefault="002C2A9A" w:rsidP="002C2A9A">
            <w:pPr>
              <w:pStyle w:val="10Tabletext"/>
              <w:rPr>
                <w:b w:val="0"/>
                <w:bCs w:val="0"/>
              </w:rPr>
            </w:pPr>
            <w:r w:rsidRPr="008E5BAA">
              <w:rPr>
                <w:b w:val="0"/>
                <w:bCs w:val="0"/>
              </w:rPr>
              <w:t>Deputy Premier</w:t>
            </w:r>
          </w:p>
        </w:tc>
        <w:tc>
          <w:tcPr>
            <w:tcW w:w="1313" w:type="pct"/>
            <w:shd w:val="clear" w:color="auto" w:fill="auto"/>
            <w:vAlign w:val="top"/>
          </w:tcPr>
          <w:p w14:paraId="1ABC0638" w14:textId="61E143CA" w:rsidR="002C2A9A" w:rsidRPr="0017710A" w:rsidRDefault="002C2A9A" w:rsidP="002C2A9A">
            <w:pPr>
              <w:pStyle w:val="10Tabletext"/>
              <w:jc w:val="right"/>
              <w:cnfStyle w:val="000000000000" w:firstRow="0" w:lastRow="0" w:firstColumn="0" w:lastColumn="0" w:oddVBand="0" w:evenVBand="0" w:oddHBand="0" w:evenHBand="0" w:firstRowFirstColumn="0" w:firstRowLastColumn="0" w:lastRowFirstColumn="0" w:lastRowLastColumn="0"/>
              <w:rPr>
                <w:rFonts w:cs="Calibri Light"/>
                <w:highlight w:val="yellow"/>
              </w:rPr>
            </w:pPr>
            <w:r w:rsidRPr="0017710A">
              <w:rPr>
                <w:rFonts w:cs="Calibri Light"/>
                <w:color w:val="000000"/>
              </w:rPr>
              <w:t>194,212</w:t>
            </w:r>
          </w:p>
        </w:tc>
        <w:tc>
          <w:tcPr>
            <w:tcW w:w="1524" w:type="pct"/>
            <w:shd w:val="clear" w:color="auto" w:fill="auto"/>
            <w:vAlign w:val="top"/>
          </w:tcPr>
          <w:p w14:paraId="3A476118" w14:textId="0C663BD6" w:rsidR="002C2A9A" w:rsidRPr="002C2A9A" w:rsidRDefault="002C2A9A" w:rsidP="002C2A9A">
            <w:pPr>
              <w:pStyle w:val="10Tabletext"/>
              <w:jc w:val="right"/>
              <w:cnfStyle w:val="000000000000" w:firstRow="0" w:lastRow="0" w:firstColumn="0" w:lastColumn="0" w:oddVBand="0" w:evenVBand="0" w:oddHBand="0" w:evenHBand="0" w:firstRowFirstColumn="0" w:firstRowLastColumn="0" w:lastRowFirstColumn="0" w:lastRowLastColumn="0"/>
              <w:rPr>
                <w:rFonts w:cs="Calibri Light"/>
                <w:highlight w:val="yellow"/>
              </w:rPr>
            </w:pPr>
            <w:r w:rsidRPr="002C2A9A">
              <w:rPr>
                <w:rFonts w:cs="Calibri Light"/>
                <w:color w:val="000000"/>
              </w:rPr>
              <w:t>23,934</w:t>
            </w:r>
          </w:p>
        </w:tc>
      </w:tr>
      <w:tr w:rsidR="002C2A9A" w:rsidRPr="00764135" w14:paraId="60C0F25D" w14:textId="77777777" w:rsidTr="002C2A9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63" w:type="pct"/>
          </w:tcPr>
          <w:p w14:paraId="3422F8F6" w14:textId="77777777" w:rsidR="002C2A9A" w:rsidRPr="008E5BAA" w:rsidRDefault="002C2A9A" w:rsidP="002C2A9A">
            <w:pPr>
              <w:pStyle w:val="10Tabletext"/>
              <w:rPr>
                <w:b w:val="0"/>
                <w:bCs w:val="0"/>
              </w:rPr>
            </w:pPr>
            <w:r w:rsidRPr="008E5BAA">
              <w:rPr>
                <w:b w:val="0"/>
                <w:bCs w:val="0"/>
              </w:rPr>
              <w:t>Any other responsible Minister of the Crown</w:t>
            </w:r>
          </w:p>
        </w:tc>
        <w:tc>
          <w:tcPr>
            <w:tcW w:w="1313" w:type="pct"/>
            <w:shd w:val="clear" w:color="auto" w:fill="auto"/>
            <w:vAlign w:val="top"/>
          </w:tcPr>
          <w:p w14:paraId="3CB5B282" w14:textId="6604D160" w:rsidR="002C2A9A" w:rsidRPr="0017710A" w:rsidRDefault="002C2A9A" w:rsidP="002C2A9A">
            <w:pPr>
              <w:pStyle w:val="10Tabletext"/>
              <w:jc w:val="right"/>
              <w:cnfStyle w:val="000000100000" w:firstRow="0" w:lastRow="0" w:firstColumn="0" w:lastColumn="0" w:oddVBand="0" w:evenVBand="0" w:oddHBand="1" w:evenHBand="0" w:firstRowFirstColumn="0" w:firstRowLastColumn="0" w:lastRowFirstColumn="0" w:lastRowLastColumn="0"/>
              <w:rPr>
                <w:rFonts w:cs="Calibri Light"/>
                <w:highlight w:val="yellow"/>
              </w:rPr>
            </w:pPr>
            <w:r w:rsidRPr="0017710A">
              <w:rPr>
                <w:rFonts w:cs="Calibri Light"/>
                <w:color w:val="000000"/>
              </w:rPr>
              <w:t>172,982</w:t>
            </w:r>
          </w:p>
        </w:tc>
        <w:tc>
          <w:tcPr>
            <w:tcW w:w="1524" w:type="pct"/>
            <w:shd w:val="clear" w:color="auto" w:fill="auto"/>
            <w:vAlign w:val="top"/>
          </w:tcPr>
          <w:p w14:paraId="218E0776" w14:textId="491225E8" w:rsidR="002C2A9A" w:rsidRPr="002C2A9A" w:rsidRDefault="002C2A9A" w:rsidP="002C2A9A">
            <w:pPr>
              <w:pStyle w:val="10Tabletext"/>
              <w:jc w:val="right"/>
              <w:cnfStyle w:val="000000100000" w:firstRow="0" w:lastRow="0" w:firstColumn="0" w:lastColumn="0" w:oddVBand="0" w:evenVBand="0" w:oddHBand="1" w:evenHBand="0" w:firstRowFirstColumn="0" w:firstRowLastColumn="0" w:lastRowFirstColumn="0" w:lastRowLastColumn="0"/>
              <w:rPr>
                <w:rFonts w:cs="Calibri Light"/>
                <w:highlight w:val="yellow"/>
              </w:rPr>
            </w:pPr>
            <w:r w:rsidRPr="002C2A9A">
              <w:rPr>
                <w:rFonts w:cs="Calibri Light"/>
                <w:color w:val="000000"/>
              </w:rPr>
              <w:t>18,412</w:t>
            </w:r>
          </w:p>
        </w:tc>
      </w:tr>
      <w:tr w:rsidR="002C2A9A" w:rsidRPr="00764135" w14:paraId="106CD944" w14:textId="77777777" w:rsidTr="002C2A9A">
        <w:trPr>
          <w:cantSplit/>
        </w:trPr>
        <w:tc>
          <w:tcPr>
            <w:cnfStyle w:val="001000000000" w:firstRow="0" w:lastRow="0" w:firstColumn="1" w:lastColumn="0" w:oddVBand="0" w:evenVBand="0" w:oddHBand="0" w:evenHBand="0" w:firstRowFirstColumn="0" w:firstRowLastColumn="0" w:lastRowFirstColumn="0" w:lastRowLastColumn="0"/>
            <w:tcW w:w="2163" w:type="pct"/>
          </w:tcPr>
          <w:p w14:paraId="651EB1F9" w14:textId="77777777" w:rsidR="002C2A9A" w:rsidRPr="008E5BAA" w:rsidRDefault="002C2A9A" w:rsidP="002C2A9A">
            <w:pPr>
              <w:pStyle w:val="10Tabletext"/>
              <w:rPr>
                <w:b w:val="0"/>
                <w:bCs w:val="0"/>
              </w:rPr>
            </w:pPr>
            <w:r w:rsidRPr="008E5BAA">
              <w:rPr>
                <w:b w:val="0"/>
                <w:bCs w:val="0"/>
              </w:rPr>
              <w:t>Leader of the Opposition</w:t>
            </w:r>
          </w:p>
        </w:tc>
        <w:tc>
          <w:tcPr>
            <w:tcW w:w="1313" w:type="pct"/>
            <w:shd w:val="clear" w:color="auto" w:fill="auto"/>
            <w:vAlign w:val="top"/>
          </w:tcPr>
          <w:p w14:paraId="659E95A4" w14:textId="104945BB" w:rsidR="002C2A9A" w:rsidRPr="0017710A" w:rsidRDefault="002C2A9A" w:rsidP="002C2A9A">
            <w:pPr>
              <w:pStyle w:val="10Tabletext"/>
              <w:jc w:val="right"/>
              <w:cnfStyle w:val="000000000000" w:firstRow="0" w:lastRow="0" w:firstColumn="0" w:lastColumn="0" w:oddVBand="0" w:evenVBand="0" w:oddHBand="0" w:evenHBand="0" w:firstRowFirstColumn="0" w:firstRowLastColumn="0" w:lastRowFirstColumn="0" w:lastRowLastColumn="0"/>
              <w:rPr>
                <w:rFonts w:cs="Calibri Light"/>
                <w:highlight w:val="yellow"/>
              </w:rPr>
            </w:pPr>
            <w:r w:rsidRPr="0017710A">
              <w:rPr>
                <w:rFonts w:cs="Calibri Light"/>
                <w:color w:val="000000"/>
              </w:rPr>
              <w:t>172,982</w:t>
            </w:r>
          </w:p>
        </w:tc>
        <w:tc>
          <w:tcPr>
            <w:tcW w:w="1524" w:type="pct"/>
            <w:shd w:val="clear" w:color="auto" w:fill="auto"/>
            <w:vAlign w:val="top"/>
          </w:tcPr>
          <w:p w14:paraId="0FDF9BE8" w14:textId="584512B7" w:rsidR="002C2A9A" w:rsidRPr="002C2A9A" w:rsidRDefault="002C2A9A" w:rsidP="002C2A9A">
            <w:pPr>
              <w:pStyle w:val="10Tabletext"/>
              <w:jc w:val="right"/>
              <w:cnfStyle w:val="000000000000" w:firstRow="0" w:lastRow="0" w:firstColumn="0" w:lastColumn="0" w:oddVBand="0" w:evenVBand="0" w:oddHBand="0" w:evenHBand="0" w:firstRowFirstColumn="0" w:firstRowLastColumn="0" w:lastRowFirstColumn="0" w:lastRowLastColumn="0"/>
              <w:rPr>
                <w:rFonts w:cs="Calibri Light"/>
                <w:highlight w:val="yellow"/>
              </w:rPr>
            </w:pPr>
            <w:r w:rsidRPr="002C2A9A">
              <w:rPr>
                <w:rFonts w:cs="Calibri Light"/>
                <w:color w:val="000000"/>
              </w:rPr>
              <w:t>18,412</w:t>
            </w:r>
          </w:p>
        </w:tc>
      </w:tr>
      <w:tr w:rsidR="002C2A9A" w:rsidRPr="00764135" w14:paraId="1B8A6D3A" w14:textId="77777777" w:rsidTr="002C2A9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63" w:type="pct"/>
          </w:tcPr>
          <w:p w14:paraId="3AD7D235" w14:textId="77777777" w:rsidR="002C2A9A" w:rsidRPr="008E5BAA" w:rsidRDefault="002C2A9A" w:rsidP="002C2A9A">
            <w:pPr>
              <w:pStyle w:val="10Tabletext"/>
              <w:rPr>
                <w:b w:val="0"/>
                <w:bCs w:val="0"/>
              </w:rPr>
            </w:pPr>
            <w:r w:rsidRPr="008E5BAA">
              <w:rPr>
                <w:b w:val="0"/>
                <w:bCs w:val="0"/>
              </w:rPr>
              <w:t>President</w:t>
            </w:r>
          </w:p>
        </w:tc>
        <w:tc>
          <w:tcPr>
            <w:tcW w:w="1313" w:type="pct"/>
            <w:shd w:val="clear" w:color="auto" w:fill="auto"/>
            <w:vAlign w:val="top"/>
          </w:tcPr>
          <w:p w14:paraId="04A80031" w14:textId="0FEE3000" w:rsidR="002C2A9A" w:rsidRPr="0017710A" w:rsidRDefault="002C2A9A" w:rsidP="002C2A9A">
            <w:pPr>
              <w:pStyle w:val="10Tabletext"/>
              <w:jc w:val="right"/>
              <w:cnfStyle w:val="000000100000" w:firstRow="0" w:lastRow="0" w:firstColumn="0" w:lastColumn="0" w:oddVBand="0" w:evenVBand="0" w:oddHBand="1" w:evenHBand="0" w:firstRowFirstColumn="0" w:firstRowLastColumn="0" w:lastRowFirstColumn="0" w:lastRowLastColumn="0"/>
              <w:rPr>
                <w:rFonts w:cs="Calibri Light"/>
                <w:highlight w:val="yellow"/>
              </w:rPr>
            </w:pPr>
            <w:r w:rsidRPr="0017710A">
              <w:rPr>
                <w:rFonts w:cs="Calibri Light"/>
                <w:color w:val="000000"/>
              </w:rPr>
              <w:t xml:space="preserve"> </w:t>
            </w:r>
            <w:r w:rsidR="00F915A2">
              <w:rPr>
                <w:rFonts w:cs="Calibri Light"/>
                <w:color w:val="000000"/>
              </w:rPr>
              <w:t>1</w:t>
            </w:r>
            <w:r w:rsidRPr="0017710A">
              <w:rPr>
                <w:rFonts w:cs="Calibri Light"/>
                <w:color w:val="000000"/>
              </w:rPr>
              <w:t>51,100</w:t>
            </w:r>
          </w:p>
        </w:tc>
        <w:tc>
          <w:tcPr>
            <w:tcW w:w="1524" w:type="pct"/>
            <w:shd w:val="clear" w:color="auto" w:fill="auto"/>
            <w:vAlign w:val="top"/>
          </w:tcPr>
          <w:p w14:paraId="3C1C0F79" w14:textId="6CEBE3B9" w:rsidR="002C2A9A" w:rsidRPr="002C2A9A" w:rsidRDefault="002C2A9A" w:rsidP="002C2A9A">
            <w:pPr>
              <w:pStyle w:val="10Tabletext"/>
              <w:jc w:val="right"/>
              <w:cnfStyle w:val="000000100000" w:firstRow="0" w:lastRow="0" w:firstColumn="0" w:lastColumn="0" w:oddVBand="0" w:evenVBand="0" w:oddHBand="1" w:evenHBand="0" w:firstRowFirstColumn="0" w:firstRowLastColumn="0" w:lastRowFirstColumn="0" w:lastRowLastColumn="0"/>
              <w:rPr>
                <w:rFonts w:cs="Calibri Light"/>
                <w:highlight w:val="yellow"/>
              </w:rPr>
            </w:pPr>
            <w:r w:rsidRPr="002C2A9A">
              <w:rPr>
                <w:rFonts w:cs="Calibri Light"/>
                <w:color w:val="000000"/>
              </w:rPr>
              <w:t>7,365</w:t>
            </w:r>
          </w:p>
        </w:tc>
      </w:tr>
      <w:tr w:rsidR="002C2A9A" w:rsidRPr="00764135" w14:paraId="233B2C7F" w14:textId="77777777" w:rsidTr="002C2A9A">
        <w:trPr>
          <w:cantSplit/>
        </w:trPr>
        <w:tc>
          <w:tcPr>
            <w:cnfStyle w:val="001000000000" w:firstRow="0" w:lastRow="0" w:firstColumn="1" w:lastColumn="0" w:oddVBand="0" w:evenVBand="0" w:oddHBand="0" w:evenHBand="0" w:firstRowFirstColumn="0" w:firstRowLastColumn="0" w:lastRowFirstColumn="0" w:lastRowLastColumn="0"/>
            <w:tcW w:w="2163" w:type="pct"/>
          </w:tcPr>
          <w:p w14:paraId="288CFC80" w14:textId="77777777" w:rsidR="002C2A9A" w:rsidRPr="008E5BAA" w:rsidRDefault="002C2A9A" w:rsidP="002C2A9A">
            <w:pPr>
              <w:pStyle w:val="10Tabletext"/>
              <w:rPr>
                <w:b w:val="0"/>
                <w:bCs w:val="0"/>
              </w:rPr>
            </w:pPr>
            <w:r w:rsidRPr="008E5BAA">
              <w:rPr>
                <w:b w:val="0"/>
                <w:bCs w:val="0"/>
              </w:rPr>
              <w:t>Speaker</w:t>
            </w:r>
          </w:p>
        </w:tc>
        <w:tc>
          <w:tcPr>
            <w:tcW w:w="1313" w:type="pct"/>
            <w:shd w:val="clear" w:color="auto" w:fill="auto"/>
            <w:vAlign w:val="top"/>
          </w:tcPr>
          <w:p w14:paraId="43BF7758" w14:textId="069153D2" w:rsidR="002C2A9A" w:rsidRPr="0017710A" w:rsidRDefault="002C2A9A" w:rsidP="002C2A9A">
            <w:pPr>
              <w:pStyle w:val="10Tabletext"/>
              <w:jc w:val="right"/>
              <w:cnfStyle w:val="000000000000" w:firstRow="0" w:lastRow="0" w:firstColumn="0" w:lastColumn="0" w:oddVBand="0" w:evenVBand="0" w:oddHBand="0" w:evenHBand="0" w:firstRowFirstColumn="0" w:firstRowLastColumn="0" w:lastRowFirstColumn="0" w:lastRowLastColumn="0"/>
              <w:rPr>
                <w:rFonts w:cs="Calibri Light"/>
                <w:highlight w:val="yellow"/>
              </w:rPr>
            </w:pPr>
            <w:r w:rsidRPr="0017710A">
              <w:rPr>
                <w:rFonts w:cs="Calibri Light"/>
                <w:color w:val="000000"/>
              </w:rPr>
              <w:t>151,100</w:t>
            </w:r>
          </w:p>
        </w:tc>
        <w:tc>
          <w:tcPr>
            <w:tcW w:w="1524" w:type="pct"/>
            <w:shd w:val="clear" w:color="auto" w:fill="auto"/>
            <w:vAlign w:val="top"/>
          </w:tcPr>
          <w:p w14:paraId="23523154" w14:textId="308C29F7" w:rsidR="002C2A9A" w:rsidRPr="002C2A9A" w:rsidRDefault="002C2A9A" w:rsidP="002C2A9A">
            <w:pPr>
              <w:pStyle w:val="10Tabletext"/>
              <w:jc w:val="right"/>
              <w:cnfStyle w:val="000000000000" w:firstRow="0" w:lastRow="0" w:firstColumn="0" w:lastColumn="0" w:oddVBand="0" w:evenVBand="0" w:oddHBand="0" w:evenHBand="0" w:firstRowFirstColumn="0" w:firstRowLastColumn="0" w:lastRowFirstColumn="0" w:lastRowLastColumn="0"/>
              <w:rPr>
                <w:rFonts w:cs="Calibri Light"/>
                <w:highlight w:val="yellow"/>
              </w:rPr>
            </w:pPr>
            <w:r w:rsidRPr="002C2A9A">
              <w:rPr>
                <w:rFonts w:cs="Calibri Light"/>
                <w:color w:val="000000"/>
              </w:rPr>
              <w:t>7,365</w:t>
            </w:r>
          </w:p>
        </w:tc>
      </w:tr>
      <w:tr w:rsidR="002C2A9A" w:rsidRPr="00764135" w14:paraId="46E3B8F7" w14:textId="77777777" w:rsidTr="002C2A9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63" w:type="pct"/>
          </w:tcPr>
          <w:p w14:paraId="3026DAD4" w14:textId="77777777" w:rsidR="002C2A9A" w:rsidRPr="008E5BAA" w:rsidRDefault="002C2A9A" w:rsidP="002C2A9A">
            <w:pPr>
              <w:pStyle w:val="10Tabletext"/>
              <w:rPr>
                <w:b w:val="0"/>
                <w:bCs w:val="0"/>
              </w:rPr>
            </w:pPr>
            <w:r w:rsidRPr="008E5BAA">
              <w:rPr>
                <w:b w:val="0"/>
                <w:bCs w:val="0"/>
              </w:rPr>
              <w:t>Deputy President</w:t>
            </w:r>
          </w:p>
        </w:tc>
        <w:tc>
          <w:tcPr>
            <w:tcW w:w="1313" w:type="pct"/>
            <w:shd w:val="clear" w:color="auto" w:fill="auto"/>
            <w:vAlign w:val="top"/>
          </w:tcPr>
          <w:p w14:paraId="5DA5D6EC" w14:textId="18296195" w:rsidR="002C2A9A" w:rsidRPr="0017710A" w:rsidRDefault="002C2A9A" w:rsidP="002C2A9A">
            <w:pPr>
              <w:pStyle w:val="10Tabletext"/>
              <w:jc w:val="right"/>
              <w:cnfStyle w:val="000000100000" w:firstRow="0" w:lastRow="0" w:firstColumn="0" w:lastColumn="0" w:oddVBand="0" w:evenVBand="0" w:oddHBand="1" w:evenHBand="0" w:firstRowFirstColumn="0" w:firstRowLastColumn="0" w:lastRowFirstColumn="0" w:lastRowLastColumn="0"/>
              <w:rPr>
                <w:rFonts w:cs="Calibri Light"/>
                <w:highlight w:val="yellow"/>
              </w:rPr>
            </w:pPr>
            <w:r w:rsidRPr="0017710A">
              <w:rPr>
                <w:rFonts w:cs="Calibri Light"/>
                <w:color w:val="000000"/>
              </w:rPr>
              <w:t>58,057</w:t>
            </w:r>
          </w:p>
        </w:tc>
        <w:tc>
          <w:tcPr>
            <w:tcW w:w="1524" w:type="pct"/>
            <w:shd w:val="clear" w:color="auto" w:fill="auto"/>
            <w:vAlign w:val="top"/>
          </w:tcPr>
          <w:p w14:paraId="3E3308C1" w14:textId="0C32C904" w:rsidR="002C2A9A" w:rsidRPr="002C2A9A" w:rsidRDefault="002C2A9A" w:rsidP="002C2A9A">
            <w:pPr>
              <w:pStyle w:val="10Tabletext"/>
              <w:jc w:val="right"/>
              <w:cnfStyle w:val="000000100000" w:firstRow="0" w:lastRow="0" w:firstColumn="0" w:lastColumn="0" w:oddVBand="0" w:evenVBand="0" w:oddHBand="1" w:evenHBand="0" w:firstRowFirstColumn="0" w:firstRowLastColumn="0" w:lastRowFirstColumn="0" w:lastRowLastColumn="0"/>
              <w:rPr>
                <w:rFonts w:cs="Calibri Light"/>
                <w:highlight w:val="yellow"/>
              </w:rPr>
            </w:pPr>
            <w:r w:rsidRPr="002C2A9A">
              <w:rPr>
                <w:rFonts w:cs="Calibri Light"/>
                <w:color w:val="000000"/>
              </w:rPr>
              <w:t>3,683</w:t>
            </w:r>
          </w:p>
        </w:tc>
      </w:tr>
      <w:tr w:rsidR="002C2A9A" w:rsidRPr="00764135" w14:paraId="020E2A39" w14:textId="77777777" w:rsidTr="002C2A9A">
        <w:trPr>
          <w:cantSplit/>
        </w:trPr>
        <w:tc>
          <w:tcPr>
            <w:cnfStyle w:val="001000000000" w:firstRow="0" w:lastRow="0" w:firstColumn="1" w:lastColumn="0" w:oddVBand="0" w:evenVBand="0" w:oddHBand="0" w:evenHBand="0" w:firstRowFirstColumn="0" w:firstRowLastColumn="0" w:lastRowFirstColumn="0" w:lastRowLastColumn="0"/>
            <w:tcW w:w="2163" w:type="pct"/>
          </w:tcPr>
          <w:p w14:paraId="293BC84E" w14:textId="77777777" w:rsidR="002C2A9A" w:rsidRPr="008E5BAA" w:rsidRDefault="002C2A9A" w:rsidP="002C2A9A">
            <w:pPr>
              <w:pStyle w:val="10Tabletext"/>
              <w:rPr>
                <w:b w:val="0"/>
                <w:bCs w:val="0"/>
              </w:rPr>
            </w:pPr>
            <w:r w:rsidRPr="008E5BAA">
              <w:rPr>
                <w:b w:val="0"/>
                <w:bCs w:val="0"/>
              </w:rPr>
              <w:t>Deputy Speaker</w:t>
            </w:r>
          </w:p>
        </w:tc>
        <w:tc>
          <w:tcPr>
            <w:tcW w:w="1313" w:type="pct"/>
            <w:shd w:val="clear" w:color="auto" w:fill="auto"/>
            <w:vAlign w:val="top"/>
          </w:tcPr>
          <w:p w14:paraId="75801360" w14:textId="6207A92C" w:rsidR="002C2A9A" w:rsidRPr="0017710A" w:rsidRDefault="002C2A9A" w:rsidP="002C2A9A">
            <w:pPr>
              <w:pStyle w:val="10Tabletext"/>
              <w:jc w:val="right"/>
              <w:cnfStyle w:val="000000000000" w:firstRow="0" w:lastRow="0" w:firstColumn="0" w:lastColumn="0" w:oddVBand="0" w:evenVBand="0" w:oddHBand="0" w:evenHBand="0" w:firstRowFirstColumn="0" w:firstRowLastColumn="0" w:lastRowFirstColumn="0" w:lastRowLastColumn="0"/>
              <w:rPr>
                <w:rFonts w:cs="Calibri Light"/>
                <w:highlight w:val="yellow"/>
              </w:rPr>
            </w:pPr>
            <w:r w:rsidRPr="0017710A">
              <w:rPr>
                <w:rFonts w:cs="Calibri Light"/>
                <w:color w:val="000000"/>
              </w:rPr>
              <w:t>58,057</w:t>
            </w:r>
          </w:p>
        </w:tc>
        <w:tc>
          <w:tcPr>
            <w:tcW w:w="1524" w:type="pct"/>
            <w:shd w:val="clear" w:color="auto" w:fill="auto"/>
            <w:vAlign w:val="top"/>
          </w:tcPr>
          <w:p w14:paraId="4D744F2C" w14:textId="13566198" w:rsidR="002C2A9A" w:rsidRPr="002C2A9A" w:rsidRDefault="002C2A9A" w:rsidP="002C2A9A">
            <w:pPr>
              <w:pStyle w:val="10Tabletext"/>
              <w:jc w:val="right"/>
              <w:cnfStyle w:val="000000000000" w:firstRow="0" w:lastRow="0" w:firstColumn="0" w:lastColumn="0" w:oddVBand="0" w:evenVBand="0" w:oddHBand="0" w:evenHBand="0" w:firstRowFirstColumn="0" w:firstRowLastColumn="0" w:lastRowFirstColumn="0" w:lastRowLastColumn="0"/>
              <w:rPr>
                <w:rFonts w:cs="Calibri Light"/>
                <w:highlight w:val="yellow"/>
              </w:rPr>
            </w:pPr>
            <w:r w:rsidRPr="002C2A9A">
              <w:rPr>
                <w:rFonts w:cs="Calibri Light"/>
                <w:color w:val="000000"/>
              </w:rPr>
              <w:t>3,683</w:t>
            </w:r>
          </w:p>
        </w:tc>
      </w:tr>
      <w:tr w:rsidR="002C2A9A" w:rsidRPr="00764135" w14:paraId="2B404ED4" w14:textId="77777777" w:rsidTr="002C2A9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63" w:type="pct"/>
          </w:tcPr>
          <w:p w14:paraId="74767B03" w14:textId="77777777" w:rsidR="002C2A9A" w:rsidRPr="008E5BAA" w:rsidRDefault="002C2A9A" w:rsidP="002C2A9A">
            <w:pPr>
              <w:pStyle w:val="10Tabletext"/>
              <w:rPr>
                <w:b w:val="0"/>
                <w:bCs w:val="0"/>
              </w:rPr>
            </w:pPr>
            <w:r w:rsidRPr="008E5BAA">
              <w:rPr>
                <w:b w:val="0"/>
                <w:bCs w:val="0"/>
              </w:rPr>
              <w:t>Deputy Leader of the Opposition in the Assembly</w:t>
            </w:r>
          </w:p>
        </w:tc>
        <w:tc>
          <w:tcPr>
            <w:tcW w:w="1313" w:type="pct"/>
            <w:shd w:val="clear" w:color="auto" w:fill="auto"/>
            <w:vAlign w:val="top"/>
          </w:tcPr>
          <w:p w14:paraId="005A05AD" w14:textId="5902F897" w:rsidR="002C2A9A" w:rsidRPr="0017710A" w:rsidRDefault="002C2A9A" w:rsidP="002C2A9A">
            <w:pPr>
              <w:pStyle w:val="10Tabletext"/>
              <w:jc w:val="right"/>
              <w:cnfStyle w:val="000000100000" w:firstRow="0" w:lastRow="0" w:firstColumn="0" w:lastColumn="0" w:oddVBand="0" w:evenVBand="0" w:oddHBand="1" w:evenHBand="0" w:firstRowFirstColumn="0" w:firstRowLastColumn="0" w:lastRowFirstColumn="0" w:lastRowLastColumn="0"/>
              <w:rPr>
                <w:rFonts w:cs="Calibri Light"/>
                <w:highlight w:val="yellow"/>
              </w:rPr>
            </w:pPr>
            <w:r w:rsidRPr="0017710A">
              <w:rPr>
                <w:rFonts w:cs="Calibri Light"/>
                <w:color w:val="000000"/>
              </w:rPr>
              <w:t>82,752</w:t>
            </w:r>
          </w:p>
        </w:tc>
        <w:tc>
          <w:tcPr>
            <w:tcW w:w="1524" w:type="pct"/>
            <w:shd w:val="clear" w:color="auto" w:fill="auto"/>
            <w:vAlign w:val="top"/>
          </w:tcPr>
          <w:p w14:paraId="18987153" w14:textId="73EAAE1A" w:rsidR="002C2A9A" w:rsidRPr="002C2A9A" w:rsidRDefault="002C2A9A" w:rsidP="002C2A9A">
            <w:pPr>
              <w:pStyle w:val="10Tabletext"/>
              <w:jc w:val="right"/>
              <w:cnfStyle w:val="000000100000" w:firstRow="0" w:lastRow="0" w:firstColumn="0" w:lastColumn="0" w:oddVBand="0" w:evenVBand="0" w:oddHBand="1" w:evenHBand="0" w:firstRowFirstColumn="0" w:firstRowLastColumn="0" w:lastRowFirstColumn="0" w:lastRowLastColumn="0"/>
              <w:rPr>
                <w:rFonts w:cs="Calibri Light"/>
                <w:highlight w:val="yellow"/>
              </w:rPr>
            </w:pPr>
            <w:r w:rsidRPr="002C2A9A">
              <w:rPr>
                <w:rFonts w:cs="Calibri Light"/>
                <w:color w:val="000000"/>
              </w:rPr>
              <w:t>3,683</w:t>
            </w:r>
          </w:p>
        </w:tc>
      </w:tr>
      <w:tr w:rsidR="002C2A9A" w:rsidRPr="00764135" w14:paraId="231A8033" w14:textId="77777777" w:rsidTr="002C2A9A">
        <w:trPr>
          <w:cantSplit/>
        </w:trPr>
        <w:tc>
          <w:tcPr>
            <w:cnfStyle w:val="001000000000" w:firstRow="0" w:lastRow="0" w:firstColumn="1" w:lastColumn="0" w:oddVBand="0" w:evenVBand="0" w:oddHBand="0" w:evenHBand="0" w:firstRowFirstColumn="0" w:firstRowLastColumn="0" w:lastRowFirstColumn="0" w:lastRowLastColumn="0"/>
            <w:tcW w:w="2163" w:type="pct"/>
          </w:tcPr>
          <w:p w14:paraId="5D1CDC68" w14:textId="77777777" w:rsidR="002C2A9A" w:rsidRPr="008E5BAA" w:rsidRDefault="002C2A9A" w:rsidP="002C2A9A">
            <w:pPr>
              <w:pStyle w:val="10Tabletext"/>
              <w:rPr>
                <w:b w:val="0"/>
                <w:bCs w:val="0"/>
              </w:rPr>
            </w:pPr>
            <w:r w:rsidRPr="008E5BAA">
              <w:rPr>
                <w:b w:val="0"/>
                <w:bCs w:val="0"/>
              </w:rPr>
              <w:t>Leader of the Opposition in the Council</w:t>
            </w:r>
          </w:p>
        </w:tc>
        <w:tc>
          <w:tcPr>
            <w:tcW w:w="1313" w:type="pct"/>
            <w:shd w:val="clear" w:color="auto" w:fill="auto"/>
            <w:vAlign w:val="top"/>
          </w:tcPr>
          <w:p w14:paraId="37407971" w14:textId="738539B0" w:rsidR="002C2A9A" w:rsidRPr="0017710A" w:rsidRDefault="002C2A9A" w:rsidP="002C2A9A">
            <w:pPr>
              <w:pStyle w:val="10Tabletext"/>
              <w:jc w:val="right"/>
              <w:cnfStyle w:val="000000000000" w:firstRow="0" w:lastRow="0" w:firstColumn="0" w:lastColumn="0" w:oddVBand="0" w:evenVBand="0" w:oddHBand="0" w:evenHBand="0" w:firstRowFirstColumn="0" w:firstRowLastColumn="0" w:lastRowFirstColumn="0" w:lastRowLastColumn="0"/>
              <w:rPr>
                <w:rFonts w:cs="Calibri Light"/>
                <w:highlight w:val="yellow"/>
              </w:rPr>
            </w:pPr>
            <w:r w:rsidRPr="0017710A">
              <w:rPr>
                <w:rFonts w:cs="Calibri Light"/>
                <w:color w:val="000000"/>
              </w:rPr>
              <w:t>82,752</w:t>
            </w:r>
          </w:p>
        </w:tc>
        <w:tc>
          <w:tcPr>
            <w:tcW w:w="1524" w:type="pct"/>
            <w:shd w:val="clear" w:color="auto" w:fill="auto"/>
            <w:vAlign w:val="top"/>
          </w:tcPr>
          <w:p w14:paraId="3F7FC0F6" w14:textId="0D2609E5" w:rsidR="002C2A9A" w:rsidRPr="002C2A9A" w:rsidRDefault="002C2A9A" w:rsidP="002C2A9A">
            <w:pPr>
              <w:pStyle w:val="10Tabletext"/>
              <w:jc w:val="right"/>
              <w:cnfStyle w:val="000000000000" w:firstRow="0" w:lastRow="0" w:firstColumn="0" w:lastColumn="0" w:oddVBand="0" w:evenVBand="0" w:oddHBand="0" w:evenHBand="0" w:firstRowFirstColumn="0" w:firstRowLastColumn="0" w:lastRowFirstColumn="0" w:lastRowLastColumn="0"/>
              <w:rPr>
                <w:rFonts w:cs="Calibri Light"/>
                <w:highlight w:val="yellow"/>
              </w:rPr>
            </w:pPr>
            <w:r w:rsidRPr="002C2A9A">
              <w:rPr>
                <w:rFonts w:cs="Calibri Light"/>
                <w:color w:val="000000"/>
              </w:rPr>
              <w:t>3,683</w:t>
            </w:r>
          </w:p>
        </w:tc>
      </w:tr>
      <w:tr w:rsidR="002C2A9A" w:rsidRPr="00764135" w14:paraId="036AE840" w14:textId="77777777" w:rsidTr="002C2A9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63" w:type="pct"/>
          </w:tcPr>
          <w:p w14:paraId="4AB4EE68" w14:textId="77777777" w:rsidR="002C2A9A" w:rsidRPr="008E5BAA" w:rsidRDefault="002C2A9A" w:rsidP="002C2A9A">
            <w:pPr>
              <w:pStyle w:val="10Tabletext"/>
              <w:rPr>
                <w:b w:val="0"/>
                <w:bCs w:val="0"/>
              </w:rPr>
            </w:pPr>
            <w:r w:rsidRPr="008E5BAA">
              <w:rPr>
                <w:b w:val="0"/>
                <w:bCs w:val="0"/>
              </w:rPr>
              <w:t>Leader of the Third Party (unless they are also the Leader or Deputy Leader of the Opposition or a Minister of the Crown)</w:t>
            </w:r>
          </w:p>
        </w:tc>
        <w:tc>
          <w:tcPr>
            <w:tcW w:w="1313" w:type="pct"/>
            <w:shd w:val="clear" w:color="auto" w:fill="auto"/>
            <w:vAlign w:val="top"/>
          </w:tcPr>
          <w:p w14:paraId="1A2AE95F" w14:textId="12D987DE" w:rsidR="002C2A9A" w:rsidRPr="0017710A" w:rsidRDefault="002C2A9A" w:rsidP="002C2A9A">
            <w:pPr>
              <w:pStyle w:val="10Tabletext"/>
              <w:jc w:val="right"/>
              <w:cnfStyle w:val="000000100000" w:firstRow="0" w:lastRow="0" w:firstColumn="0" w:lastColumn="0" w:oddVBand="0" w:evenVBand="0" w:oddHBand="1" w:evenHBand="0" w:firstRowFirstColumn="0" w:firstRowLastColumn="0" w:lastRowFirstColumn="0" w:lastRowLastColumn="0"/>
              <w:rPr>
                <w:rFonts w:cs="Calibri Light"/>
                <w:highlight w:val="yellow"/>
              </w:rPr>
            </w:pPr>
            <w:r w:rsidRPr="0017710A">
              <w:rPr>
                <w:rFonts w:cs="Calibri Light"/>
                <w:color w:val="000000"/>
              </w:rPr>
              <w:t>82,752</w:t>
            </w:r>
          </w:p>
        </w:tc>
        <w:tc>
          <w:tcPr>
            <w:tcW w:w="1524" w:type="pct"/>
            <w:shd w:val="clear" w:color="auto" w:fill="auto"/>
            <w:vAlign w:val="top"/>
          </w:tcPr>
          <w:p w14:paraId="7B478FF7" w14:textId="07563FC8" w:rsidR="002C2A9A" w:rsidRPr="002C2A9A" w:rsidRDefault="002C2A9A" w:rsidP="002C2A9A">
            <w:pPr>
              <w:pStyle w:val="10Tabletext"/>
              <w:jc w:val="right"/>
              <w:cnfStyle w:val="000000100000" w:firstRow="0" w:lastRow="0" w:firstColumn="0" w:lastColumn="0" w:oddVBand="0" w:evenVBand="0" w:oddHBand="1" w:evenHBand="0" w:firstRowFirstColumn="0" w:firstRowLastColumn="0" w:lastRowFirstColumn="0" w:lastRowLastColumn="0"/>
              <w:rPr>
                <w:rFonts w:cs="Calibri Light"/>
                <w:highlight w:val="yellow"/>
              </w:rPr>
            </w:pPr>
            <w:r w:rsidRPr="002C2A9A">
              <w:rPr>
                <w:rFonts w:cs="Calibri Light"/>
                <w:color w:val="000000"/>
              </w:rPr>
              <w:t>3,683</w:t>
            </w:r>
          </w:p>
        </w:tc>
      </w:tr>
      <w:tr w:rsidR="002C2A9A" w:rsidRPr="00764135" w14:paraId="21897CC7" w14:textId="77777777" w:rsidTr="002C2A9A">
        <w:trPr>
          <w:cantSplit/>
        </w:trPr>
        <w:tc>
          <w:tcPr>
            <w:cnfStyle w:val="001000000000" w:firstRow="0" w:lastRow="0" w:firstColumn="1" w:lastColumn="0" w:oddVBand="0" w:evenVBand="0" w:oddHBand="0" w:evenHBand="0" w:firstRowFirstColumn="0" w:firstRowLastColumn="0" w:lastRowFirstColumn="0" w:lastRowLastColumn="0"/>
            <w:tcW w:w="2163" w:type="pct"/>
          </w:tcPr>
          <w:p w14:paraId="375C99EB" w14:textId="77777777" w:rsidR="002C2A9A" w:rsidRPr="008E5BAA" w:rsidRDefault="002C2A9A" w:rsidP="002C2A9A">
            <w:pPr>
              <w:pStyle w:val="10Tabletext"/>
              <w:rPr>
                <w:b w:val="0"/>
                <w:bCs w:val="0"/>
              </w:rPr>
            </w:pPr>
            <w:r w:rsidRPr="008E5BAA">
              <w:rPr>
                <w:b w:val="0"/>
                <w:bCs w:val="0"/>
              </w:rPr>
              <w:t>Cabinet Secretary</w:t>
            </w:r>
          </w:p>
        </w:tc>
        <w:tc>
          <w:tcPr>
            <w:tcW w:w="1313" w:type="pct"/>
            <w:shd w:val="clear" w:color="auto" w:fill="auto"/>
            <w:vAlign w:val="top"/>
          </w:tcPr>
          <w:p w14:paraId="7689AED3" w14:textId="25FCEFB8" w:rsidR="002C2A9A" w:rsidRPr="0017710A" w:rsidRDefault="002C2A9A" w:rsidP="002C2A9A">
            <w:pPr>
              <w:pStyle w:val="10Tabletext"/>
              <w:jc w:val="right"/>
              <w:cnfStyle w:val="000000000000" w:firstRow="0" w:lastRow="0" w:firstColumn="0" w:lastColumn="0" w:oddVBand="0" w:evenVBand="0" w:oddHBand="0" w:evenHBand="0" w:firstRowFirstColumn="0" w:firstRowLastColumn="0" w:lastRowFirstColumn="0" w:lastRowLastColumn="0"/>
              <w:rPr>
                <w:rFonts w:cs="Calibri Light"/>
                <w:highlight w:val="yellow"/>
              </w:rPr>
            </w:pPr>
            <w:r w:rsidRPr="0017710A">
              <w:rPr>
                <w:rFonts w:cs="Calibri Light"/>
                <w:color w:val="000000"/>
              </w:rPr>
              <w:t>82,752</w:t>
            </w:r>
          </w:p>
        </w:tc>
        <w:tc>
          <w:tcPr>
            <w:tcW w:w="1524" w:type="pct"/>
            <w:shd w:val="clear" w:color="auto" w:fill="auto"/>
            <w:vAlign w:val="top"/>
          </w:tcPr>
          <w:p w14:paraId="1B04C86B" w14:textId="6D6E4691" w:rsidR="002C2A9A" w:rsidRPr="002C2A9A" w:rsidRDefault="002C2A9A" w:rsidP="002C2A9A">
            <w:pPr>
              <w:pStyle w:val="10Tabletext"/>
              <w:jc w:val="right"/>
              <w:cnfStyle w:val="000000000000" w:firstRow="0" w:lastRow="0" w:firstColumn="0" w:lastColumn="0" w:oddVBand="0" w:evenVBand="0" w:oddHBand="0" w:evenHBand="0" w:firstRowFirstColumn="0" w:firstRowLastColumn="0" w:lastRowFirstColumn="0" w:lastRowLastColumn="0"/>
              <w:rPr>
                <w:rFonts w:cs="Calibri Light"/>
                <w:highlight w:val="yellow"/>
              </w:rPr>
            </w:pPr>
            <w:r w:rsidRPr="002C2A9A">
              <w:rPr>
                <w:rFonts w:cs="Calibri Light"/>
                <w:color w:val="000000"/>
              </w:rPr>
              <w:t>3,683</w:t>
            </w:r>
          </w:p>
        </w:tc>
      </w:tr>
      <w:tr w:rsidR="002C2A9A" w:rsidRPr="00764135" w14:paraId="49514CA6" w14:textId="77777777" w:rsidTr="002C2A9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63" w:type="pct"/>
          </w:tcPr>
          <w:p w14:paraId="328491D8" w14:textId="77777777" w:rsidR="002C2A9A" w:rsidRPr="008E5BAA" w:rsidRDefault="002C2A9A" w:rsidP="002C2A9A">
            <w:pPr>
              <w:pStyle w:val="10Tabletext"/>
              <w:rPr>
                <w:b w:val="0"/>
                <w:bCs w:val="0"/>
              </w:rPr>
            </w:pPr>
            <w:r w:rsidRPr="008E5BAA">
              <w:rPr>
                <w:b w:val="0"/>
                <w:bCs w:val="0"/>
              </w:rPr>
              <w:t>Parliamentary Secretary to the Premier</w:t>
            </w:r>
          </w:p>
        </w:tc>
        <w:tc>
          <w:tcPr>
            <w:tcW w:w="1313" w:type="pct"/>
            <w:shd w:val="clear" w:color="auto" w:fill="auto"/>
            <w:vAlign w:val="top"/>
          </w:tcPr>
          <w:p w14:paraId="22DBE41C" w14:textId="6D01E92C" w:rsidR="002C2A9A" w:rsidRPr="0017710A" w:rsidRDefault="002C2A9A" w:rsidP="002C2A9A">
            <w:pPr>
              <w:pStyle w:val="10Tabletext"/>
              <w:jc w:val="right"/>
              <w:cnfStyle w:val="000000100000" w:firstRow="0" w:lastRow="0" w:firstColumn="0" w:lastColumn="0" w:oddVBand="0" w:evenVBand="0" w:oddHBand="1" w:evenHBand="0" w:firstRowFirstColumn="0" w:firstRowLastColumn="0" w:lastRowFirstColumn="0" w:lastRowLastColumn="0"/>
              <w:rPr>
                <w:rFonts w:cs="Calibri Light"/>
                <w:highlight w:val="yellow"/>
              </w:rPr>
            </w:pPr>
            <w:r w:rsidRPr="0017710A">
              <w:rPr>
                <w:rFonts w:cs="Calibri Light"/>
                <w:color w:val="000000"/>
              </w:rPr>
              <w:t>58,057</w:t>
            </w:r>
          </w:p>
        </w:tc>
        <w:tc>
          <w:tcPr>
            <w:tcW w:w="1524" w:type="pct"/>
            <w:shd w:val="clear" w:color="auto" w:fill="auto"/>
            <w:vAlign w:val="top"/>
          </w:tcPr>
          <w:p w14:paraId="68CADB70" w14:textId="4DF28F3F" w:rsidR="002C2A9A" w:rsidRPr="002C2A9A" w:rsidRDefault="002C2A9A" w:rsidP="002C2A9A">
            <w:pPr>
              <w:pStyle w:val="10Tabletext"/>
              <w:jc w:val="right"/>
              <w:cnfStyle w:val="000000100000" w:firstRow="0" w:lastRow="0" w:firstColumn="0" w:lastColumn="0" w:oddVBand="0" w:evenVBand="0" w:oddHBand="1" w:evenHBand="0" w:firstRowFirstColumn="0" w:firstRowLastColumn="0" w:lastRowFirstColumn="0" w:lastRowLastColumn="0"/>
              <w:rPr>
                <w:rFonts w:cs="Calibri Light"/>
                <w:highlight w:val="yellow"/>
              </w:rPr>
            </w:pPr>
            <w:r w:rsidRPr="002C2A9A">
              <w:rPr>
                <w:rFonts w:cs="Calibri Light"/>
                <w:color w:val="000000"/>
              </w:rPr>
              <w:t>3,683</w:t>
            </w:r>
          </w:p>
        </w:tc>
      </w:tr>
      <w:tr w:rsidR="002C2A9A" w:rsidRPr="00764135" w14:paraId="225B9A7E" w14:textId="77777777" w:rsidTr="002C2A9A">
        <w:trPr>
          <w:cantSplit/>
        </w:trPr>
        <w:tc>
          <w:tcPr>
            <w:cnfStyle w:val="001000000000" w:firstRow="0" w:lastRow="0" w:firstColumn="1" w:lastColumn="0" w:oddVBand="0" w:evenVBand="0" w:oddHBand="0" w:evenHBand="0" w:firstRowFirstColumn="0" w:firstRowLastColumn="0" w:lastRowFirstColumn="0" w:lastRowLastColumn="0"/>
            <w:tcW w:w="2163" w:type="pct"/>
          </w:tcPr>
          <w:p w14:paraId="4EF66AE6" w14:textId="77777777" w:rsidR="002C2A9A" w:rsidRPr="008E5BAA" w:rsidRDefault="002C2A9A" w:rsidP="002C2A9A">
            <w:pPr>
              <w:pStyle w:val="10Tabletext"/>
              <w:rPr>
                <w:b w:val="0"/>
                <w:bCs w:val="0"/>
              </w:rPr>
            </w:pPr>
            <w:r w:rsidRPr="008E5BAA">
              <w:rPr>
                <w:b w:val="0"/>
                <w:bCs w:val="0"/>
              </w:rPr>
              <w:t>A Shadow Minister</w:t>
            </w:r>
          </w:p>
        </w:tc>
        <w:tc>
          <w:tcPr>
            <w:tcW w:w="1313" w:type="pct"/>
            <w:shd w:val="clear" w:color="auto" w:fill="auto"/>
            <w:vAlign w:val="top"/>
          </w:tcPr>
          <w:p w14:paraId="5E6FD74A" w14:textId="7D5B3398" w:rsidR="002C2A9A" w:rsidRPr="0017710A" w:rsidRDefault="002C2A9A" w:rsidP="002C2A9A">
            <w:pPr>
              <w:pStyle w:val="10Tabletext"/>
              <w:jc w:val="right"/>
              <w:cnfStyle w:val="000000000000" w:firstRow="0" w:lastRow="0" w:firstColumn="0" w:lastColumn="0" w:oddVBand="0" w:evenVBand="0" w:oddHBand="0" w:evenHBand="0" w:firstRowFirstColumn="0" w:firstRowLastColumn="0" w:lastRowFirstColumn="0" w:lastRowLastColumn="0"/>
              <w:rPr>
                <w:rFonts w:cs="Calibri Light"/>
                <w:highlight w:val="yellow"/>
              </w:rPr>
            </w:pPr>
            <w:r w:rsidRPr="0017710A">
              <w:rPr>
                <w:rFonts w:cs="Calibri Light"/>
                <w:color w:val="000000"/>
              </w:rPr>
              <w:t>17,983</w:t>
            </w:r>
          </w:p>
        </w:tc>
        <w:tc>
          <w:tcPr>
            <w:tcW w:w="1524" w:type="pct"/>
            <w:shd w:val="clear" w:color="auto" w:fill="auto"/>
            <w:vAlign w:val="top"/>
          </w:tcPr>
          <w:p w14:paraId="03A314A4" w14:textId="5A0A0870" w:rsidR="002C2A9A" w:rsidRPr="002C2A9A" w:rsidRDefault="002C2A9A" w:rsidP="002C2A9A">
            <w:pPr>
              <w:pStyle w:val="10Tabletext"/>
              <w:jc w:val="right"/>
              <w:cnfStyle w:val="000000000000" w:firstRow="0" w:lastRow="0" w:firstColumn="0" w:lastColumn="0" w:oddVBand="0" w:evenVBand="0" w:oddHBand="0" w:evenHBand="0" w:firstRowFirstColumn="0" w:firstRowLastColumn="0" w:lastRowFirstColumn="0" w:lastRowLastColumn="0"/>
              <w:rPr>
                <w:rFonts w:cs="Calibri Light"/>
                <w:highlight w:val="yellow"/>
              </w:rPr>
            </w:pPr>
            <w:r w:rsidRPr="002C2A9A">
              <w:rPr>
                <w:rFonts w:cs="Calibri Light"/>
                <w:color w:val="000000"/>
              </w:rPr>
              <w:t>12,888</w:t>
            </w:r>
          </w:p>
        </w:tc>
      </w:tr>
      <w:tr w:rsidR="0017710A" w:rsidRPr="00764135" w14:paraId="1030C525" w14:textId="77777777" w:rsidTr="006F595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63" w:type="pct"/>
          </w:tcPr>
          <w:p w14:paraId="2F428F1E" w14:textId="77777777" w:rsidR="0017710A" w:rsidRPr="008E5BAA" w:rsidRDefault="0017710A" w:rsidP="0017710A">
            <w:pPr>
              <w:pStyle w:val="10Tabletext"/>
              <w:rPr>
                <w:b w:val="0"/>
                <w:bCs w:val="0"/>
              </w:rPr>
            </w:pPr>
            <w:r w:rsidRPr="008E5BAA">
              <w:rPr>
                <w:b w:val="0"/>
                <w:bCs w:val="0"/>
              </w:rPr>
              <w:t>Government Whip in the Assembly</w:t>
            </w:r>
          </w:p>
        </w:tc>
        <w:tc>
          <w:tcPr>
            <w:tcW w:w="1313" w:type="pct"/>
            <w:shd w:val="clear" w:color="auto" w:fill="auto"/>
            <w:vAlign w:val="top"/>
          </w:tcPr>
          <w:p w14:paraId="27794658" w14:textId="2ED73CBD" w:rsidR="0017710A" w:rsidRPr="0017710A" w:rsidRDefault="0017710A" w:rsidP="006F5958">
            <w:pPr>
              <w:pStyle w:val="10Tabletext"/>
              <w:jc w:val="right"/>
              <w:cnfStyle w:val="000000100000" w:firstRow="0" w:lastRow="0" w:firstColumn="0" w:lastColumn="0" w:oddVBand="0" w:evenVBand="0" w:oddHBand="1" w:evenHBand="0" w:firstRowFirstColumn="0" w:firstRowLastColumn="0" w:lastRowFirstColumn="0" w:lastRowLastColumn="0"/>
              <w:rPr>
                <w:rFonts w:cs="Calibri Light"/>
                <w:highlight w:val="yellow"/>
              </w:rPr>
            </w:pPr>
            <w:r w:rsidRPr="0017710A">
              <w:rPr>
                <w:rFonts w:cs="Calibri Light"/>
                <w:color w:val="000000"/>
              </w:rPr>
              <w:t>37,043</w:t>
            </w:r>
          </w:p>
        </w:tc>
        <w:tc>
          <w:tcPr>
            <w:tcW w:w="1524" w:type="pct"/>
            <w:shd w:val="clear" w:color="auto" w:fill="auto"/>
            <w:vAlign w:val="top"/>
          </w:tcPr>
          <w:p w14:paraId="728C6CA4" w14:textId="65554475" w:rsidR="0017710A" w:rsidRPr="00764135" w:rsidRDefault="0017710A" w:rsidP="0017710A">
            <w:pPr>
              <w:pStyle w:val="10Tabletext"/>
              <w:jc w:val="right"/>
              <w:cnfStyle w:val="000000100000" w:firstRow="0" w:lastRow="0" w:firstColumn="0" w:lastColumn="0" w:oddVBand="0" w:evenVBand="0" w:oddHBand="1" w:evenHBand="0" w:firstRowFirstColumn="0" w:firstRowLastColumn="0" w:lastRowFirstColumn="0" w:lastRowLastColumn="0"/>
              <w:rPr>
                <w:highlight w:val="yellow"/>
              </w:rPr>
            </w:pPr>
            <w:r>
              <w:rPr>
                <w:bCs/>
              </w:rPr>
              <w:t>0</w:t>
            </w:r>
          </w:p>
        </w:tc>
      </w:tr>
      <w:tr w:rsidR="0017710A" w:rsidRPr="00764135" w14:paraId="6EDC42C8" w14:textId="77777777" w:rsidTr="006F5958">
        <w:trPr>
          <w:cantSplit/>
        </w:trPr>
        <w:tc>
          <w:tcPr>
            <w:cnfStyle w:val="001000000000" w:firstRow="0" w:lastRow="0" w:firstColumn="1" w:lastColumn="0" w:oddVBand="0" w:evenVBand="0" w:oddHBand="0" w:evenHBand="0" w:firstRowFirstColumn="0" w:firstRowLastColumn="0" w:lastRowFirstColumn="0" w:lastRowLastColumn="0"/>
            <w:tcW w:w="2163" w:type="pct"/>
          </w:tcPr>
          <w:p w14:paraId="3A07CFC5" w14:textId="77777777" w:rsidR="0017710A" w:rsidRPr="008E5BAA" w:rsidRDefault="0017710A" w:rsidP="0017710A">
            <w:pPr>
              <w:pStyle w:val="10Tabletext"/>
              <w:rPr>
                <w:b w:val="0"/>
                <w:bCs w:val="0"/>
              </w:rPr>
            </w:pPr>
            <w:r w:rsidRPr="008E5BAA">
              <w:rPr>
                <w:b w:val="0"/>
                <w:bCs w:val="0"/>
              </w:rPr>
              <w:t>Deputy Government Whip in the Assembly</w:t>
            </w:r>
          </w:p>
        </w:tc>
        <w:tc>
          <w:tcPr>
            <w:tcW w:w="1313" w:type="pct"/>
            <w:shd w:val="clear" w:color="auto" w:fill="auto"/>
            <w:vAlign w:val="top"/>
          </w:tcPr>
          <w:p w14:paraId="58BA7C4D" w14:textId="1241F581" w:rsidR="0017710A" w:rsidRPr="0017710A" w:rsidRDefault="0017710A" w:rsidP="006F5958">
            <w:pPr>
              <w:pStyle w:val="10Tabletext"/>
              <w:jc w:val="right"/>
              <w:cnfStyle w:val="000000000000" w:firstRow="0" w:lastRow="0" w:firstColumn="0" w:lastColumn="0" w:oddVBand="0" w:evenVBand="0" w:oddHBand="0" w:evenHBand="0" w:firstRowFirstColumn="0" w:firstRowLastColumn="0" w:lastRowFirstColumn="0" w:lastRowLastColumn="0"/>
              <w:rPr>
                <w:rFonts w:cs="Calibri Light"/>
                <w:highlight w:val="yellow"/>
              </w:rPr>
            </w:pPr>
            <w:r w:rsidRPr="0017710A">
              <w:rPr>
                <w:rFonts w:cs="Calibri Light"/>
                <w:color w:val="000000"/>
              </w:rPr>
              <w:t>20,579</w:t>
            </w:r>
          </w:p>
        </w:tc>
        <w:tc>
          <w:tcPr>
            <w:tcW w:w="1524" w:type="pct"/>
            <w:shd w:val="clear" w:color="auto" w:fill="auto"/>
            <w:vAlign w:val="top"/>
          </w:tcPr>
          <w:p w14:paraId="053F779C" w14:textId="37A7D633" w:rsidR="0017710A" w:rsidRPr="00764135" w:rsidRDefault="0017710A" w:rsidP="0017710A">
            <w:pPr>
              <w:pStyle w:val="10Tabletext"/>
              <w:jc w:val="right"/>
              <w:cnfStyle w:val="000000000000" w:firstRow="0" w:lastRow="0" w:firstColumn="0" w:lastColumn="0" w:oddVBand="0" w:evenVBand="0" w:oddHBand="0" w:evenHBand="0" w:firstRowFirstColumn="0" w:firstRowLastColumn="0" w:lastRowFirstColumn="0" w:lastRowLastColumn="0"/>
              <w:rPr>
                <w:highlight w:val="yellow"/>
              </w:rPr>
            </w:pPr>
            <w:r>
              <w:rPr>
                <w:bCs/>
              </w:rPr>
              <w:t>0</w:t>
            </w:r>
          </w:p>
        </w:tc>
      </w:tr>
      <w:tr w:rsidR="0017710A" w:rsidRPr="00764135" w14:paraId="7664D0BA" w14:textId="77777777" w:rsidTr="006F595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63" w:type="pct"/>
          </w:tcPr>
          <w:p w14:paraId="12FAEBD2" w14:textId="77777777" w:rsidR="0017710A" w:rsidRPr="008E5BAA" w:rsidRDefault="0017710A" w:rsidP="0017710A">
            <w:pPr>
              <w:pStyle w:val="10Tabletext"/>
              <w:rPr>
                <w:b w:val="0"/>
                <w:bCs w:val="0"/>
              </w:rPr>
            </w:pPr>
            <w:r w:rsidRPr="008E5BAA">
              <w:rPr>
                <w:b w:val="0"/>
                <w:bCs w:val="0"/>
              </w:rPr>
              <w:t>Deputy Leader of the Opposition in the Council</w:t>
            </w:r>
          </w:p>
        </w:tc>
        <w:tc>
          <w:tcPr>
            <w:tcW w:w="1313" w:type="pct"/>
            <w:shd w:val="clear" w:color="auto" w:fill="auto"/>
            <w:vAlign w:val="top"/>
          </w:tcPr>
          <w:p w14:paraId="3F357FD3" w14:textId="07741D59" w:rsidR="0017710A" w:rsidRPr="0017710A" w:rsidRDefault="0017710A" w:rsidP="006F5958">
            <w:pPr>
              <w:pStyle w:val="10Tabletext"/>
              <w:jc w:val="right"/>
              <w:cnfStyle w:val="000000100000" w:firstRow="0" w:lastRow="0" w:firstColumn="0" w:lastColumn="0" w:oddVBand="0" w:evenVBand="0" w:oddHBand="1" w:evenHBand="0" w:firstRowFirstColumn="0" w:firstRowLastColumn="0" w:lastRowFirstColumn="0" w:lastRowLastColumn="0"/>
              <w:rPr>
                <w:rFonts w:cs="Calibri Light"/>
                <w:highlight w:val="yellow"/>
              </w:rPr>
            </w:pPr>
            <w:r w:rsidRPr="0017710A">
              <w:rPr>
                <w:rFonts w:cs="Calibri Light"/>
                <w:color w:val="000000"/>
              </w:rPr>
              <w:t>37,043</w:t>
            </w:r>
          </w:p>
        </w:tc>
        <w:tc>
          <w:tcPr>
            <w:tcW w:w="1524" w:type="pct"/>
            <w:shd w:val="clear" w:color="auto" w:fill="auto"/>
            <w:vAlign w:val="top"/>
          </w:tcPr>
          <w:p w14:paraId="0275A5C3" w14:textId="42DD4A1F" w:rsidR="0017710A" w:rsidRPr="00764135" w:rsidRDefault="0017710A" w:rsidP="0017710A">
            <w:pPr>
              <w:pStyle w:val="10Tabletext"/>
              <w:jc w:val="right"/>
              <w:cnfStyle w:val="000000100000" w:firstRow="0" w:lastRow="0" w:firstColumn="0" w:lastColumn="0" w:oddVBand="0" w:evenVBand="0" w:oddHBand="1" w:evenHBand="0" w:firstRowFirstColumn="0" w:firstRowLastColumn="0" w:lastRowFirstColumn="0" w:lastRowLastColumn="0"/>
              <w:rPr>
                <w:highlight w:val="yellow"/>
              </w:rPr>
            </w:pPr>
            <w:r>
              <w:rPr>
                <w:bCs/>
              </w:rPr>
              <w:t>0</w:t>
            </w:r>
          </w:p>
        </w:tc>
      </w:tr>
      <w:tr w:rsidR="002C2A9A" w:rsidRPr="00764135" w14:paraId="1B82A52A" w14:textId="77777777" w:rsidTr="006F5958">
        <w:trPr>
          <w:cantSplit/>
        </w:trPr>
        <w:tc>
          <w:tcPr>
            <w:cnfStyle w:val="001000000000" w:firstRow="0" w:lastRow="0" w:firstColumn="1" w:lastColumn="0" w:oddVBand="0" w:evenVBand="0" w:oddHBand="0" w:evenHBand="0" w:firstRowFirstColumn="0" w:firstRowLastColumn="0" w:lastRowFirstColumn="0" w:lastRowLastColumn="0"/>
            <w:tcW w:w="2163" w:type="pct"/>
          </w:tcPr>
          <w:p w14:paraId="14A853D4" w14:textId="77777777" w:rsidR="002C2A9A" w:rsidRPr="008E5BAA" w:rsidRDefault="002C2A9A" w:rsidP="002C2A9A">
            <w:pPr>
              <w:pStyle w:val="10Tabletext"/>
              <w:rPr>
                <w:b w:val="0"/>
                <w:bCs w:val="0"/>
              </w:rPr>
            </w:pPr>
            <w:r w:rsidRPr="008E5BAA">
              <w:rPr>
                <w:b w:val="0"/>
                <w:bCs w:val="0"/>
              </w:rPr>
              <w:t>A Parliamentary Secretary (other than the Parliamentary Secretary to the Premier)</w:t>
            </w:r>
          </w:p>
        </w:tc>
        <w:tc>
          <w:tcPr>
            <w:tcW w:w="1313" w:type="pct"/>
            <w:shd w:val="clear" w:color="auto" w:fill="auto"/>
            <w:vAlign w:val="top"/>
          </w:tcPr>
          <w:p w14:paraId="18A4B7EC" w14:textId="0C969DC0" w:rsidR="002C2A9A" w:rsidRPr="0017710A" w:rsidRDefault="002C2A9A" w:rsidP="002C2A9A">
            <w:pPr>
              <w:pStyle w:val="10Tabletext"/>
              <w:jc w:val="right"/>
              <w:cnfStyle w:val="000000000000" w:firstRow="0" w:lastRow="0" w:firstColumn="0" w:lastColumn="0" w:oddVBand="0" w:evenVBand="0" w:oddHBand="0" w:evenHBand="0" w:firstRowFirstColumn="0" w:firstRowLastColumn="0" w:lastRowFirstColumn="0" w:lastRowLastColumn="0"/>
              <w:rPr>
                <w:rFonts w:cs="Calibri Light"/>
                <w:highlight w:val="yellow"/>
              </w:rPr>
            </w:pPr>
            <w:r w:rsidRPr="0017710A">
              <w:rPr>
                <w:rFonts w:cs="Calibri Light"/>
                <w:color w:val="000000"/>
              </w:rPr>
              <w:t>47,767</w:t>
            </w:r>
          </w:p>
        </w:tc>
        <w:tc>
          <w:tcPr>
            <w:tcW w:w="1524" w:type="pct"/>
            <w:shd w:val="clear" w:color="auto" w:fill="auto"/>
            <w:vAlign w:val="top"/>
          </w:tcPr>
          <w:p w14:paraId="02308C4A" w14:textId="092E8DFE" w:rsidR="002C2A9A" w:rsidRPr="00956CDA" w:rsidRDefault="002C2A9A" w:rsidP="002C2A9A">
            <w:pPr>
              <w:pStyle w:val="10Tabletext"/>
              <w:jc w:val="right"/>
              <w:cnfStyle w:val="000000000000" w:firstRow="0" w:lastRow="0" w:firstColumn="0" w:lastColumn="0" w:oddVBand="0" w:evenVBand="0" w:oddHBand="0" w:evenHBand="0" w:firstRowFirstColumn="0" w:firstRowLastColumn="0" w:lastRowFirstColumn="0" w:lastRowLastColumn="0"/>
              <w:rPr>
                <w:highlight w:val="yellow"/>
              </w:rPr>
            </w:pPr>
            <w:r w:rsidRPr="002C2A9A">
              <w:rPr>
                <w:rFonts w:cs="Calibri Light"/>
                <w:color w:val="000000"/>
              </w:rPr>
              <w:t>3,683</w:t>
            </w:r>
          </w:p>
        </w:tc>
      </w:tr>
      <w:tr w:rsidR="0017710A" w:rsidRPr="00764135" w14:paraId="14D0AA57" w14:textId="77777777" w:rsidTr="006F595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63" w:type="pct"/>
          </w:tcPr>
          <w:p w14:paraId="7E06EB29" w14:textId="77777777" w:rsidR="0017710A" w:rsidRPr="008E5BAA" w:rsidRDefault="0017710A" w:rsidP="0017710A">
            <w:pPr>
              <w:pStyle w:val="10Tabletext"/>
              <w:rPr>
                <w:b w:val="0"/>
                <w:bCs w:val="0"/>
              </w:rPr>
            </w:pPr>
            <w:r w:rsidRPr="008E5BAA">
              <w:rPr>
                <w:b w:val="0"/>
                <w:bCs w:val="0"/>
              </w:rPr>
              <w:t>Deputy Leader of the Third Party (unless they are also the Leader or Deputy Leader of the Opposition or a Minister of the Crown)</w:t>
            </w:r>
          </w:p>
        </w:tc>
        <w:tc>
          <w:tcPr>
            <w:tcW w:w="1313" w:type="pct"/>
            <w:shd w:val="clear" w:color="auto" w:fill="auto"/>
            <w:vAlign w:val="top"/>
          </w:tcPr>
          <w:p w14:paraId="6A788FDC" w14:textId="3A960AFB" w:rsidR="0017710A" w:rsidRPr="0017710A" w:rsidRDefault="0017710A" w:rsidP="006F5958">
            <w:pPr>
              <w:pStyle w:val="10Tabletext"/>
              <w:jc w:val="right"/>
              <w:cnfStyle w:val="000000100000" w:firstRow="0" w:lastRow="0" w:firstColumn="0" w:lastColumn="0" w:oddVBand="0" w:evenVBand="0" w:oddHBand="1" w:evenHBand="0" w:firstRowFirstColumn="0" w:firstRowLastColumn="0" w:lastRowFirstColumn="0" w:lastRowLastColumn="0"/>
              <w:rPr>
                <w:rFonts w:cs="Calibri Light"/>
                <w:highlight w:val="yellow"/>
              </w:rPr>
            </w:pPr>
            <w:r w:rsidRPr="0017710A">
              <w:rPr>
                <w:rFonts w:cs="Calibri Light"/>
                <w:color w:val="000000"/>
              </w:rPr>
              <w:t>37,043</w:t>
            </w:r>
          </w:p>
        </w:tc>
        <w:tc>
          <w:tcPr>
            <w:tcW w:w="1524" w:type="pct"/>
            <w:shd w:val="clear" w:color="auto" w:fill="auto"/>
            <w:vAlign w:val="top"/>
          </w:tcPr>
          <w:p w14:paraId="2E33D073" w14:textId="6F3F7A02" w:rsidR="0017710A" w:rsidRPr="00764135" w:rsidRDefault="0017710A" w:rsidP="0017710A">
            <w:pPr>
              <w:pStyle w:val="10Tabletext"/>
              <w:jc w:val="right"/>
              <w:cnfStyle w:val="000000100000" w:firstRow="0" w:lastRow="0" w:firstColumn="0" w:lastColumn="0" w:oddVBand="0" w:evenVBand="0" w:oddHBand="1" w:evenHBand="0" w:firstRowFirstColumn="0" w:firstRowLastColumn="0" w:lastRowFirstColumn="0" w:lastRowLastColumn="0"/>
              <w:rPr>
                <w:highlight w:val="yellow"/>
              </w:rPr>
            </w:pPr>
            <w:r>
              <w:rPr>
                <w:bCs/>
              </w:rPr>
              <w:t>0</w:t>
            </w:r>
          </w:p>
        </w:tc>
      </w:tr>
      <w:tr w:rsidR="0017710A" w:rsidRPr="00764135" w14:paraId="05A316F1" w14:textId="77777777" w:rsidTr="006F5958">
        <w:trPr>
          <w:cantSplit/>
        </w:trPr>
        <w:tc>
          <w:tcPr>
            <w:cnfStyle w:val="001000000000" w:firstRow="0" w:lastRow="0" w:firstColumn="1" w:lastColumn="0" w:oddVBand="0" w:evenVBand="0" w:oddHBand="0" w:evenHBand="0" w:firstRowFirstColumn="0" w:firstRowLastColumn="0" w:lastRowFirstColumn="0" w:lastRowLastColumn="0"/>
            <w:tcW w:w="2163" w:type="pct"/>
          </w:tcPr>
          <w:p w14:paraId="242387ED" w14:textId="77777777" w:rsidR="0017710A" w:rsidRPr="008E5BAA" w:rsidRDefault="0017710A" w:rsidP="0017710A">
            <w:pPr>
              <w:pStyle w:val="10Tabletext"/>
              <w:rPr>
                <w:b w:val="0"/>
                <w:bCs w:val="0"/>
              </w:rPr>
            </w:pPr>
            <w:r w:rsidRPr="008E5BAA">
              <w:rPr>
                <w:b w:val="0"/>
                <w:bCs w:val="0"/>
              </w:rPr>
              <w:t>Government Whip in the Council</w:t>
            </w:r>
          </w:p>
        </w:tc>
        <w:tc>
          <w:tcPr>
            <w:tcW w:w="1313" w:type="pct"/>
            <w:shd w:val="clear" w:color="auto" w:fill="auto"/>
            <w:vAlign w:val="top"/>
          </w:tcPr>
          <w:p w14:paraId="02224B0B" w14:textId="29302503" w:rsidR="0017710A" w:rsidRPr="0017710A" w:rsidRDefault="0017710A" w:rsidP="006F5958">
            <w:pPr>
              <w:pStyle w:val="10Tabletext"/>
              <w:jc w:val="right"/>
              <w:cnfStyle w:val="000000000000" w:firstRow="0" w:lastRow="0" w:firstColumn="0" w:lastColumn="0" w:oddVBand="0" w:evenVBand="0" w:oddHBand="0" w:evenHBand="0" w:firstRowFirstColumn="0" w:firstRowLastColumn="0" w:lastRowFirstColumn="0" w:lastRowLastColumn="0"/>
              <w:rPr>
                <w:rFonts w:cs="Calibri Light"/>
                <w:highlight w:val="yellow"/>
              </w:rPr>
            </w:pPr>
            <w:r w:rsidRPr="0017710A">
              <w:rPr>
                <w:rFonts w:cs="Calibri Light"/>
                <w:color w:val="000000"/>
              </w:rPr>
              <w:t>22,638</w:t>
            </w:r>
          </w:p>
        </w:tc>
        <w:tc>
          <w:tcPr>
            <w:tcW w:w="1524" w:type="pct"/>
            <w:shd w:val="clear" w:color="auto" w:fill="auto"/>
            <w:vAlign w:val="top"/>
          </w:tcPr>
          <w:p w14:paraId="78A5A475" w14:textId="2355AC4C" w:rsidR="0017710A" w:rsidRPr="00764135" w:rsidRDefault="0017710A" w:rsidP="0017710A">
            <w:pPr>
              <w:pStyle w:val="10Tabletext"/>
              <w:jc w:val="right"/>
              <w:cnfStyle w:val="000000000000" w:firstRow="0" w:lastRow="0" w:firstColumn="0" w:lastColumn="0" w:oddVBand="0" w:evenVBand="0" w:oddHBand="0" w:evenHBand="0" w:firstRowFirstColumn="0" w:firstRowLastColumn="0" w:lastRowFirstColumn="0" w:lastRowLastColumn="0"/>
              <w:rPr>
                <w:highlight w:val="yellow"/>
              </w:rPr>
            </w:pPr>
            <w:r>
              <w:rPr>
                <w:bCs/>
              </w:rPr>
              <w:t>0</w:t>
            </w:r>
          </w:p>
        </w:tc>
      </w:tr>
      <w:tr w:rsidR="0017710A" w:rsidRPr="00764135" w14:paraId="3D9B4895" w14:textId="77777777" w:rsidTr="006F595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63" w:type="pct"/>
          </w:tcPr>
          <w:p w14:paraId="5CB3DE76" w14:textId="77777777" w:rsidR="0017710A" w:rsidRPr="008E5BAA" w:rsidRDefault="0017710A" w:rsidP="0017710A">
            <w:pPr>
              <w:pStyle w:val="10Tabletext"/>
              <w:rPr>
                <w:b w:val="0"/>
                <w:bCs w:val="0"/>
              </w:rPr>
            </w:pPr>
            <w:r w:rsidRPr="008E5BAA">
              <w:rPr>
                <w:b w:val="0"/>
                <w:bCs w:val="0"/>
              </w:rPr>
              <w:t>Opposition Whip in the Assembly</w:t>
            </w:r>
          </w:p>
        </w:tc>
        <w:tc>
          <w:tcPr>
            <w:tcW w:w="1313" w:type="pct"/>
            <w:shd w:val="clear" w:color="auto" w:fill="auto"/>
            <w:vAlign w:val="top"/>
          </w:tcPr>
          <w:p w14:paraId="7B6A3692" w14:textId="3708B829" w:rsidR="0017710A" w:rsidRPr="0017710A" w:rsidRDefault="0017710A" w:rsidP="006F5958">
            <w:pPr>
              <w:pStyle w:val="10Tabletext"/>
              <w:jc w:val="right"/>
              <w:cnfStyle w:val="000000100000" w:firstRow="0" w:lastRow="0" w:firstColumn="0" w:lastColumn="0" w:oddVBand="0" w:evenVBand="0" w:oddHBand="1" w:evenHBand="0" w:firstRowFirstColumn="0" w:firstRowLastColumn="0" w:lastRowFirstColumn="0" w:lastRowLastColumn="0"/>
              <w:rPr>
                <w:rFonts w:cs="Calibri Light"/>
                <w:highlight w:val="yellow"/>
              </w:rPr>
            </w:pPr>
            <w:r w:rsidRPr="0017710A">
              <w:rPr>
                <w:rFonts w:cs="Calibri Light"/>
                <w:color w:val="000000"/>
              </w:rPr>
              <w:t>22,638</w:t>
            </w:r>
          </w:p>
        </w:tc>
        <w:tc>
          <w:tcPr>
            <w:tcW w:w="1524" w:type="pct"/>
            <w:shd w:val="clear" w:color="auto" w:fill="auto"/>
            <w:vAlign w:val="top"/>
          </w:tcPr>
          <w:p w14:paraId="34BC79D9" w14:textId="5BA52031" w:rsidR="0017710A" w:rsidRPr="00764135" w:rsidRDefault="0017710A" w:rsidP="0017710A">
            <w:pPr>
              <w:pStyle w:val="10Tabletext"/>
              <w:jc w:val="right"/>
              <w:cnfStyle w:val="000000100000" w:firstRow="0" w:lastRow="0" w:firstColumn="0" w:lastColumn="0" w:oddVBand="0" w:evenVBand="0" w:oddHBand="1" w:evenHBand="0" w:firstRowFirstColumn="0" w:firstRowLastColumn="0" w:lastRowFirstColumn="0" w:lastRowLastColumn="0"/>
              <w:rPr>
                <w:highlight w:val="yellow"/>
              </w:rPr>
            </w:pPr>
            <w:r>
              <w:rPr>
                <w:bCs/>
              </w:rPr>
              <w:t>0</w:t>
            </w:r>
          </w:p>
        </w:tc>
      </w:tr>
      <w:tr w:rsidR="0017710A" w:rsidRPr="00764135" w14:paraId="01514F83" w14:textId="77777777" w:rsidTr="006F5958">
        <w:trPr>
          <w:cantSplit/>
        </w:trPr>
        <w:tc>
          <w:tcPr>
            <w:cnfStyle w:val="001000000000" w:firstRow="0" w:lastRow="0" w:firstColumn="1" w:lastColumn="0" w:oddVBand="0" w:evenVBand="0" w:oddHBand="0" w:evenHBand="0" w:firstRowFirstColumn="0" w:firstRowLastColumn="0" w:lastRowFirstColumn="0" w:lastRowLastColumn="0"/>
            <w:tcW w:w="2163" w:type="pct"/>
          </w:tcPr>
          <w:p w14:paraId="093C524D" w14:textId="77777777" w:rsidR="0017710A" w:rsidRPr="008E5BAA" w:rsidRDefault="0017710A" w:rsidP="0017710A">
            <w:pPr>
              <w:pStyle w:val="10Tabletext"/>
              <w:rPr>
                <w:b w:val="0"/>
                <w:bCs w:val="0"/>
              </w:rPr>
            </w:pPr>
            <w:r w:rsidRPr="008E5BAA">
              <w:rPr>
                <w:b w:val="0"/>
                <w:bCs w:val="0"/>
              </w:rPr>
              <w:t>Opposition Whip in the Council</w:t>
            </w:r>
          </w:p>
        </w:tc>
        <w:tc>
          <w:tcPr>
            <w:tcW w:w="1313" w:type="pct"/>
            <w:shd w:val="clear" w:color="auto" w:fill="auto"/>
            <w:vAlign w:val="top"/>
          </w:tcPr>
          <w:p w14:paraId="6A2E031A" w14:textId="648DCF17" w:rsidR="0017710A" w:rsidRPr="0017710A" w:rsidRDefault="0017710A" w:rsidP="006F5958">
            <w:pPr>
              <w:pStyle w:val="10Tabletext"/>
              <w:jc w:val="right"/>
              <w:cnfStyle w:val="000000000000" w:firstRow="0" w:lastRow="0" w:firstColumn="0" w:lastColumn="0" w:oddVBand="0" w:evenVBand="0" w:oddHBand="0" w:evenHBand="0" w:firstRowFirstColumn="0" w:firstRowLastColumn="0" w:lastRowFirstColumn="0" w:lastRowLastColumn="0"/>
              <w:rPr>
                <w:rFonts w:cs="Calibri Light"/>
                <w:highlight w:val="yellow"/>
              </w:rPr>
            </w:pPr>
            <w:r w:rsidRPr="0017710A">
              <w:rPr>
                <w:rFonts w:cs="Calibri Light"/>
                <w:color w:val="000000"/>
              </w:rPr>
              <w:t>22,638</w:t>
            </w:r>
          </w:p>
        </w:tc>
        <w:tc>
          <w:tcPr>
            <w:tcW w:w="1524" w:type="pct"/>
            <w:shd w:val="clear" w:color="auto" w:fill="auto"/>
            <w:vAlign w:val="top"/>
          </w:tcPr>
          <w:p w14:paraId="0239DFF4" w14:textId="3206A436" w:rsidR="0017710A" w:rsidRPr="00764135" w:rsidRDefault="0017710A" w:rsidP="0017710A">
            <w:pPr>
              <w:pStyle w:val="10Tabletext"/>
              <w:jc w:val="right"/>
              <w:cnfStyle w:val="000000000000" w:firstRow="0" w:lastRow="0" w:firstColumn="0" w:lastColumn="0" w:oddVBand="0" w:evenVBand="0" w:oddHBand="0" w:evenHBand="0" w:firstRowFirstColumn="0" w:firstRowLastColumn="0" w:lastRowFirstColumn="0" w:lastRowLastColumn="0"/>
              <w:rPr>
                <w:highlight w:val="yellow"/>
              </w:rPr>
            </w:pPr>
            <w:r>
              <w:rPr>
                <w:bCs/>
              </w:rPr>
              <w:t>0</w:t>
            </w:r>
          </w:p>
        </w:tc>
      </w:tr>
      <w:tr w:rsidR="0017710A" w:rsidRPr="00764135" w14:paraId="463D792C" w14:textId="77777777" w:rsidTr="006F595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63" w:type="pct"/>
          </w:tcPr>
          <w:p w14:paraId="27640D17" w14:textId="77777777" w:rsidR="0017710A" w:rsidRPr="008E5BAA" w:rsidRDefault="0017710A" w:rsidP="0017710A">
            <w:pPr>
              <w:pStyle w:val="10Tabletext"/>
              <w:rPr>
                <w:b w:val="0"/>
                <w:bCs w:val="0"/>
              </w:rPr>
            </w:pPr>
            <w:r w:rsidRPr="008E5BAA">
              <w:rPr>
                <w:b w:val="0"/>
                <w:bCs w:val="0"/>
              </w:rPr>
              <w:t>Whip of the Third Party in the Assembly</w:t>
            </w:r>
          </w:p>
        </w:tc>
        <w:tc>
          <w:tcPr>
            <w:tcW w:w="1313" w:type="pct"/>
            <w:shd w:val="clear" w:color="auto" w:fill="auto"/>
            <w:vAlign w:val="top"/>
          </w:tcPr>
          <w:p w14:paraId="4456F42E" w14:textId="2F4E8929" w:rsidR="0017710A" w:rsidRPr="0017710A" w:rsidRDefault="0017710A" w:rsidP="006F5958">
            <w:pPr>
              <w:pStyle w:val="10Tabletext"/>
              <w:jc w:val="right"/>
              <w:cnfStyle w:val="000000100000" w:firstRow="0" w:lastRow="0" w:firstColumn="0" w:lastColumn="0" w:oddVBand="0" w:evenVBand="0" w:oddHBand="1" w:evenHBand="0" w:firstRowFirstColumn="0" w:firstRowLastColumn="0" w:lastRowFirstColumn="0" w:lastRowLastColumn="0"/>
              <w:rPr>
                <w:rFonts w:cs="Calibri Light"/>
                <w:highlight w:val="yellow"/>
              </w:rPr>
            </w:pPr>
            <w:r w:rsidRPr="0017710A">
              <w:rPr>
                <w:rFonts w:cs="Calibri Light"/>
                <w:color w:val="000000"/>
              </w:rPr>
              <w:t>22,638</w:t>
            </w:r>
          </w:p>
        </w:tc>
        <w:tc>
          <w:tcPr>
            <w:tcW w:w="1524" w:type="pct"/>
            <w:shd w:val="clear" w:color="auto" w:fill="auto"/>
            <w:vAlign w:val="top"/>
          </w:tcPr>
          <w:p w14:paraId="56E264AF" w14:textId="1654FBFE" w:rsidR="0017710A" w:rsidRPr="00764135" w:rsidRDefault="0017710A" w:rsidP="0017710A">
            <w:pPr>
              <w:pStyle w:val="10Tabletext"/>
              <w:jc w:val="right"/>
              <w:cnfStyle w:val="000000100000" w:firstRow="0" w:lastRow="0" w:firstColumn="0" w:lastColumn="0" w:oddVBand="0" w:evenVBand="0" w:oddHBand="1" w:evenHBand="0" w:firstRowFirstColumn="0" w:firstRowLastColumn="0" w:lastRowFirstColumn="0" w:lastRowLastColumn="0"/>
              <w:rPr>
                <w:highlight w:val="yellow"/>
              </w:rPr>
            </w:pPr>
            <w:r>
              <w:rPr>
                <w:bCs/>
              </w:rPr>
              <w:t>0</w:t>
            </w:r>
          </w:p>
        </w:tc>
      </w:tr>
      <w:tr w:rsidR="0017710A" w:rsidRPr="00764135" w14:paraId="6238C4B0" w14:textId="77777777" w:rsidTr="006F5958">
        <w:trPr>
          <w:cantSplit/>
        </w:trPr>
        <w:tc>
          <w:tcPr>
            <w:cnfStyle w:val="001000000000" w:firstRow="0" w:lastRow="0" w:firstColumn="1" w:lastColumn="0" w:oddVBand="0" w:evenVBand="0" w:oddHBand="0" w:evenHBand="0" w:firstRowFirstColumn="0" w:firstRowLastColumn="0" w:lastRowFirstColumn="0" w:lastRowLastColumn="0"/>
            <w:tcW w:w="2163" w:type="pct"/>
          </w:tcPr>
          <w:p w14:paraId="3F5E6088" w14:textId="77777777" w:rsidR="0017710A" w:rsidRPr="008E5BAA" w:rsidRDefault="0017710A" w:rsidP="0017710A">
            <w:pPr>
              <w:pStyle w:val="10Tabletext"/>
              <w:rPr>
                <w:b w:val="0"/>
                <w:bCs w:val="0"/>
              </w:rPr>
            </w:pPr>
            <w:r w:rsidRPr="008E5BAA">
              <w:rPr>
                <w:b w:val="0"/>
                <w:bCs w:val="0"/>
              </w:rPr>
              <w:t>Whip of the Third Party in the Council</w:t>
            </w:r>
          </w:p>
        </w:tc>
        <w:tc>
          <w:tcPr>
            <w:tcW w:w="1313" w:type="pct"/>
            <w:shd w:val="clear" w:color="auto" w:fill="auto"/>
            <w:vAlign w:val="top"/>
          </w:tcPr>
          <w:p w14:paraId="22AA0931" w14:textId="72F0C1A2" w:rsidR="0017710A" w:rsidRPr="0017710A" w:rsidRDefault="0017710A" w:rsidP="006F5958">
            <w:pPr>
              <w:pStyle w:val="10Tabletext"/>
              <w:jc w:val="right"/>
              <w:cnfStyle w:val="000000000000" w:firstRow="0" w:lastRow="0" w:firstColumn="0" w:lastColumn="0" w:oddVBand="0" w:evenVBand="0" w:oddHBand="0" w:evenHBand="0" w:firstRowFirstColumn="0" w:firstRowLastColumn="0" w:lastRowFirstColumn="0" w:lastRowLastColumn="0"/>
              <w:rPr>
                <w:rFonts w:cs="Calibri Light"/>
                <w:highlight w:val="yellow"/>
              </w:rPr>
            </w:pPr>
            <w:r w:rsidRPr="0017710A">
              <w:rPr>
                <w:rFonts w:cs="Calibri Light"/>
                <w:color w:val="000000"/>
              </w:rPr>
              <w:t>22,638</w:t>
            </w:r>
          </w:p>
        </w:tc>
        <w:tc>
          <w:tcPr>
            <w:tcW w:w="1524" w:type="pct"/>
            <w:shd w:val="clear" w:color="auto" w:fill="auto"/>
            <w:vAlign w:val="top"/>
          </w:tcPr>
          <w:p w14:paraId="702F50B9" w14:textId="104F8487" w:rsidR="0017710A" w:rsidRPr="00764135" w:rsidRDefault="0017710A" w:rsidP="0017710A">
            <w:pPr>
              <w:pStyle w:val="10Tabletext"/>
              <w:jc w:val="right"/>
              <w:cnfStyle w:val="000000000000" w:firstRow="0" w:lastRow="0" w:firstColumn="0" w:lastColumn="0" w:oddVBand="0" w:evenVBand="0" w:oddHBand="0" w:evenHBand="0" w:firstRowFirstColumn="0" w:firstRowLastColumn="0" w:lastRowFirstColumn="0" w:lastRowLastColumn="0"/>
              <w:rPr>
                <w:highlight w:val="yellow"/>
              </w:rPr>
            </w:pPr>
            <w:r>
              <w:rPr>
                <w:bCs/>
              </w:rPr>
              <w:t>0</w:t>
            </w:r>
          </w:p>
        </w:tc>
      </w:tr>
      <w:tr w:rsidR="006F5958" w:rsidRPr="00764135" w14:paraId="3D0B101B" w14:textId="77777777" w:rsidTr="006F595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63" w:type="pct"/>
          </w:tcPr>
          <w:p w14:paraId="10202635" w14:textId="2B09F4C3" w:rsidR="006F5958" w:rsidRPr="008E5BAA" w:rsidRDefault="006F5958" w:rsidP="006F5958">
            <w:pPr>
              <w:pStyle w:val="10Tabletext"/>
              <w:rPr>
                <w:b w:val="0"/>
                <w:bCs w:val="0"/>
              </w:rPr>
            </w:pPr>
            <w:r w:rsidRPr="008E5BAA">
              <w:rPr>
                <w:b w:val="0"/>
                <w:bCs w:val="0"/>
              </w:rPr>
              <w:t>Secretary of the Party forming</w:t>
            </w:r>
            <w:r w:rsidR="00BC4689">
              <w:rPr>
                <w:b w:val="0"/>
                <w:bCs w:val="0"/>
              </w:rPr>
              <w:t xml:space="preserve"> </w:t>
            </w:r>
            <w:r w:rsidRPr="008E5BAA">
              <w:rPr>
                <w:b w:val="0"/>
                <w:bCs w:val="0"/>
              </w:rPr>
              <w:t>the Government</w:t>
            </w:r>
          </w:p>
        </w:tc>
        <w:tc>
          <w:tcPr>
            <w:tcW w:w="1313" w:type="pct"/>
            <w:shd w:val="clear" w:color="auto" w:fill="auto"/>
            <w:vAlign w:val="top"/>
          </w:tcPr>
          <w:p w14:paraId="3C6675E1" w14:textId="19415898" w:rsidR="006F5958" w:rsidRPr="006F5958" w:rsidRDefault="006F5958" w:rsidP="006F5958">
            <w:pPr>
              <w:pStyle w:val="10Tabletext"/>
              <w:jc w:val="right"/>
              <w:cnfStyle w:val="000000100000" w:firstRow="0" w:lastRow="0" w:firstColumn="0" w:lastColumn="0" w:oddVBand="0" w:evenVBand="0" w:oddHBand="1" w:evenHBand="0" w:firstRowFirstColumn="0" w:firstRowLastColumn="0" w:lastRowFirstColumn="0" w:lastRowLastColumn="0"/>
              <w:rPr>
                <w:rFonts w:cs="Calibri Light"/>
                <w:highlight w:val="yellow"/>
              </w:rPr>
            </w:pPr>
            <w:r w:rsidRPr="006F5958">
              <w:rPr>
                <w:rFonts w:cs="Calibri Light"/>
                <w:color w:val="000000"/>
              </w:rPr>
              <w:t>8,232</w:t>
            </w:r>
          </w:p>
        </w:tc>
        <w:tc>
          <w:tcPr>
            <w:tcW w:w="1524" w:type="pct"/>
            <w:shd w:val="clear" w:color="auto" w:fill="auto"/>
            <w:vAlign w:val="top"/>
          </w:tcPr>
          <w:p w14:paraId="41C4FC2D" w14:textId="2DB073C6" w:rsidR="006F5958" w:rsidRPr="00956CDA" w:rsidRDefault="006F5958" w:rsidP="006F5958">
            <w:pPr>
              <w:pStyle w:val="10Tabletext"/>
              <w:jc w:val="right"/>
              <w:cnfStyle w:val="000000100000" w:firstRow="0" w:lastRow="0" w:firstColumn="0" w:lastColumn="0" w:oddVBand="0" w:evenVBand="0" w:oddHBand="1" w:evenHBand="0" w:firstRowFirstColumn="0" w:firstRowLastColumn="0" w:lastRowFirstColumn="0" w:lastRowLastColumn="0"/>
            </w:pPr>
            <w:r w:rsidRPr="00956CDA">
              <w:t>0</w:t>
            </w:r>
          </w:p>
        </w:tc>
      </w:tr>
      <w:tr w:rsidR="006F5958" w:rsidRPr="00764135" w14:paraId="1F9D92F1" w14:textId="77777777" w:rsidTr="006F5958">
        <w:trPr>
          <w:cantSplit/>
        </w:trPr>
        <w:tc>
          <w:tcPr>
            <w:cnfStyle w:val="001000000000" w:firstRow="0" w:lastRow="0" w:firstColumn="1" w:lastColumn="0" w:oddVBand="0" w:evenVBand="0" w:oddHBand="0" w:evenHBand="0" w:firstRowFirstColumn="0" w:firstRowLastColumn="0" w:lastRowFirstColumn="0" w:lastRowLastColumn="0"/>
            <w:tcW w:w="2163" w:type="pct"/>
          </w:tcPr>
          <w:p w14:paraId="6C75B9C4" w14:textId="77777777" w:rsidR="006F5958" w:rsidRPr="008E5BAA" w:rsidRDefault="006F5958" w:rsidP="006F5958">
            <w:pPr>
              <w:pStyle w:val="10Tabletext"/>
              <w:rPr>
                <w:b w:val="0"/>
                <w:bCs w:val="0"/>
              </w:rPr>
            </w:pPr>
            <w:r w:rsidRPr="008E5BAA">
              <w:rPr>
                <w:b w:val="0"/>
                <w:bCs w:val="0"/>
              </w:rPr>
              <w:t>Secretary of the Opposition Party</w:t>
            </w:r>
          </w:p>
        </w:tc>
        <w:tc>
          <w:tcPr>
            <w:tcW w:w="1313" w:type="pct"/>
            <w:shd w:val="clear" w:color="auto" w:fill="auto"/>
            <w:vAlign w:val="top"/>
          </w:tcPr>
          <w:p w14:paraId="7B648BDC" w14:textId="7AF072B1" w:rsidR="006F5958" w:rsidRPr="006F5958" w:rsidRDefault="006F5958" w:rsidP="006F5958">
            <w:pPr>
              <w:pStyle w:val="10Tabletext"/>
              <w:jc w:val="right"/>
              <w:cnfStyle w:val="000000000000" w:firstRow="0" w:lastRow="0" w:firstColumn="0" w:lastColumn="0" w:oddVBand="0" w:evenVBand="0" w:oddHBand="0" w:evenHBand="0" w:firstRowFirstColumn="0" w:firstRowLastColumn="0" w:lastRowFirstColumn="0" w:lastRowLastColumn="0"/>
              <w:rPr>
                <w:rFonts w:cs="Calibri Light"/>
                <w:highlight w:val="yellow"/>
              </w:rPr>
            </w:pPr>
            <w:r w:rsidRPr="006F5958">
              <w:rPr>
                <w:rFonts w:cs="Calibri Light"/>
                <w:color w:val="000000"/>
              </w:rPr>
              <w:t>8,232</w:t>
            </w:r>
          </w:p>
        </w:tc>
        <w:tc>
          <w:tcPr>
            <w:tcW w:w="1524" w:type="pct"/>
            <w:shd w:val="clear" w:color="auto" w:fill="auto"/>
            <w:vAlign w:val="top"/>
          </w:tcPr>
          <w:p w14:paraId="5B567A45" w14:textId="39F17D11" w:rsidR="006F5958" w:rsidRPr="00956CDA" w:rsidRDefault="006F5958" w:rsidP="006F5958">
            <w:pPr>
              <w:pStyle w:val="10Tabletext"/>
              <w:jc w:val="right"/>
              <w:cnfStyle w:val="000000000000" w:firstRow="0" w:lastRow="0" w:firstColumn="0" w:lastColumn="0" w:oddVBand="0" w:evenVBand="0" w:oddHBand="0" w:evenHBand="0" w:firstRowFirstColumn="0" w:firstRowLastColumn="0" w:lastRowFirstColumn="0" w:lastRowLastColumn="0"/>
            </w:pPr>
            <w:r w:rsidRPr="00956CDA">
              <w:t>0</w:t>
            </w:r>
          </w:p>
        </w:tc>
      </w:tr>
      <w:tr w:rsidR="006F5958" w:rsidRPr="00764135" w14:paraId="6B0E6EF0" w14:textId="77777777" w:rsidTr="006F595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63" w:type="pct"/>
          </w:tcPr>
          <w:p w14:paraId="7B1AF446" w14:textId="77777777" w:rsidR="006F5958" w:rsidRPr="008E5BAA" w:rsidRDefault="006F5958" w:rsidP="006F5958">
            <w:pPr>
              <w:pStyle w:val="10Tabletext"/>
              <w:rPr>
                <w:b w:val="0"/>
                <w:bCs w:val="0"/>
              </w:rPr>
            </w:pPr>
            <w:r w:rsidRPr="008E5BAA">
              <w:rPr>
                <w:b w:val="0"/>
                <w:bCs w:val="0"/>
              </w:rPr>
              <w:t>Secretary of the Third Party</w:t>
            </w:r>
          </w:p>
        </w:tc>
        <w:tc>
          <w:tcPr>
            <w:tcW w:w="1313" w:type="pct"/>
            <w:shd w:val="clear" w:color="auto" w:fill="auto"/>
            <w:vAlign w:val="top"/>
          </w:tcPr>
          <w:p w14:paraId="541A21A2" w14:textId="756CE855" w:rsidR="006F5958" w:rsidRPr="006F5958" w:rsidRDefault="006F5958" w:rsidP="006F5958">
            <w:pPr>
              <w:pStyle w:val="10Tabletext"/>
              <w:jc w:val="right"/>
              <w:cnfStyle w:val="000000100000" w:firstRow="0" w:lastRow="0" w:firstColumn="0" w:lastColumn="0" w:oddVBand="0" w:evenVBand="0" w:oddHBand="1" w:evenHBand="0" w:firstRowFirstColumn="0" w:firstRowLastColumn="0" w:lastRowFirstColumn="0" w:lastRowLastColumn="0"/>
              <w:rPr>
                <w:rFonts w:cs="Calibri Light"/>
                <w:highlight w:val="yellow"/>
              </w:rPr>
            </w:pPr>
            <w:r w:rsidRPr="006F5958">
              <w:rPr>
                <w:rFonts w:cs="Calibri Light"/>
                <w:color w:val="000000"/>
              </w:rPr>
              <w:t>8,232</w:t>
            </w:r>
          </w:p>
        </w:tc>
        <w:tc>
          <w:tcPr>
            <w:tcW w:w="1524" w:type="pct"/>
            <w:shd w:val="clear" w:color="auto" w:fill="auto"/>
            <w:vAlign w:val="top"/>
          </w:tcPr>
          <w:p w14:paraId="0989159A" w14:textId="448DD40A" w:rsidR="006F5958" w:rsidRPr="00956CDA" w:rsidRDefault="006F5958" w:rsidP="006F5958">
            <w:pPr>
              <w:pStyle w:val="10Tabletext"/>
              <w:jc w:val="right"/>
              <w:cnfStyle w:val="000000100000" w:firstRow="0" w:lastRow="0" w:firstColumn="0" w:lastColumn="0" w:oddVBand="0" w:evenVBand="0" w:oddHBand="1" w:evenHBand="0" w:firstRowFirstColumn="0" w:firstRowLastColumn="0" w:lastRowFirstColumn="0" w:lastRowLastColumn="0"/>
            </w:pPr>
            <w:r w:rsidRPr="00956CDA">
              <w:t>0</w:t>
            </w:r>
          </w:p>
        </w:tc>
      </w:tr>
      <w:tr w:rsidR="006F5958" w:rsidRPr="00764135" w14:paraId="658A9DDC" w14:textId="77777777" w:rsidTr="006F5958">
        <w:trPr>
          <w:cantSplit/>
        </w:trPr>
        <w:tc>
          <w:tcPr>
            <w:cnfStyle w:val="001000000000" w:firstRow="0" w:lastRow="0" w:firstColumn="1" w:lastColumn="0" w:oddVBand="0" w:evenVBand="0" w:oddHBand="0" w:evenHBand="0" w:firstRowFirstColumn="0" w:firstRowLastColumn="0" w:lastRowFirstColumn="0" w:lastRowLastColumn="0"/>
            <w:tcW w:w="2163" w:type="pct"/>
          </w:tcPr>
          <w:p w14:paraId="23C2DDA8" w14:textId="77777777" w:rsidR="006F5958" w:rsidRPr="008E5BAA" w:rsidRDefault="006F5958" w:rsidP="006F5958">
            <w:pPr>
              <w:pStyle w:val="10Tabletext"/>
              <w:rPr>
                <w:b w:val="0"/>
                <w:bCs w:val="0"/>
              </w:rPr>
            </w:pPr>
            <w:r w:rsidRPr="008E5BAA">
              <w:rPr>
                <w:b w:val="0"/>
                <w:bCs w:val="0"/>
              </w:rPr>
              <w:t>Chairperson of the Public Accounts and Estimates Committee</w:t>
            </w:r>
          </w:p>
        </w:tc>
        <w:tc>
          <w:tcPr>
            <w:tcW w:w="1313" w:type="pct"/>
            <w:shd w:val="clear" w:color="auto" w:fill="auto"/>
            <w:vAlign w:val="top"/>
          </w:tcPr>
          <w:p w14:paraId="05BE423D" w14:textId="6E1A04C7" w:rsidR="006F5958" w:rsidRPr="006F5958" w:rsidRDefault="006F5958" w:rsidP="006F5958">
            <w:pPr>
              <w:pStyle w:val="10Tabletext"/>
              <w:jc w:val="right"/>
              <w:cnfStyle w:val="000000000000" w:firstRow="0" w:lastRow="0" w:firstColumn="0" w:lastColumn="0" w:oddVBand="0" w:evenVBand="0" w:oddHBand="0" w:evenHBand="0" w:firstRowFirstColumn="0" w:firstRowLastColumn="0" w:lastRowFirstColumn="0" w:lastRowLastColumn="0"/>
              <w:rPr>
                <w:rFonts w:cs="Calibri Light"/>
                <w:highlight w:val="yellow"/>
              </w:rPr>
            </w:pPr>
            <w:r w:rsidRPr="006F5958">
              <w:rPr>
                <w:rFonts w:cs="Calibri Light"/>
                <w:color w:val="000000"/>
              </w:rPr>
              <w:t>41,160</w:t>
            </w:r>
          </w:p>
        </w:tc>
        <w:tc>
          <w:tcPr>
            <w:tcW w:w="1524" w:type="pct"/>
            <w:shd w:val="clear" w:color="auto" w:fill="auto"/>
            <w:vAlign w:val="top"/>
          </w:tcPr>
          <w:p w14:paraId="6EFFC738" w14:textId="432BE4E1" w:rsidR="006F5958" w:rsidRPr="00956CDA" w:rsidRDefault="006F5958" w:rsidP="006F5958">
            <w:pPr>
              <w:pStyle w:val="10Tabletext"/>
              <w:jc w:val="right"/>
              <w:cnfStyle w:val="000000000000" w:firstRow="0" w:lastRow="0" w:firstColumn="0" w:lastColumn="0" w:oddVBand="0" w:evenVBand="0" w:oddHBand="0" w:evenHBand="0" w:firstRowFirstColumn="0" w:firstRowLastColumn="0" w:lastRowFirstColumn="0" w:lastRowLastColumn="0"/>
            </w:pPr>
            <w:r w:rsidRPr="00956CDA">
              <w:t>0</w:t>
            </w:r>
          </w:p>
        </w:tc>
      </w:tr>
      <w:tr w:rsidR="006F5958" w:rsidRPr="00764135" w14:paraId="11B4B931" w14:textId="77777777" w:rsidTr="006F595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63" w:type="pct"/>
          </w:tcPr>
          <w:p w14:paraId="11D6FE21" w14:textId="77777777" w:rsidR="006F5958" w:rsidRPr="008E5BAA" w:rsidRDefault="006F5958" w:rsidP="006F5958">
            <w:pPr>
              <w:pStyle w:val="10Tabletext"/>
              <w:rPr>
                <w:b w:val="0"/>
                <w:bCs w:val="0"/>
              </w:rPr>
            </w:pPr>
            <w:r w:rsidRPr="008E5BAA">
              <w:rPr>
                <w:b w:val="0"/>
                <w:bCs w:val="0"/>
              </w:rPr>
              <w:lastRenderedPageBreak/>
              <w:t>Chairperson of the Scrutiny of Acts and Regulations Committee</w:t>
            </w:r>
          </w:p>
        </w:tc>
        <w:tc>
          <w:tcPr>
            <w:tcW w:w="1313" w:type="pct"/>
            <w:shd w:val="clear" w:color="auto" w:fill="auto"/>
            <w:vAlign w:val="top"/>
          </w:tcPr>
          <w:p w14:paraId="7FDFFF77" w14:textId="789743BE" w:rsidR="006F5958" w:rsidRPr="006F5958" w:rsidRDefault="006F5958" w:rsidP="006F5958">
            <w:pPr>
              <w:pStyle w:val="10Tabletext"/>
              <w:jc w:val="right"/>
              <w:cnfStyle w:val="000000100000" w:firstRow="0" w:lastRow="0" w:firstColumn="0" w:lastColumn="0" w:oddVBand="0" w:evenVBand="0" w:oddHBand="1" w:evenHBand="0" w:firstRowFirstColumn="0" w:firstRowLastColumn="0" w:lastRowFirstColumn="0" w:lastRowLastColumn="0"/>
              <w:rPr>
                <w:rFonts w:cs="Calibri Light"/>
                <w:highlight w:val="yellow"/>
              </w:rPr>
            </w:pPr>
            <w:r w:rsidRPr="006F5958">
              <w:rPr>
                <w:rFonts w:cs="Calibri Light"/>
                <w:color w:val="000000"/>
              </w:rPr>
              <w:t>30,870</w:t>
            </w:r>
          </w:p>
        </w:tc>
        <w:tc>
          <w:tcPr>
            <w:tcW w:w="1524" w:type="pct"/>
            <w:shd w:val="clear" w:color="auto" w:fill="auto"/>
            <w:vAlign w:val="top"/>
          </w:tcPr>
          <w:p w14:paraId="4F58835F" w14:textId="275D596B" w:rsidR="006F5958" w:rsidRPr="00956CDA" w:rsidRDefault="006F5958" w:rsidP="006F5958">
            <w:pPr>
              <w:pStyle w:val="10Tabletext"/>
              <w:jc w:val="right"/>
              <w:cnfStyle w:val="000000100000" w:firstRow="0" w:lastRow="0" w:firstColumn="0" w:lastColumn="0" w:oddVBand="0" w:evenVBand="0" w:oddHBand="1" w:evenHBand="0" w:firstRowFirstColumn="0" w:firstRowLastColumn="0" w:lastRowFirstColumn="0" w:lastRowLastColumn="0"/>
            </w:pPr>
            <w:r w:rsidRPr="00956CDA">
              <w:t>0</w:t>
            </w:r>
          </w:p>
        </w:tc>
      </w:tr>
      <w:tr w:rsidR="006F5958" w:rsidRPr="00764135" w14:paraId="2619F77A" w14:textId="77777777" w:rsidTr="006F5958">
        <w:trPr>
          <w:cantSplit/>
        </w:trPr>
        <w:tc>
          <w:tcPr>
            <w:cnfStyle w:val="001000000000" w:firstRow="0" w:lastRow="0" w:firstColumn="1" w:lastColumn="0" w:oddVBand="0" w:evenVBand="0" w:oddHBand="0" w:evenHBand="0" w:firstRowFirstColumn="0" w:firstRowLastColumn="0" w:lastRowFirstColumn="0" w:lastRowLastColumn="0"/>
            <w:tcW w:w="2163" w:type="pct"/>
          </w:tcPr>
          <w:p w14:paraId="5D3152EF" w14:textId="77777777" w:rsidR="006F5958" w:rsidRPr="008E5BAA" w:rsidRDefault="006F5958" w:rsidP="006F5958">
            <w:pPr>
              <w:pStyle w:val="10Tabletext"/>
              <w:rPr>
                <w:b w:val="0"/>
                <w:bCs w:val="0"/>
              </w:rPr>
            </w:pPr>
            <w:r w:rsidRPr="008E5BAA">
              <w:rPr>
                <w:b w:val="0"/>
                <w:bCs w:val="0"/>
              </w:rPr>
              <w:t>Chairperson of the Integrity and Oversight Committee</w:t>
            </w:r>
          </w:p>
        </w:tc>
        <w:tc>
          <w:tcPr>
            <w:tcW w:w="1313" w:type="pct"/>
            <w:shd w:val="clear" w:color="auto" w:fill="auto"/>
            <w:vAlign w:val="top"/>
          </w:tcPr>
          <w:p w14:paraId="48477543" w14:textId="44AE6B33" w:rsidR="006F5958" w:rsidRPr="006F5958" w:rsidRDefault="006F5958" w:rsidP="006F5958">
            <w:pPr>
              <w:pStyle w:val="10Tabletext"/>
              <w:jc w:val="right"/>
              <w:cnfStyle w:val="000000000000" w:firstRow="0" w:lastRow="0" w:firstColumn="0" w:lastColumn="0" w:oddVBand="0" w:evenVBand="0" w:oddHBand="0" w:evenHBand="0" w:firstRowFirstColumn="0" w:firstRowLastColumn="0" w:lastRowFirstColumn="0" w:lastRowLastColumn="0"/>
              <w:rPr>
                <w:rFonts w:cs="Calibri Light"/>
                <w:highlight w:val="yellow"/>
              </w:rPr>
            </w:pPr>
            <w:r w:rsidRPr="006F5958">
              <w:rPr>
                <w:rFonts w:cs="Calibri Light"/>
                <w:color w:val="000000"/>
              </w:rPr>
              <w:t>30,870</w:t>
            </w:r>
          </w:p>
        </w:tc>
        <w:tc>
          <w:tcPr>
            <w:tcW w:w="1524" w:type="pct"/>
            <w:shd w:val="clear" w:color="auto" w:fill="auto"/>
            <w:vAlign w:val="top"/>
          </w:tcPr>
          <w:p w14:paraId="786A6E64" w14:textId="776E9B95" w:rsidR="006F5958" w:rsidRPr="00956CDA" w:rsidRDefault="006F5958" w:rsidP="006F5958">
            <w:pPr>
              <w:pStyle w:val="10Tabletext"/>
              <w:jc w:val="right"/>
              <w:cnfStyle w:val="000000000000" w:firstRow="0" w:lastRow="0" w:firstColumn="0" w:lastColumn="0" w:oddVBand="0" w:evenVBand="0" w:oddHBand="0" w:evenHBand="0" w:firstRowFirstColumn="0" w:firstRowLastColumn="0" w:lastRowFirstColumn="0" w:lastRowLastColumn="0"/>
            </w:pPr>
            <w:r w:rsidRPr="00956CDA">
              <w:t>0</w:t>
            </w:r>
          </w:p>
        </w:tc>
      </w:tr>
      <w:tr w:rsidR="006F5958" w:rsidRPr="00764135" w14:paraId="39DBDE5C" w14:textId="77777777" w:rsidTr="006F595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63" w:type="pct"/>
          </w:tcPr>
          <w:p w14:paraId="4D37D49E" w14:textId="77777777" w:rsidR="006F5958" w:rsidRPr="008E5BAA" w:rsidRDefault="006F5958" w:rsidP="006F5958">
            <w:pPr>
              <w:pStyle w:val="10Tabletext"/>
              <w:rPr>
                <w:b w:val="0"/>
                <w:bCs w:val="0"/>
              </w:rPr>
            </w:pPr>
            <w:r w:rsidRPr="008E5BAA">
              <w:rPr>
                <w:b w:val="0"/>
                <w:bCs w:val="0"/>
              </w:rPr>
              <w:t xml:space="preserve">Chairperson of a standing committee appointed under standing order of the Assembly or the Council </w:t>
            </w:r>
          </w:p>
        </w:tc>
        <w:tc>
          <w:tcPr>
            <w:tcW w:w="1313" w:type="pct"/>
            <w:shd w:val="clear" w:color="auto" w:fill="auto"/>
            <w:vAlign w:val="top"/>
          </w:tcPr>
          <w:p w14:paraId="71E48E4F" w14:textId="00437294" w:rsidR="006F5958" w:rsidRPr="006F5958" w:rsidRDefault="006F5958" w:rsidP="006F5958">
            <w:pPr>
              <w:pStyle w:val="10Tabletext"/>
              <w:jc w:val="right"/>
              <w:cnfStyle w:val="000000100000" w:firstRow="0" w:lastRow="0" w:firstColumn="0" w:lastColumn="0" w:oddVBand="0" w:evenVBand="0" w:oddHBand="1" w:evenHBand="0" w:firstRowFirstColumn="0" w:firstRowLastColumn="0" w:lastRowFirstColumn="0" w:lastRowLastColumn="0"/>
              <w:rPr>
                <w:rFonts w:cs="Calibri Light"/>
                <w:highlight w:val="yellow"/>
              </w:rPr>
            </w:pPr>
            <w:r w:rsidRPr="006F5958">
              <w:rPr>
                <w:rFonts w:cs="Calibri Light"/>
                <w:color w:val="000000"/>
              </w:rPr>
              <w:t>20,579</w:t>
            </w:r>
          </w:p>
        </w:tc>
        <w:tc>
          <w:tcPr>
            <w:tcW w:w="1524" w:type="pct"/>
            <w:shd w:val="clear" w:color="auto" w:fill="auto"/>
            <w:vAlign w:val="top"/>
          </w:tcPr>
          <w:p w14:paraId="68344F87" w14:textId="449D3471" w:rsidR="006F5958" w:rsidRPr="00956CDA" w:rsidRDefault="006F5958" w:rsidP="006F5958">
            <w:pPr>
              <w:pStyle w:val="10Tabletext"/>
              <w:jc w:val="right"/>
              <w:cnfStyle w:val="000000100000" w:firstRow="0" w:lastRow="0" w:firstColumn="0" w:lastColumn="0" w:oddVBand="0" w:evenVBand="0" w:oddHBand="1" w:evenHBand="0" w:firstRowFirstColumn="0" w:firstRowLastColumn="0" w:lastRowFirstColumn="0" w:lastRowLastColumn="0"/>
            </w:pPr>
            <w:r w:rsidRPr="00956CDA">
              <w:t>0</w:t>
            </w:r>
          </w:p>
        </w:tc>
      </w:tr>
      <w:tr w:rsidR="006F5958" w:rsidRPr="00764135" w14:paraId="2BEACEE8" w14:textId="77777777" w:rsidTr="006F5958">
        <w:trPr>
          <w:cantSplit/>
        </w:trPr>
        <w:tc>
          <w:tcPr>
            <w:cnfStyle w:val="001000000000" w:firstRow="0" w:lastRow="0" w:firstColumn="1" w:lastColumn="0" w:oddVBand="0" w:evenVBand="0" w:oddHBand="0" w:evenHBand="0" w:firstRowFirstColumn="0" w:firstRowLastColumn="0" w:lastRowFirstColumn="0" w:lastRowLastColumn="0"/>
            <w:tcW w:w="2163" w:type="pct"/>
          </w:tcPr>
          <w:p w14:paraId="42EE53FA" w14:textId="77777777" w:rsidR="006F5958" w:rsidRPr="008E5BAA" w:rsidRDefault="006F5958" w:rsidP="006F5958">
            <w:pPr>
              <w:pStyle w:val="10Tabletext"/>
              <w:rPr>
                <w:b w:val="0"/>
                <w:bCs w:val="0"/>
              </w:rPr>
            </w:pPr>
            <w:r w:rsidRPr="008E5BAA">
              <w:rPr>
                <w:b w:val="0"/>
                <w:bCs w:val="0"/>
              </w:rPr>
              <w:t xml:space="preserve">Chairperson of a Joint Investigatory Committee within the meaning of the </w:t>
            </w:r>
            <w:r w:rsidRPr="008E5BAA">
              <w:rPr>
                <w:b w:val="0"/>
                <w:bCs w:val="0"/>
                <w:i/>
              </w:rPr>
              <w:t>Parliamentary Committees Act 2003</w:t>
            </w:r>
            <w:r w:rsidRPr="008E5BAA">
              <w:rPr>
                <w:b w:val="0"/>
                <w:bCs w:val="0"/>
              </w:rPr>
              <w:t xml:space="preserve"> (Vic) which is not otherwise provided for in this table</w:t>
            </w:r>
          </w:p>
        </w:tc>
        <w:tc>
          <w:tcPr>
            <w:tcW w:w="1313" w:type="pct"/>
            <w:shd w:val="clear" w:color="auto" w:fill="auto"/>
            <w:vAlign w:val="top"/>
          </w:tcPr>
          <w:p w14:paraId="4C186E85" w14:textId="6EBD8857" w:rsidR="006F5958" w:rsidRPr="006F5958" w:rsidRDefault="006F5958" w:rsidP="006F5958">
            <w:pPr>
              <w:pStyle w:val="10Tabletext"/>
              <w:jc w:val="right"/>
              <w:cnfStyle w:val="000000000000" w:firstRow="0" w:lastRow="0" w:firstColumn="0" w:lastColumn="0" w:oddVBand="0" w:evenVBand="0" w:oddHBand="0" w:evenHBand="0" w:firstRowFirstColumn="0" w:firstRowLastColumn="0" w:lastRowFirstColumn="0" w:lastRowLastColumn="0"/>
              <w:rPr>
                <w:rFonts w:cs="Calibri Light"/>
                <w:highlight w:val="yellow"/>
              </w:rPr>
            </w:pPr>
            <w:r w:rsidRPr="006F5958">
              <w:rPr>
                <w:rFonts w:cs="Calibri Light"/>
                <w:color w:val="000000"/>
              </w:rPr>
              <w:t>20,579</w:t>
            </w:r>
          </w:p>
        </w:tc>
        <w:tc>
          <w:tcPr>
            <w:tcW w:w="1524" w:type="pct"/>
            <w:shd w:val="clear" w:color="auto" w:fill="auto"/>
            <w:vAlign w:val="top"/>
          </w:tcPr>
          <w:p w14:paraId="6054AFD8" w14:textId="1BD5D4C1" w:rsidR="006F5958" w:rsidRPr="00956CDA" w:rsidRDefault="006F5958" w:rsidP="006F5958">
            <w:pPr>
              <w:pStyle w:val="10Tabletext"/>
              <w:jc w:val="right"/>
              <w:cnfStyle w:val="000000000000" w:firstRow="0" w:lastRow="0" w:firstColumn="0" w:lastColumn="0" w:oddVBand="0" w:evenVBand="0" w:oddHBand="0" w:evenHBand="0" w:firstRowFirstColumn="0" w:firstRowLastColumn="0" w:lastRowFirstColumn="0" w:lastRowLastColumn="0"/>
            </w:pPr>
            <w:r w:rsidRPr="00956CDA">
              <w:t>0</w:t>
            </w:r>
          </w:p>
        </w:tc>
      </w:tr>
      <w:tr w:rsidR="006F5958" w:rsidRPr="00764135" w14:paraId="2A5974E8" w14:textId="77777777" w:rsidTr="006F595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63" w:type="pct"/>
          </w:tcPr>
          <w:p w14:paraId="6A106129" w14:textId="77777777" w:rsidR="006F5958" w:rsidRPr="008E5BAA" w:rsidRDefault="006F5958" w:rsidP="006F5958">
            <w:pPr>
              <w:pStyle w:val="10Tabletext"/>
              <w:rPr>
                <w:b w:val="0"/>
                <w:bCs w:val="0"/>
              </w:rPr>
            </w:pPr>
            <w:r w:rsidRPr="008E5BAA">
              <w:rPr>
                <w:b w:val="0"/>
                <w:bCs w:val="0"/>
              </w:rPr>
              <w:t>Chairperson of joint select committee when resolution establishing committee so provides that chairperson is entitled</w:t>
            </w:r>
          </w:p>
        </w:tc>
        <w:tc>
          <w:tcPr>
            <w:tcW w:w="1313" w:type="pct"/>
            <w:shd w:val="clear" w:color="auto" w:fill="auto"/>
            <w:vAlign w:val="top"/>
          </w:tcPr>
          <w:p w14:paraId="116C5BA8" w14:textId="1FF0AA2F" w:rsidR="006F5958" w:rsidRPr="006F5958" w:rsidRDefault="006F5958" w:rsidP="006F5958">
            <w:pPr>
              <w:pStyle w:val="10Tabletext"/>
              <w:jc w:val="right"/>
              <w:cnfStyle w:val="000000100000" w:firstRow="0" w:lastRow="0" w:firstColumn="0" w:lastColumn="0" w:oddVBand="0" w:evenVBand="0" w:oddHBand="1" w:evenHBand="0" w:firstRowFirstColumn="0" w:firstRowLastColumn="0" w:lastRowFirstColumn="0" w:lastRowLastColumn="0"/>
              <w:rPr>
                <w:rFonts w:cs="Calibri Light"/>
                <w:highlight w:val="yellow"/>
              </w:rPr>
            </w:pPr>
            <w:r w:rsidRPr="006F5958">
              <w:rPr>
                <w:rFonts w:cs="Calibri Light"/>
                <w:color w:val="000000"/>
              </w:rPr>
              <w:t>10,290</w:t>
            </w:r>
          </w:p>
        </w:tc>
        <w:tc>
          <w:tcPr>
            <w:tcW w:w="1524" w:type="pct"/>
            <w:shd w:val="clear" w:color="auto" w:fill="auto"/>
            <w:vAlign w:val="top"/>
          </w:tcPr>
          <w:p w14:paraId="0504F5E1" w14:textId="0A88D1F0" w:rsidR="006F5958" w:rsidRPr="00956CDA" w:rsidRDefault="006F5958" w:rsidP="006F5958">
            <w:pPr>
              <w:pStyle w:val="10Tabletext"/>
              <w:jc w:val="right"/>
              <w:cnfStyle w:val="000000100000" w:firstRow="0" w:lastRow="0" w:firstColumn="0" w:lastColumn="0" w:oddVBand="0" w:evenVBand="0" w:oddHBand="1" w:evenHBand="0" w:firstRowFirstColumn="0" w:firstRowLastColumn="0" w:lastRowFirstColumn="0" w:lastRowLastColumn="0"/>
            </w:pPr>
            <w:r w:rsidRPr="00956CDA">
              <w:t>0</w:t>
            </w:r>
          </w:p>
        </w:tc>
      </w:tr>
      <w:tr w:rsidR="006F5958" w:rsidRPr="00764135" w14:paraId="79215F67" w14:textId="77777777" w:rsidTr="006F5958">
        <w:trPr>
          <w:cantSplit/>
        </w:trPr>
        <w:tc>
          <w:tcPr>
            <w:cnfStyle w:val="001000000000" w:firstRow="0" w:lastRow="0" w:firstColumn="1" w:lastColumn="0" w:oddVBand="0" w:evenVBand="0" w:oddHBand="0" w:evenHBand="0" w:firstRowFirstColumn="0" w:firstRowLastColumn="0" w:lastRowFirstColumn="0" w:lastRowLastColumn="0"/>
            <w:tcW w:w="2163" w:type="pct"/>
          </w:tcPr>
          <w:p w14:paraId="44E6BCA7" w14:textId="77777777" w:rsidR="006F5958" w:rsidRPr="008E5BAA" w:rsidRDefault="006F5958" w:rsidP="006F5958">
            <w:pPr>
              <w:pStyle w:val="10Tabletext"/>
              <w:rPr>
                <w:b w:val="0"/>
                <w:bCs w:val="0"/>
              </w:rPr>
            </w:pPr>
            <w:r w:rsidRPr="008E5BAA">
              <w:rPr>
                <w:b w:val="0"/>
                <w:bCs w:val="0"/>
              </w:rPr>
              <w:t>Deputy chairperson of the Public Accounts and Estimates Committee</w:t>
            </w:r>
          </w:p>
        </w:tc>
        <w:tc>
          <w:tcPr>
            <w:tcW w:w="1313" w:type="pct"/>
            <w:shd w:val="clear" w:color="auto" w:fill="auto"/>
            <w:vAlign w:val="top"/>
          </w:tcPr>
          <w:p w14:paraId="62E01A5F" w14:textId="6C3DF519" w:rsidR="006F5958" w:rsidRPr="006F5958" w:rsidRDefault="006F5958" w:rsidP="006F5958">
            <w:pPr>
              <w:pStyle w:val="10Tabletext"/>
              <w:jc w:val="right"/>
              <w:cnfStyle w:val="000000000000" w:firstRow="0" w:lastRow="0" w:firstColumn="0" w:lastColumn="0" w:oddVBand="0" w:evenVBand="0" w:oddHBand="0" w:evenHBand="0" w:firstRowFirstColumn="0" w:firstRowLastColumn="0" w:lastRowFirstColumn="0" w:lastRowLastColumn="0"/>
              <w:rPr>
                <w:rFonts w:cs="Calibri Light"/>
                <w:highlight w:val="yellow"/>
              </w:rPr>
            </w:pPr>
            <w:r w:rsidRPr="006F5958">
              <w:rPr>
                <w:rFonts w:cs="Calibri Light"/>
                <w:color w:val="000000"/>
              </w:rPr>
              <w:t>8,232</w:t>
            </w:r>
          </w:p>
        </w:tc>
        <w:tc>
          <w:tcPr>
            <w:tcW w:w="1524" w:type="pct"/>
            <w:shd w:val="clear" w:color="auto" w:fill="auto"/>
            <w:vAlign w:val="top"/>
          </w:tcPr>
          <w:p w14:paraId="4A60A832" w14:textId="6BA0E83D" w:rsidR="006F5958" w:rsidRPr="00956CDA" w:rsidRDefault="006F5958" w:rsidP="006F5958">
            <w:pPr>
              <w:pStyle w:val="10Tabletext"/>
              <w:jc w:val="right"/>
              <w:cnfStyle w:val="000000000000" w:firstRow="0" w:lastRow="0" w:firstColumn="0" w:lastColumn="0" w:oddVBand="0" w:evenVBand="0" w:oddHBand="0" w:evenHBand="0" w:firstRowFirstColumn="0" w:firstRowLastColumn="0" w:lastRowFirstColumn="0" w:lastRowLastColumn="0"/>
            </w:pPr>
            <w:r w:rsidRPr="00956CDA">
              <w:t>0</w:t>
            </w:r>
          </w:p>
        </w:tc>
      </w:tr>
      <w:tr w:rsidR="006F5958" w:rsidRPr="00764135" w14:paraId="325A2F58" w14:textId="77777777" w:rsidTr="006F595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63" w:type="pct"/>
          </w:tcPr>
          <w:p w14:paraId="1055D913" w14:textId="77777777" w:rsidR="006F5958" w:rsidRPr="008E5BAA" w:rsidRDefault="006F5958" w:rsidP="006F5958">
            <w:pPr>
              <w:pStyle w:val="10Tabletext"/>
              <w:rPr>
                <w:b w:val="0"/>
                <w:bCs w:val="0"/>
              </w:rPr>
            </w:pPr>
            <w:r w:rsidRPr="008E5BAA">
              <w:rPr>
                <w:b w:val="0"/>
                <w:bCs w:val="0"/>
              </w:rPr>
              <w:t>Deputy chairperson of the Scrutiny of Acts and Regulations Committee</w:t>
            </w:r>
          </w:p>
        </w:tc>
        <w:tc>
          <w:tcPr>
            <w:tcW w:w="1313" w:type="pct"/>
            <w:shd w:val="clear" w:color="auto" w:fill="auto"/>
            <w:vAlign w:val="top"/>
          </w:tcPr>
          <w:p w14:paraId="48755BAF" w14:textId="78246571" w:rsidR="006F5958" w:rsidRPr="006F5958" w:rsidRDefault="006F5958" w:rsidP="006F5958">
            <w:pPr>
              <w:pStyle w:val="10Tabletext"/>
              <w:jc w:val="right"/>
              <w:cnfStyle w:val="000000100000" w:firstRow="0" w:lastRow="0" w:firstColumn="0" w:lastColumn="0" w:oddVBand="0" w:evenVBand="0" w:oddHBand="1" w:evenHBand="0" w:firstRowFirstColumn="0" w:firstRowLastColumn="0" w:lastRowFirstColumn="0" w:lastRowLastColumn="0"/>
              <w:rPr>
                <w:rFonts w:cs="Calibri Light"/>
                <w:highlight w:val="yellow"/>
              </w:rPr>
            </w:pPr>
            <w:r w:rsidRPr="006F5958">
              <w:rPr>
                <w:rFonts w:cs="Calibri Light"/>
                <w:color w:val="000000"/>
              </w:rPr>
              <w:t>8,232</w:t>
            </w:r>
          </w:p>
        </w:tc>
        <w:tc>
          <w:tcPr>
            <w:tcW w:w="1524" w:type="pct"/>
            <w:shd w:val="clear" w:color="auto" w:fill="auto"/>
            <w:vAlign w:val="top"/>
          </w:tcPr>
          <w:p w14:paraId="594B21BD" w14:textId="1D309F29" w:rsidR="006F5958" w:rsidRPr="00956CDA" w:rsidRDefault="006F5958" w:rsidP="006F5958">
            <w:pPr>
              <w:pStyle w:val="10Tabletext"/>
              <w:jc w:val="right"/>
              <w:cnfStyle w:val="000000100000" w:firstRow="0" w:lastRow="0" w:firstColumn="0" w:lastColumn="0" w:oddVBand="0" w:evenVBand="0" w:oddHBand="1" w:evenHBand="0" w:firstRowFirstColumn="0" w:firstRowLastColumn="0" w:lastRowFirstColumn="0" w:lastRowLastColumn="0"/>
            </w:pPr>
            <w:r w:rsidRPr="00956CDA">
              <w:t>0</w:t>
            </w:r>
          </w:p>
        </w:tc>
      </w:tr>
      <w:tr w:rsidR="006F5958" w:rsidRPr="00764135" w14:paraId="77A44F20" w14:textId="77777777" w:rsidTr="006F5958">
        <w:trPr>
          <w:cantSplit/>
        </w:trPr>
        <w:tc>
          <w:tcPr>
            <w:cnfStyle w:val="001000000000" w:firstRow="0" w:lastRow="0" w:firstColumn="1" w:lastColumn="0" w:oddVBand="0" w:evenVBand="0" w:oddHBand="0" w:evenHBand="0" w:firstRowFirstColumn="0" w:firstRowLastColumn="0" w:lastRowFirstColumn="0" w:lastRowLastColumn="0"/>
            <w:tcW w:w="2163" w:type="pct"/>
          </w:tcPr>
          <w:p w14:paraId="48D71B16" w14:textId="77777777" w:rsidR="006F5958" w:rsidRPr="008E5BAA" w:rsidRDefault="006F5958" w:rsidP="006F5958">
            <w:pPr>
              <w:pStyle w:val="10Tabletext"/>
              <w:rPr>
                <w:b w:val="0"/>
                <w:bCs w:val="0"/>
              </w:rPr>
            </w:pPr>
            <w:r w:rsidRPr="008E5BAA">
              <w:rPr>
                <w:b w:val="0"/>
                <w:bCs w:val="0"/>
              </w:rPr>
              <w:t>Deputy chairperson of the Integrity and Oversight Committee</w:t>
            </w:r>
          </w:p>
        </w:tc>
        <w:tc>
          <w:tcPr>
            <w:tcW w:w="1313" w:type="pct"/>
            <w:shd w:val="clear" w:color="auto" w:fill="auto"/>
            <w:vAlign w:val="top"/>
          </w:tcPr>
          <w:p w14:paraId="7F36E5D8" w14:textId="2754995D" w:rsidR="006F5958" w:rsidRPr="006F5958" w:rsidRDefault="006F5958" w:rsidP="006F5958">
            <w:pPr>
              <w:pStyle w:val="10Tabletext"/>
              <w:jc w:val="right"/>
              <w:cnfStyle w:val="000000000000" w:firstRow="0" w:lastRow="0" w:firstColumn="0" w:lastColumn="0" w:oddVBand="0" w:evenVBand="0" w:oddHBand="0" w:evenHBand="0" w:firstRowFirstColumn="0" w:firstRowLastColumn="0" w:lastRowFirstColumn="0" w:lastRowLastColumn="0"/>
              <w:rPr>
                <w:rFonts w:cs="Calibri Light"/>
                <w:highlight w:val="yellow"/>
              </w:rPr>
            </w:pPr>
            <w:r w:rsidRPr="006F5958">
              <w:rPr>
                <w:rFonts w:cs="Calibri Light"/>
                <w:color w:val="000000"/>
              </w:rPr>
              <w:t>8,232</w:t>
            </w:r>
          </w:p>
        </w:tc>
        <w:tc>
          <w:tcPr>
            <w:tcW w:w="1524" w:type="pct"/>
            <w:shd w:val="clear" w:color="auto" w:fill="auto"/>
            <w:vAlign w:val="top"/>
          </w:tcPr>
          <w:p w14:paraId="781C7AEA" w14:textId="2F25F697" w:rsidR="006F5958" w:rsidRPr="00956CDA" w:rsidRDefault="006F5958" w:rsidP="006F5958">
            <w:pPr>
              <w:pStyle w:val="10Tabletext"/>
              <w:jc w:val="right"/>
              <w:cnfStyle w:val="000000000000" w:firstRow="0" w:lastRow="0" w:firstColumn="0" w:lastColumn="0" w:oddVBand="0" w:evenVBand="0" w:oddHBand="0" w:evenHBand="0" w:firstRowFirstColumn="0" w:firstRowLastColumn="0" w:lastRowFirstColumn="0" w:lastRowLastColumn="0"/>
            </w:pPr>
            <w:r w:rsidRPr="00956CDA">
              <w:t>0</w:t>
            </w:r>
          </w:p>
        </w:tc>
      </w:tr>
    </w:tbl>
    <w:p w14:paraId="2C8C49AE" w14:textId="6DADBDCA" w:rsidR="00300ABB" w:rsidRPr="00764135" w:rsidRDefault="00300ABB" w:rsidP="00AD76DC">
      <w:pPr>
        <w:pStyle w:val="05Paragraph"/>
        <w:rPr>
          <w:highlight w:val="yellow"/>
        </w:rPr>
      </w:pPr>
      <w:r w:rsidRPr="00764135">
        <w:rPr>
          <w:highlight w:val="yellow"/>
        </w:rPr>
        <w:br w:type="page"/>
      </w:r>
    </w:p>
    <w:p w14:paraId="490CCA31" w14:textId="14C0D65E" w:rsidR="00B1131E" w:rsidRPr="00764135" w:rsidRDefault="00B1131E" w:rsidP="00BC2BAF">
      <w:pPr>
        <w:pStyle w:val="05Paragraph"/>
        <w:rPr>
          <w:rFonts w:cs="Calibri Light"/>
          <w:color w:val="FFFFFF" w:themeColor="background1"/>
          <w:highlight w:val="yellow"/>
        </w:rPr>
      </w:pPr>
      <w:r w:rsidRPr="00764135">
        <w:rPr>
          <w:noProof/>
          <w:highlight w:val="yellow"/>
        </w:rPr>
        <w:lastRenderedPageBreak/>
        <w:drawing>
          <wp:anchor distT="0" distB="0" distL="114300" distR="114300" simplePos="0" relativeHeight="251658242" behindDoc="1" locked="0" layoutInCell="1" allowOverlap="1" wp14:anchorId="44ECA1A0" wp14:editId="4CF9077E">
            <wp:simplePos x="0" y="0"/>
            <wp:positionH relativeFrom="column">
              <wp:posOffset>-1083945</wp:posOffset>
            </wp:positionH>
            <wp:positionV relativeFrom="paragraph">
              <wp:posOffset>-1083945</wp:posOffset>
            </wp:positionV>
            <wp:extent cx="8082000" cy="23547600"/>
            <wp:effectExtent l="0" t="0" r="0" b="0"/>
            <wp:wrapNone/>
            <wp:docPr id="246" name="Pictur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preferRelativeResize="0">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082000" cy="23547600"/>
                    </a:xfrm>
                    <a:prstGeom prst="rect">
                      <a:avLst/>
                    </a:prstGeom>
                    <a:noFill/>
                  </pic:spPr>
                </pic:pic>
              </a:graphicData>
            </a:graphic>
            <wp14:sizeRelH relativeFrom="margin">
              <wp14:pctWidth>0</wp14:pctWidth>
            </wp14:sizeRelH>
            <wp14:sizeRelV relativeFrom="margin">
              <wp14:pctHeight>0</wp14:pctHeight>
            </wp14:sizeRelV>
          </wp:anchor>
        </w:drawing>
      </w:r>
    </w:p>
    <w:p w14:paraId="0AB5972A" w14:textId="4EDC8003" w:rsidR="00B1131E" w:rsidRPr="00764135" w:rsidRDefault="00B1131E" w:rsidP="00BC2BAF">
      <w:pPr>
        <w:pStyle w:val="05Paragraph"/>
        <w:rPr>
          <w:rFonts w:cs="Calibri Light"/>
          <w:color w:val="FFFFFF" w:themeColor="background1"/>
          <w:highlight w:val="yellow"/>
        </w:rPr>
      </w:pPr>
      <w:r w:rsidRPr="00764135">
        <w:rPr>
          <w:noProof/>
          <w:highlight w:val="yellow"/>
        </w:rPr>
        <w:drawing>
          <wp:anchor distT="0" distB="0" distL="114300" distR="114300" simplePos="0" relativeHeight="251658243" behindDoc="1" locked="0" layoutInCell="1" allowOverlap="1" wp14:anchorId="7C27E175" wp14:editId="7D2CE21B">
            <wp:simplePos x="0" y="0"/>
            <wp:positionH relativeFrom="column">
              <wp:posOffset>107950</wp:posOffset>
            </wp:positionH>
            <wp:positionV relativeFrom="paragraph">
              <wp:posOffset>-90170</wp:posOffset>
            </wp:positionV>
            <wp:extent cx="1731600" cy="1436400"/>
            <wp:effectExtent l="0" t="0" r="2540" b="0"/>
            <wp:wrapNone/>
            <wp:docPr id="247" name="Picture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1731600" cy="1436400"/>
                    </a:xfrm>
                    <a:prstGeom prst="rect">
                      <a:avLst/>
                    </a:prstGeom>
                  </pic:spPr>
                </pic:pic>
              </a:graphicData>
            </a:graphic>
            <wp14:sizeRelH relativeFrom="margin">
              <wp14:pctWidth>0</wp14:pctWidth>
            </wp14:sizeRelH>
            <wp14:sizeRelV relativeFrom="margin">
              <wp14:pctHeight>0</wp14:pctHeight>
            </wp14:sizeRelV>
          </wp:anchor>
        </w:drawing>
      </w:r>
    </w:p>
    <w:p w14:paraId="7374E62B" w14:textId="5922B6B8" w:rsidR="00B1131E" w:rsidRPr="00764135" w:rsidRDefault="00B1131E" w:rsidP="00BC2BAF">
      <w:pPr>
        <w:pStyle w:val="05Paragraph"/>
        <w:rPr>
          <w:highlight w:val="yellow"/>
        </w:rPr>
      </w:pPr>
    </w:p>
    <w:p w14:paraId="23C8A06A" w14:textId="62BEC7BD" w:rsidR="00B1131E" w:rsidRPr="00764135" w:rsidRDefault="00B1131E" w:rsidP="00BC2BAF">
      <w:pPr>
        <w:pStyle w:val="05Paragraph"/>
        <w:rPr>
          <w:highlight w:val="yellow"/>
        </w:rPr>
      </w:pPr>
    </w:p>
    <w:p w14:paraId="4C019791" w14:textId="77777777" w:rsidR="00B1131E" w:rsidRPr="00764135" w:rsidRDefault="00B1131E" w:rsidP="00BC2BAF">
      <w:pPr>
        <w:pStyle w:val="05Paragraph"/>
        <w:rPr>
          <w:highlight w:val="yellow"/>
        </w:rPr>
      </w:pPr>
    </w:p>
    <w:p w14:paraId="66AEFD80" w14:textId="77777777" w:rsidR="00B1131E" w:rsidRPr="00764135" w:rsidRDefault="00B1131E" w:rsidP="00BC2BAF">
      <w:pPr>
        <w:pStyle w:val="05Paragraph"/>
        <w:rPr>
          <w:highlight w:val="yellow"/>
        </w:rPr>
      </w:pPr>
    </w:p>
    <w:p w14:paraId="623FF755" w14:textId="77777777" w:rsidR="00B1131E" w:rsidRPr="00764135" w:rsidRDefault="00B1131E" w:rsidP="00BC2BAF">
      <w:pPr>
        <w:pStyle w:val="05Paragraph"/>
        <w:rPr>
          <w:highlight w:val="yellow"/>
        </w:rPr>
      </w:pPr>
    </w:p>
    <w:p w14:paraId="4B005DEE" w14:textId="4584CC92" w:rsidR="00B1131E" w:rsidRPr="004E7F27" w:rsidRDefault="00D2104F" w:rsidP="00B1131E">
      <w:pPr>
        <w:ind w:left="-426" w:right="701"/>
        <w:outlineLvl w:val="0"/>
      </w:pPr>
      <w:r w:rsidRPr="004E7F27">
        <w:rPr>
          <w:rFonts w:ascii="Rockwell" w:hAnsi="Rockwell" w:cs="@MS PMincho"/>
          <w:color w:val="FFFFFF" w:themeColor="background1"/>
          <w:sz w:val="68"/>
          <w:szCs w:val="68"/>
        </w:rPr>
        <w:t>Members of Parliament (Victoria) Annual</w:t>
      </w:r>
      <w:r w:rsidRPr="004E7F27">
        <w:rPr>
          <w:rFonts w:ascii="Rockwell" w:hAnsi="Rockwell" w:cs="@MS PMincho"/>
          <w:color w:val="FFFFFF" w:themeColor="background1"/>
          <w:sz w:val="68"/>
          <w:szCs w:val="68"/>
        </w:rPr>
        <w:br/>
        <w:t>Adjustment Determination 202</w:t>
      </w:r>
      <w:r w:rsidR="004E7F27" w:rsidRPr="004E7F27">
        <w:rPr>
          <w:rFonts w:ascii="Rockwell" w:hAnsi="Rockwell" w:cs="@MS PMincho"/>
          <w:color w:val="FFFFFF" w:themeColor="background1"/>
          <w:sz w:val="68"/>
          <w:szCs w:val="68"/>
        </w:rPr>
        <w:t>4</w:t>
      </w:r>
    </w:p>
    <w:p w14:paraId="68205C6F" w14:textId="77777777" w:rsidR="00B1131E" w:rsidRPr="00764135" w:rsidRDefault="00B1131E" w:rsidP="00B1131E">
      <w:pPr>
        <w:rPr>
          <w:highlight w:val="yellow"/>
        </w:rPr>
      </w:pPr>
    </w:p>
    <w:p w14:paraId="3C86FA85" w14:textId="77777777" w:rsidR="00B1131E" w:rsidRPr="00764135" w:rsidRDefault="00B1131E" w:rsidP="00B1131E">
      <w:pPr>
        <w:rPr>
          <w:highlight w:val="yellow"/>
        </w:rPr>
      </w:pPr>
    </w:p>
    <w:p w14:paraId="2145A53F" w14:textId="77777777" w:rsidR="00B1131E" w:rsidRPr="00764135" w:rsidRDefault="00B1131E" w:rsidP="00B1131E">
      <w:pPr>
        <w:rPr>
          <w:highlight w:val="yellow"/>
        </w:rPr>
      </w:pPr>
    </w:p>
    <w:p w14:paraId="07E12F11" w14:textId="77777777" w:rsidR="00B1131E" w:rsidRPr="004E7F27" w:rsidRDefault="00B1131E" w:rsidP="00B1131E">
      <w:pPr>
        <w:ind w:left="-426" w:right="701"/>
        <w:outlineLvl w:val="0"/>
        <w:rPr>
          <w:rFonts w:asciiTheme="minorHAnsi" w:hAnsiTheme="minorHAnsi" w:cs="@MS PMincho"/>
          <w:color w:val="FFFFFF" w:themeColor="background1"/>
          <w:sz w:val="56"/>
          <w:szCs w:val="56"/>
        </w:rPr>
      </w:pPr>
      <w:r w:rsidRPr="004E7F27">
        <w:rPr>
          <w:rFonts w:asciiTheme="minorHAnsi" w:hAnsiTheme="minorHAnsi" w:cs="@MS PMincho"/>
          <w:color w:val="FFFFFF" w:themeColor="background1"/>
          <w:sz w:val="56"/>
          <w:szCs w:val="56"/>
        </w:rPr>
        <w:t>Statement of Reasons</w:t>
      </w:r>
    </w:p>
    <w:p w14:paraId="64D75619" w14:textId="77777777" w:rsidR="00B1131E" w:rsidRPr="00764135" w:rsidRDefault="00B1131E" w:rsidP="00BC2BAF">
      <w:pPr>
        <w:pStyle w:val="05Paragraph"/>
        <w:rPr>
          <w:highlight w:val="yellow"/>
        </w:rPr>
      </w:pPr>
    </w:p>
    <w:p w14:paraId="340EDC64" w14:textId="7DCC1D32" w:rsidR="00B1131E" w:rsidRPr="00764135" w:rsidRDefault="00B1131E" w:rsidP="00B1131E">
      <w:pPr>
        <w:ind w:left="-426" w:right="701"/>
        <w:outlineLvl w:val="0"/>
        <w:rPr>
          <w:rFonts w:asciiTheme="minorHAnsi" w:hAnsiTheme="minorHAnsi" w:cs="@MS PMincho"/>
          <w:color w:val="FFFFFF" w:themeColor="background1"/>
          <w:sz w:val="56"/>
          <w:szCs w:val="56"/>
          <w:highlight w:val="yellow"/>
        </w:rPr>
        <w:sectPr w:rsidR="00B1131E" w:rsidRPr="00764135" w:rsidSect="00C3360F">
          <w:headerReference w:type="even" r:id="rId24"/>
          <w:headerReference w:type="default" r:id="rId25"/>
          <w:footerReference w:type="default" r:id="rId26"/>
          <w:headerReference w:type="first" r:id="rId27"/>
          <w:pgSz w:w="11906" w:h="16838"/>
          <w:pgMar w:top="1701" w:right="1701" w:bottom="1559" w:left="1701" w:header="425" w:footer="709" w:gutter="0"/>
          <w:pgNumType w:start="1"/>
          <w:cols w:space="282"/>
          <w:docGrid w:linePitch="360"/>
        </w:sectPr>
      </w:pPr>
    </w:p>
    <w:p w14:paraId="7CB2A8B5" w14:textId="77777777" w:rsidR="00EA48FC" w:rsidRPr="00764135" w:rsidRDefault="00EA48FC" w:rsidP="00B1131E">
      <w:pPr>
        <w:pStyle w:val="Chapterheading"/>
        <w:rPr>
          <w:szCs w:val="72"/>
          <w:highlight w:val="yellow"/>
        </w:rPr>
      </w:pPr>
      <w:bookmarkStart w:id="35" w:name="_Toc95484857"/>
      <w:bookmarkStart w:id="36" w:name="_Toc95485126"/>
      <w:bookmarkStart w:id="37" w:name="_Toc95488103"/>
      <w:bookmarkStart w:id="38" w:name="_Toc95488209"/>
      <w:bookmarkStart w:id="39" w:name="_Toc96353782"/>
      <w:bookmarkStart w:id="40" w:name="_Toc96429461"/>
      <w:bookmarkStart w:id="41" w:name="_Toc97105409"/>
      <w:bookmarkStart w:id="42" w:name="_Toc97282687"/>
      <w:bookmarkStart w:id="43" w:name="_Toc97728583"/>
    </w:p>
    <w:p w14:paraId="130BBAFF" w14:textId="77777777" w:rsidR="00EA48FC" w:rsidRPr="00764135" w:rsidRDefault="00EA48FC" w:rsidP="00B1131E">
      <w:pPr>
        <w:pStyle w:val="Chapterheading"/>
        <w:rPr>
          <w:szCs w:val="72"/>
          <w:highlight w:val="yellow"/>
        </w:rPr>
      </w:pPr>
    </w:p>
    <w:p w14:paraId="3929C3F7" w14:textId="6CFF23C2" w:rsidR="00B1131E" w:rsidRPr="00764135" w:rsidRDefault="00B1131E" w:rsidP="00B1131E">
      <w:pPr>
        <w:pStyle w:val="Chapterheading"/>
        <w:rPr>
          <w:szCs w:val="72"/>
          <w:highlight w:val="yellow"/>
        </w:rPr>
        <w:sectPr w:rsidR="00B1131E" w:rsidRPr="00764135" w:rsidSect="00F90BEA">
          <w:pgSz w:w="11906" w:h="16838"/>
          <w:pgMar w:top="1701" w:right="1701" w:bottom="1559" w:left="1701" w:header="425" w:footer="709" w:gutter="0"/>
          <w:cols w:space="282"/>
          <w:docGrid w:linePitch="360"/>
        </w:sectPr>
      </w:pPr>
      <w:bookmarkStart w:id="44" w:name="_Toc99551496"/>
      <w:bookmarkStart w:id="45" w:name="_Toc101263872"/>
      <w:bookmarkStart w:id="46" w:name="_Toc106631660"/>
      <w:bookmarkStart w:id="47" w:name="_Toc106636942"/>
      <w:bookmarkStart w:id="48" w:name="_Toc168049536"/>
      <w:bookmarkStart w:id="49" w:name="_Toc168050479"/>
      <w:bookmarkStart w:id="50" w:name="_Toc168559030"/>
      <w:bookmarkStart w:id="51" w:name="_Toc169253726"/>
      <w:bookmarkStart w:id="52" w:name="_Toc169709064"/>
      <w:bookmarkStart w:id="53" w:name="_Toc170226236"/>
      <w:bookmarkStart w:id="54" w:name="_Toc170383536"/>
      <w:r w:rsidRPr="00764135">
        <w:rPr>
          <w:noProof/>
          <w:sz w:val="16"/>
          <w:highlight w:val="yellow"/>
          <w:lang w:eastAsia="en-AU"/>
        </w:rPr>
        <w:drawing>
          <wp:anchor distT="0" distB="0" distL="114300" distR="114300" simplePos="0" relativeHeight="251658241" behindDoc="1" locked="0" layoutInCell="1" allowOverlap="1" wp14:anchorId="31E81519" wp14:editId="2F7E2E4F">
            <wp:simplePos x="0" y="0"/>
            <wp:positionH relativeFrom="page">
              <wp:posOffset>5046980</wp:posOffset>
            </wp:positionH>
            <wp:positionV relativeFrom="page">
              <wp:posOffset>2866634</wp:posOffset>
            </wp:positionV>
            <wp:extent cx="2188800" cy="13964400"/>
            <wp:effectExtent l="0" t="0" r="2540" b="0"/>
            <wp:wrapNone/>
            <wp:docPr id="242" name="Picture 2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srcRect/>
                    <a:stretch>
                      <a:fillRect/>
                    </a:stretch>
                  </pic:blipFill>
                  <pic:spPr bwMode="auto">
                    <a:xfrm>
                      <a:off x="0" y="0"/>
                      <a:ext cx="2188800" cy="139644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124FBA31" w14:textId="13D9AEB0" w:rsidR="00B1131E" w:rsidRPr="004E7F27" w:rsidRDefault="00B1131E" w:rsidP="00D43074">
      <w:pPr>
        <w:pStyle w:val="01Chapterheading"/>
      </w:pPr>
      <w:bookmarkStart w:id="55" w:name="_Toc101263873"/>
      <w:bookmarkStart w:id="56" w:name="_Toc106631661"/>
      <w:bookmarkStart w:id="57" w:name="_Toc106636943"/>
      <w:bookmarkStart w:id="58" w:name="_Toc168049537"/>
      <w:bookmarkStart w:id="59" w:name="_Toc168050480"/>
      <w:bookmarkStart w:id="60" w:name="_Toc168559031"/>
      <w:bookmarkStart w:id="61" w:name="_Toc169253727"/>
      <w:bookmarkStart w:id="62" w:name="_Toc170226237"/>
      <w:bookmarkStart w:id="63" w:name="_Toc170383537"/>
      <w:r w:rsidRPr="004E7F27">
        <w:lastRenderedPageBreak/>
        <w:t>Contents</w:t>
      </w:r>
      <w:r w:rsidRPr="004E7F27">
        <w:br/>
      </w:r>
      <w:r w:rsidRPr="004E7F27">
        <w:rPr>
          <w:noProof/>
        </w:rPr>
        <w:drawing>
          <wp:inline distT="0" distB="0" distL="0" distR="0" wp14:anchorId="16C35874" wp14:editId="5F25261E">
            <wp:extent cx="2222500" cy="253365"/>
            <wp:effectExtent l="0" t="0" r="6350" b="0"/>
            <wp:docPr id="29"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pic:nvPicPr>
                  <pic:blipFill>
                    <a:blip r:embed="rId21">
                      <a:extLst>
                        <a:ext uri="{28A0092B-C50C-407E-A947-70E740481C1C}">
                          <a14:useLocalDpi xmlns:a14="http://schemas.microsoft.com/office/drawing/2010/main" val="0"/>
                        </a:ext>
                      </a:extLst>
                    </a:blip>
                    <a:stretch>
                      <a:fillRect/>
                    </a:stretch>
                  </pic:blipFill>
                  <pic:spPr>
                    <a:xfrm>
                      <a:off x="0" y="0"/>
                      <a:ext cx="2222500" cy="253365"/>
                    </a:xfrm>
                    <a:prstGeom prst="rect">
                      <a:avLst/>
                    </a:prstGeom>
                  </pic:spPr>
                </pic:pic>
              </a:graphicData>
            </a:graphic>
          </wp:inline>
        </w:drawing>
      </w:r>
      <w:bookmarkEnd w:id="55"/>
      <w:bookmarkEnd w:id="56"/>
      <w:bookmarkEnd w:id="57"/>
      <w:bookmarkEnd w:id="58"/>
      <w:bookmarkEnd w:id="59"/>
      <w:bookmarkEnd w:id="60"/>
      <w:bookmarkEnd w:id="61"/>
      <w:bookmarkEnd w:id="62"/>
      <w:bookmarkEnd w:id="63"/>
    </w:p>
    <w:sdt>
      <w:sdtPr>
        <w:rPr>
          <w:rFonts w:ascii="Arial" w:hAnsi="Arial" w:cs="Arial"/>
          <w:b/>
          <w:color w:val="auto"/>
          <w:sz w:val="20"/>
          <w:szCs w:val="20"/>
          <w:highlight w:val="yellow"/>
        </w:rPr>
        <w:id w:val="1578161639"/>
        <w:docPartObj>
          <w:docPartGallery w:val="Table of Contents"/>
          <w:docPartUnique/>
        </w:docPartObj>
      </w:sdtPr>
      <w:sdtEndPr>
        <w:rPr>
          <w:rFonts w:ascii="Calibri Light" w:hAnsi="Calibri Light"/>
          <w:color w:val="7F7F7F" w:themeColor="text1" w:themeTint="80"/>
          <w:sz w:val="26"/>
        </w:rPr>
      </w:sdtEndPr>
      <w:sdtContent>
        <w:p w14:paraId="27119DD8" w14:textId="036626E3" w:rsidR="00A14C9B" w:rsidRPr="00A14C9B" w:rsidRDefault="00D714D0" w:rsidP="00A14C9B">
          <w:pPr>
            <w:pStyle w:val="TOC2"/>
            <w:tabs>
              <w:tab w:val="right" w:leader="dot" w:pos="8494"/>
            </w:tabs>
            <w:ind w:left="0"/>
            <w:rPr>
              <w:rFonts w:asciiTheme="minorHAnsi" w:eastAsiaTheme="minorEastAsia" w:hAnsiTheme="minorHAnsi"/>
              <w:noProof/>
              <w:color w:val="auto"/>
              <w:kern w:val="2"/>
              <w:sz w:val="24"/>
              <w:szCs w:val="24"/>
              <w:lang w:eastAsia="en-AU"/>
              <w14:ligatures w14:val="standardContextual"/>
            </w:rPr>
          </w:pPr>
          <w:r w:rsidRPr="007460D0">
            <w:rPr>
              <w:rFonts w:asciiTheme="majorHAnsi" w:eastAsiaTheme="majorEastAsia" w:hAnsiTheme="majorHAnsi" w:cstheme="majorBidi"/>
              <w:color w:val="auto"/>
              <w:sz w:val="28"/>
              <w:szCs w:val="28"/>
              <w:highlight w:val="yellow"/>
            </w:rPr>
            <w:fldChar w:fldCharType="begin"/>
          </w:r>
          <w:r w:rsidRPr="007460D0">
            <w:rPr>
              <w:rFonts w:asciiTheme="majorHAnsi" w:eastAsiaTheme="majorEastAsia" w:hAnsiTheme="majorHAnsi" w:cstheme="majorBidi"/>
              <w:color w:val="auto"/>
              <w:sz w:val="28"/>
              <w:szCs w:val="28"/>
              <w:highlight w:val="yellow"/>
            </w:rPr>
            <w:instrText xml:space="preserve"> TOC \o "1-2" \h \z \t "Heading 3,3,Chapter heading,1,01. Chapter heading,1" </w:instrText>
          </w:r>
          <w:r w:rsidRPr="007460D0">
            <w:rPr>
              <w:rFonts w:asciiTheme="majorHAnsi" w:eastAsiaTheme="majorEastAsia" w:hAnsiTheme="majorHAnsi" w:cstheme="majorBidi"/>
              <w:color w:val="auto"/>
              <w:sz w:val="28"/>
              <w:szCs w:val="28"/>
              <w:highlight w:val="yellow"/>
            </w:rPr>
            <w:fldChar w:fldCharType="separate"/>
          </w:r>
          <w:hyperlink w:anchor="_Toc170383538" w:history="1">
            <w:r w:rsidR="00A14C9B" w:rsidRPr="00A14C9B">
              <w:rPr>
                <w:rStyle w:val="Hyperlink"/>
                <w:rFonts w:cs="Arial"/>
                <w:b/>
                <w:bCs/>
                <w:noProof/>
              </w:rPr>
              <w:t>Abbreviations and glossary</w:t>
            </w:r>
            <w:r w:rsidR="00A14C9B">
              <w:rPr>
                <w:noProof/>
                <w:webHidden/>
              </w:rPr>
              <w:tab/>
            </w:r>
            <w:r w:rsidR="00A14C9B" w:rsidRPr="00A14C9B">
              <w:rPr>
                <w:b/>
                <w:bCs/>
                <w:noProof/>
                <w:webHidden/>
              </w:rPr>
              <w:fldChar w:fldCharType="begin"/>
            </w:r>
            <w:r w:rsidR="00A14C9B" w:rsidRPr="00A14C9B">
              <w:rPr>
                <w:b/>
                <w:bCs/>
                <w:noProof/>
                <w:webHidden/>
              </w:rPr>
              <w:instrText xml:space="preserve"> PAGEREF _Toc170383538 \h </w:instrText>
            </w:r>
            <w:r w:rsidR="00A14C9B" w:rsidRPr="00A14C9B">
              <w:rPr>
                <w:b/>
                <w:bCs/>
                <w:noProof/>
                <w:webHidden/>
              </w:rPr>
            </w:r>
            <w:r w:rsidR="00A14C9B" w:rsidRPr="00A14C9B">
              <w:rPr>
                <w:b/>
                <w:bCs/>
                <w:noProof/>
                <w:webHidden/>
              </w:rPr>
              <w:fldChar w:fldCharType="separate"/>
            </w:r>
            <w:r w:rsidR="00CC764B">
              <w:rPr>
                <w:b/>
                <w:bCs/>
                <w:noProof/>
                <w:webHidden/>
              </w:rPr>
              <w:t>8</w:t>
            </w:r>
            <w:r w:rsidR="00A14C9B" w:rsidRPr="00A14C9B">
              <w:rPr>
                <w:b/>
                <w:bCs/>
                <w:noProof/>
                <w:webHidden/>
              </w:rPr>
              <w:fldChar w:fldCharType="end"/>
            </w:r>
          </w:hyperlink>
        </w:p>
        <w:p w14:paraId="69E129C7" w14:textId="5A83D57D" w:rsidR="00A14C9B" w:rsidRDefault="00323A45">
          <w:pPr>
            <w:pStyle w:val="TOC1"/>
            <w:tabs>
              <w:tab w:val="right" w:leader="dot" w:pos="8494"/>
            </w:tabs>
            <w:rPr>
              <w:rFonts w:asciiTheme="minorHAnsi" w:eastAsiaTheme="minorEastAsia" w:hAnsiTheme="minorHAnsi" w:cstheme="minorBidi"/>
              <w:b w:val="0"/>
              <w:noProof/>
              <w:color w:val="auto"/>
              <w:kern w:val="2"/>
              <w:sz w:val="24"/>
              <w:szCs w:val="24"/>
              <w:lang w:eastAsia="en-AU"/>
              <w14:ligatures w14:val="standardContextual"/>
            </w:rPr>
          </w:pPr>
          <w:hyperlink w:anchor="_Toc170383539" w:history="1">
            <w:r w:rsidR="00A14C9B" w:rsidRPr="007F6FE1">
              <w:rPr>
                <w:rStyle w:val="Hyperlink"/>
                <w:noProof/>
              </w:rPr>
              <w:t>Summary</w:t>
            </w:r>
            <w:r w:rsidR="00A14C9B">
              <w:rPr>
                <w:noProof/>
                <w:webHidden/>
              </w:rPr>
              <w:tab/>
            </w:r>
            <w:r w:rsidR="00A14C9B">
              <w:rPr>
                <w:noProof/>
                <w:webHidden/>
              </w:rPr>
              <w:fldChar w:fldCharType="begin"/>
            </w:r>
            <w:r w:rsidR="00A14C9B">
              <w:rPr>
                <w:noProof/>
                <w:webHidden/>
              </w:rPr>
              <w:instrText xml:space="preserve"> PAGEREF _Toc170383539 \h </w:instrText>
            </w:r>
            <w:r w:rsidR="00A14C9B">
              <w:rPr>
                <w:noProof/>
                <w:webHidden/>
              </w:rPr>
            </w:r>
            <w:r w:rsidR="00A14C9B">
              <w:rPr>
                <w:noProof/>
                <w:webHidden/>
              </w:rPr>
              <w:fldChar w:fldCharType="separate"/>
            </w:r>
            <w:r w:rsidR="00CC764B">
              <w:rPr>
                <w:noProof/>
                <w:webHidden/>
              </w:rPr>
              <w:t>9</w:t>
            </w:r>
            <w:r w:rsidR="00A14C9B">
              <w:rPr>
                <w:noProof/>
                <w:webHidden/>
              </w:rPr>
              <w:fldChar w:fldCharType="end"/>
            </w:r>
          </w:hyperlink>
        </w:p>
        <w:p w14:paraId="7E0CADFA" w14:textId="76DB2D99" w:rsidR="00A14C9B" w:rsidRDefault="00323A45">
          <w:pPr>
            <w:pStyle w:val="TOC1"/>
            <w:tabs>
              <w:tab w:val="left" w:pos="510"/>
              <w:tab w:val="right" w:leader="dot" w:pos="8494"/>
            </w:tabs>
            <w:rPr>
              <w:rFonts w:asciiTheme="minorHAnsi" w:eastAsiaTheme="minorEastAsia" w:hAnsiTheme="minorHAnsi" w:cstheme="minorBidi"/>
              <w:b w:val="0"/>
              <w:noProof/>
              <w:color w:val="auto"/>
              <w:kern w:val="2"/>
              <w:sz w:val="24"/>
              <w:szCs w:val="24"/>
              <w:lang w:eastAsia="en-AU"/>
              <w14:ligatures w14:val="standardContextual"/>
            </w:rPr>
          </w:pPr>
          <w:hyperlink w:anchor="_Toc170383540" w:history="1">
            <w:r w:rsidR="00A14C9B" w:rsidRPr="007F6FE1">
              <w:rPr>
                <w:rStyle w:val="Hyperlink"/>
                <w:noProof/>
              </w:rPr>
              <w:t>1</w:t>
            </w:r>
            <w:r w:rsidR="00A14C9B">
              <w:rPr>
                <w:rFonts w:asciiTheme="minorHAnsi" w:eastAsiaTheme="minorEastAsia" w:hAnsiTheme="minorHAnsi" w:cstheme="minorBidi"/>
                <w:b w:val="0"/>
                <w:noProof/>
                <w:color w:val="auto"/>
                <w:kern w:val="2"/>
                <w:sz w:val="24"/>
                <w:szCs w:val="24"/>
                <w:lang w:eastAsia="en-AU"/>
                <w14:ligatures w14:val="standardContextual"/>
              </w:rPr>
              <w:tab/>
            </w:r>
            <w:r w:rsidR="00A14C9B" w:rsidRPr="007F6FE1">
              <w:rPr>
                <w:rStyle w:val="Hyperlink"/>
                <w:noProof/>
              </w:rPr>
              <w:t>Context</w:t>
            </w:r>
            <w:r w:rsidR="00A14C9B">
              <w:rPr>
                <w:noProof/>
                <w:webHidden/>
              </w:rPr>
              <w:tab/>
            </w:r>
            <w:r w:rsidR="00A14C9B">
              <w:rPr>
                <w:noProof/>
                <w:webHidden/>
              </w:rPr>
              <w:fldChar w:fldCharType="begin"/>
            </w:r>
            <w:r w:rsidR="00A14C9B">
              <w:rPr>
                <w:noProof/>
                <w:webHidden/>
              </w:rPr>
              <w:instrText xml:space="preserve"> PAGEREF _Toc170383540 \h </w:instrText>
            </w:r>
            <w:r w:rsidR="00A14C9B">
              <w:rPr>
                <w:noProof/>
                <w:webHidden/>
              </w:rPr>
            </w:r>
            <w:r w:rsidR="00A14C9B">
              <w:rPr>
                <w:noProof/>
                <w:webHidden/>
              </w:rPr>
              <w:fldChar w:fldCharType="separate"/>
            </w:r>
            <w:r w:rsidR="00CC764B">
              <w:rPr>
                <w:noProof/>
                <w:webHidden/>
              </w:rPr>
              <w:t>11</w:t>
            </w:r>
            <w:r w:rsidR="00A14C9B">
              <w:rPr>
                <w:noProof/>
                <w:webHidden/>
              </w:rPr>
              <w:fldChar w:fldCharType="end"/>
            </w:r>
          </w:hyperlink>
        </w:p>
        <w:p w14:paraId="477B453C" w14:textId="23957ABA" w:rsidR="00A14C9B" w:rsidRDefault="00323A45">
          <w:pPr>
            <w:pStyle w:val="TOC2"/>
            <w:tabs>
              <w:tab w:val="left" w:pos="1200"/>
              <w:tab w:val="right" w:leader="dot" w:pos="8494"/>
            </w:tabs>
            <w:rPr>
              <w:rFonts w:asciiTheme="minorHAnsi" w:eastAsiaTheme="minorEastAsia" w:hAnsiTheme="minorHAnsi"/>
              <w:noProof/>
              <w:color w:val="auto"/>
              <w:kern w:val="2"/>
              <w:sz w:val="24"/>
              <w:szCs w:val="24"/>
              <w:lang w:eastAsia="en-AU"/>
              <w14:ligatures w14:val="standardContextual"/>
            </w:rPr>
          </w:pPr>
          <w:hyperlink w:anchor="_Toc170383541" w:history="1">
            <w:r w:rsidR="00A14C9B" w:rsidRPr="007F6FE1">
              <w:rPr>
                <w:rStyle w:val="Hyperlink"/>
                <w:noProof/>
              </w:rPr>
              <w:t>1.1</w:t>
            </w:r>
            <w:r w:rsidR="00A14C9B">
              <w:rPr>
                <w:rFonts w:asciiTheme="minorHAnsi" w:eastAsiaTheme="minorEastAsia" w:hAnsiTheme="minorHAnsi"/>
                <w:noProof/>
                <w:color w:val="auto"/>
                <w:kern w:val="2"/>
                <w:sz w:val="24"/>
                <w:szCs w:val="24"/>
                <w:lang w:eastAsia="en-AU"/>
                <w14:ligatures w14:val="standardContextual"/>
              </w:rPr>
              <w:tab/>
            </w:r>
            <w:r w:rsidR="00A14C9B" w:rsidRPr="007F6FE1">
              <w:rPr>
                <w:rStyle w:val="Hyperlink"/>
                <w:noProof/>
              </w:rPr>
              <w:t>The Tribunal’s approach</w:t>
            </w:r>
            <w:r w:rsidR="00A14C9B">
              <w:rPr>
                <w:noProof/>
                <w:webHidden/>
              </w:rPr>
              <w:tab/>
            </w:r>
            <w:r w:rsidR="00A14C9B">
              <w:rPr>
                <w:noProof/>
                <w:webHidden/>
              </w:rPr>
              <w:fldChar w:fldCharType="begin"/>
            </w:r>
            <w:r w:rsidR="00A14C9B">
              <w:rPr>
                <w:noProof/>
                <w:webHidden/>
              </w:rPr>
              <w:instrText xml:space="preserve"> PAGEREF _Toc170383541 \h </w:instrText>
            </w:r>
            <w:r w:rsidR="00A14C9B">
              <w:rPr>
                <w:noProof/>
                <w:webHidden/>
              </w:rPr>
            </w:r>
            <w:r w:rsidR="00A14C9B">
              <w:rPr>
                <w:noProof/>
                <w:webHidden/>
              </w:rPr>
              <w:fldChar w:fldCharType="separate"/>
            </w:r>
            <w:r w:rsidR="00CC764B">
              <w:rPr>
                <w:noProof/>
                <w:webHidden/>
              </w:rPr>
              <w:t>12</w:t>
            </w:r>
            <w:r w:rsidR="00A14C9B">
              <w:rPr>
                <w:noProof/>
                <w:webHidden/>
              </w:rPr>
              <w:fldChar w:fldCharType="end"/>
            </w:r>
          </w:hyperlink>
        </w:p>
        <w:p w14:paraId="5F1BDA8C" w14:textId="54D2BB24" w:rsidR="00A14C9B" w:rsidRDefault="00323A45">
          <w:pPr>
            <w:pStyle w:val="TOC1"/>
            <w:tabs>
              <w:tab w:val="left" w:pos="510"/>
              <w:tab w:val="right" w:leader="dot" w:pos="8494"/>
            </w:tabs>
            <w:rPr>
              <w:rFonts w:asciiTheme="minorHAnsi" w:eastAsiaTheme="minorEastAsia" w:hAnsiTheme="minorHAnsi" w:cstheme="minorBidi"/>
              <w:b w:val="0"/>
              <w:noProof/>
              <w:color w:val="auto"/>
              <w:kern w:val="2"/>
              <w:sz w:val="24"/>
              <w:szCs w:val="24"/>
              <w:lang w:eastAsia="en-AU"/>
              <w14:ligatures w14:val="standardContextual"/>
            </w:rPr>
          </w:pPr>
          <w:hyperlink w:anchor="_Toc170383542" w:history="1">
            <w:r w:rsidR="00A14C9B" w:rsidRPr="007F6FE1">
              <w:rPr>
                <w:rStyle w:val="Hyperlink"/>
                <w:noProof/>
              </w:rPr>
              <w:t>2</w:t>
            </w:r>
            <w:r w:rsidR="00A14C9B">
              <w:rPr>
                <w:rFonts w:asciiTheme="minorHAnsi" w:eastAsiaTheme="minorEastAsia" w:hAnsiTheme="minorHAnsi" w:cstheme="minorBidi"/>
                <w:b w:val="0"/>
                <w:noProof/>
                <w:color w:val="auto"/>
                <w:kern w:val="2"/>
                <w:sz w:val="24"/>
                <w:szCs w:val="24"/>
                <w:lang w:eastAsia="en-AU"/>
                <w14:ligatures w14:val="standardContextual"/>
              </w:rPr>
              <w:tab/>
            </w:r>
            <w:r w:rsidR="00A14C9B" w:rsidRPr="007F6FE1">
              <w:rPr>
                <w:rStyle w:val="Hyperlink"/>
                <w:noProof/>
              </w:rPr>
              <w:t>Factors considered</w:t>
            </w:r>
            <w:r w:rsidR="00A14C9B">
              <w:rPr>
                <w:noProof/>
                <w:webHidden/>
              </w:rPr>
              <w:tab/>
            </w:r>
            <w:r w:rsidR="00A14C9B">
              <w:rPr>
                <w:noProof/>
                <w:webHidden/>
              </w:rPr>
              <w:fldChar w:fldCharType="begin"/>
            </w:r>
            <w:r w:rsidR="00A14C9B">
              <w:rPr>
                <w:noProof/>
                <w:webHidden/>
              </w:rPr>
              <w:instrText xml:space="preserve"> PAGEREF _Toc170383542 \h </w:instrText>
            </w:r>
            <w:r w:rsidR="00A14C9B">
              <w:rPr>
                <w:noProof/>
                <w:webHidden/>
              </w:rPr>
            </w:r>
            <w:r w:rsidR="00A14C9B">
              <w:rPr>
                <w:noProof/>
                <w:webHidden/>
              </w:rPr>
              <w:fldChar w:fldCharType="separate"/>
            </w:r>
            <w:r w:rsidR="00CC764B">
              <w:rPr>
                <w:noProof/>
                <w:webHidden/>
              </w:rPr>
              <w:t>13</w:t>
            </w:r>
            <w:r w:rsidR="00A14C9B">
              <w:rPr>
                <w:noProof/>
                <w:webHidden/>
              </w:rPr>
              <w:fldChar w:fldCharType="end"/>
            </w:r>
          </w:hyperlink>
        </w:p>
        <w:p w14:paraId="4A9C1F33" w14:textId="593C09EC" w:rsidR="00A14C9B" w:rsidRDefault="00323A45">
          <w:pPr>
            <w:pStyle w:val="TOC2"/>
            <w:tabs>
              <w:tab w:val="left" w:pos="1200"/>
              <w:tab w:val="right" w:leader="dot" w:pos="8494"/>
            </w:tabs>
            <w:rPr>
              <w:rFonts w:asciiTheme="minorHAnsi" w:eastAsiaTheme="minorEastAsia" w:hAnsiTheme="minorHAnsi"/>
              <w:noProof/>
              <w:color w:val="auto"/>
              <w:kern w:val="2"/>
              <w:sz w:val="24"/>
              <w:szCs w:val="24"/>
              <w:lang w:eastAsia="en-AU"/>
              <w14:ligatures w14:val="standardContextual"/>
            </w:rPr>
          </w:pPr>
          <w:hyperlink w:anchor="_Toc170383543" w:history="1">
            <w:r w:rsidR="00A14C9B" w:rsidRPr="007F6FE1">
              <w:rPr>
                <w:rStyle w:val="Hyperlink"/>
                <w:noProof/>
              </w:rPr>
              <w:t>2.1</w:t>
            </w:r>
            <w:r w:rsidR="00A14C9B">
              <w:rPr>
                <w:rFonts w:asciiTheme="minorHAnsi" w:eastAsiaTheme="minorEastAsia" w:hAnsiTheme="minorHAnsi"/>
                <w:noProof/>
                <w:color w:val="auto"/>
                <w:kern w:val="2"/>
                <w:sz w:val="24"/>
                <w:szCs w:val="24"/>
                <w:lang w:eastAsia="en-AU"/>
                <w14:ligatures w14:val="standardContextual"/>
              </w:rPr>
              <w:tab/>
            </w:r>
            <w:r w:rsidR="00A14C9B" w:rsidRPr="007F6FE1">
              <w:rPr>
                <w:rStyle w:val="Hyperlink"/>
                <w:noProof/>
              </w:rPr>
              <w:t>Current and projected economic conditions and trends</w:t>
            </w:r>
            <w:r w:rsidR="00A14C9B">
              <w:rPr>
                <w:noProof/>
                <w:webHidden/>
              </w:rPr>
              <w:tab/>
            </w:r>
            <w:r w:rsidR="00A14C9B">
              <w:rPr>
                <w:noProof/>
                <w:webHidden/>
              </w:rPr>
              <w:fldChar w:fldCharType="begin"/>
            </w:r>
            <w:r w:rsidR="00A14C9B">
              <w:rPr>
                <w:noProof/>
                <w:webHidden/>
              </w:rPr>
              <w:instrText xml:space="preserve"> PAGEREF _Toc170383543 \h </w:instrText>
            </w:r>
            <w:r w:rsidR="00A14C9B">
              <w:rPr>
                <w:noProof/>
                <w:webHidden/>
              </w:rPr>
            </w:r>
            <w:r w:rsidR="00A14C9B">
              <w:rPr>
                <w:noProof/>
                <w:webHidden/>
              </w:rPr>
              <w:fldChar w:fldCharType="separate"/>
            </w:r>
            <w:r w:rsidR="00CC764B">
              <w:rPr>
                <w:noProof/>
                <w:webHidden/>
              </w:rPr>
              <w:t>13</w:t>
            </w:r>
            <w:r w:rsidR="00A14C9B">
              <w:rPr>
                <w:noProof/>
                <w:webHidden/>
              </w:rPr>
              <w:fldChar w:fldCharType="end"/>
            </w:r>
          </w:hyperlink>
        </w:p>
        <w:p w14:paraId="6265C868" w14:textId="3EA718EB" w:rsidR="00A14C9B" w:rsidRDefault="00323A45">
          <w:pPr>
            <w:pStyle w:val="TOC2"/>
            <w:tabs>
              <w:tab w:val="left" w:pos="1200"/>
              <w:tab w:val="right" w:leader="dot" w:pos="8494"/>
            </w:tabs>
            <w:rPr>
              <w:rFonts w:asciiTheme="minorHAnsi" w:eastAsiaTheme="minorEastAsia" w:hAnsiTheme="minorHAnsi"/>
              <w:noProof/>
              <w:color w:val="auto"/>
              <w:kern w:val="2"/>
              <w:sz w:val="24"/>
              <w:szCs w:val="24"/>
              <w:lang w:eastAsia="en-AU"/>
              <w14:ligatures w14:val="standardContextual"/>
            </w:rPr>
          </w:pPr>
          <w:hyperlink w:anchor="_Toc170383544" w:history="1">
            <w:r w:rsidR="00A14C9B" w:rsidRPr="007F6FE1">
              <w:rPr>
                <w:rStyle w:val="Hyperlink"/>
                <w:noProof/>
              </w:rPr>
              <w:t>2.2</w:t>
            </w:r>
            <w:r w:rsidR="00A14C9B">
              <w:rPr>
                <w:rFonts w:asciiTheme="minorHAnsi" w:eastAsiaTheme="minorEastAsia" w:hAnsiTheme="minorHAnsi"/>
                <w:noProof/>
                <w:color w:val="auto"/>
                <w:kern w:val="2"/>
                <w:sz w:val="24"/>
                <w:szCs w:val="24"/>
                <w:lang w:eastAsia="en-AU"/>
                <w14:ligatures w14:val="standardContextual"/>
              </w:rPr>
              <w:tab/>
            </w:r>
            <w:r w:rsidR="00A14C9B" w:rsidRPr="007F6FE1">
              <w:rPr>
                <w:rStyle w:val="Hyperlink"/>
                <w:noProof/>
              </w:rPr>
              <w:t>Financial position and fiscal strategy of the State of Victoria</w:t>
            </w:r>
            <w:r w:rsidR="00A14C9B">
              <w:rPr>
                <w:noProof/>
                <w:webHidden/>
              </w:rPr>
              <w:tab/>
            </w:r>
            <w:r w:rsidR="00A14C9B">
              <w:rPr>
                <w:noProof/>
                <w:webHidden/>
              </w:rPr>
              <w:fldChar w:fldCharType="begin"/>
            </w:r>
            <w:r w:rsidR="00A14C9B">
              <w:rPr>
                <w:noProof/>
                <w:webHidden/>
              </w:rPr>
              <w:instrText xml:space="preserve"> PAGEREF _Toc170383544 \h </w:instrText>
            </w:r>
            <w:r w:rsidR="00A14C9B">
              <w:rPr>
                <w:noProof/>
                <w:webHidden/>
              </w:rPr>
            </w:r>
            <w:r w:rsidR="00A14C9B">
              <w:rPr>
                <w:noProof/>
                <w:webHidden/>
              </w:rPr>
              <w:fldChar w:fldCharType="separate"/>
            </w:r>
            <w:r w:rsidR="00CC764B">
              <w:rPr>
                <w:noProof/>
                <w:webHidden/>
              </w:rPr>
              <w:t>15</w:t>
            </w:r>
            <w:r w:rsidR="00A14C9B">
              <w:rPr>
                <w:noProof/>
                <w:webHidden/>
              </w:rPr>
              <w:fldChar w:fldCharType="end"/>
            </w:r>
          </w:hyperlink>
        </w:p>
        <w:p w14:paraId="75C638A9" w14:textId="1359F589" w:rsidR="00A14C9B" w:rsidRDefault="00323A45">
          <w:pPr>
            <w:pStyle w:val="TOC2"/>
            <w:tabs>
              <w:tab w:val="left" w:pos="1200"/>
              <w:tab w:val="right" w:leader="dot" w:pos="8494"/>
            </w:tabs>
            <w:rPr>
              <w:rFonts w:asciiTheme="minorHAnsi" w:eastAsiaTheme="minorEastAsia" w:hAnsiTheme="minorHAnsi"/>
              <w:noProof/>
              <w:color w:val="auto"/>
              <w:kern w:val="2"/>
              <w:sz w:val="24"/>
              <w:szCs w:val="24"/>
              <w:lang w:eastAsia="en-AU"/>
              <w14:ligatures w14:val="standardContextual"/>
            </w:rPr>
          </w:pPr>
          <w:hyperlink w:anchor="_Toc170383545" w:history="1">
            <w:r w:rsidR="00A14C9B" w:rsidRPr="007F6FE1">
              <w:rPr>
                <w:rStyle w:val="Hyperlink"/>
                <w:noProof/>
              </w:rPr>
              <w:t>2.3</w:t>
            </w:r>
            <w:r w:rsidR="00A14C9B">
              <w:rPr>
                <w:rFonts w:asciiTheme="minorHAnsi" w:eastAsiaTheme="minorEastAsia" w:hAnsiTheme="minorHAnsi"/>
                <w:noProof/>
                <w:color w:val="auto"/>
                <w:kern w:val="2"/>
                <w:sz w:val="24"/>
                <w:szCs w:val="24"/>
                <w:lang w:eastAsia="en-AU"/>
                <w14:ligatures w14:val="standardContextual"/>
              </w:rPr>
              <w:tab/>
            </w:r>
            <w:r w:rsidR="00A14C9B" w:rsidRPr="007F6FE1">
              <w:rPr>
                <w:rStyle w:val="Hyperlink"/>
                <w:noProof/>
              </w:rPr>
              <w:t>Wages Policy</w:t>
            </w:r>
            <w:r w:rsidR="00A14C9B">
              <w:rPr>
                <w:noProof/>
                <w:webHidden/>
              </w:rPr>
              <w:tab/>
            </w:r>
            <w:r w:rsidR="00A14C9B">
              <w:rPr>
                <w:noProof/>
                <w:webHidden/>
              </w:rPr>
              <w:fldChar w:fldCharType="begin"/>
            </w:r>
            <w:r w:rsidR="00A14C9B">
              <w:rPr>
                <w:noProof/>
                <w:webHidden/>
              </w:rPr>
              <w:instrText xml:space="preserve"> PAGEREF _Toc170383545 \h </w:instrText>
            </w:r>
            <w:r w:rsidR="00A14C9B">
              <w:rPr>
                <w:noProof/>
                <w:webHidden/>
              </w:rPr>
            </w:r>
            <w:r w:rsidR="00A14C9B">
              <w:rPr>
                <w:noProof/>
                <w:webHidden/>
              </w:rPr>
              <w:fldChar w:fldCharType="separate"/>
            </w:r>
            <w:r w:rsidR="00CC764B">
              <w:rPr>
                <w:noProof/>
                <w:webHidden/>
              </w:rPr>
              <w:t>15</w:t>
            </w:r>
            <w:r w:rsidR="00A14C9B">
              <w:rPr>
                <w:noProof/>
                <w:webHidden/>
              </w:rPr>
              <w:fldChar w:fldCharType="end"/>
            </w:r>
          </w:hyperlink>
        </w:p>
        <w:p w14:paraId="5078A766" w14:textId="4B72CE4D" w:rsidR="00A14C9B" w:rsidRDefault="00323A45">
          <w:pPr>
            <w:pStyle w:val="TOC2"/>
            <w:tabs>
              <w:tab w:val="left" w:pos="1200"/>
              <w:tab w:val="right" w:leader="dot" w:pos="8494"/>
            </w:tabs>
            <w:rPr>
              <w:rFonts w:asciiTheme="minorHAnsi" w:eastAsiaTheme="minorEastAsia" w:hAnsiTheme="minorHAnsi"/>
              <w:noProof/>
              <w:color w:val="auto"/>
              <w:kern w:val="2"/>
              <w:sz w:val="24"/>
              <w:szCs w:val="24"/>
              <w:lang w:eastAsia="en-AU"/>
              <w14:ligatures w14:val="standardContextual"/>
            </w:rPr>
          </w:pPr>
          <w:hyperlink w:anchor="_Toc170383546" w:history="1">
            <w:r w:rsidR="00A14C9B" w:rsidRPr="007F6FE1">
              <w:rPr>
                <w:rStyle w:val="Hyperlink"/>
                <w:noProof/>
              </w:rPr>
              <w:t>2.4</w:t>
            </w:r>
            <w:r w:rsidR="00A14C9B">
              <w:rPr>
                <w:rFonts w:asciiTheme="minorHAnsi" w:eastAsiaTheme="minorEastAsia" w:hAnsiTheme="minorHAnsi"/>
                <w:noProof/>
                <w:color w:val="auto"/>
                <w:kern w:val="2"/>
                <w:sz w:val="24"/>
                <w:szCs w:val="24"/>
                <w:lang w:eastAsia="en-AU"/>
                <w14:ligatures w14:val="standardContextual"/>
              </w:rPr>
              <w:tab/>
            </w:r>
            <w:r w:rsidR="00A14C9B" w:rsidRPr="007F6FE1">
              <w:rPr>
                <w:rStyle w:val="Hyperlink"/>
                <w:noProof/>
              </w:rPr>
              <w:t>Matters raised in submissions</w:t>
            </w:r>
            <w:r w:rsidR="00A14C9B">
              <w:rPr>
                <w:noProof/>
                <w:webHidden/>
              </w:rPr>
              <w:tab/>
            </w:r>
            <w:r w:rsidR="00A14C9B">
              <w:rPr>
                <w:noProof/>
                <w:webHidden/>
              </w:rPr>
              <w:fldChar w:fldCharType="begin"/>
            </w:r>
            <w:r w:rsidR="00A14C9B">
              <w:rPr>
                <w:noProof/>
                <w:webHidden/>
              </w:rPr>
              <w:instrText xml:space="preserve"> PAGEREF _Toc170383546 \h </w:instrText>
            </w:r>
            <w:r w:rsidR="00A14C9B">
              <w:rPr>
                <w:noProof/>
                <w:webHidden/>
              </w:rPr>
            </w:r>
            <w:r w:rsidR="00A14C9B">
              <w:rPr>
                <w:noProof/>
                <w:webHidden/>
              </w:rPr>
              <w:fldChar w:fldCharType="separate"/>
            </w:r>
            <w:r w:rsidR="00CC764B">
              <w:rPr>
                <w:noProof/>
                <w:webHidden/>
              </w:rPr>
              <w:t>16</w:t>
            </w:r>
            <w:r w:rsidR="00A14C9B">
              <w:rPr>
                <w:noProof/>
                <w:webHidden/>
              </w:rPr>
              <w:fldChar w:fldCharType="end"/>
            </w:r>
          </w:hyperlink>
        </w:p>
        <w:p w14:paraId="3FBAE592" w14:textId="41A6413D" w:rsidR="00A14C9B" w:rsidRDefault="00323A45">
          <w:pPr>
            <w:pStyle w:val="TOC2"/>
            <w:tabs>
              <w:tab w:val="left" w:pos="1200"/>
              <w:tab w:val="right" w:leader="dot" w:pos="8494"/>
            </w:tabs>
            <w:rPr>
              <w:rFonts w:asciiTheme="minorHAnsi" w:eastAsiaTheme="minorEastAsia" w:hAnsiTheme="minorHAnsi"/>
              <w:noProof/>
              <w:color w:val="auto"/>
              <w:kern w:val="2"/>
              <w:sz w:val="24"/>
              <w:szCs w:val="24"/>
              <w:lang w:eastAsia="en-AU"/>
              <w14:ligatures w14:val="standardContextual"/>
            </w:rPr>
          </w:pPr>
          <w:hyperlink w:anchor="_Toc170383547" w:history="1">
            <w:r w:rsidR="00A14C9B" w:rsidRPr="007F6FE1">
              <w:rPr>
                <w:rStyle w:val="Hyperlink"/>
                <w:noProof/>
              </w:rPr>
              <w:t>2.5</w:t>
            </w:r>
            <w:r w:rsidR="00A14C9B">
              <w:rPr>
                <w:rFonts w:asciiTheme="minorHAnsi" w:eastAsiaTheme="minorEastAsia" w:hAnsiTheme="minorHAnsi"/>
                <w:noProof/>
                <w:color w:val="auto"/>
                <w:kern w:val="2"/>
                <w:sz w:val="24"/>
                <w:szCs w:val="24"/>
                <w:lang w:eastAsia="en-AU"/>
                <w14:ligatures w14:val="standardContextual"/>
              </w:rPr>
              <w:tab/>
            </w:r>
            <w:r w:rsidR="00A14C9B" w:rsidRPr="007F6FE1">
              <w:rPr>
                <w:rStyle w:val="Hyperlink"/>
                <w:noProof/>
              </w:rPr>
              <w:t>Other relevant considerations</w:t>
            </w:r>
            <w:r w:rsidR="00A14C9B">
              <w:rPr>
                <w:noProof/>
                <w:webHidden/>
              </w:rPr>
              <w:tab/>
            </w:r>
            <w:r w:rsidR="00A14C9B">
              <w:rPr>
                <w:noProof/>
                <w:webHidden/>
              </w:rPr>
              <w:fldChar w:fldCharType="begin"/>
            </w:r>
            <w:r w:rsidR="00A14C9B">
              <w:rPr>
                <w:noProof/>
                <w:webHidden/>
              </w:rPr>
              <w:instrText xml:space="preserve"> PAGEREF _Toc170383547 \h </w:instrText>
            </w:r>
            <w:r w:rsidR="00A14C9B">
              <w:rPr>
                <w:noProof/>
                <w:webHidden/>
              </w:rPr>
            </w:r>
            <w:r w:rsidR="00A14C9B">
              <w:rPr>
                <w:noProof/>
                <w:webHidden/>
              </w:rPr>
              <w:fldChar w:fldCharType="separate"/>
            </w:r>
            <w:r w:rsidR="00CC764B">
              <w:rPr>
                <w:noProof/>
                <w:webHidden/>
              </w:rPr>
              <w:t>17</w:t>
            </w:r>
            <w:r w:rsidR="00A14C9B">
              <w:rPr>
                <w:noProof/>
                <w:webHidden/>
              </w:rPr>
              <w:fldChar w:fldCharType="end"/>
            </w:r>
          </w:hyperlink>
        </w:p>
        <w:p w14:paraId="0005F300" w14:textId="7B198523" w:rsidR="00A14C9B" w:rsidRDefault="00323A45">
          <w:pPr>
            <w:pStyle w:val="TOC1"/>
            <w:tabs>
              <w:tab w:val="left" w:pos="510"/>
              <w:tab w:val="right" w:leader="dot" w:pos="8494"/>
            </w:tabs>
            <w:rPr>
              <w:rFonts w:asciiTheme="minorHAnsi" w:eastAsiaTheme="minorEastAsia" w:hAnsiTheme="minorHAnsi" w:cstheme="minorBidi"/>
              <w:b w:val="0"/>
              <w:noProof/>
              <w:color w:val="auto"/>
              <w:kern w:val="2"/>
              <w:sz w:val="24"/>
              <w:szCs w:val="24"/>
              <w:lang w:eastAsia="en-AU"/>
              <w14:ligatures w14:val="standardContextual"/>
            </w:rPr>
          </w:pPr>
          <w:hyperlink w:anchor="_Toc170383548" w:history="1">
            <w:r w:rsidR="00A14C9B" w:rsidRPr="007F6FE1">
              <w:rPr>
                <w:rStyle w:val="Hyperlink"/>
                <w:noProof/>
              </w:rPr>
              <w:t>3</w:t>
            </w:r>
            <w:r w:rsidR="00A14C9B">
              <w:rPr>
                <w:rFonts w:asciiTheme="minorHAnsi" w:eastAsiaTheme="minorEastAsia" w:hAnsiTheme="minorHAnsi" w:cstheme="minorBidi"/>
                <w:b w:val="0"/>
                <w:noProof/>
                <w:color w:val="auto"/>
                <w:kern w:val="2"/>
                <w:sz w:val="24"/>
                <w:szCs w:val="24"/>
                <w:lang w:eastAsia="en-AU"/>
                <w14:ligatures w14:val="standardContextual"/>
              </w:rPr>
              <w:tab/>
            </w:r>
            <w:r w:rsidR="00A14C9B" w:rsidRPr="007F6FE1">
              <w:rPr>
                <w:rStyle w:val="Hyperlink"/>
                <w:noProof/>
              </w:rPr>
              <w:t>Tribunal’s decisions</w:t>
            </w:r>
            <w:r w:rsidR="00A14C9B">
              <w:rPr>
                <w:noProof/>
                <w:webHidden/>
              </w:rPr>
              <w:tab/>
            </w:r>
            <w:r w:rsidR="00A14C9B">
              <w:rPr>
                <w:noProof/>
                <w:webHidden/>
              </w:rPr>
              <w:fldChar w:fldCharType="begin"/>
            </w:r>
            <w:r w:rsidR="00A14C9B">
              <w:rPr>
                <w:noProof/>
                <w:webHidden/>
              </w:rPr>
              <w:instrText xml:space="preserve"> PAGEREF _Toc170383548 \h </w:instrText>
            </w:r>
            <w:r w:rsidR="00A14C9B">
              <w:rPr>
                <w:noProof/>
                <w:webHidden/>
              </w:rPr>
            </w:r>
            <w:r w:rsidR="00A14C9B">
              <w:rPr>
                <w:noProof/>
                <w:webHidden/>
              </w:rPr>
              <w:fldChar w:fldCharType="separate"/>
            </w:r>
            <w:r w:rsidR="00CC764B">
              <w:rPr>
                <w:noProof/>
                <w:webHidden/>
              </w:rPr>
              <w:t>18</w:t>
            </w:r>
            <w:r w:rsidR="00A14C9B">
              <w:rPr>
                <w:noProof/>
                <w:webHidden/>
              </w:rPr>
              <w:fldChar w:fldCharType="end"/>
            </w:r>
          </w:hyperlink>
        </w:p>
        <w:p w14:paraId="7F47FC1F" w14:textId="60DCE97E" w:rsidR="00A14C9B" w:rsidRDefault="00323A45" w:rsidP="00A14C9B">
          <w:pPr>
            <w:pStyle w:val="TOC2"/>
            <w:tabs>
              <w:tab w:val="left" w:pos="1200"/>
              <w:tab w:val="right" w:leader="dot" w:pos="8494"/>
            </w:tabs>
            <w:ind w:left="1200" w:hanging="690"/>
            <w:rPr>
              <w:rFonts w:asciiTheme="minorHAnsi" w:eastAsiaTheme="minorEastAsia" w:hAnsiTheme="minorHAnsi"/>
              <w:noProof/>
              <w:color w:val="auto"/>
              <w:kern w:val="2"/>
              <w:sz w:val="24"/>
              <w:szCs w:val="24"/>
              <w:lang w:eastAsia="en-AU"/>
              <w14:ligatures w14:val="standardContextual"/>
            </w:rPr>
          </w:pPr>
          <w:hyperlink w:anchor="_Toc170383549" w:history="1">
            <w:r w:rsidR="00A14C9B" w:rsidRPr="007F6FE1">
              <w:rPr>
                <w:rStyle w:val="Hyperlink"/>
                <w:noProof/>
              </w:rPr>
              <w:t>3.1</w:t>
            </w:r>
            <w:r w:rsidR="00A14C9B">
              <w:rPr>
                <w:rFonts w:asciiTheme="minorHAnsi" w:eastAsiaTheme="minorEastAsia" w:hAnsiTheme="minorHAnsi"/>
                <w:noProof/>
                <w:color w:val="auto"/>
                <w:kern w:val="2"/>
                <w:sz w:val="24"/>
                <w:szCs w:val="24"/>
                <w:lang w:eastAsia="en-AU"/>
                <w14:ligatures w14:val="standardContextual"/>
              </w:rPr>
              <w:tab/>
            </w:r>
            <w:r w:rsidR="00A14C9B" w:rsidRPr="007F6FE1">
              <w:rPr>
                <w:rStyle w:val="Hyperlink"/>
                <w:noProof/>
              </w:rPr>
              <w:t>Adjustments to basic salary, additional salaries and expense allowance</w:t>
            </w:r>
            <w:r w:rsidR="00A14C9B">
              <w:rPr>
                <w:noProof/>
                <w:webHidden/>
              </w:rPr>
              <w:tab/>
            </w:r>
            <w:r w:rsidR="00A14C9B">
              <w:rPr>
                <w:noProof/>
                <w:webHidden/>
              </w:rPr>
              <w:fldChar w:fldCharType="begin"/>
            </w:r>
            <w:r w:rsidR="00A14C9B">
              <w:rPr>
                <w:noProof/>
                <w:webHidden/>
              </w:rPr>
              <w:instrText xml:space="preserve"> PAGEREF _Toc170383549 \h </w:instrText>
            </w:r>
            <w:r w:rsidR="00A14C9B">
              <w:rPr>
                <w:noProof/>
                <w:webHidden/>
              </w:rPr>
            </w:r>
            <w:r w:rsidR="00A14C9B">
              <w:rPr>
                <w:noProof/>
                <w:webHidden/>
              </w:rPr>
              <w:fldChar w:fldCharType="separate"/>
            </w:r>
            <w:r w:rsidR="00CC764B">
              <w:rPr>
                <w:noProof/>
                <w:webHidden/>
              </w:rPr>
              <w:t>18</w:t>
            </w:r>
            <w:r w:rsidR="00A14C9B">
              <w:rPr>
                <w:noProof/>
                <w:webHidden/>
              </w:rPr>
              <w:fldChar w:fldCharType="end"/>
            </w:r>
          </w:hyperlink>
        </w:p>
        <w:p w14:paraId="07A02927" w14:textId="2BED2A48" w:rsidR="00A14C9B" w:rsidRDefault="00323A45" w:rsidP="00A14C9B">
          <w:pPr>
            <w:pStyle w:val="TOC2"/>
            <w:tabs>
              <w:tab w:val="left" w:pos="1200"/>
              <w:tab w:val="right" w:leader="dot" w:pos="8494"/>
            </w:tabs>
            <w:ind w:left="1200" w:hanging="690"/>
            <w:rPr>
              <w:rFonts w:asciiTheme="minorHAnsi" w:eastAsiaTheme="minorEastAsia" w:hAnsiTheme="minorHAnsi"/>
              <w:noProof/>
              <w:color w:val="auto"/>
              <w:kern w:val="2"/>
              <w:sz w:val="24"/>
              <w:szCs w:val="24"/>
              <w:lang w:eastAsia="en-AU"/>
              <w14:ligatures w14:val="standardContextual"/>
            </w:rPr>
          </w:pPr>
          <w:hyperlink w:anchor="_Toc170383550" w:history="1">
            <w:r w:rsidR="00A14C9B" w:rsidRPr="007F6FE1">
              <w:rPr>
                <w:rStyle w:val="Hyperlink"/>
                <w:noProof/>
              </w:rPr>
              <w:t>3.2</w:t>
            </w:r>
            <w:r w:rsidR="00A14C9B">
              <w:rPr>
                <w:rFonts w:asciiTheme="minorHAnsi" w:eastAsiaTheme="minorEastAsia" w:hAnsiTheme="minorHAnsi"/>
                <w:noProof/>
                <w:color w:val="auto"/>
                <w:kern w:val="2"/>
                <w:sz w:val="24"/>
                <w:szCs w:val="24"/>
                <w:lang w:eastAsia="en-AU"/>
                <w14:ligatures w14:val="standardContextual"/>
              </w:rPr>
              <w:tab/>
            </w:r>
            <w:r w:rsidR="00A14C9B" w:rsidRPr="007F6FE1">
              <w:rPr>
                <w:rStyle w:val="Hyperlink"/>
                <w:noProof/>
              </w:rPr>
              <w:t>Adjustments to the value of work</w:t>
            </w:r>
            <w:r w:rsidR="00A14C9B" w:rsidRPr="007F6FE1">
              <w:rPr>
                <w:rStyle w:val="Hyperlink"/>
                <w:noProof/>
              </w:rPr>
              <w:noBreakHyphen/>
              <w:t>related parliamentary allowances</w:t>
            </w:r>
            <w:r w:rsidR="00941387">
              <w:rPr>
                <w:rStyle w:val="Hyperlink"/>
                <w:noProof/>
              </w:rPr>
              <w:t> </w:t>
            </w:r>
            <w:r w:rsidR="00A14C9B" w:rsidRPr="007F6FE1">
              <w:rPr>
                <w:rStyle w:val="Hyperlink"/>
                <w:noProof/>
              </w:rPr>
              <w:t>and the EO&amp;C Budget</w:t>
            </w:r>
            <w:r w:rsidR="00A14C9B">
              <w:rPr>
                <w:noProof/>
                <w:webHidden/>
              </w:rPr>
              <w:tab/>
            </w:r>
            <w:r w:rsidR="00A14C9B">
              <w:rPr>
                <w:noProof/>
                <w:webHidden/>
              </w:rPr>
              <w:fldChar w:fldCharType="begin"/>
            </w:r>
            <w:r w:rsidR="00A14C9B">
              <w:rPr>
                <w:noProof/>
                <w:webHidden/>
              </w:rPr>
              <w:instrText xml:space="preserve"> PAGEREF _Toc170383550 \h </w:instrText>
            </w:r>
            <w:r w:rsidR="00A14C9B">
              <w:rPr>
                <w:noProof/>
                <w:webHidden/>
              </w:rPr>
            </w:r>
            <w:r w:rsidR="00A14C9B">
              <w:rPr>
                <w:noProof/>
                <w:webHidden/>
              </w:rPr>
              <w:fldChar w:fldCharType="separate"/>
            </w:r>
            <w:r w:rsidR="00CC764B">
              <w:rPr>
                <w:noProof/>
                <w:webHidden/>
              </w:rPr>
              <w:t>18</w:t>
            </w:r>
            <w:r w:rsidR="00A14C9B">
              <w:rPr>
                <w:noProof/>
                <w:webHidden/>
              </w:rPr>
              <w:fldChar w:fldCharType="end"/>
            </w:r>
          </w:hyperlink>
        </w:p>
        <w:p w14:paraId="26577032" w14:textId="5CE33F75" w:rsidR="00A14C9B" w:rsidRDefault="00323A45">
          <w:pPr>
            <w:pStyle w:val="TOC2"/>
            <w:tabs>
              <w:tab w:val="left" w:pos="1200"/>
              <w:tab w:val="right" w:leader="dot" w:pos="8494"/>
            </w:tabs>
            <w:rPr>
              <w:rFonts w:asciiTheme="minorHAnsi" w:eastAsiaTheme="minorEastAsia" w:hAnsiTheme="minorHAnsi"/>
              <w:noProof/>
              <w:color w:val="auto"/>
              <w:kern w:val="2"/>
              <w:sz w:val="24"/>
              <w:szCs w:val="24"/>
              <w:lang w:eastAsia="en-AU"/>
              <w14:ligatures w14:val="standardContextual"/>
            </w:rPr>
          </w:pPr>
          <w:hyperlink w:anchor="_Toc170383551" w:history="1">
            <w:r w:rsidR="00A14C9B" w:rsidRPr="007F6FE1">
              <w:rPr>
                <w:rStyle w:val="Hyperlink"/>
                <w:noProof/>
              </w:rPr>
              <w:t>3.3</w:t>
            </w:r>
            <w:r w:rsidR="00A14C9B">
              <w:rPr>
                <w:rFonts w:asciiTheme="minorHAnsi" w:eastAsiaTheme="minorEastAsia" w:hAnsiTheme="minorHAnsi"/>
                <w:noProof/>
                <w:color w:val="auto"/>
                <w:kern w:val="2"/>
                <w:sz w:val="24"/>
                <w:szCs w:val="24"/>
                <w:lang w:eastAsia="en-AU"/>
                <w14:ligatures w14:val="standardContextual"/>
              </w:rPr>
              <w:tab/>
            </w:r>
            <w:r w:rsidR="00A14C9B" w:rsidRPr="007F6FE1">
              <w:rPr>
                <w:rStyle w:val="Hyperlink"/>
                <w:noProof/>
              </w:rPr>
              <w:t>Other matters raised with the Tribunal</w:t>
            </w:r>
            <w:r w:rsidR="00A14C9B">
              <w:rPr>
                <w:noProof/>
                <w:webHidden/>
              </w:rPr>
              <w:tab/>
            </w:r>
            <w:r w:rsidR="00A14C9B">
              <w:rPr>
                <w:noProof/>
                <w:webHidden/>
              </w:rPr>
              <w:fldChar w:fldCharType="begin"/>
            </w:r>
            <w:r w:rsidR="00A14C9B">
              <w:rPr>
                <w:noProof/>
                <w:webHidden/>
              </w:rPr>
              <w:instrText xml:space="preserve"> PAGEREF _Toc170383551 \h </w:instrText>
            </w:r>
            <w:r w:rsidR="00A14C9B">
              <w:rPr>
                <w:noProof/>
                <w:webHidden/>
              </w:rPr>
            </w:r>
            <w:r w:rsidR="00A14C9B">
              <w:rPr>
                <w:noProof/>
                <w:webHidden/>
              </w:rPr>
              <w:fldChar w:fldCharType="separate"/>
            </w:r>
            <w:r w:rsidR="00CC764B">
              <w:rPr>
                <w:noProof/>
                <w:webHidden/>
              </w:rPr>
              <w:t>22</w:t>
            </w:r>
            <w:r w:rsidR="00A14C9B">
              <w:rPr>
                <w:noProof/>
                <w:webHidden/>
              </w:rPr>
              <w:fldChar w:fldCharType="end"/>
            </w:r>
          </w:hyperlink>
        </w:p>
        <w:p w14:paraId="0377FC65" w14:textId="308485C4" w:rsidR="00A14C9B" w:rsidRDefault="00323A45">
          <w:pPr>
            <w:pStyle w:val="TOC2"/>
            <w:tabs>
              <w:tab w:val="left" w:pos="1200"/>
              <w:tab w:val="right" w:leader="dot" w:pos="8494"/>
            </w:tabs>
            <w:rPr>
              <w:rFonts w:asciiTheme="minorHAnsi" w:eastAsiaTheme="minorEastAsia" w:hAnsiTheme="minorHAnsi"/>
              <w:noProof/>
              <w:color w:val="auto"/>
              <w:kern w:val="2"/>
              <w:sz w:val="24"/>
              <w:szCs w:val="24"/>
              <w:lang w:eastAsia="en-AU"/>
              <w14:ligatures w14:val="standardContextual"/>
            </w:rPr>
          </w:pPr>
          <w:hyperlink w:anchor="_Toc170383552" w:history="1">
            <w:r w:rsidR="00A14C9B" w:rsidRPr="007F6FE1">
              <w:rPr>
                <w:rStyle w:val="Hyperlink"/>
                <w:noProof/>
              </w:rPr>
              <w:t>3.4</w:t>
            </w:r>
            <w:r w:rsidR="00A14C9B">
              <w:rPr>
                <w:rFonts w:asciiTheme="minorHAnsi" w:eastAsiaTheme="minorEastAsia" w:hAnsiTheme="minorHAnsi"/>
                <w:noProof/>
                <w:color w:val="auto"/>
                <w:kern w:val="2"/>
                <w:sz w:val="24"/>
                <w:szCs w:val="24"/>
                <w:lang w:eastAsia="en-AU"/>
                <w14:ligatures w14:val="standardContextual"/>
              </w:rPr>
              <w:tab/>
            </w:r>
            <w:r w:rsidR="00A14C9B" w:rsidRPr="007F6FE1">
              <w:rPr>
                <w:rStyle w:val="Hyperlink"/>
                <w:noProof/>
              </w:rPr>
              <w:t>Conclusion</w:t>
            </w:r>
            <w:r w:rsidR="00A14C9B">
              <w:rPr>
                <w:noProof/>
                <w:webHidden/>
              </w:rPr>
              <w:tab/>
            </w:r>
            <w:r w:rsidR="00A14C9B">
              <w:rPr>
                <w:noProof/>
                <w:webHidden/>
              </w:rPr>
              <w:fldChar w:fldCharType="begin"/>
            </w:r>
            <w:r w:rsidR="00A14C9B">
              <w:rPr>
                <w:noProof/>
                <w:webHidden/>
              </w:rPr>
              <w:instrText xml:space="preserve"> PAGEREF _Toc170383552 \h </w:instrText>
            </w:r>
            <w:r w:rsidR="00A14C9B">
              <w:rPr>
                <w:noProof/>
                <w:webHidden/>
              </w:rPr>
            </w:r>
            <w:r w:rsidR="00A14C9B">
              <w:rPr>
                <w:noProof/>
                <w:webHidden/>
              </w:rPr>
              <w:fldChar w:fldCharType="separate"/>
            </w:r>
            <w:r w:rsidR="00CC764B">
              <w:rPr>
                <w:noProof/>
                <w:webHidden/>
              </w:rPr>
              <w:t>23</w:t>
            </w:r>
            <w:r w:rsidR="00A14C9B">
              <w:rPr>
                <w:noProof/>
                <w:webHidden/>
              </w:rPr>
              <w:fldChar w:fldCharType="end"/>
            </w:r>
          </w:hyperlink>
        </w:p>
        <w:p w14:paraId="2D1A5415" w14:textId="65720CAD" w:rsidR="00A14C9B" w:rsidRDefault="00323A45">
          <w:pPr>
            <w:pStyle w:val="TOC1"/>
            <w:tabs>
              <w:tab w:val="right" w:leader="dot" w:pos="8494"/>
            </w:tabs>
            <w:rPr>
              <w:rFonts w:asciiTheme="minorHAnsi" w:eastAsiaTheme="minorEastAsia" w:hAnsiTheme="minorHAnsi" w:cstheme="minorBidi"/>
              <w:b w:val="0"/>
              <w:noProof/>
              <w:color w:val="auto"/>
              <w:kern w:val="2"/>
              <w:sz w:val="24"/>
              <w:szCs w:val="24"/>
              <w:lang w:eastAsia="en-AU"/>
              <w14:ligatures w14:val="standardContextual"/>
            </w:rPr>
          </w:pPr>
          <w:hyperlink w:anchor="_Toc170383553" w:history="1">
            <w:r w:rsidR="00A14C9B" w:rsidRPr="007F6FE1">
              <w:rPr>
                <w:rStyle w:val="Hyperlink"/>
                <w:noProof/>
              </w:rPr>
              <w:t>Appendix A – Detailed economic and financial considerations</w:t>
            </w:r>
            <w:r w:rsidR="00A14C9B">
              <w:rPr>
                <w:noProof/>
                <w:webHidden/>
              </w:rPr>
              <w:tab/>
            </w:r>
            <w:r w:rsidR="00A14C9B">
              <w:rPr>
                <w:noProof/>
                <w:webHidden/>
              </w:rPr>
              <w:fldChar w:fldCharType="begin"/>
            </w:r>
            <w:r w:rsidR="00A14C9B">
              <w:rPr>
                <w:noProof/>
                <w:webHidden/>
              </w:rPr>
              <w:instrText xml:space="preserve"> PAGEREF _Toc170383553 \h </w:instrText>
            </w:r>
            <w:r w:rsidR="00A14C9B">
              <w:rPr>
                <w:noProof/>
                <w:webHidden/>
              </w:rPr>
            </w:r>
            <w:r w:rsidR="00A14C9B">
              <w:rPr>
                <w:noProof/>
                <w:webHidden/>
              </w:rPr>
              <w:fldChar w:fldCharType="separate"/>
            </w:r>
            <w:r w:rsidR="00CC764B">
              <w:rPr>
                <w:noProof/>
                <w:webHidden/>
              </w:rPr>
              <w:t>24</w:t>
            </w:r>
            <w:r w:rsidR="00A14C9B">
              <w:rPr>
                <w:noProof/>
                <w:webHidden/>
              </w:rPr>
              <w:fldChar w:fldCharType="end"/>
            </w:r>
          </w:hyperlink>
        </w:p>
        <w:p w14:paraId="6618759B" w14:textId="0B837803" w:rsidR="00A14C9B" w:rsidRDefault="00323A45">
          <w:pPr>
            <w:pStyle w:val="TOC2"/>
            <w:tabs>
              <w:tab w:val="left" w:pos="1200"/>
              <w:tab w:val="right" w:leader="dot" w:pos="8494"/>
            </w:tabs>
            <w:rPr>
              <w:rFonts w:asciiTheme="minorHAnsi" w:eastAsiaTheme="minorEastAsia" w:hAnsiTheme="minorHAnsi"/>
              <w:noProof/>
              <w:color w:val="auto"/>
              <w:kern w:val="2"/>
              <w:sz w:val="24"/>
              <w:szCs w:val="24"/>
              <w:lang w:eastAsia="en-AU"/>
              <w14:ligatures w14:val="standardContextual"/>
            </w:rPr>
          </w:pPr>
          <w:hyperlink w:anchor="_Toc170383554" w:history="1">
            <w:r w:rsidR="00A14C9B" w:rsidRPr="007F6FE1">
              <w:rPr>
                <w:rStyle w:val="Hyperlink"/>
                <w:noProof/>
              </w:rPr>
              <w:t>A.1</w:t>
            </w:r>
            <w:r w:rsidR="00A14C9B">
              <w:rPr>
                <w:rFonts w:asciiTheme="minorHAnsi" w:eastAsiaTheme="minorEastAsia" w:hAnsiTheme="minorHAnsi"/>
                <w:noProof/>
                <w:color w:val="auto"/>
                <w:kern w:val="2"/>
                <w:sz w:val="24"/>
                <w:szCs w:val="24"/>
                <w:lang w:eastAsia="en-AU"/>
                <w14:ligatures w14:val="standardContextual"/>
              </w:rPr>
              <w:tab/>
            </w:r>
            <w:r w:rsidR="00A14C9B" w:rsidRPr="007F6FE1">
              <w:rPr>
                <w:rStyle w:val="Hyperlink"/>
                <w:noProof/>
              </w:rPr>
              <w:t>Current economic conditions</w:t>
            </w:r>
            <w:r w:rsidR="00A14C9B">
              <w:rPr>
                <w:noProof/>
                <w:webHidden/>
              </w:rPr>
              <w:tab/>
            </w:r>
            <w:r w:rsidR="00A14C9B">
              <w:rPr>
                <w:noProof/>
                <w:webHidden/>
              </w:rPr>
              <w:fldChar w:fldCharType="begin"/>
            </w:r>
            <w:r w:rsidR="00A14C9B">
              <w:rPr>
                <w:noProof/>
                <w:webHidden/>
              </w:rPr>
              <w:instrText xml:space="preserve"> PAGEREF _Toc170383554 \h </w:instrText>
            </w:r>
            <w:r w:rsidR="00A14C9B">
              <w:rPr>
                <w:noProof/>
                <w:webHidden/>
              </w:rPr>
            </w:r>
            <w:r w:rsidR="00A14C9B">
              <w:rPr>
                <w:noProof/>
                <w:webHidden/>
              </w:rPr>
              <w:fldChar w:fldCharType="separate"/>
            </w:r>
            <w:r w:rsidR="00CC764B">
              <w:rPr>
                <w:noProof/>
                <w:webHidden/>
              </w:rPr>
              <w:t>24</w:t>
            </w:r>
            <w:r w:rsidR="00A14C9B">
              <w:rPr>
                <w:noProof/>
                <w:webHidden/>
              </w:rPr>
              <w:fldChar w:fldCharType="end"/>
            </w:r>
          </w:hyperlink>
        </w:p>
        <w:p w14:paraId="53649C31" w14:textId="051969F2" w:rsidR="00A14C9B" w:rsidRDefault="00323A45">
          <w:pPr>
            <w:pStyle w:val="TOC2"/>
            <w:tabs>
              <w:tab w:val="left" w:pos="1200"/>
              <w:tab w:val="right" w:leader="dot" w:pos="8494"/>
            </w:tabs>
            <w:rPr>
              <w:rFonts w:asciiTheme="minorHAnsi" w:eastAsiaTheme="minorEastAsia" w:hAnsiTheme="minorHAnsi"/>
              <w:noProof/>
              <w:color w:val="auto"/>
              <w:kern w:val="2"/>
              <w:sz w:val="24"/>
              <w:szCs w:val="24"/>
              <w:lang w:eastAsia="en-AU"/>
              <w14:ligatures w14:val="standardContextual"/>
            </w:rPr>
          </w:pPr>
          <w:hyperlink w:anchor="_Toc170383555" w:history="1">
            <w:r w:rsidR="00A14C9B" w:rsidRPr="007F6FE1">
              <w:rPr>
                <w:rStyle w:val="Hyperlink"/>
                <w:noProof/>
              </w:rPr>
              <w:t>A.2</w:t>
            </w:r>
            <w:r w:rsidR="00A14C9B">
              <w:rPr>
                <w:rFonts w:asciiTheme="minorHAnsi" w:eastAsiaTheme="minorEastAsia" w:hAnsiTheme="minorHAnsi"/>
                <w:noProof/>
                <w:color w:val="auto"/>
                <w:kern w:val="2"/>
                <w:sz w:val="24"/>
                <w:szCs w:val="24"/>
                <w:lang w:eastAsia="en-AU"/>
                <w14:ligatures w14:val="standardContextual"/>
              </w:rPr>
              <w:tab/>
            </w:r>
            <w:r w:rsidR="00A14C9B" w:rsidRPr="007F6FE1">
              <w:rPr>
                <w:rStyle w:val="Hyperlink"/>
                <w:noProof/>
              </w:rPr>
              <w:t>Economic outlook</w:t>
            </w:r>
            <w:r w:rsidR="00A14C9B">
              <w:rPr>
                <w:noProof/>
                <w:webHidden/>
              </w:rPr>
              <w:tab/>
            </w:r>
            <w:r w:rsidR="00A14C9B">
              <w:rPr>
                <w:noProof/>
                <w:webHidden/>
              </w:rPr>
              <w:fldChar w:fldCharType="begin"/>
            </w:r>
            <w:r w:rsidR="00A14C9B">
              <w:rPr>
                <w:noProof/>
                <w:webHidden/>
              </w:rPr>
              <w:instrText xml:space="preserve"> PAGEREF _Toc170383555 \h </w:instrText>
            </w:r>
            <w:r w:rsidR="00A14C9B">
              <w:rPr>
                <w:noProof/>
                <w:webHidden/>
              </w:rPr>
            </w:r>
            <w:r w:rsidR="00A14C9B">
              <w:rPr>
                <w:noProof/>
                <w:webHidden/>
              </w:rPr>
              <w:fldChar w:fldCharType="separate"/>
            </w:r>
            <w:r w:rsidR="00CC764B">
              <w:rPr>
                <w:noProof/>
                <w:webHidden/>
              </w:rPr>
              <w:t>31</w:t>
            </w:r>
            <w:r w:rsidR="00A14C9B">
              <w:rPr>
                <w:noProof/>
                <w:webHidden/>
              </w:rPr>
              <w:fldChar w:fldCharType="end"/>
            </w:r>
          </w:hyperlink>
        </w:p>
        <w:p w14:paraId="55C8D852" w14:textId="5B10999C" w:rsidR="00A14C9B" w:rsidRDefault="00323A45">
          <w:pPr>
            <w:pStyle w:val="TOC2"/>
            <w:tabs>
              <w:tab w:val="left" w:pos="1200"/>
              <w:tab w:val="right" w:leader="dot" w:pos="8494"/>
            </w:tabs>
            <w:rPr>
              <w:rFonts w:asciiTheme="minorHAnsi" w:eastAsiaTheme="minorEastAsia" w:hAnsiTheme="minorHAnsi"/>
              <w:noProof/>
              <w:color w:val="auto"/>
              <w:kern w:val="2"/>
              <w:sz w:val="24"/>
              <w:szCs w:val="24"/>
              <w:lang w:eastAsia="en-AU"/>
              <w14:ligatures w14:val="standardContextual"/>
            </w:rPr>
          </w:pPr>
          <w:hyperlink w:anchor="_Toc170383556" w:history="1">
            <w:r w:rsidR="00A14C9B" w:rsidRPr="007F6FE1">
              <w:rPr>
                <w:rStyle w:val="Hyperlink"/>
                <w:noProof/>
              </w:rPr>
              <w:t>A.3</w:t>
            </w:r>
            <w:r w:rsidR="00A14C9B">
              <w:rPr>
                <w:rFonts w:asciiTheme="minorHAnsi" w:eastAsiaTheme="minorEastAsia" w:hAnsiTheme="minorHAnsi"/>
                <w:noProof/>
                <w:color w:val="auto"/>
                <w:kern w:val="2"/>
                <w:sz w:val="24"/>
                <w:szCs w:val="24"/>
                <w:lang w:eastAsia="en-AU"/>
                <w14:ligatures w14:val="standardContextual"/>
              </w:rPr>
              <w:tab/>
            </w:r>
            <w:r w:rsidR="00A14C9B" w:rsidRPr="007F6FE1">
              <w:rPr>
                <w:rStyle w:val="Hyperlink"/>
                <w:noProof/>
              </w:rPr>
              <w:t>Financial position and fiscal strategy of the State of Victoria</w:t>
            </w:r>
            <w:r w:rsidR="00A14C9B">
              <w:rPr>
                <w:noProof/>
                <w:webHidden/>
              </w:rPr>
              <w:tab/>
            </w:r>
            <w:r w:rsidR="00A14C9B">
              <w:rPr>
                <w:noProof/>
                <w:webHidden/>
              </w:rPr>
              <w:fldChar w:fldCharType="begin"/>
            </w:r>
            <w:r w:rsidR="00A14C9B">
              <w:rPr>
                <w:noProof/>
                <w:webHidden/>
              </w:rPr>
              <w:instrText xml:space="preserve"> PAGEREF _Toc170383556 \h </w:instrText>
            </w:r>
            <w:r w:rsidR="00A14C9B">
              <w:rPr>
                <w:noProof/>
                <w:webHidden/>
              </w:rPr>
            </w:r>
            <w:r w:rsidR="00A14C9B">
              <w:rPr>
                <w:noProof/>
                <w:webHidden/>
              </w:rPr>
              <w:fldChar w:fldCharType="separate"/>
            </w:r>
            <w:r w:rsidR="00CC764B">
              <w:rPr>
                <w:noProof/>
                <w:webHidden/>
              </w:rPr>
              <w:t>36</w:t>
            </w:r>
            <w:r w:rsidR="00A14C9B">
              <w:rPr>
                <w:noProof/>
                <w:webHidden/>
              </w:rPr>
              <w:fldChar w:fldCharType="end"/>
            </w:r>
          </w:hyperlink>
        </w:p>
        <w:p w14:paraId="151F976F" w14:textId="43B6DA29" w:rsidR="00A14C9B" w:rsidRDefault="00323A45">
          <w:pPr>
            <w:pStyle w:val="TOC2"/>
            <w:tabs>
              <w:tab w:val="left" w:pos="1200"/>
              <w:tab w:val="right" w:leader="dot" w:pos="8494"/>
            </w:tabs>
            <w:rPr>
              <w:rFonts w:asciiTheme="minorHAnsi" w:eastAsiaTheme="minorEastAsia" w:hAnsiTheme="minorHAnsi"/>
              <w:noProof/>
              <w:color w:val="auto"/>
              <w:kern w:val="2"/>
              <w:sz w:val="24"/>
              <w:szCs w:val="24"/>
              <w:lang w:eastAsia="en-AU"/>
              <w14:ligatures w14:val="standardContextual"/>
            </w:rPr>
          </w:pPr>
          <w:hyperlink w:anchor="_Toc170383557" w:history="1">
            <w:r w:rsidR="00A14C9B" w:rsidRPr="007F6FE1">
              <w:rPr>
                <w:rStyle w:val="Hyperlink"/>
                <w:noProof/>
              </w:rPr>
              <w:t>A.4</w:t>
            </w:r>
            <w:r w:rsidR="00A14C9B">
              <w:rPr>
                <w:rFonts w:asciiTheme="minorHAnsi" w:eastAsiaTheme="minorEastAsia" w:hAnsiTheme="minorHAnsi"/>
                <w:noProof/>
                <w:color w:val="auto"/>
                <w:kern w:val="2"/>
                <w:sz w:val="24"/>
                <w:szCs w:val="24"/>
                <w:lang w:eastAsia="en-AU"/>
                <w14:ligatures w14:val="standardContextual"/>
              </w:rPr>
              <w:tab/>
            </w:r>
            <w:r w:rsidR="00A14C9B" w:rsidRPr="007F6FE1">
              <w:rPr>
                <w:rStyle w:val="Hyperlink"/>
                <w:noProof/>
              </w:rPr>
              <w:t>Wages Policy</w:t>
            </w:r>
            <w:r w:rsidR="00A14C9B">
              <w:rPr>
                <w:noProof/>
                <w:webHidden/>
              </w:rPr>
              <w:tab/>
            </w:r>
            <w:r w:rsidR="00A14C9B">
              <w:rPr>
                <w:noProof/>
                <w:webHidden/>
              </w:rPr>
              <w:fldChar w:fldCharType="begin"/>
            </w:r>
            <w:r w:rsidR="00A14C9B">
              <w:rPr>
                <w:noProof/>
                <w:webHidden/>
              </w:rPr>
              <w:instrText xml:space="preserve"> PAGEREF _Toc170383557 \h </w:instrText>
            </w:r>
            <w:r w:rsidR="00A14C9B">
              <w:rPr>
                <w:noProof/>
                <w:webHidden/>
              </w:rPr>
            </w:r>
            <w:r w:rsidR="00A14C9B">
              <w:rPr>
                <w:noProof/>
                <w:webHidden/>
              </w:rPr>
              <w:fldChar w:fldCharType="separate"/>
            </w:r>
            <w:r w:rsidR="00CC764B">
              <w:rPr>
                <w:noProof/>
                <w:webHidden/>
              </w:rPr>
              <w:t>41</w:t>
            </w:r>
            <w:r w:rsidR="00A14C9B">
              <w:rPr>
                <w:noProof/>
                <w:webHidden/>
              </w:rPr>
              <w:fldChar w:fldCharType="end"/>
            </w:r>
          </w:hyperlink>
        </w:p>
        <w:p w14:paraId="78014866" w14:textId="1454764E" w:rsidR="00A14C9B" w:rsidRDefault="00323A45">
          <w:pPr>
            <w:pStyle w:val="TOC1"/>
            <w:tabs>
              <w:tab w:val="right" w:leader="dot" w:pos="8494"/>
            </w:tabs>
            <w:rPr>
              <w:rFonts w:asciiTheme="minorHAnsi" w:eastAsiaTheme="minorEastAsia" w:hAnsiTheme="minorHAnsi" w:cstheme="minorBidi"/>
              <w:b w:val="0"/>
              <w:noProof/>
              <w:color w:val="auto"/>
              <w:kern w:val="2"/>
              <w:sz w:val="24"/>
              <w:szCs w:val="24"/>
              <w:lang w:eastAsia="en-AU"/>
              <w14:ligatures w14:val="standardContextual"/>
            </w:rPr>
          </w:pPr>
          <w:hyperlink w:anchor="_Toc170383558" w:history="1">
            <w:r w:rsidR="00A14C9B" w:rsidRPr="007F6FE1">
              <w:rPr>
                <w:rStyle w:val="Hyperlink"/>
                <w:noProof/>
              </w:rPr>
              <w:t>References</w:t>
            </w:r>
            <w:r w:rsidR="00A14C9B">
              <w:rPr>
                <w:noProof/>
                <w:webHidden/>
              </w:rPr>
              <w:tab/>
            </w:r>
            <w:r w:rsidR="00A14C9B">
              <w:rPr>
                <w:noProof/>
                <w:webHidden/>
              </w:rPr>
              <w:fldChar w:fldCharType="begin"/>
            </w:r>
            <w:r w:rsidR="00A14C9B">
              <w:rPr>
                <w:noProof/>
                <w:webHidden/>
              </w:rPr>
              <w:instrText xml:space="preserve"> PAGEREF _Toc170383558 \h </w:instrText>
            </w:r>
            <w:r w:rsidR="00A14C9B">
              <w:rPr>
                <w:noProof/>
                <w:webHidden/>
              </w:rPr>
            </w:r>
            <w:r w:rsidR="00A14C9B">
              <w:rPr>
                <w:noProof/>
                <w:webHidden/>
              </w:rPr>
              <w:fldChar w:fldCharType="separate"/>
            </w:r>
            <w:r w:rsidR="00CC764B">
              <w:rPr>
                <w:noProof/>
                <w:webHidden/>
              </w:rPr>
              <w:t>43</w:t>
            </w:r>
            <w:r w:rsidR="00A14C9B">
              <w:rPr>
                <w:noProof/>
                <w:webHidden/>
              </w:rPr>
              <w:fldChar w:fldCharType="end"/>
            </w:r>
          </w:hyperlink>
        </w:p>
        <w:p w14:paraId="61347A1A" w14:textId="64437168" w:rsidR="009D2B5D" w:rsidRPr="00977DC5" w:rsidRDefault="00D714D0" w:rsidP="009D2B5D">
          <w:pPr>
            <w:pStyle w:val="TOC1"/>
            <w:tabs>
              <w:tab w:val="right" w:leader="dot" w:pos="8494"/>
            </w:tabs>
            <w:rPr>
              <w:rFonts w:asciiTheme="majorHAnsi" w:eastAsiaTheme="majorEastAsia" w:hAnsiTheme="majorHAnsi" w:cstheme="majorBidi"/>
              <w:sz w:val="28"/>
              <w:szCs w:val="28"/>
              <w:highlight w:val="yellow"/>
            </w:rPr>
          </w:pPr>
          <w:r w:rsidRPr="007460D0">
            <w:rPr>
              <w:rFonts w:asciiTheme="majorHAnsi" w:eastAsiaTheme="majorEastAsia" w:hAnsiTheme="majorHAnsi" w:cstheme="majorBidi"/>
              <w:color w:val="auto"/>
              <w:sz w:val="28"/>
              <w:szCs w:val="28"/>
              <w:highlight w:val="yellow"/>
            </w:rPr>
            <w:fldChar w:fldCharType="end"/>
          </w:r>
        </w:p>
      </w:sdtContent>
    </w:sdt>
    <w:p w14:paraId="57EB8FAD" w14:textId="68E04841" w:rsidR="00EA48FC" w:rsidRPr="00764135" w:rsidRDefault="00EA48FC" w:rsidP="00B1131E">
      <w:pPr>
        <w:pStyle w:val="Chapterheading"/>
        <w:rPr>
          <w:sz w:val="28"/>
          <w:szCs w:val="28"/>
          <w:highlight w:val="yellow"/>
        </w:rPr>
        <w:sectPr w:rsidR="00EA48FC" w:rsidRPr="00764135" w:rsidSect="00F90BEA">
          <w:pgSz w:w="11906" w:h="16838"/>
          <w:pgMar w:top="1701" w:right="1701" w:bottom="1559" w:left="1701" w:header="425" w:footer="709" w:gutter="0"/>
          <w:cols w:space="282"/>
          <w:docGrid w:linePitch="360"/>
        </w:sectPr>
      </w:pPr>
    </w:p>
    <w:p w14:paraId="5F2AAFE8" w14:textId="6B3FC3F6" w:rsidR="005958EB" w:rsidRPr="00764135" w:rsidRDefault="005958EB" w:rsidP="00F75AC4">
      <w:pPr>
        <w:pStyle w:val="Tabletext"/>
        <w:rPr>
          <w:highlight w:val="yellow"/>
        </w:rPr>
      </w:pPr>
      <w:r w:rsidRPr="00764135">
        <w:rPr>
          <w:highlight w:val="yellow"/>
        </w:rPr>
        <w:br w:type="page"/>
      </w:r>
    </w:p>
    <w:p w14:paraId="70025DEA" w14:textId="77777777" w:rsidR="001F12D1" w:rsidRPr="004E7F27" w:rsidRDefault="004D3582" w:rsidP="001D523A">
      <w:pPr>
        <w:pStyle w:val="Chapterheading"/>
      </w:pPr>
      <w:bookmarkStart w:id="64" w:name="_Toc170383538"/>
      <w:r w:rsidRPr="001D523A">
        <w:rPr>
          <w:rStyle w:val="01ChapterheadingChar"/>
        </w:rPr>
        <w:lastRenderedPageBreak/>
        <w:t>Abbreviations and glossary</w:t>
      </w:r>
      <w:r w:rsidR="0028482A" w:rsidRPr="004E7F27">
        <w:br/>
      </w:r>
      <w:r w:rsidR="0028482A" w:rsidRPr="004E7F27">
        <w:rPr>
          <w:noProof/>
        </w:rPr>
        <w:drawing>
          <wp:inline distT="0" distB="0" distL="0" distR="0" wp14:anchorId="0C31AC2F" wp14:editId="68A732AE">
            <wp:extent cx="2222500" cy="253365"/>
            <wp:effectExtent l="0" t="0" r="6350" b="0"/>
            <wp:docPr id="5"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pic:nvPicPr>
                  <pic:blipFill>
                    <a:blip r:embed="rId21">
                      <a:extLst>
                        <a:ext uri="{28A0092B-C50C-407E-A947-70E740481C1C}">
                          <a14:useLocalDpi xmlns:a14="http://schemas.microsoft.com/office/drawing/2010/main" val="0"/>
                        </a:ext>
                      </a:extLst>
                    </a:blip>
                    <a:stretch>
                      <a:fillRect/>
                    </a:stretch>
                  </pic:blipFill>
                  <pic:spPr>
                    <a:xfrm>
                      <a:off x="0" y="0"/>
                      <a:ext cx="2222500" cy="253365"/>
                    </a:xfrm>
                    <a:prstGeom prst="rect">
                      <a:avLst/>
                    </a:prstGeom>
                  </pic:spPr>
                </pic:pic>
              </a:graphicData>
            </a:graphic>
          </wp:inline>
        </w:drawing>
      </w:r>
      <w:bookmarkEnd w:id="64"/>
    </w:p>
    <w:tbl>
      <w:tblPr>
        <w:tblStyle w:val="Glossary"/>
        <w:tblW w:w="8505" w:type="dxa"/>
        <w:tblLayout w:type="fixed"/>
        <w:tblLook w:val="05A0" w:firstRow="1" w:lastRow="0" w:firstColumn="1" w:lastColumn="1" w:noHBand="0" w:noVBand="1"/>
      </w:tblPr>
      <w:tblGrid>
        <w:gridCol w:w="2975"/>
        <w:gridCol w:w="5530"/>
      </w:tblGrid>
      <w:tr w:rsidR="00195145" w:rsidRPr="006B37D9" w14:paraId="032DD68F" w14:textId="77777777" w:rsidTr="002564B9">
        <w:trPr>
          <w:cnfStyle w:val="100000000000" w:firstRow="1" w:lastRow="0" w:firstColumn="0" w:lastColumn="0" w:oddVBand="0" w:evenVBand="0" w:oddHBand="0" w:evenHBand="0" w:firstRowFirstColumn="0" w:firstRowLastColumn="0" w:lastRowFirstColumn="0" w:lastRowLastColumn="0"/>
          <w:trHeight w:val="408"/>
        </w:trPr>
        <w:tc>
          <w:tcPr>
            <w:tcW w:w="2975" w:type="dxa"/>
          </w:tcPr>
          <w:p w14:paraId="0A6824EB" w14:textId="77777777" w:rsidR="00195145" w:rsidRPr="00D862CF" w:rsidRDefault="00195145" w:rsidP="00E86FC1">
            <w:pPr>
              <w:pStyle w:val="10Tabletext"/>
              <w:rPr>
                <w:rFonts w:ascii="Calibri" w:hAnsi="Calibri" w:cs="Calibri"/>
                <w:b w:val="0"/>
                <w:color w:val="FFFFFF" w:themeColor="background2"/>
              </w:rPr>
            </w:pPr>
            <w:r w:rsidRPr="00D862CF">
              <w:rPr>
                <w:rFonts w:ascii="Calibri" w:hAnsi="Calibri" w:cs="Calibri"/>
                <w:color w:val="FFFFFF" w:themeColor="background2"/>
              </w:rPr>
              <w:t xml:space="preserve">Term or abbreviation </w:t>
            </w:r>
          </w:p>
        </w:tc>
        <w:tc>
          <w:tcPr>
            <w:tcW w:w="5530" w:type="dxa"/>
          </w:tcPr>
          <w:p w14:paraId="585D024B" w14:textId="77777777" w:rsidR="00195145" w:rsidRPr="00D862CF" w:rsidRDefault="00195145" w:rsidP="00E86FC1">
            <w:pPr>
              <w:pStyle w:val="10Tabletext"/>
              <w:rPr>
                <w:rFonts w:ascii="Calibri" w:eastAsia="Arial Narrow" w:hAnsi="Calibri" w:cs="Calibri"/>
                <w:b w:val="0"/>
                <w:color w:val="FFFFFF" w:themeColor="background2"/>
              </w:rPr>
            </w:pPr>
            <w:r w:rsidRPr="00D862CF">
              <w:rPr>
                <w:rFonts w:ascii="Calibri" w:hAnsi="Calibri" w:cs="Calibri"/>
                <w:color w:val="FFFFFF" w:themeColor="background2"/>
              </w:rPr>
              <w:t xml:space="preserve">Definition </w:t>
            </w:r>
          </w:p>
        </w:tc>
      </w:tr>
      <w:tr w:rsidR="002564B9" w:rsidRPr="006B37D9" w14:paraId="7D400FE1" w14:textId="77777777" w:rsidTr="002564B9">
        <w:trPr>
          <w:trHeight w:val="408"/>
        </w:trPr>
        <w:tc>
          <w:tcPr>
            <w:tcW w:w="2975" w:type="dxa"/>
          </w:tcPr>
          <w:p w14:paraId="153C575B" w14:textId="5C50CA4C" w:rsidR="002564B9" w:rsidRPr="00D862CF" w:rsidRDefault="002564B9" w:rsidP="002564B9">
            <w:pPr>
              <w:pStyle w:val="10Tabletext"/>
              <w:rPr>
                <w:rFonts w:ascii="Calibri" w:hAnsi="Calibri" w:cs="Calibri"/>
                <w:color w:val="FFFFFF" w:themeColor="background2"/>
              </w:rPr>
            </w:pPr>
            <w:r w:rsidRPr="00195145">
              <w:rPr>
                <w:color w:val="auto"/>
              </w:rPr>
              <w:t>2024 MP Annual Adjustment Determination</w:t>
            </w:r>
            <w:r w:rsidRPr="00195145" w:rsidDel="00AB58D7">
              <w:rPr>
                <w:color w:val="auto"/>
              </w:rPr>
              <w:t xml:space="preserve"> </w:t>
            </w:r>
          </w:p>
        </w:tc>
        <w:tc>
          <w:tcPr>
            <w:tcW w:w="5530" w:type="dxa"/>
          </w:tcPr>
          <w:p w14:paraId="46EFEC11" w14:textId="226DA3A6" w:rsidR="002564B9" w:rsidRPr="00D862CF" w:rsidRDefault="002564B9" w:rsidP="002564B9">
            <w:pPr>
              <w:pStyle w:val="10Tabletext"/>
              <w:rPr>
                <w:rFonts w:ascii="Calibri" w:hAnsi="Calibri" w:cs="Calibri"/>
                <w:color w:val="FFFFFF" w:themeColor="background2"/>
              </w:rPr>
            </w:pPr>
            <w:r w:rsidRPr="00195145">
              <w:rPr>
                <w:i/>
                <w:color w:val="auto"/>
              </w:rPr>
              <w:t>Members of Parliament (Victoria) Annual Adjustment Determination 2024</w:t>
            </w:r>
          </w:p>
        </w:tc>
      </w:tr>
      <w:tr w:rsidR="002564B9" w:rsidRPr="006B37D9" w14:paraId="7C69A7A9" w14:textId="77777777" w:rsidTr="002564B9">
        <w:trPr>
          <w:trHeight w:val="408"/>
        </w:trPr>
        <w:tc>
          <w:tcPr>
            <w:tcW w:w="2975" w:type="dxa"/>
          </w:tcPr>
          <w:p w14:paraId="25B03399" w14:textId="632BC935" w:rsidR="002564B9" w:rsidRPr="00D862CF" w:rsidRDefault="002564B9" w:rsidP="002564B9">
            <w:pPr>
              <w:pStyle w:val="10Tabletext"/>
              <w:rPr>
                <w:rFonts w:ascii="Calibri" w:hAnsi="Calibri" w:cs="Calibri"/>
                <w:color w:val="FFFFFF" w:themeColor="background2"/>
              </w:rPr>
            </w:pPr>
            <w:r w:rsidRPr="00243BB6">
              <w:t>ABS</w:t>
            </w:r>
          </w:p>
        </w:tc>
        <w:tc>
          <w:tcPr>
            <w:tcW w:w="5530" w:type="dxa"/>
          </w:tcPr>
          <w:p w14:paraId="73B8322C" w14:textId="21D2CF0C" w:rsidR="002564B9" w:rsidRPr="00D862CF" w:rsidRDefault="002564B9" w:rsidP="002564B9">
            <w:pPr>
              <w:pStyle w:val="10Tabletext"/>
              <w:rPr>
                <w:rFonts w:ascii="Calibri" w:hAnsi="Calibri" w:cs="Calibri"/>
                <w:color w:val="FFFFFF" w:themeColor="background2"/>
              </w:rPr>
            </w:pPr>
            <w:r w:rsidRPr="00243BB6">
              <w:t>Australian Bureau of Statistics</w:t>
            </w:r>
          </w:p>
        </w:tc>
      </w:tr>
      <w:tr w:rsidR="002564B9" w:rsidRPr="006B37D9" w14:paraId="3D4DE7E5" w14:textId="77777777" w:rsidTr="002564B9">
        <w:trPr>
          <w:trHeight w:val="408"/>
        </w:trPr>
        <w:tc>
          <w:tcPr>
            <w:tcW w:w="2975" w:type="dxa"/>
          </w:tcPr>
          <w:p w14:paraId="1045E899" w14:textId="2F5DBC34" w:rsidR="002564B9" w:rsidRPr="00D862CF" w:rsidRDefault="002564B9" w:rsidP="002564B9">
            <w:pPr>
              <w:pStyle w:val="10Tabletext"/>
              <w:rPr>
                <w:rFonts w:ascii="Calibri" w:hAnsi="Calibri" w:cs="Calibri"/>
                <w:color w:val="FFFFFF" w:themeColor="background2"/>
              </w:rPr>
            </w:pPr>
            <w:r w:rsidRPr="009F1032">
              <w:t>Comprehensive Determination</w:t>
            </w:r>
          </w:p>
        </w:tc>
        <w:tc>
          <w:tcPr>
            <w:tcW w:w="5530" w:type="dxa"/>
          </w:tcPr>
          <w:p w14:paraId="64F8F14C" w14:textId="3A09DD40" w:rsidR="002564B9" w:rsidRPr="00D862CF" w:rsidRDefault="002564B9" w:rsidP="002564B9">
            <w:pPr>
              <w:pStyle w:val="10Tabletext"/>
              <w:rPr>
                <w:rFonts w:ascii="Calibri" w:hAnsi="Calibri" w:cs="Calibri"/>
                <w:color w:val="FFFFFF" w:themeColor="background2"/>
              </w:rPr>
            </w:pPr>
            <w:r w:rsidRPr="00822FE7">
              <w:rPr>
                <w:i/>
                <w:iCs/>
              </w:rPr>
              <w:t>Members of Parliament (Victoria) Determination No. 01/2023</w:t>
            </w:r>
          </w:p>
        </w:tc>
      </w:tr>
      <w:tr w:rsidR="002564B9" w:rsidRPr="006B37D9" w14:paraId="0DC33F5B" w14:textId="77777777" w:rsidTr="002564B9">
        <w:trPr>
          <w:trHeight w:val="408"/>
        </w:trPr>
        <w:tc>
          <w:tcPr>
            <w:tcW w:w="2975" w:type="dxa"/>
          </w:tcPr>
          <w:p w14:paraId="1FCC27B0" w14:textId="2779A93B" w:rsidR="002564B9" w:rsidRPr="00D862CF" w:rsidRDefault="002564B9" w:rsidP="002564B9">
            <w:pPr>
              <w:pStyle w:val="10Tabletext"/>
              <w:rPr>
                <w:rFonts w:ascii="Calibri" w:hAnsi="Calibri" w:cs="Calibri"/>
                <w:color w:val="FFFFFF" w:themeColor="background2"/>
              </w:rPr>
            </w:pPr>
            <w:r w:rsidRPr="00243BB6">
              <w:t>CPI</w:t>
            </w:r>
          </w:p>
        </w:tc>
        <w:tc>
          <w:tcPr>
            <w:tcW w:w="5530" w:type="dxa"/>
          </w:tcPr>
          <w:p w14:paraId="761B3B6A" w14:textId="015E1321" w:rsidR="002564B9" w:rsidRPr="00D862CF" w:rsidRDefault="002564B9" w:rsidP="002564B9">
            <w:pPr>
              <w:pStyle w:val="10Tabletext"/>
              <w:rPr>
                <w:rFonts w:ascii="Calibri" w:hAnsi="Calibri" w:cs="Calibri"/>
                <w:color w:val="FFFFFF" w:themeColor="background2"/>
              </w:rPr>
            </w:pPr>
            <w:r w:rsidRPr="00243BB6">
              <w:t>Consumer Price Index</w:t>
            </w:r>
          </w:p>
        </w:tc>
      </w:tr>
      <w:tr w:rsidR="002564B9" w:rsidRPr="006B37D9" w14:paraId="0E47E929" w14:textId="77777777" w:rsidTr="002564B9">
        <w:trPr>
          <w:trHeight w:val="408"/>
        </w:trPr>
        <w:tc>
          <w:tcPr>
            <w:tcW w:w="2975" w:type="dxa"/>
          </w:tcPr>
          <w:p w14:paraId="485A1642" w14:textId="11109289" w:rsidR="002564B9" w:rsidRPr="00D862CF" w:rsidRDefault="002564B9" w:rsidP="002564B9">
            <w:pPr>
              <w:pStyle w:val="10Tabletext"/>
              <w:rPr>
                <w:rFonts w:ascii="Calibri" w:hAnsi="Calibri" w:cs="Calibri"/>
                <w:color w:val="FFFFFF" w:themeColor="background2"/>
              </w:rPr>
            </w:pPr>
            <w:r w:rsidRPr="00FC3491">
              <w:t>DTF</w:t>
            </w:r>
          </w:p>
        </w:tc>
        <w:tc>
          <w:tcPr>
            <w:tcW w:w="5530" w:type="dxa"/>
          </w:tcPr>
          <w:p w14:paraId="4314C149" w14:textId="43D2586E" w:rsidR="002564B9" w:rsidRPr="00D862CF" w:rsidRDefault="002564B9" w:rsidP="002564B9">
            <w:pPr>
              <w:pStyle w:val="10Tabletext"/>
              <w:rPr>
                <w:rFonts w:ascii="Calibri" w:hAnsi="Calibri" w:cs="Calibri"/>
                <w:color w:val="FFFFFF" w:themeColor="background2"/>
              </w:rPr>
            </w:pPr>
            <w:r w:rsidRPr="00FC3491">
              <w:t>Department of Treasury and Finance</w:t>
            </w:r>
          </w:p>
        </w:tc>
      </w:tr>
      <w:tr w:rsidR="002564B9" w:rsidRPr="006B37D9" w14:paraId="383964D3" w14:textId="77777777" w:rsidTr="002564B9">
        <w:trPr>
          <w:trHeight w:val="408"/>
        </w:trPr>
        <w:tc>
          <w:tcPr>
            <w:tcW w:w="2975" w:type="dxa"/>
          </w:tcPr>
          <w:p w14:paraId="1A502557" w14:textId="77973DF3" w:rsidR="002564B9" w:rsidRPr="00D862CF" w:rsidRDefault="002564B9" w:rsidP="002564B9">
            <w:pPr>
              <w:pStyle w:val="10Tabletext"/>
              <w:rPr>
                <w:rFonts w:ascii="Calibri" w:hAnsi="Calibri" w:cs="Calibri"/>
                <w:color w:val="FFFFFF" w:themeColor="background2"/>
              </w:rPr>
            </w:pPr>
            <w:r w:rsidRPr="00C66A80">
              <w:t>EA</w:t>
            </w:r>
          </w:p>
        </w:tc>
        <w:tc>
          <w:tcPr>
            <w:tcW w:w="5530" w:type="dxa"/>
          </w:tcPr>
          <w:p w14:paraId="0FB54589" w14:textId="00308E77" w:rsidR="002564B9" w:rsidRPr="00D862CF" w:rsidRDefault="002564B9" w:rsidP="002564B9">
            <w:pPr>
              <w:pStyle w:val="10Tabletext"/>
              <w:rPr>
                <w:rFonts w:ascii="Calibri" w:hAnsi="Calibri" w:cs="Calibri"/>
                <w:color w:val="FFFFFF" w:themeColor="background2"/>
              </w:rPr>
            </w:pPr>
            <w:r w:rsidRPr="00C66A80">
              <w:t>Enterprise Agreement</w:t>
            </w:r>
          </w:p>
        </w:tc>
      </w:tr>
      <w:tr w:rsidR="002564B9" w:rsidRPr="006B37D9" w14:paraId="133D88A5" w14:textId="77777777" w:rsidTr="002564B9">
        <w:trPr>
          <w:trHeight w:val="408"/>
        </w:trPr>
        <w:tc>
          <w:tcPr>
            <w:tcW w:w="2975" w:type="dxa"/>
          </w:tcPr>
          <w:p w14:paraId="3890B357" w14:textId="61D61005" w:rsidR="002564B9" w:rsidRPr="00D862CF" w:rsidRDefault="002564B9" w:rsidP="002564B9">
            <w:pPr>
              <w:pStyle w:val="10Tabletext"/>
              <w:rPr>
                <w:rFonts w:ascii="Calibri" w:hAnsi="Calibri" w:cs="Calibri"/>
                <w:color w:val="FFFFFF" w:themeColor="background2"/>
              </w:rPr>
            </w:pPr>
            <w:r w:rsidRPr="00243BB6">
              <w:t>EO&amp;C Budget</w:t>
            </w:r>
          </w:p>
        </w:tc>
        <w:tc>
          <w:tcPr>
            <w:tcW w:w="5530" w:type="dxa"/>
          </w:tcPr>
          <w:p w14:paraId="223CD82A" w14:textId="6C3170C6" w:rsidR="002564B9" w:rsidRPr="00D862CF" w:rsidRDefault="002564B9" w:rsidP="002564B9">
            <w:pPr>
              <w:pStyle w:val="10Tabletext"/>
              <w:rPr>
                <w:rFonts w:ascii="Calibri" w:hAnsi="Calibri" w:cs="Calibri"/>
                <w:color w:val="FFFFFF" w:themeColor="background2"/>
              </w:rPr>
            </w:pPr>
            <w:r w:rsidRPr="00243BB6">
              <w:t>Electorate Office and Communications Budget</w:t>
            </w:r>
          </w:p>
        </w:tc>
      </w:tr>
      <w:tr w:rsidR="002564B9" w:rsidRPr="006B37D9" w14:paraId="57B567D7" w14:textId="77777777" w:rsidTr="002564B9">
        <w:trPr>
          <w:trHeight w:val="408"/>
        </w:trPr>
        <w:tc>
          <w:tcPr>
            <w:tcW w:w="2975" w:type="dxa"/>
          </w:tcPr>
          <w:p w14:paraId="7C564DBB" w14:textId="3FC045CE" w:rsidR="002564B9" w:rsidRPr="00D862CF" w:rsidRDefault="002564B9" w:rsidP="002564B9">
            <w:pPr>
              <w:pStyle w:val="10Tabletext"/>
              <w:rPr>
                <w:rFonts w:ascii="Calibri" w:hAnsi="Calibri" w:cs="Calibri"/>
                <w:color w:val="FFFFFF" w:themeColor="background2"/>
              </w:rPr>
            </w:pPr>
            <w:r w:rsidRPr="006D0755">
              <w:t>FWC</w:t>
            </w:r>
          </w:p>
        </w:tc>
        <w:tc>
          <w:tcPr>
            <w:tcW w:w="5530" w:type="dxa"/>
          </w:tcPr>
          <w:p w14:paraId="15F0F360" w14:textId="4E42BCA3" w:rsidR="002564B9" w:rsidRPr="00D862CF" w:rsidRDefault="002564B9" w:rsidP="002564B9">
            <w:pPr>
              <w:pStyle w:val="10Tabletext"/>
              <w:rPr>
                <w:rFonts w:ascii="Calibri" w:hAnsi="Calibri" w:cs="Calibri"/>
                <w:color w:val="FFFFFF" w:themeColor="background2"/>
              </w:rPr>
            </w:pPr>
            <w:r w:rsidRPr="006D0755">
              <w:t>Fair Work Commission</w:t>
            </w:r>
          </w:p>
        </w:tc>
      </w:tr>
      <w:tr w:rsidR="002564B9" w:rsidRPr="006B37D9" w14:paraId="25EA103B" w14:textId="77777777" w:rsidTr="002564B9">
        <w:trPr>
          <w:trHeight w:val="408"/>
        </w:trPr>
        <w:tc>
          <w:tcPr>
            <w:tcW w:w="2975" w:type="dxa"/>
          </w:tcPr>
          <w:p w14:paraId="34903ABF" w14:textId="714B9A05" w:rsidR="002564B9" w:rsidRPr="00D862CF" w:rsidRDefault="002564B9" w:rsidP="002564B9">
            <w:pPr>
              <w:pStyle w:val="10Tabletext"/>
              <w:rPr>
                <w:rFonts w:ascii="Calibri" w:hAnsi="Calibri" w:cs="Calibri"/>
                <w:color w:val="FFFFFF" w:themeColor="background2"/>
              </w:rPr>
            </w:pPr>
            <w:r w:rsidRPr="006D0755">
              <w:t>GDP</w:t>
            </w:r>
          </w:p>
        </w:tc>
        <w:tc>
          <w:tcPr>
            <w:tcW w:w="5530" w:type="dxa"/>
          </w:tcPr>
          <w:p w14:paraId="1C2A82D6" w14:textId="7C60A5BA" w:rsidR="002564B9" w:rsidRPr="00D862CF" w:rsidRDefault="002564B9" w:rsidP="002564B9">
            <w:pPr>
              <w:pStyle w:val="10Tabletext"/>
              <w:rPr>
                <w:rFonts w:ascii="Calibri" w:hAnsi="Calibri" w:cs="Calibri"/>
                <w:color w:val="FFFFFF" w:themeColor="background2"/>
              </w:rPr>
            </w:pPr>
            <w:r w:rsidRPr="006D0755">
              <w:t>Gross Domestic Product</w:t>
            </w:r>
          </w:p>
        </w:tc>
      </w:tr>
      <w:tr w:rsidR="002564B9" w:rsidRPr="006B37D9" w14:paraId="3127AF9D" w14:textId="77777777" w:rsidTr="002564B9">
        <w:trPr>
          <w:trHeight w:val="408"/>
        </w:trPr>
        <w:tc>
          <w:tcPr>
            <w:tcW w:w="2975" w:type="dxa"/>
          </w:tcPr>
          <w:p w14:paraId="4AF615B9" w14:textId="22C2D0C6" w:rsidR="002564B9" w:rsidRPr="00D862CF" w:rsidRDefault="002564B9" w:rsidP="002564B9">
            <w:pPr>
              <w:pStyle w:val="10Tabletext"/>
              <w:rPr>
                <w:rFonts w:ascii="Calibri" w:hAnsi="Calibri" w:cs="Calibri"/>
                <w:color w:val="FFFFFF" w:themeColor="background2"/>
              </w:rPr>
            </w:pPr>
            <w:r w:rsidRPr="00C96AE9">
              <w:t>GGS</w:t>
            </w:r>
          </w:p>
        </w:tc>
        <w:tc>
          <w:tcPr>
            <w:tcW w:w="5530" w:type="dxa"/>
          </w:tcPr>
          <w:p w14:paraId="5DAC2C2D" w14:textId="26D00DAE" w:rsidR="002564B9" w:rsidRPr="00D862CF" w:rsidRDefault="002564B9" w:rsidP="002564B9">
            <w:pPr>
              <w:pStyle w:val="10Tabletext"/>
              <w:rPr>
                <w:rFonts w:ascii="Calibri" w:hAnsi="Calibri" w:cs="Calibri"/>
                <w:color w:val="FFFFFF" w:themeColor="background2"/>
              </w:rPr>
            </w:pPr>
            <w:r>
              <w:t>General Government Sector</w:t>
            </w:r>
          </w:p>
        </w:tc>
      </w:tr>
      <w:tr w:rsidR="002564B9" w:rsidRPr="006B37D9" w14:paraId="5AA70D33" w14:textId="77777777" w:rsidTr="002564B9">
        <w:trPr>
          <w:trHeight w:val="408"/>
        </w:trPr>
        <w:tc>
          <w:tcPr>
            <w:tcW w:w="2975" w:type="dxa"/>
          </w:tcPr>
          <w:p w14:paraId="52634AC0" w14:textId="16A98635" w:rsidR="002564B9" w:rsidRPr="00D862CF" w:rsidRDefault="002564B9" w:rsidP="002564B9">
            <w:pPr>
              <w:pStyle w:val="10Tabletext"/>
              <w:rPr>
                <w:rFonts w:ascii="Calibri" w:hAnsi="Calibri" w:cs="Calibri"/>
                <w:color w:val="FFFFFF" w:themeColor="background2"/>
              </w:rPr>
            </w:pPr>
            <w:r w:rsidRPr="006D0755">
              <w:t>GSP</w:t>
            </w:r>
          </w:p>
        </w:tc>
        <w:tc>
          <w:tcPr>
            <w:tcW w:w="5530" w:type="dxa"/>
          </w:tcPr>
          <w:p w14:paraId="463782F0" w14:textId="008E695D" w:rsidR="002564B9" w:rsidRPr="00D862CF" w:rsidRDefault="002564B9" w:rsidP="002564B9">
            <w:pPr>
              <w:pStyle w:val="10Tabletext"/>
              <w:rPr>
                <w:rFonts w:ascii="Calibri" w:hAnsi="Calibri" w:cs="Calibri"/>
                <w:color w:val="FFFFFF" w:themeColor="background2"/>
              </w:rPr>
            </w:pPr>
            <w:r w:rsidRPr="006D0755">
              <w:t>Gross State Product</w:t>
            </w:r>
          </w:p>
        </w:tc>
      </w:tr>
      <w:tr w:rsidR="002564B9" w:rsidRPr="006B37D9" w14:paraId="6F71E2C5" w14:textId="77777777" w:rsidTr="002564B9">
        <w:trPr>
          <w:trHeight w:val="408"/>
        </w:trPr>
        <w:tc>
          <w:tcPr>
            <w:tcW w:w="2975" w:type="dxa"/>
          </w:tcPr>
          <w:p w14:paraId="6678009D" w14:textId="726CBA8C" w:rsidR="002564B9" w:rsidRPr="00D862CF" w:rsidRDefault="002564B9" w:rsidP="002564B9">
            <w:pPr>
              <w:pStyle w:val="10Tabletext"/>
              <w:rPr>
                <w:rFonts w:ascii="Calibri" w:hAnsi="Calibri" w:cs="Calibri"/>
                <w:color w:val="FFFFFF" w:themeColor="background2"/>
              </w:rPr>
            </w:pPr>
            <w:r w:rsidRPr="00243BB6">
              <w:t>PASA</w:t>
            </w:r>
          </w:p>
        </w:tc>
        <w:tc>
          <w:tcPr>
            <w:tcW w:w="5530" w:type="dxa"/>
          </w:tcPr>
          <w:p w14:paraId="24BC861E" w14:textId="503D7BAE" w:rsidR="002564B9" w:rsidRPr="00D862CF" w:rsidRDefault="002564B9" w:rsidP="002564B9">
            <w:pPr>
              <w:pStyle w:val="10Tabletext"/>
              <w:rPr>
                <w:rFonts w:ascii="Calibri" w:hAnsi="Calibri" w:cs="Calibri"/>
                <w:color w:val="FFFFFF" w:themeColor="background2"/>
              </w:rPr>
            </w:pPr>
            <w:r>
              <w:t>P</w:t>
            </w:r>
            <w:r w:rsidRPr="00243BB6">
              <w:t>arliamentary accommodation sitting allowance</w:t>
            </w:r>
          </w:p>
        </w:tc>
      </w:tr>
      <w:tr w:rsidR="002564B9" w:rsidRPr="006B37D9" w14:paraId="4A50E9C0" w14:textId="77777777" w:rsidTr="002564B9">
        <w:trPr>
          <w:trHeight w:val="408"/>
        </w:trPr>
        <w:tc>
          <w:tcPr>
            <w:tcW w:w="2975" w:type="dxa"/>
          </w:tcPr>
          <w:p w14:paraId="616D9553" w14:textId="61BE9A1A" w:rsidR="002564B9" w:rsidRPr="00D862CF" w:rsidRDefault="002564B9" w:rsidP="002564B9">
            <w:pPr>
              <w:pStyle w:val="10Tabletext"/>
              <w:rPr>
                <w:rFonts w:ascii="Calibri" w:hAnsi="Calibri" w:cs="Calibri"/>
                <w:color w:val="FFFFFF" w:themeColor="background2"/>
              </w:rPr>
            </w:pPr>
            <w:r w:rsidRPr="00322AC6">
              <w:t>MP</w:t>
            </w:r>
          </w:p>
        </w:tc>
        <w:tc>
          <w:tcPr>
            <w:tcW w:w="5530" w:type="dxa"/>
          </w:tcPr>
          <w:p w14:paraId="44068CB6" w14:textId="682AB3C1" w:rsidR="002564B9" w:rsidRPr="00D862CF" w:rsidRDefault="002564B9" w:rsidP="002564B9">
            <w:pPr>
              <w:pStyle w:val="10Tabletext"/>
              <w:rPr>
                <w:rFonts w:ascii="Calibri" w:hAnsi="Calibri" w:cs="Calibri"/>
                <w:color w:val="FFFFFF" w:themeColor="background2"/>
              </w:rPr>
            </w:pPr>
            <w:r>
              <w:t>Member of the Parliament of Victoria</w:t>
            </w:r>
          </w:p>
        </w:tc>
      </w:tr>
      <w:tr w:rsidR="002564B9" w:rsidRPr="006B37D9" w14:paraId="5FD1A08E" w14:textId="77777777" w:rsidTr="002564B9">
        <w:trPr>
          <w:trHeight w:val="408"/>
        </w:trPr>
        <w:tc>
          <w:tcPr>
            <w:tcW w:w="2975" w:type="dxa"/>
          </w:tcPr>
          <w:p w14:paraId="14186E1E" w14:textId="493EEAEC" w:rsidR="002564B9" w:rsidRPr="00D862CF" w:rsidRDefault="002564B9" w:rsidP="002564B9">
            <w:pPr>
              <w:pStyle w:val="10Tabletext"/>
              <w:rPr>
                <w:rFonts w:ascii="Calibri" w:hAnsi="Calibri" w:cs="Calibri"/>
                <w:color w:val="FFFFFF" w:themeColor="background2"/>
              </w:rPr>
            </w:pPr>
            <w:r>
              <w:t>MP Guidelines</w:t>
            </w:r>
          </w:p>
        </w:tc>
        <w:tc>
          <w:tcPr>
            <w:tcW w:w="5530" w:type="dxa"/>
          </w:tcPr>
          <w:p w14:paraId="0845260E" w14:textId="0DC74A96" w:rsidR="002564B9" w:rsidRPr="00D862CF" w:rsidRDefault="002564B9" w:rsidP="002564B9">
            <w:pPr>
              <w:pStyle w:val="10Tabletext"/>
              <w:rPr>
                <w:rFonts w:ascii="Calibri" w:hAnsi="Calibri" w:cs="Calibri"/>
                <w:color w:val="FFFFFF" w:themeColor="background2"/>
              </w:rPr>
            </w:pPr>
            <w:r w:rsidRPr="003D1D2C">
              <w:rPr>
                <w:i/>
                <w:iCs/>
              </w:rPr>
              <w:t>Members of Parliament (Victoria) Guidelines No. 01/2023</w:t>
            </w:r>
          </w:p>
        </w:tc>
      </w:tr>
      <w:tr w:rsidR="002564B9" w:rsidRPr="006B37D9" w14:paraId="36E79343" w14:textId="77777777" w:rsidTr="002564B9">
        <w:trPr>
          <w:trHeight w:val="408"/>
        </w:trPr>
        <w:tc>
          <w:tcPr>
            <w:tcW w:w="2975" w:type="dxa"/>
          </w:tcPr>
          <w:p w14:paraId="2B99EA56" w14:textId="318510B8" w:rsidR="002564B9" w:rsidRPr="00D862CF" w:rsidRDefault="002564B9" w:rsidP="002564B9">
            <w:pPr>
              <w:pStyle w:val="10Tabletext"/>
              <w:rPr>
                <w:rFonts w:ascii="Calibri" w:hAnsi="Calibri" w:cs="Calibri"/>
                <w:color w:val="FFFFFF" w:themeColor="background2"/>
              </w:rPr>
            </w:pPr>
            <w:r w:rsidRPr="00F14732">
              <w:t>RBA</w:t>
            </w:r>
          </w:p>
        </w:tc>
        <w:tc>
          <w:tcPr>
            <w:tcW w:w="5530" w:type="dxa"/>
          </w:tcPr>
          <w:p w14:paraId="4ABFB09F" w14:textId="58DF2D79" w:rsidR="002564B9" w:rsidRPr="00D862CF" w:rsidRDefault="002564B9" w:rsidP="002564B9">
            <w:pPr>
              <w:pStyle w:val="10Tabletext"/>
              <w:rPr>
                <w:rFonts w:ascii="Calibri" w:hAnsi="Calibri" w:cs="Calibri"/>
                <w:color w:val="FFFFFF" w:themeColor="background2"/>
              </w:rPr>
            </w:pPr>
            <w:r w:rsidRPr="00F14732">
              <w:t>Reserve Bank of Australia</w:t>
            </w:r>
          </w:p>
        </w:tc>
      </w:tr>
      <w:tr w:rsidR="002564B9" w:rsidRPr="006B37D9" w14:paraId="7CECC410" w14:textId="77777777" w:rsidTr="002564B9">
        <w:trPr>
          <w:trHeight w:val="408"/>
        </w:trPr>
        <w:tc>
          <w:tcPr>
            <w:tcW w:w="2975" w:type="dxa"/>
          </w:tcPr>
          <w:p w14:paraId="610612B4" w14:textId="63554AB1" w:rsidR="002564B9" w:rsidRPr="00D862CF" w:rsidRDefault="002564B9" w:rsidP="002564B9">
            <w:pPr>
              <w:pStyle w:val="10Tabletext"/>
              <w:rPr>
                <w:rFonts w:ascii="Calibri" w:hAnsi="Calibri" w:cs="Calibri"/>
                <w:color w:val="FFFFFF" w:themeColor="background2"/>
              </w:rPr>
            </w:pPr>
            <w:r w:rsidRPr="00B054DF">
              <w:rPr>
                <w:bCs/>
                <w:color w:val="auto"/>
              </w:rPr>
              <w:t xml:space="preserve">Tribunal </w:t>
            </w:r>
          </w:p>
        </w:tc>
        <w:tc>
          <w:tcPr>
            <w:tcW w:w="5530" w:type="dxa"/>
          </w:tcPr>
          <w:p w14:paraId="410877E8" w14:textId="5A1F6402" w:rsidR="002564B9" w:rsidRPr="00D862CF" w:rsidRDefault="002564B9" w:rsidP="002564B9">
            <w:pPr>
              <w:pStyle w:val="10Tabletext"/>
              <w:rPr>
                <w:rFonts w:ascii="Calibri" w:hAnsi="Calibri" w:cs="Calibri"/>
                <w:color w:val="FFFFFF" w:themeColor="background2"/>
              </w:rPr>
            </w:pPr>
            <w:r w:rsidRPr="00B054DF">
              <w:t>Victorian Independent Remuneration Tribunal</w:t>
            </w:r>
          </w:p>
        </w:tc>
      </w:tr>
      <w:tr w:rsidR="002564B9" w:rsidRPr="006B37D9" w14:paraId="1A39881A" w14:textId="77777777" w:rsidTr="002564B9">
        <w:trPr>
          <w:trHeight w:val="408"/>
        </w:trPr>
        <w:tc>
          <w:tcPr>
            <w:tcW w:w="2975" w:type="dxa"/>
          </w:tcPr>
          <w:p w14:paraId="222A9047" w14:textId="2BEE7798" w:rsidR="002564B9" w:rsidRPr="00D862CF" w:rsidRDefault="002564B9" w:rsidP="002564B9">
            <w:pPr>
              <w:pStyle w:val="10Tabletext"/>
              <w:rPr>
                <w:rFonts w:ascii="Calibri" w:hAnsi="Calibri" w:cs="Calibri"/>
                <w:color w:val="FFFFFF" w:themeColor="background2"/>
              </w:rPr>
            </w:pPr>
            <w:r w:rsidRPr="00B054DF">
              <w:t>VAGO</w:t>
            </w:r>
          </w:p>
        </w:tc>
        <w:tc>
          <w:tcPr>
            <w:tcW w:w="5530" w:type="dxa"/>
          </w:tcPr>
          <w:p w14:paraId="55EDAE03" w14:textId="766EBD7C" w:rsidR="002564B9" w:rsidRPr="00D862CF" w:rsidRDefault="002564B9" w:rsidP="002564B9">
            <w:pPr>
              <w:pStyle w:val="10Tabletext"/>
              <w:rPr>
                <w:rFonts w:ascii="Calibri" w:hAnsi="Calibri" w:cs="Calibri"/>
                <w:color w:val="FFFFFF" w:themeColor="background2"/>
              </w:rPr>
            </w:pPr>
            <w:r w:rsidRPr="00B054DF">
              <w:t>Victorian Auditor-General’s Office</w:t>
            </w:r>
          </w:p>
        </w:tc>
      </w:tr>
      <w:tr w:rsidR="002564B9" w:rsidRPr="006B37D9" w14:paraId="3D52583D" w14:textId="77777777" w:rsidTr="002564B9">
        <w:trPr>
          <w:trHeight w:val="408"/>
        </w:trPr>
        <w:tc>
          <w:tcPr>
            <w:tcW w:w="2975" w:type="dxa"/>
          </w:tcPr>
          <w:p w14:paraId="2C270D36" w14:textId="2A30C5AD" w:rsidR="002564B9" w:rsidRPr="00D862CF" w:rsidRDefault="002564B9" w:rsidP="002564B9">
            <w:pPr>
              <w:pStyle w:val="10Tabletext"/>
              <w:rPr>
                <w:rFonts w:ascii="Calibri" w:hAnsi="Calibri" w:cs="Calibri"/>
                <w:color w:val="FFFFFF" w:themeColor="background2"/>
              </w:rPr>
            </w:pPr>
            <w:r w:rsidRPr="00391C83">
              <w:t>Victorian Budget</w:t>
            </w:r>
          </w:p>
        </w:tc>
        <w:tc>
          <w:tcPr>
            <w:tcW w:w="5530" w:type="dxa"/>
          </w:tcPr>
          <w:p w14:paraId="71329A32" w14:textId="2C1C52D1" w:rsidR="002564B9" w:rsidRPr="00D862CF" w:rsidRDefault="002564B9" w:rsidP="002564B9">
            <w:pPr>
              <w:pStyle w:val="10Tabletext"/>
              <w:rPr>
                <w:rFonts w:ascii="Calibri" w:hAnsi="Calibri" w:cs="Calibri"/>
                <w:color w:val="FFFFFF" w:themeColor="background2"/>
              </w:rPr>
            </w:pPr>
            <w:r w:rsidRPr="00391C83">
              <w:rPr>
                <w:i/>
              </w:rPr>
              <w:t>Victorian Budget 2024-25</w:t>
            </w:r>
          </w:p>
        </w:tc>
      </w:tr>
      <w:tr w:rsidR="002564B9" w:rsidRPr="006B37D9" w14:paraId="3E566609" w14:textId="77777777" w:rsidTr="002564B9">
        <w:trPr>
          <w:trHeight w:val="408"/>
        </w:trPr>
        <w:tc>
          <w:tcPr>
            <w:tcW w:w="2975" w:type="dxa"/>
          </w:tcPr>
          <w:p w14:paraId="1B10018A" w14:textId="06E9F7B4" w:rsidR="002564B9" w:rsidRPr="00D862CF" w:rsidRDefault="002564B9" w:rsidP="002564B9">
            <w:pPr>
              <w:pStyle w:val="10Tabletext"/>
              <w:rPr>
                <w:rFonts w:ascii="Calibri" w:hAnsi="Calibri" w:cs="Calibri"/>
                <w:color w:val="FFFFFF" w:themeColor="background2"/>
              </w:rPr>
            </w:pPr>
            <w:r w:rsidRPr="00A37B92">
              <w:t>VPS</w:t>
            </w:r>
          </w:p>
        </w:tc>
        <w:tc>
          <w:tcPr>
            <w:tcW w:w="5530" w:type="dxa"/>
          </w:tcPr>
          <w:p w14:paraId="5017DBC1" w14:textId="58D07534" w:rsidR="002564B9" w:rsidRPr="00D862CF" w:rsidRDefault="002564B9" w:rsidP="002564B9">
            <w:pPr>
              <w:pStyle w:val="10Tabletext"/>
              <w:rPr>
                <w:rFonts w:ascii="Calibri" w:hAnsi="Calibri" w:cs="Calibri"/>
                <w:color w:val="FFFFFF" w:themeColor="background2"/>
              </w:rPr>
            </w:pPr>
            <w:r w:rsidRPr="00A37B92">
              <w:rPr>
                <w:iCs/>
              </w:rPr>
              <w:t>Victorian Public Service</w:t>
            </w:r>
          </w:p>
        </w:tc>
      </w:tr>
      <w:tr w:rsidR="002564B9" w:rsidRPr="006B37D9" w14:paraId="654EF298" w14:textId="77777777" w:rsidTr="002564B9">
        <w:trPr>
          <w:trHeight w:val="408"/>
        </w:trPr>
        <w:tc>
          <w:tcPr>
            <w:tcW w:w="2975" w:type="dxa"/>
          </w:tcPr>
          <w:p w14:paraId="139548D4" w14:textId="315C71BE" w:rsidR="002564B9" w:rsidRPr="00D862CF" w:rsidRDefault="002564B9" w:rsidP="002564B9">
            <w:pPr>
              <w:pStyle w:val="10Tabletext"/>
              <w:rPr>
                <w:rFonts w:ascii="Calibri" w:hAnsi="Calibri" w:cs="Calibri"/>
                <w:color w:val="FFFFFF" w:themeColor="background2"/>
              </w:rPr>
            </w:pPr>
            <w:r w:rsidRPr="00B70287">
              <w:t>VIRTIPS Act</w:t>
            </w:r>
          </w:p>
        </w:tc>
        <w:tc>
          <w:tcPr>
            <w:tcW w:w="5530" w:type="dxa"/>
          </w:tcPr>
          <w:p w14:paraId="6117B385" w14:textId="42844470" w:rsidR="002564B9" w:rsidRPr="00D862CF" w:rsidRDefault="002564B9" w:rsidP="002564B9">
            <w:pPr>
              <w:pStyle w:val="10Tabletext"/>
              <w:rPr>
                <w:rFonts w:ascii="Calibri" w:hAnsi="Calibri" w:cs="Calibri"/>
                <w:color w:val="FFFFFF" w:themeColor="background2"/>
              </w:rPr>
            </w:pPr>
            <w:r w:rsidRPr="00B70287">
              <w:rPr>
                <w:i/>
              </w:rPr>
              <w:t>Victorian Independent Remuneration Tribunal and Improving Parliamentary Standards Act 2019</w:t>
            </w:r>
            <w:r w:rsidRPr="00B70287">
              <w:t xml:space="preserve"> (Vic)</w:t>
            </w:r>
          </w:p>
        </w:tc>
      </w:tr>
      <w:tr w:rsidR="002564B9" w:rsidRPr="006B37D9" w14:paraId="4194BBC8" w14:textId="77777777" w:rsidTr="002564B9">
        <w:trPr>
          <w:trHeight w:val="408"/>
        </w:trPr>
        <w:tc>
          <w:tcPr>
            <w:tcW w:w="2975" w:type="dxa"/>
          </w:tcPr>
          <w:p w14:paraId="1886B74B" w14:textId="67BE38AF" w:rsidR="002564B9" w:rsidRPr="00D862CF" w:rsidRDefault="002564B9" w:rsidP="002564B9">
            <w:pPr>
              <w:pStyle w:val="10Tabletext"/>
              <w:rPr>
                <w:rFonts w:ascii="Calibri" w:hAnsi="Calibri" w:cs="Calibri"/>
                <w:color w:val="FFFFFF" w:themeColor="background2"/>
              </w:rPr>
            </w:pPr>
            <w:r w:rsidRPr="008846B5">
              <w:t>Wages Policy</w:t>
            </w:r>
          </w:p>
        </w:tc>
        <w:tc>
          <w:tcPr>
            <w:tcW w:w="5530" w:type="dxa"/>
          </w:tcPr>
          <w:p w14:paraId="033273E5" w14:textId="07917981" w:rsidR="002564B9" w:rsidRPr="00D862CF" w:rsidRDefault="002564B9" w:rsidP="002564B9">
            <w:pPr>
              <w:pStyle w:val="10Tabletext"/>
              <w:rPr>
                <w:rFonts w:ascii="Calibri" w:hAnsi="Calibri" w:cs="Calibri"/>
                <w:color w:val="FFFFFF" w:themeColor="background2"/>
              </w:rPr>
            </w:pPr>
            <w:r w:rsidRPr="00F560CC">
              <w:rPr>
                <w:i/>
                <w:iCs/>
                <w:color w:val="000000"/>
              </w:rPr>
              <w:t>Wages Policy and the Enterprise Bargaining</w:t>
            </w:r>
            <w:r>
              <w:rPr>
                <w:i/>
                <w:iCs/>
                <w:color w:val="000000"/>
              </w:rPr>
              <w:t xml:space="preserve"> Framework</w:t>
            </w:r>
          </w:p>
        </w:tc>
      </w:tr>
      <w:tr w:rsidR="002564B9" w:rsidRPr="006B37D9" w14:paraId="0763DB42" w14:textId="77777777" w:rsidTr="002564B9">
        <w:trPr>
          <w:trHeight w:val="408"/>
        </w:trPr>
        <w:tc>
          <w:tcPr>
            <w:tcW w:w="2975" w:type="dxa"/>
          </w:tcPr>
          <w:p w14:paraId="01F4CC37" w14:textId="34C290B4" w:rsidR="002564B9" w:rsidRPr="00D862CF" w:rsidRDefault="002564B9" w:rsidP="002564B9">
            <w:pPr>
              <w:pStyle w:val="10Tabletext"/>
              <w:rPr>
                <w:rFonts w:ascii="Calibri" w:hAnsi="Calibri" w:cs="Calibri"/>
                <w:color w:val="FFFFFF" w:themeColor="background2"/>
              </w:rPr>
            </w:pPr>
            <w:r w:rsidRPr="00F14732">
              <w:t>WPI</w:t>
            </w:r>
          </w:p>
        </w:tc>
        <w:tc>
          <w:tcPr>
            <w:tcW w:w="5530" w:type="dxa"/>
          </w:tcPr>
          <w:p w14:paraId="274B1B52" w14:textId="273623FB" w:rsidR="002564B9" w:rsidRPr="00D862CF" w:rsidRDefault="002564B9" w:rsidP="002564B9">
            <w:pPr>
              <w:pStyle w:val="10Tabletext"/>
              <w:rPr>
                <w:rFonts w:ascii="Calibri" w:hAnsi="Calibri" w:cs="Calibri"/>
                <w:color w:val="FFFFFF" w:themeColor="background2"/>
              </w:rPr>
            </w:pPr>
            <w:r w:rsidRPr="00F14732">
              <w:t>Wage Price Index</w:t>
            </w:r>
          </w:p>
        </w:tc>
      </w:tr>
    </w:tbl>
    <w:p w14:paraId="18789FAD" w14:textId="471ED576" w:rsidR="004E0CE5" w:rsidRDefault="004E0CE5" w:rsidP="001F30EB">
      <w:pPr>
        <w:pStyle w:val="Chapterheading"/>
      </w:pPr>
      <w:bookmarkStart w:id="65" w:name="_Toc170383539"/>
      <w:r w:rsidRPr="001D523A">
        <w:rPr>
          <w:rStyle w:val="01ChapterheadingChar"/>
        </w:rPr>
        <w:lastRenderedPageBreak/>
        <w:t>Summary</w:t>
      </w:r>
      <w:r w:rsidR="00515FA4">
        <w:br w:type="textWrapping" w:clear="all"/>
      </w:r>
      <w:r w:rsidRPr="004E7F27">
        <w:rPr>
          <w:noProof/>
        </w:rPr>
        <w:drawing>
          <wp:inline distT="0" distB="0" distL="0" distR="0" wp14:anchorId="152A463E" wp14:editId="11D58447">
            <wp:extent cx="2222500" cy="253365"/>
            <wp:effectExtent l="0" t="0" r="6350" b="0"/>
            <wp:docPr id="1232802466"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pic:nvPicPr>
                  <pic:blipFill>
                    <a:blip r:embed="rId21">
                      <a:extLst>
                        <a:ext uri="{28A0092B-C50C-407E-A947-70E740481C1C}">
                          <a14:useLocalDpi xmlns:a14="http://schemas.microsoft.com/office/drawing/2010/main" val="0"/>
                        </a:ext>
                      </a:extLst>
                    </a:blip>
                    <a:stretch>
                      <a:fillRect/>
                    </a:stretch>
                  </pic:blipFill>
                  <pic:spPr>
                    <a:xfrm>
                      <a:off x="0" y="0"/>
                      <a:ext cx="2222500" cy="253365"/>
                    </a:xfrm>
                    <a:prstGeom prst="rect">
                      <a:avLst/>
                    </a:prstGeom>
                  </pic:spPr>
                </pic:pic>
              </a:graphicData>
            </a:graphic>
          </wp:inline>
        </w:drawing>
      </w:r>
      <w:bookmarkEnd w:id="65"/>
    </w:p>
    <w:p w14:paraId="7816AB90" w14:textId="75C56653" w:rsidR="00EC1AF6" w:rsidRPr="0049074E" w:rsidRDefault="00EC1AF6" w:rsidP="00F44AA0">
      <w:pPr>
        <w:pStyle w:val="05Paragraph"/>
      </w:pPr>
      <w:r w:rsidRPr="00EC1AF6">
        <w:t xml:space="preserve">The Victorian Independent Remuneration Tribunal has made a Determination providing for an annual adjustment </w:t>
      </w:r>
      <w:r w:rsidR="00895517">
        <w:t xml:space="preserve">to the salaries and allowances </w:t>
      </w:r>
      <w:r w:rsidR="00296291">
        <w:t xml:space="preserve">payable to Members of </w:t>
      </w:r>
      <w:r w:rsidR="00296291" w:rsidRPr="00C12E58">
        <w:t>the Parliament of Victoria (MPs)</w:t>
      </w:r>
      <w:r w:rsidRPr="00C12E58">
        <w:t xml:space="preserve">. </w:t>
      </w:r>
    </w:p>
    <w:p w14:paraId="4A27B750" w14:textId="1D1966A7" w:rsidR="008934CF" w:rsidRDefault="00EC1AF6" w:rsidP="00D94EEA">
      <w:pPr>
        <w:pStyle w:val="05Paragraph"/>
      </w:pPr>
      <w:r w:rsidRPr="00977DC5">
        <w:t>The Tribunal</w:t>
      </w:r>
      <w:r w:rsidR="00D95586">
        <w:t xml:space="preserve">’s </w:t>
      </w:r>
      <w:r w:rsidR="007460D0" w:rsidRPr="007460D0">
        <w:t>D</w:t>
      </w:r>
      <w:r w:rsidR="004A49CE" w:rsidRPr="007460D0">
        <w:t>etermination</w:t>
      </w:r>
      <w:r w:rsidR="004A49CE">
        <w:t xml:space="preserve"> </w:t>
      </w:r>
      <w:r w:rsidRPr="00977DC5">
        <w:t>increase</w:t>
      </w:r>
      <w:r w:rsidR="004A49CE">
        <w:t>s</w:t>
      </w:r>
      <w:r w:rsidRPr="00977DC5">
        <w:t xml:space="preserve"> </w:t>
      </w:r>
      <w:r w:rsidR="00EC384F">
        <w:t xml:space="preserve">the value </w:t>
      </w:r>
      <w:r w:rsidR="006B471B">
        <w:t xml:space="preserve">of the </w:t>
      </w:r>
      <w:r w:rsidR="000C1FC1" w:rsidRPr="00977DC5">
        <w:t>salaries</w:t>
      </w:r>
      <w:r w:rsidRPr="00977DC5">
        <w:t xml:space="preserve"> payable to </w:t>
      </w:r>
      <w:r w:rsidR="000C1FC1" w:rsidRPr="00977DC5">
        <w:t>MP</w:t>
      </w:r>
      <w:r w:rsidR="003E0F07" w:rsidRPr="00977DC5">
        <w:t>s</w:t>
      </w:r>
      <w:r w:rsidRPr="00977DC5">
        <w:t xml:space="preserve"> by 3.5 per cent</w:t>
      </w:r>
      <w:r w:rsidR="0083583A">
        <w:t xml:space="preserve"> from 1 July 2024</w:t>
      </w:r>
      <w:r w:rsidRPr="00977DC5">
        <w:t>.</w:t>
      </w:r>
      <w:r w:rsidR="003E0F07" w:rsidRPr="00977DC5">
        <w:t xml:space="preserve"> </w:t>
      </w:r>
      <w:r w:rsidRPr="00977DC5">
        <w:t>The bas</w:t>
      </w:r>
      <w:r w:rsidR="00577B5B" w:rsidRPr="00977DC5">
        <w:t>ic</w:t>
      </w:r>
      <w:r w:rsidRPr="00977DC5">
        <w:t xml:space="preserve"> </w:t>
      </w:r>
      <w:r w:rsidR="00577B5B" w:rsidRPr="00977DC5">
        <w:t>salary</w:t>
      </w:r>
      <w:r w:rsidRPr="00977DC5">
        <w:t xml:space="preserve"> payable </w:t>
      </w:r>
      <w:r w:rsidR="008D60C9">
        <w:t xml:space="preserve">to all MPs </w:t>
      </w:r>
      <w:r w:rsidR="00577B5B" w:rsidRPr="007C7AEE">
        <w:t xml:space="preserve">is </w:t>
      </w:r>
      <w:r w:rsidR="008A61C5" w:rsidRPr="007C7AEE">
        <w:t>$205,798</w:t>
      </w:r>
      <w:r w:rsidR="00620722">
        <w:t xml:space="preserve"> per annum</w:t>
      </w:r>
      <w:r w:rsidR="0014570B">
        <w:t>,</w:t>
      </w:r>
      <w:r w:rsidR="00B23D68">
        <w:t xml:space="preserve"> </w:t>
      </w:r>
      <w:r w:rsidR="00E34A25">
        <w:t>with</w:t>
      </w:r>
      <w:r w:rsidR="00F62C05">
        <w:t xml:space="preserve"> </w:t>
      </w:r>
      <w:r w:rsidR="00B23D68">
        <w:t xml:space="preserve">additional salaries </w:t>
      </w:r>
      <w:r w:rsidR="00E34A25">
        <w:t>payable to</w:t>
      </w:r>
      <w:r w:rsidR="00B21031">
        <w:t xml:space="preserve"> specified parliamentary office holders </w:t>
      </w:r>
      <w:r w:rsidR="00E34A25">
        <w:t>ranging</w:t>
      </w:r>
      <w:r w:rsidR="009B2AE4">
        <w:t xml:space="preserve"> from </w:t>
      </w:r>
      <w:r w:rsidR="0043284D">
        <w:t>$8,232</w:t>
      </w:r>
      <w:r w:rsidR="009B2AE4">
        <w:t xml:space="preserve"> to </w:t>
      </w:r>
      <w:r w:rsidR="001B1615">
        <w:t>$229,636</w:t>
      </w:r>
      <w:r w:rsidR="006A1FDC">
        <w:t xml:space="preserve"> per annum</w:t>
      </w:r>
      <w:r w:rsidR="008934CF">
        <w:t>.</w:t>
      </w:r>
    </w:p>
    <w:p w14:paraId="1A142D23" w14:textId="77777777" w:rsidR="003C7C93" w:rsidRDefault="003C7C93" w:rsidP="003C7C93">
      <w:pPr>
        <w:pStyle w:val="05Paragraph"/>
      </w:pPr>
      <w:r>
        <w:t xml:space="preserve">The Tribunal has also increased the expense allowance for eligible specified parliamentary office holders by 3.5 per cent, with the value of this allowance ranging from $3,683 to $62,597 per annum. </w:t>
      </w:r>
    </w:p>
    <w:p w14:paraId="1314449A" w14:textId="0CE77AF0" w:rsidR="003C7C93" w:rsidRDefault="003C7C93" w:rsidP="003C7C93">
      <w:pPr>
        <w:pStyle w:val="05Paragraph"/>
      </w:pPr>
      <w:r>
        <w:t>The full list of additional salaries and expense allowances for specified office holders is in Schedule A of the Determination</w:t>
      </w:r>
      <w:r w:rsidRPr="007460D0">
        <w:t>.</w:t>
      </w:r>
      <w:r>
        <w:t xml:space="preserve"> </w:t>
      </w:r>
    </w:p>
    <w:p w14:paraId="3359796E" w14:textId="51E5115B" w:rsidR="00D94EEA" w:rsidRPr="00DF18F4" w:rsidRDefault="00D94EEA" w:rsidP="00D94EEA">
      <w:pPr>
        <w:pStyle w:val="05Paragraph"/>
      </w:pPr>
      <w:r>
        <w:t>This Statement of Reasons outlines the Tribunal’s consideration of the following factors set out in legislation</w:t>
      </w:r>
      <w:r w:rsidRPr="00DF18F4">
        <w:t>:</w:t>
      </w:r>
    </w:p>
    <w:p w14:paraId="0A94312E" w14:textId="16FAB459" w:rsidR="00D94EEA" w:rsidRPr="0034160B" w:rsidRDefault="00D94EEA" w:rsidP="00D94EEA">
      <w:pPr>
        <w:pStyle w:val="06VIRTBulletpoints"/>
      </w:pPr>
      <w:r w:rsidRPr="0034160B">
        <w:t xml:space="preserve">the Victorian Government’s </w:t>
      </w:r>
      <w:r w:rsidR="00866B35">
        <w:t>w</w:t>
      </w:r>
      <w:r w:rsidRPr="0034160B">
        <w:t xml:space="preserve">ages </w:t>
      </w:r>
      <w:r w:rsidR="00866B35">
        <w:t>p</w:t>
      </w:r>
      <w:r w:rsidRPr="0034160B">
        <w:t>olicy</w:t>
      </w:r>
    </w:p>
    <w:p w14:paraId="722F585F" w14:textId="77777777" w:rsidR="00D94EEA" w:rsidRPr="0034160B" w:rsidRDefault="00D94EEA" w:rsidP="00D94EEA">
      <w:pPr>
        <w:pStyle w:val="06VIRTBulletpoints"/>
      </w:pPr>
      <w:r w:rsidRPr="0034160B">
        <w:t>the financial position and fiscal strategy of the State of Victoria</w:t>
      </w:r>
    </w:p>
    <w:p w14:paraId="1D5E2A3A" w14:textId="77777777" w:rsidR="00D94EEA" w:rsidRPr="0034160B" w:rsidRDefault="00D94EEA" w:rsidP="00D94EEA">
      <w:pPr>
        <w:pStyle w:val="06VIRTBulletpoints"/>
      </w:pPr>
      <w:r w:rsidRPr="0034160B">
        <w:t>current and projected economic conditions and trends</w:t>
      </w:r>
    </w:p>
    <w:p w14:paraId="4086B455" w14:textId="77777777" w:rsidR="00D94EEA" w:rsidRPr="0034160B" w:rsidRDefault="00D94EEA" w:rsidP="00D94EEA">
      <w:pPr>
        <w:pStyle w:val="06VIRTBulletpoints"/>
      </w:pPr>
      <w:r w:rsidRPr="0034160B">
        <w:t>submissions received in relation to the proposed Determination.</w:t>
      </w:r>
    </w:p>
    <w:p w14:paraId="53E94609" w14:textId="77B881BB" w:rsidR="008F04B3" w:rsidRDefault="008F04B3" w:rsidP="008F04B3">
      <w:pPr>
        <w:pStyle w:val="05Paragraph"/>
      </w:pPr>
      <w:r>
        <w:t xml:space="preserve">The Tribunal </w:t>
      </w:r>
      <w:r w:rsidR="00D37A5D">
        <w:t>has given weight to</w:t>
      </w:r>
      <w:r>
        <w:t xml:space="preserve"> the current </w:t>
      </w:r>
      <w:r w:rsidRPr="003279A5">
        <w:rPr>
          <w:i/>
        </w:rPr>
        <w:t xml:space="preserve">Wages Policy </w:t>
      </w:r>
      <w:r w:rsidRPr="003279A5">
        <w:rPr>
          <w:i/>
          <w:iCs/>
        </w:rPr>
        <w:t>and the Enterprise Bargaining Framework</w:t>
      </w:r>
      <w:r w:rsidRPr="005E5F43">
        <w:t xml:space="preserve"> </w:t>
      </w:r>
      <w:r>
        <w:t>(</w:t>
      </w:r>
      <w:r w:rsidRPr="002C710B">
        <w:t>W</w:t>
      </w:r>
      <w:r>
        <w:t>ages Policy) in light of the current fiscal circumstances of the State of Victoria</w:t>
      </w:r>
      <w:r w:rsidR="00C757FD">
        <w:t xml:space="preserve"> and its strategies for dealing with net debt</w:t>
      </w:r>
      <w:r>
        <w:t xml:space="preserve">.  </w:t>
      </w:r>
    </w:p>
    <w:p w14:paraId="2AF4D315" w14:textId="77777777" w:rsidR="009469D4" w:rsidRDefault="00D57EA8" w:rsidP="00687640">
      <w:pPr>
        <w:pStyle w:val="05Paragraph"/>
        <w:rPr>
          <w:rFonts w:cs="Calibri Light"/>
        </w:rPr>
      </w:pPr>
      <w:r>
        <w:rPr>
          <w:rFonts w:cs="Calibri Light"/>
        </w:rPr>
        <w:t xml:space="preserve">The Tribunal noted recent economic data that showed subdued economic growth rates, although nominal wages growth has picked up in response to tight labour market conditions and high inflation. Despite a mixed economic outlook, several indicators suggest </w:t>
      </w:r>
      <w:r w:rsidRPr="008700A2">
        <w:rPr>
          <w:rFonts w:cs="Calibri Light"/>
        </w:rPr>
        <w:t>an improved outlook for</w:t>
      </w:r>
      <w:r>
        <w:rPr>
          <w:rFonts w:cs="Calibri Light"/>
        </w:rPr>
        <w:t xml:space="preserve"> economic growth and growth in real wages.</w:t>
      </w:r>
    </w:p>
    <w:p w14:paraId="0D1DC077" w14:textId="6346B197" w:rsidR="00687640" w:rsidRPr="007460D0" w:rsidRDefault="002C3CA8" w:rsidP="00687640">
      <w:pPr>
        <w:pStyle w:val="05Paragraph"/>
      </w:pPr>
      <w:r>
        <w:lastRenderedPageBreak/>
        <w:t>S</w:t>
      </w:r>
      <w:r w:rsidR="00687640" w:rsidRPr="007460D0">
        <w:t xml:space="preserve">takeholders </w:t>
      </w:r>
      <w:r w:rsidR="000D6AF1">
        <w:t xml:space="preserve">who </w:t>
      </w:r>
      <w:r w:rsidR="00687640" w:rsidRPr="007460D0">
        <w:t>expressed a view on changes to MP salaries and allowances proposed that the</w:t>
      </w:r>
      <w:r w:rsidR="000D6AF1">
        <w:t>y</w:t>
      </w:r>
      <w:r w:rsidR="00687640" w:rsidRPr="007460D0">
        <w:t xml:space="preserve"> be reduced, frozen or increased by 3 per cent to account for the State’s </w:t>
      </w:r>
      <w:r w:rsidR="000D6AF1">
        <w:t>financial</w:t>
      </w:r>
      <w:r w:rsidR="000D6AF1" w:rsidRPr="007460D0">
        <w:t xml:space="preserve"> </w:t>
      </w:r>
      <w:r w:rsidR="00687640" w:rsidRPr="007460D0">
        <w:t xml:space="preserve">position and to be consistent with the Wages Policy. </w:t>
      </w:r>
    </w:p>
    <w:p w14:paraId="496D3D51" w14:textId="20CE6A9D" w:rsidR="00687640" w:rsidRDefault="00687640" w:rsidP="00687640">
      <w:pPr>
        <w:pStyle w:val="05Paragraph"/>
      </w:pPr>
      <w:r w:rsidRPr="007460D0">
        <w:t xml:space="preserve">The Tribunal also noted the Fair Work Commission’s 2024 decision to increase the National Minimum Wage and </w:t>
      </w:r>
      <w:r w:rsidR="001E732D">
        <w:t xml:space="preserve">modern </w:t>
      </w:r>
      <w:r w:rsidRPr="007460D0">
        <w:t xml:space="preserve">award minimum wages by 3.75 per cent and recent remuneration adjustments for Members of Parliament in other Australian jurisdictions, which ranged from no change in New South Wales to a </w:t>
      </w:r>
      <w:r w:rsidR="00DE1B9D">
        <w:t>4</w:t>
      </w:r>
      <w:r w:rsidRPr="007460D0">
        <w:t xml:space="preserve"> per cent increase for </w:t>
      </w:r>
      <w:r w:rsidR="00DE1B9D">
        <w:t>Queensland</w:t>
      </w:r>
      <w:r w:rsidRPr="007460D0">
        <w:t xml:space="preserve"> MPs.</w:t>
      </w:r>
    </w:p>
    <w:p w14:paraId="0F957FA1" w14:textId="7D49D6CA" w:rsidR="003803A5" w:rsidRPr="007460D0" w:rsidRDefault="003803A5" w:rsidP="00687640">
      <w:pPr>
        <w:pStyle w:val="05Paragraph"/>
      </w:pPr>
      <w:r>
        <w:t xml:space="preserve">MPs are also eligible to be paid several work-related parliamentary allowances. Other than the electorate allowance and the </w:t>
      </w:r>
      <w:r w:rsidR="00B0577B">
        <w:t>parliamentary accommodation sitting allowance</w:t>
      </w:r>
      <w:r>
        <w:t xml:space="preserve">, these allowances are available </w:t>
      </w:r>
      <w:r w:rsidR="00B0577B">
        <w:t>to</w:t>
      </w:r>
      <w:r>
        <w:t xml:space="preserve"> MPs on a reimbursement basis.</w:t>
      </w:r>
    </w:p>
    <w:p w14:paraId="042E5187" w14:textId="45BFC6BD" w:rsidR="00FA64D1" w:rsidRPr="007460D0" w:rsidRDefault="005D3B0C" w:rsidP="00FA64D1">
      <w:pPr>
        <w:pStyle w:val="05Paragraph"/>
        <w:spacing w:after="120"/>
      </w:pPr>
      <w:r>
        <w:t xml:space="preserve">The Tribunal </w:t>
      </w:r>
      <w:r w:rsidR="00531F68">
        <w:t>adjusted</w:t>
      </w:r>
      <w:r>
        <w:t xml:space="preserve"> the values of work-related parliamentary allowances </w:t>
      </w:r>
      <w:r w:rsidR="00531F68">
        <w:t>in line with relevant</w:t>
      </w:r>
      <w:r>
        <w:t xml:space="preserve"> price movements in the Victorian economy, </w:t>
      </w:r>
      <w:r w:rsidR="006E3636">
        <w:t xml:space="preserve">as </w:t>
      </w:r>
      <w:r>
        <w:t>set out below</w:t>
      </w:r>
      <w:r w:rsidR="00A921CB">
        <w:t>:</w:t>
      </w:r>
    </w:p>
    <w:tbl>
      <w:tblPr>
        <w:tblStyle w:val="Glossary"/>
        <w:tblW w:w="0" w:type="auto"/>
        <w:tblLook w:val="04A0" w:firstRow="1" w:lastRow="0" w:firstColumn="1" w:lastColumn="0" w:noHBand="0" w:noVBand="1"/>
      </w:tblPr>
      <w:tblGrid>
        <w:gridCol w:w="4536"/>
        <w:gridCol w:w="1560"/>
        <w:gridCol w:w="2398"/>
      </w:tblGrid>
      <w:tr w:rsidR="00253A30" w14:paraId="75524ED3" w14:textId="77777777" w:rsidTr="00A9535D">
        <w:trPr>
          <w:cnfStyle w:val="100000000000" w:firstRow="1" w:lastRow="0" w:firstColumn="0" w:lastColumn="0" w:oddVBand="0" w:evenVBand="0" w:oddHBand="0" w:evenHBand="0" w:firstRowFirstColumn="0" w:firstRowLastColumn="0" w:lastRowFirstColumn="0" w:lastRowLastColumn="0"/>
        </w:trPr>
        <w:tc>
          <w:tcPr>
            <w:tcW w:w="4536" w:type="dxa"/>
          </w:tcPr>
          <w:p w14:paraId="7E038154" w14:textId="39C967A7" w:rsidR="00253A30" w:rsidRPr="0078012C" w:rsidRDefault="00253A30" w:rsidP="00C10CF7">
            <w:pPr>
              <w:pStyle w:val="10Tabletext"/>
              <w:rPr>
                <w:color w:val="FFFFFF" w:themeColor="background1"/>
              </w:rPr>
            </w:pPr>
            <w:r w:rsidRPr="0078012C">
              <w:rPr>
                <w:color w:val="FFFFFF" w:themeColor="background1"/>
              </w:rPr>
              <w:t>Work-related parliamentary allowance</w:t>
            </w:r>
          </w:p>
        </w:tc>
        <w:tc>
          <w:tcPr>
            <w:tcW w:w="1560" w:type="dxa"/>
          </w:tcPr>
          <w:p w14:paraId="476D445D" w14:textId="77777777" w:rsidR="006E5BCB" w:rsidRDefault="00253A30" w:rsidP="00045271">
            <w:pPr>
              <w:pStyle w:val="10Tabletext"/>
              <w:jc w:val="center"/>
              <w:rPr>
                <w:b w:val="0"/>
                <w:color w:val="FFFFFF" w:themeColor="background1"/>
              </w:rPr>
            </w:pPr>
            <w:r w:rsidRPr="0078012C">
              <w:rPr>
                <w:color w:val="FFFFFF" w:themeColor="background1"/>
              </w:rPr>
              <w:t xml:space="preserve">Change </w:t>
            </w:r>
          </w:p>
          <w:p w14:paraId="67855EBC" w14:textId="021DAC72" w:rsidR="00253A30" w:rsidRPr="0078012C" w:rsidRDefault="00253A30" w:rsidP="00045271">
            <w:pPr>
              <w:pStyle w:val="10Tabletext"/>
              <w:jc w:val="center"/>
              <w:rPr>
                <w:color w:val="FFFFFF" w:themeColor="background1"/>
              </w:rPr>
            </w:pPr>
            <w:r w:rsidRPr="0078012C">
              <w:rPr>
                <w:color w:val="FFFFFF" w:themeColor="background1"/>
              </w:rPr>
              <w:t>(</w:t>
            </w:r>
            <w:r w:rsidR="00045271">
              <w:rPr>
                <w:color w:val="FFFFFF" w:themeColor="background1"/>
              </w:rPr>
              <w:t>%</w:t>
            </w:r>
            <w:r w:rsidRPr="0078012C">
              <w:rPr>
                <w:color w:val="FFFFFF" w:themeColor="background1"/>
              </w:rPr>
              <w:t>)</w:t>
            </w:r>
          </w:p>
        </w:tc>
        <w:tc>
          <w:tcPr>
            <w:tcW w:w="2398" w:type="dxa"/>
          </w:tcPr>
          <w:p w14:paraId="60048D5C" w14:textId="40EDCCE8" w:rsidR="00A9535D" w:rsidRDefault="00253A30" w:rsidP="00A9535D">
            <w:pPr>
              <w:pStyle w:val="10Tabletext"/>
              <w:jc w:val="center"/>
              <w:rPr>
                <w:b w:val="0"/>
                <w:color w:val="FFFFFF" w:themeColor="background1"/>
              </w:rPr>
            </w:pPr>
            <w:r w:rsidRPr="0078012C">
              <w:rPr>
                <w:color w:val="FFFFFF" w:themeColor="background1"/>
              </w:rPr>
              <w:t>V</w:t>
            </w:r>
            <w:r w:rsidR="006E5BCB">
              <w:rPr>
                <w:color w:val="FFFFFF" w:themeColor="background1"/>
              </w:rPr>
              <w:t>a</w:t>
            </w:r>
            <w:r w:rsidRPr="0078012C">
              <w:rPr>
                <w:color w:val="FFFFFF" w:themeColor="background1"/>
              </w:rPr>
              <w:t xml:space="preserve">lue (or range) </w:t>
            </w:r>
          </w:p>
          <w:p w14:paraId="02904FCE" w14:textId="3DBEE92F" w:rsidR="00253A30" w:rsidRPr="00A9535D" w:rsidRDefault="00A9535D" w:rsidP="00A9535D">
            <w:pPr>
              <w:pStyle w:val="10Tabletext"/>
              <w:jc w:val="center"/>
              <w:rPr>
                <w:b w:val="0"/>
                <w:color w:val="FFFFFF" w:themeColor="background1"/>
              </w:rPr>
            </w:pPr>
            <w:r>
              <w:rPr>
                <w:color w:val="FFFFFF" w:themeColor="background1"/>
              </w:rPr>
              <w:t>($ p.a.)</w:t>
            </w:r>
          </w:p>
        </w:tc>
      </w:tr>
      <w:tr w:rsidR="00253A30" w14:paraId="5CA0C92D" w14:textId="77777777" w:rsidTr="00A9535D">
        <w:tc>
          <w:tcPr>
            <w:tcW w:w="4536" w:type="dxa"/>
            <w:vAlign w:val="center"/>
          </w:tcPr>
          <w:p w14:paraId="71A6EF4F" w14:textId="379B2AE6" w:rsidR="00253A30" w:rsidRDefault="00C10CF7" w:rsidP="00FA64D1">
            <w:pPr>
              <w:pStyle w:val="10Tabletext"/>
            </w:pPr>
            <w:r>
              <w:t xml:space="preserve">Electorate </w:t>
            </w:r>
            <w:r w:rsidR="00E07DDE">
              <w:t>a</w:t>
            </w:r>
            <w:r>
              <w:t>llowance</w:t>
            </w:r>
          </w:p>
        </w:tc>
        <w:tc>
          <w:tcPr>
            <w:tcW w:w="1560" w:type="dxa"/>
            <w:vAlign w:val="center"/>
          </w:tcPr>
          <w:p w14:paraId="2C37A7CE" w14:textId="4A86832C" w:rsidR="00253A30" w:rsidRDefault="00A272B9" w:rsidP="00FA64D1">
            <w:pPr>
              <w:pStyle w:val="10Tabletext"/>
              <w:jc w:val="center"/>
            </w:pPr>
            <w:r>
              <w:t>3.6</w:t>
            </w:r>
          </w:p>
        </w:tc>
        <w:tc>
          <w:tcPr>
            <w:tcW w:w="2398" w:type="dxa"/>
            <w:vAlign w:val="center"/>
          </w:tcPr>
          <w:p w14:paraId="6E2D5849" w14:textId="120A6332" w:rsidR="00253A30" w:rsidRDefault="00D51EF0" w:rsidP="00FA64D1">
            <w:pPr>
              <w:pStyle w:val="10Tabletext"/>
              <w:jc w:val="center"/>
            </w:pPr>
            <w:r w:rsidRPr="00BA11AB">
              <w:rPr>
                <w:color w:val="auto"/>
              </w:rPr>
              <w:t xml:space="preserve">46,643 </w:t>
            </w:r>
            <w:r w:rsidR="00FA64D1">
              <w:rPr>
                <w:color w:val="auto"/>
              </w:rPr>
              <w:t>to</w:t>
            </w:r>
            <w:r w:rsidRPr="00BA11AB">
              <w:rPr>
                <w:color w:val="auto"/>
              </w:rPr>
              <w:t xml:space="preserve"> 55,875</w:t>
            </w:r>
          </w:p>
        </w:tc>
      </w:tr>
      <w:tr w:rsidR="00253A30" w14:paraId="690B2ECA" w14:textId="77777777" w:rsidTr="00A9535D">
        <w:tc>
          <w:tcPr>
            <w:tcW w:w="4536" w:type="dxa"/>
            <w:vAlign w:val="center"/>
          </w:tcPr>
          <w:p w14:paraId="1F52A97A" w14:textId="01CCF249" w:rsidR="00C10CF7" w:rsidRDefault="00C10CF7" w:rsidP="00FA64D1">
            <w:pPr>
              <w:pStyle w:val="10Tabletext"/>
            </w:pPr>
            <w:r>
              <w:t xml:space="preserve">Parliamentary </w:t>
            </w:r>
            <w:r w:rsidR="00E07DDE">
              <w:t>a</w:t>
            </w:r>
            <w:r>
              <w:t xml:space="preserve">ccommodation </w:t>
            </w:r>
            <w:r w:rsidR="00E07DDE">
              <w:t>s</w:t>
            </w:r>
            <w:r>
              <w:t xml:space="preserve">itting </w:t>
            </w:r>
            <w:r w:rsidR="00E07DDE">
              <w:t>a</w:t>
            </w:r>
            <w:r>
              <w:t>llowance</w:t>
            </w:r>
          </w:p>
        </w:tc>
        <w:tc>
          <w:tcPr>
            <w:tcW w:w="1560" w:type="dxa"/>
            <w:vAlign w:val="center"/>
          </w:tcPr>
          <w:p w14:paraId="413C76E6" w14:textId="116FA448" w:rsidR="00253A30" w:rsidRDefault="00A272B9" w:rsidP="00FA64D1">
            <w:pPr>
              <w:pStyle w:val="10Tabletext"/>
              <w:jc w:val="center"/>
            </w:pPr>
            <w:r>
              <w:t>3.6</w:t>
            </w:r>
          </w:p>
        </w:tc>
        <w:tc>
          <w:tcPr>
            <w:tcW w:w="2398" w:type="dxa"/>
            <w:vAlign w:val="center"/>
          </w:tcPr>
          <w:p w14:paraId="47AA3DA1" w14:textId="1394D5B8" w:rsidR="00253A30" w:rsidRDefault="007252AB" w:rsidP="00FA64D1">
            <w:pPr>
              <w:pStyle w:val="10Tabletext"/>
              <w:jc w:val="center"/>
            </w:pPr>
            <w:r w:rsidRPr="00BA11AB">
              <w:rPr>
                <w:color w:val="auto"/>
              </w:rPr>
              <w:t>27,567 to 55,133</w:t>
            </w:r>
          </w:p>
        </w:tc>
      </w:tr>
      <w:tr w:rsidR="00253A30" w14:paraId="4849698C" w14:textId="77777777" w:rsidTr="00A9535D">
        <w:tc>
          <w:tcPr>
            <w:tcW w:w="4536" w:type="dxa"/>
            <w:vAlign w:val="center"/>
          </w:tcPr>
          <w:p w14:paraId="6D0EEB66" w14:textId="62484FAD" w:rsidR="00253A30" w:rsidRDefault="00C10CF7" w:rsidP="00FA64D1">
            <w:pPr>
              <w:pStyle w:val="10Tabletext"/>
            </w:pPr>
            <w:r>
              <w:t>Motor vehicle allowance</w:t>
            </w:r>
          </w:p>
        </w:tc>
        <w:tc>
          <w:tcPr>
            <w:tcW w:w="1560" w:type="dxa"/>
            <w:vAlign w:val="center"/>
          </w:tcPr>
          <w:p w14:paraId="70699719" w14:textId="6913466F" w:rsidR="00253A30" w:rsidRDefault="00A272B9" w:rsidP="00FA64D1">
            <w:pPr>
              <w:pStyle w:val="10Tabletext"/>
              <w:jc w:val="center"/>
            </w:pPr>
            <w:r>
              <w:t>3.4</w:t>
            </w:r>
          </w:p>
        </w:tc>
        <w:tc>
          <w:tcPr>
            <w:tcW w:w="2398" w:type="dxa"/>
            <w:vAlign w:val="center"/>
          </w:tcPr>
          <w:p w14:paraId="1DD67B6B" w14:textId="536CE4DD" w:rsidR="00253A30" w:rsidRDefault="00160E27" w:rsidP="00FA64D1">
            <w:pPr>
              <w:pStyle w:val="10Tabletext"/>
              <w:jc w:val="center"/>
            </w:pPr>
            <w:r w:rsidRPr="00BA11AB">
              <w:rPr>
                <w:color w:val="auto"/>
              </w:rPr>
              <w:t>24,015 or 36,184</w:t>
            </w:r>
          </w:p>
        </w:tc>
      </w:tr>
      <w:tr w:rsidR="00253A30" w14:paraId="7F019080" w14:textId="77777777" w:rsidTr="00A9535D">
        <w:tc>
          <w:tcPr>
            <w:tcW w:w="4536" w:type="dxa"/>
            <w:vAlign w:val="center"/>
          </w:tcPr>
          <w:p w14:paraId="43630A1C" w14:textId="762B0365" w:rsidR="00253A30" w:rsidRDefault="00C10CF7" w:rsidP="00FA64D1">
            <w:pPr>
              <w:pStyle w:val="10Tabletext"/>
            </w:pPr>
            <w:r>
              <w:t>Commercial transport allowance</w:t>
            </w:r>
          </w:p>
        </w:tc>
        <w:tc>
          <w:tcPr>
            <w:tcW w:w="1560" w:type="dxa"/>
            <w:vAlign w:val="center"/>
          </w:tcPr>
          <w:p w14:paraId="49879D60" w14:textId="4761DDDF" w:rsidR="00253A30" w:rsidRDefault="00A272B9" w:rsidP="00FA64D1">
            <w:pPr>
              <w:pStyle w:val="10Tabletext"/>
              <w:jc w:val="center"/>
            </w:pPr>
            <w:r>
              <w:t>3.4</w:t>
            </w:r>
          </w:p>
        </w:tc>
        <w:tc>
          <w:tcPr>
            <w:tcW w:w="2398" w:type="dxa"/>
            <w:vAlign w:val="center"/>
          </w:tcPr>
          <w:p w14:paraId="72AD5778" w14:textId="0D88C7FD" w:rsidR="00253A30" w:rsidRDefault="009B343C" w:rsidP="00FA64D1">
            <w:pPr>
              <w:pStyle w:val="10Tabletext"/>
              <w:jc w:val="center"/>
            </w:pPr>
            <w:r w:rsidRPr="00BA11AB">
              <w:rPr>
                <w:color w:val="auto"/>
              </w:rPr>
              <w:t xml:space="preserve">5,372 </w:t>
            </w:r>
            <w:r w:rsidR="00FA64D1">
              <w:rPr>
                <w:color w:val="auto"/>
              </w:rPr>
              <w:t>to</w:t>
            </w:r>
            <w:r w:rsidRPr="00BA11AB">
              <w:rPr>
                <w:color w:val="auto"/>
              </w:rPr>
              <w:t xml:space="preserve"> 18,507</w:t>
            </w:r>
          </w:p>
        </w:tc>
      </w:tr>
      <w:tr w:rsidR="00253A30" w14:paraId="189B6E37" w14:textId="77777777" w:rsidTr="00A9535D">
        <w:trPr>
          <w:trHeight w:val="283"/>
        </w:trPr>
        <w:tc>
          <w:tcPr>
            <w:tcW w:w="4536" w:type="dxa"/>
            <w:vAlign w:val="center"/>
          </w:tcPr>
          <w:p w14:paraId="7A116CB7" w14:textId="5EB21F2A" w:rsidR="00253A30" w:rsidRDefault="00C10CF7" w:rsidP="00FA64D1">
            <w:pPr>
              <w:pStyle w:val="10Tabletext"/>
            </w:pPr>
            <w:r>
              <w:t xml:space="preserve">International </w:t>
            </w:r>
            <w:r w:rsidR="0078012C">
              <w:t>travel</w:t>
            </w:r>
            <w:r>
              <w:t xml:space="preserve"> allowance</w:t>
            </w:r>
          </w:p>
        </w:tc>
        <w:tc>
          <w:tcPr>
            <w:tcW w:w="1560" w:type="dxa"/>
            <w:vAlign w:val="center"/>
          </w:tcPr>
          <w:p w14:paraId="0984B02E" w14:textId="1761A312" w:rsidR="00253A30" w:rsidRDefault="00A272B9" w:rsidP="00FA64D1">
            <w:pPr>
              <w:pStyle w:val="10Tabletext"/>
              <w:jc w:val="center"/>
            </w:pPr>
            <w:r>
              <w:t>3.6</w:t>
            </w:r>
          </w:p>
        </w:tc>
        <w:tc>
          <w:tcPr>
            <w:tcW w:w="2398" w:type="dxa"/>
            <w:vAlign w:val="center"/>
          </w:tcPr>
          <w:p w14:paraId="42678663" w14:textId="5EDE3449" w:rsidR="00253A30" w:rsidRDefault="00A63DB5" w:rsidP="00FA64D1">
            <w:pPr>
              <w:pStyle w:val="10Tabletext"/>
              <w:jc w:val="center"/>
            </w:pPr>
            <w:r w:rsidRPr="00BA11AB">
              <w:rPr>
                <w:color w:val="auto"/>
              </w:rPr>
              <w:t>11,153</w:t>
            </w:r>
          </w:p>
        </w:tc>
      </w:tr>
    </w:tbl>
    <w:p w14:paraId="0215F4DB" w14:textId="7397C975" w:rsidR="001C166C" w:rsidRDefault="00840ABB" w:rsidP="0027122E">
      <w:pPr>
        <w:pStyle w:val="05Paragraph"/>
      </w:pPr>
      <w:r w:rsidRPr="00840ABB">
        <w:t xml:space="preserve">The value of the travel allowance </w:t>
      </w:r>
      <w:r w:rsidR="00743270">
        <w:t xml:space="preserve">continues to be </w:t>
      </w:r>
      <w:r w:rsidR="001540A6">
        <w:t xml:space="preserve">linked to </w:t>
      </w:r>
      <w:r w:rsidR="000661F5">
        <w:t xml:space="preserve">the ‘travelling allowance’ </w:t>
      </w:r>
      <w:r w:rsidRPr="00840ABB">
        <w:t>rate</w:t>
      </w:r>
      <w:r w:rsidR="00AC374F">
        <w:t>s as</w:t>
      </w:r>
      <w:r w:rsidRPr="00840ABB">
        <w:t xml:space="preserve"> set by the Commonwealth Remuneration Tribunal.</w:t>
      </w:r>
    </w:p>
    <w:p w14:paraId="2D157917" w14:textId="3B485B20" w:rsidR="0027122E" w:rsidRDefault="00E87458" w:rsidP="0027122E">
      <w:pPr>
        <w:pStyle w:val="05Paragraph"/>
      </w:pPr>
      <w:r>
        <w:t>Finally, t</w:t>
      </w:r>
      <w:r w:rsidR="0027122E">
        <w:t xml:space="preserve">he Tribunal has adjusted the formula for the Electorate Office and Communications Budget </w:t>
      </w:r>
      <w:r w:rsidR="00340119">
        <w:t xml:space="preserve">— which is also provided on a reimbursement basis — </w:t>
      </w:r>
      <w:r w:rsidR="0027122E">
        <w:t>to reflect movements in relevant costs, including for postage. The effective rate per vote</w:t>
      </w:r>
      <w:r w:rsidR="008A334D">
        <w:t>r</w:t>
      </w:r>
      <w:r w:rsidR="0027122E">
        <w:t xml:space="preserve"> has been increased by 6.1 per cent.</w:t>
      </w:r>
    </w:p>
    <w:p w14:paraId="0ACD7CF0" w14:textId="083EBDB6" w:rsidR="005A0AE0" w:rsidRDefault="005A0AE0" w:rsidP="0027122E">
      <w:pPr>
        <w:pStyle w:val="05Paragraph"/>
      </w:pPr>
      <w:r w:rsidRPr="004740A5">
        <w:t>For ease of reference, the Tribunal has also published on its website a consolidated version of the Comprehensive Determination, incorporating changes made by the 2024 annual adjustment.</w:t>
      </w:r>
    </w:p>
    <w:p w14:paraId="561373C6" w14:textId="22C87FBB" w:rsidR="004E0CE5" w:rsidRPr="00515FA4" w:rsidRDefault="004E0CE5" w:rsidP="004E0CE5">
      <w:pPr>
        <w:pStyle w:val="06VIRTBulletpoints"/>
        <w:ind w:left="502" w:hanging="360"/>
      </w:pPr>
      <w:r w:rsidRPr="00515FA4">
        <w:br w:type="page"/>
      </w:r>
    </w:p>
    <w:p w14:paraId="5E668115" w14:textId="14492B6B" w:rsidR="002D4A56" w:rsidRPr="004E7F27" w:rsidRDefault="00BB0137" w:rsidP="00036BD6">
      <w:pPr>
        <w:pStyle w:val="Chapterheading"/>
        <w:outlineLvl w:val="0"/>
      </w:pPr>
      <w:bookmarkStart w:id="66" w:name="_Toc170383540"/>
      <w:r w:rsidRPr="001D523A">
        <w:rPr>
          <w:rStyle w:val="01ChapterheadingChar"/>
        </w:rPr>
        <w:lastRenderedPageBreak/>
        <w:t>1</w:t>
      </w:r>
      <w:r w:rsidRPr="001D523A">
        <w:rPr>
          <w:rStyle w:val="01ChapterheadingChar"/>
        </w:rPr>
        <w:tab/>
      </w:r>
      <w:r w:rsidR="00B51FDB" w:rsidRPr="001D523A">
        <w:rPr>
          <w:rStyle w:val="01ChapterheadingChar"/>
        </w:rPr>
        <w:t>Context</w:t>
      </w:r>
      <w:r w:rsidR="002D4A56" w:rsidRPr="004E7F27">
        <w:br/>
      </w:r>
      <w:r w:rsidR="336BCEF6" w:rsidRPr="004E7F27">
        <w:rPr>
          <w:noProof/>
        </w:rPr>
        <w:drawing>
          <wp:inline distT="0" distB="0" distL="0" distR="0" wp14:anchorId="785456D9" wp14:editId="6FA4574F">
            <wp:extent cx="2212975" cy="255905"/>
            <wp:effectExtent l="0" t="0" r="0" b="0"/>
            <wp:docPr id="1761793384"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pic:nvPicPr>
                  <pic:blipFill>
                    <a:blip r:embed="rId29">
                      <a:extLst>
                        <a:ext uri="{28A0092B-C50C-407E-A947-70E740481C1C}">
                          <a14:useLocalDpi xmlns:a14="http://schemas.microsoft.com/office/drawing/2010/main" val="0"/>
                        </a:ext>
                      </a:extLst>
                    </a:blip>
                    <a:stretch>
                      <a:fillRect/>
                    </a:stretch>
                  </pic:blipFill>
                  <pic:spPr>
                    <a:xfrm>
                      <a:off x="0" y="0"/>
                      <a:ext cx="2212975" cy="255905"/>
                    </a:xfrm>
                    <a:prstGeom prst="rect">
                      <a:avLst/>
                    </a:prstGeom>
                  </pic:spPr>
                </pic:pic>
              </a:graphicData>
            </a:graphic>
          </wp:inline>
        </w:drawing>
      </w:r>
      <w:bookmarkEnd w:id="0"/>
      <w:bookmarkEnd w:id="1"/>
      <w:bookmarkEnd w:id="2"/>
      <w:bookmarkEnd w:id="3"/>
      <w:bookmarkEnd w:id="66"/>
    </w:p>
    <w:bookmarkEnd w:id="4"/>
    <w:p w14:paraId="2C5538C0" w14:textId="07D96EE3" w:rsidR="003C41B6" w:rsidRPr="002229FF" w:rsidRDefault="003C41B6" w:rsidP="003C41B6">
      <w:pPr>
        <w:pStyle w:val="05Paragraph"/>
      </w:pPr>
      <w:r>
        <w:t>The</w:t>
      </w:r>
      <w:r w:rsidRPr="002229FF">
        <w:t xml:space="preserve"> Tribunal is required to </w:t>
      </w:r>
      <w:r>
        <w:t>make an annual adjustment to</w:t>
      </w:r>
      <w:r w:rsidRPr="002229FF">
        <w:t xml:space="preserve"> the values of </w:t>
      </w:r>
      <w:r>
        <w:t xml:space="preserve">salaries and allowances payable to Members of the Victorian Parliament </w:t>
      </w:r>
      <w:r w:rsidR="00FF4BB1">
        <w:t xml:space="preserve">(MPs) </w:t>
      </w:r>
      <w:r>
        <w:t xml:space="preserve">set in a Determination under the </w:t>
      </w:r>
      <w:r w:rsidRPr="003B0D4A">
        <w:rPr>
          <w:i/>
          <w:iCs/>
        </w:rPr>
        <w:t>Victorian Independent Remuneration Tribunal and Improving Parliamentary Standards Act 2019</w:t>
      </w:r>
      <w:r>
        <w:t xml:space="preserve"> (Vic) (VIRTIPS Act).</w:t>
      </w:r>
      <w:r>
        <w:rPr>
          <w:rStyle w:val="FootnoteReference"/>
        </w:rPr>
        <w:footnoteReference w:id="2"/>
      </w:r>
    </w:p>
    <w:p w14:paraId="53BB8B90" w14:textId="77777777" w:rsidR="00006B05" w:rsidRPr="00A25D58" w:rsidRDefault="00006B05" w:rsidP="00006B05">
      <w:pPr>
        <w:pStyle w:val="05Paragraph"/>
      </w:pPr>
      <w:r w:rsidRPr="001E3404">
        <w:t>In performing its functions and exercising its powers, the Tribunal must act independently and impartially and is not subject to the control or direction of any person, including the Minister</w:t>
      </w:r>
      <w:r>
        <w:t xml:space="preserve"> responsible for the Tribunal</w:t>
      </w:r>
      <w:r w:rsidRPr="001E3404">
        <w:t>.</w:t>
      </w:r>
      <w:r w:rsidRPr="001E3404">
        <w:rPr>
          <w:rStyle w:val="FootnoteReference"/>
        </w:rPr>
        <w:footnoteReference w:id="3"/>
      </w:r>
    </w:p>
    <w:p w14:paraId="5C6EF0D8" w14:textId="4AA9169C" w:rsidR="003C41B6" w:rsidRDefault="003C41B6" w:rsidP="003C41B6">
      <w:pPr>
        <w:pStyle w:val="05Paragraph"/>
      </w:pPr>
      <w:r w:rsidRPr="00822FE7">
        <w:t xml:space="preserve">The Determination in effect is the </w:t>
      </w:r>
      <w:r w:rsidR="00CE06D4" w:rsidRPr="00822FE7">
        <w:rPr>
          <w:i/>
          <w:iCs/>
        </w:rPr>
        <w:t>Members of Parliament (Victoria) Determination No. 01/2023</w:t>
      </w:r>
      <w:r w:rsidRPr="00822FE7">
        <w:t xml:space="preserve"> (Comprehensive Determination), which was made in </w:t>
      </w:r>
      <w:r w:rsidR="00822FE7" w:rsidRPr="00822FE7">
        <w:t>June</w:t>
      </w:r>
      <w:r w:rsidRPr="00822FE7">
        <w:t xml:space="preserve"> 202</w:t>
      </w:r>
      <w:r w:rsidR="00822FE7" w:rsidRPr="00822FE7">
        <w:t>3</w:t>
      </w:r>
      <w:r w:rsidRPr="00822FE7">
        <w:t>.</w:t>
      </w:r>
      <w:r w:rsidR="00A13A64">
        <w:rPr>
          <w:rStyle w:val="FootnoteReference"/>
        </w:rPr>
        <w:footnoteReference w:id="4"/>
      </w:r>
      <w:r w:rsidR="009D1B52">
        <w:t xml:space="preserve"> This Determination set t</w:t>
      </w:r>
      <w:r w:rsidR="00FC7097">
        <w:t xml:space="preserve">he </w:t>
      </w:r>
      <w:r w:rsidR="009D1B52">
        <w:t>values</w:t>
      </w:r>
      <w:r w:rsidR="00FC7097">
        <w:t xml:space="preserve"> of the following salaries and allowances</w:t>
      </w:r>
      <w:r w:rsidR="00F152D5">
        <w:t>:</w:t>
      </w:r>
    </w:p>
    <w:p w14:paraId="20EC1259" w14:textId="77777777" w:rsidR="00F14F31" w:rsidRPr="00F14F31" w:rsidRDefault="00F14F31" w:rsidP="00F14F31">
      <w:pPr>
        <w:pStyle w:val="06VIRTBulletpoints"/>
      </w:pPr>
      <w:r w:rsidRPr="00F14F31">
        <w:t>basic salary</w:t>
      </w:r>
    </w:p>
    <w:p w14:paraId="1B88B3E1" w14:textId="77777777" w:rsidR="00F14F31" w:rsidRPr="00F14F31" w:rsidRDefault="00F14F31" w:rsidP="00F14F31">
      <w:pPr>
        <w:pStyle w:val="06VIRTBulletpoints"/>
      </w:pPr>
      <w:r w:rsidRPr="00F14F31">
        <w:t>additional salaries for specified parliamentary office holders</w:t>
      </w:r>
    </w:p>
    <w:p w14:paraId="66698684" w14:textId="77777777" w:rsidR="00F14F31" w:rsidRPr="00F14F31" w:rsidRDefault="00F14F31" w:rsidP="00F14F31">
      <w:pPr>
        <w:pStyle w:val="06VIRTBulletpoints"/>
      </w:pPr>
      <w:r w:rsidRPr="00F14F31">
        <w:t>electorate allowance</w:t>
      </w:r>
    </w:p>
    <w:p w14:paraId="795A769A" w14:textId="77777777" w:rsidR="00F14F31" w:rsidRPr="00F14F31" w:rsidRDefault="00F14F31" w:rsidP="00F14F31">
      <w:pPr>
        <w:pStyle w:val="06VIRTBulletpoints"/>
      </w:pPr>
      <w:r w:rsidRPr="00F14F31">
        <w:t>expense allowance for certain specified parliamentary office holders</w:t>
      </w:r>
    </w:p>
    <w:p w14:paraId="1E84ED6E" w14:textId="77777777" w:rsidR="00F14F31" w:rsidRPr="00F14F31" w:rsidRDefault="00F14F31" w:rsidP="00F14F31">
      <w:pPr>
        <w:pStyle w:val="06VIRTBulletpoints"/>
      </w:pPr>
      <w:r w:rsidRPr="00F14F31">
        <w:t>parliamentary accommodation sitting allowance (PASA)</w:t>
      </w:r>
    </w:p>
    <w:p w14:paraId="6C95559F" w14:textId="77777777" w:rsidR="00F14F31" w:rsidRPr="00F14F31" w:rsidRDefault="00F14F31" w:rsidP="00F14F31">
      <w:pPr>
        <w:pStyle w:val="06VIRTBulletpoints"/>
      </w:pPr>
      <w:r w:rsidRPr="00F14F31">
        <w:t>travel allowance</w:t>
      </w:r>
    </w:p>
    <w:p w14:paraId="3802AB99" w14:textId="77777777" w:rsidR="00F14F31" w:rsidRPr="00F14F31" w:rsidRDefault="00F14F31" w:rsidP="00F14F31">
      <w:pPr>
        <w:pStyle w:val="06VIRTBulletpoints"/>
      </w:pPr>
      <w:r w:rsidRPr="00F14F31">
        <w:t>motor vehicle allowance</w:t>
      </w:r>
    </w:p>
    <w:p w14:paraId="597DE9B7" w14:textId="77777777" w:rsidR="00F14F31" w:rsidRPr="00F14F31" w:rsidRDefault="00F14F31" w:rsidP="00F14F31">
      <w:pPr>
        <w:pStyle w:val="06VIRTBulletpoints"/>
      </w:pPr>
      <w:r w:rsidRPr="00F14F31">
        <w:t>commercial transport allowance</w:t>
      </w:r>
    </w:p>
    <w:p w14:paraId="4E7C0937" w14:textId="77777777" w:rsidR="00F14F31" w:rsidRPr="00F14F31" w:rsidRDefault="00F14F31" w:rsidP="00F14F31">
      <w:pPr>
        <w:pStyle w:val="06VIRTBulletpoints"/>
      </w:pPr>
      <w:r w:rsidRPr="00F14F31">
        <w:t>international travel allowance</w:t>
      </w:r>
    </w:p>
    <w:p w14:paraId="077A66DD" w14:textId="77777777" w:rsidR="00F14F31" w:rsidRPr="00F14F31" w:rsidRDefault="00F14F31" w:rsidP="00F14F31">
      <w:pPr>
        <w:pStyle w:val="06VIRTBulletpoints"/>
      </w:pPr>
      <w:r w:rsidRPr="00F14F31">
        <w:t>Electorate Office and Communications (EO&amp;C) Budget.</w:t>
      </w:r>
    </w:p>
    <w:p w14:paraId="3DA73346" w14:textId="0FC55169" w:rsidR="003C41B6" w:rsidRDefault="003C41B6" w:rsidP="003C41B6">
      <w:pPr>
        <w:pStyle w:val="05Paragraph"/>
      </w:pPr>
      <w:r w:rsidRPr="00250DDF">
        <w:t>The Tribunal is required to include a statement of reasons in a Determination.</w:t>
      </w:r>
      <w:r w:rsidRPr="00250DDF">
        <w:rPr>
          <w:rStyle w:val="FootnoteReference"/>
        </w:rPr>
        <w:footnoteReference w:id="5"/>
      </w:r>
      <w:r w:rsidRPr="00250DDF">
        <w:t xml:space="preserve"> This Statement of Reasons relates to the </w:t>
      </w:r>
      <w:r w:rsidR="00250DDF" w:rsidRPr="00250DDF">
        <w:rPr>
          <w:i/>
          <w:iCs/>
        </w:rPr>
        <w:t>Members of Parliament (Victoria) A</w:t>
      </w:r>
      <w:r w:rsidRPr="00250DDF">
        <w:rPr>
          <w:i/>
          <w:iCs/>
        </w:rPr>
        <w:t>nnual Adjustment Determination 2024</w:t>
      </w:r>
      <w:r w:rsidRPr="00250DDF">
        <w:t xml:space="preserve"> (2024</w:t>
      </w:r>
      <w:r w:rsidR="00250DDF" w:rsidRPr="00250DDF">
        <w:t xml:space="preserve"> </w:t>
      </w:r>
      <w:r w:rsidR="00AF5F9C">
        <w:t>MP</w:t>
      </w:r>
      <w:r w:rsidRPr="00250DDF">
        <w:t xml:space="preserve"> Annual Adjustment Determination).</w:t>
      </w:r>
    </w:p>
    <w:p w14:paraId="5266D74D" w14:textId="4A51E318" w:rsidR="003C41B6" w:rsidRDefault="00E928AF" w:rsidP="003C41B6">
      <w:pPr>
        <w:pStyle w:val="05Paragraph"/>
      </w:pPr>
      <w:r>
        <w:t xml:space="preserve">This </w:t>
      </w:r>
      <w:r w:rsidR="003C41B6" w:rsidRPr="004740A5">
        <w:t xml:space="preserve">Determination takes effect on 1 July 2024. </w:t>
      </w:r>
    </w:p>
    <w:p w14:paraId="52DA0D58" w14:textId="19FC0027" w:rsidR="00E50169" w:rsidRPr="00700388" w:rsidDel="007660EA" w:rsidRDefault="00E50169" w:rsidP="00700388">
      <w:pPr>
        <w:pStyle w:val="02VIRTHeading2"/>
        <w:ind w:left="0" w:firstLine="0"/>
      </w:pPr>
      <w:bookmarkStart w:id="67" w:name="_Toc43378836"/>
      <w:bookmarkStart w:id="68" w:name="_Toc74833669"/>
      <w:bookmarkStart w:id="69" w:name="_Toc170383541"/>
      <w:r w:rsidRPr="00700388">
        <w:lastRenderedPageBreak/>
        <w:t>1.1</w:t>
      </w:r>
      <w:r w:rsidR="002C45E1">
        <w:tab/>
      </w:r>
      <w:r w:rsidR="002C45E1">
        <w:tab/>
      </w:r>
      <w:r w:rsidR="00B82310">
        <w:t>The Tribunal’s approach</w:t>
      </w:r>
      <w:bookmarkStart w:id="70" w:name="_Toc42465596"/>
      <w:bookmarkStart w:id="71" w:name="_Toc20323432"/>
      <w:bookmarkStart w:id="72" w:name="_Toc35006358"/>
      <w:bookmarkEnd w:id="67"/>
      <w:bookmarkEnd w:id="68"/>
      <w:bookmarkEnd w:id="69"/>
      <w:bookmarkEnd w:id="70"/>
      <w:bookmarkEnd w:id="71"/>
      <w:bookmarkEnd w:id="72"/>
    </w:p>
    <w:p w14:paraId="08F32FAA" w14:textId="77777777" w:rsidR="00564B34" w:rsidRPr="00564B34" w:rsidRDefault="00564B34" w:rsidP="00564B34">
      <w:pPr>
        <w:pStyle w:val="05Paragraph"/>
      </w:pPr>
      <w:bookmarkStart w:id="73" w:name="_Toc19554265"/>
      <w:bookmarkStart w:id="74" w:name="_Toc20323438"/>
      <w:bookmarkStart w:id="75" w:name="_Toc33609445"/>
      <w:bookmarkStart w:id="76" w:name="_Toc35006363"/>
      <w:bookmarkStart w:id="77" w:name="_Toc45015314"/>
      <w:bookmarkStart w:id="78" w:name="_Toc59090123"/>
      <w:r w:rsidRPr="00564B34">
        <w:t>Before making a Determination, the VIRTIPS Act requires the Tribunal to:</w:t>
      </w:r>
      <w:r w:rsidRPr="00564B34">
        <w:rPr>
          <w:rStyle w:val="FootnoteReference"/>
        </w:rPr>
        <w:footnoteReference w:id="6"/>
      </w:r>
    </w:p>
    <w:p w14:paraId="747836F1" w14:textId="77777777" w:rsidR="00564B34" w:rsidRPr="00564B34" w:rsidRDefault="00564B34" w:rsidP="00564B34">
      <w:pPr>
        <w:pStyle w:val="06VIRTBulletpoints"/>
        <w:ind w:left="502" w:hanging="360"/>
      </w:pPr>
      <w:r w:rsidRPr="00564B34">
        <w:t>publish notice of its intention to make a Determination</w:t>
      </w:r>
    </w:p>
    <w:p w14:paraId="42E09F81" w14:textId="77777777" w:rsidR="00564B34" w:rsidRPr="00564B34" w:rsidRDefault="00564B34" w:rsidP="00564B34">
      <w:pPr>
        <w:pStyle w:val="06VIRTBulletpoints"/>
        <w:ind w:left="502" w:hanging="360"/>
      </w:pPr>
      <w:r w:rsidRPr="00564B34">
        <w:t xml:space="preserve">include details about the proposed Determination in the public notice </w:t>
      </w:r>
    </w:p>
    <w:p w14:paraId="3E53FDB1" w14:textId="77777777" w:rsidR="00564B34" w:rsidRPr="00564B34" w:rsidRDefault="00564B34" w:rsidP="00564B34">
      <w:pPr>
        <w:pStyle w:val="06VIRTBulletpoints"/>
        <w:ind w:left="502" w:hanging="360"/>
      </w:pPr>
      <w:r w:rsidRPr="00564B34">
        <w:t>give any affected person or class of persons a reasonable opportunity to make a submission in relation to the proposed Determination.</w:t>
      </w:r>
    </w:p>
    <w:p w14:paraId="022EF194" w14:textId="4C0A52E6" w:rsidR="009D4B64" w:rsidRPr="001E3404" w:rsidRDefault="00564B34" w:rsidP="009D4B64">
      <w:pPr>
        <w:pStyle w:val="05Paragraph"/>
      </w:pPr>
      <w:r w:rsidRPr="00A22E36">
        <w:t xml:space="preserve">The Tribunal published </w:t>
      </w:r>
      <w:r w:rsidR="00CE21BD">
        <w:t xml:space="preserve">a </w:t>
      </w:r>
      <w:r w:rsidRPr="00A22E36">
        <w:t>notice of its intention to make a Determination</w:t>
      </w:r>
      <w:r w:rsidRPr="00A22E36" w:rsidDel="00A42BDD">
        <w:t xml:space="preserve"> on its website</w:t>
      </w:r>
      <w:r w:rsidRPr="00A22E36">
        <w:t xml:space="preserve"> </w:t>
      </w:r>
      <w:r w:rsidR="00501622">
        <w:t xml:space="preserve">and on the </w:t>
      </w:r>
      <w:r w:rsidR="000F375A">
        <w:t xml:space="preserve">Victorian Public Notices website </w:t>
      </w:r>
      <w:r w:rsidRPr="00A22E36">
        <w:t>in April 2024</w:t>
      </w:r>
      <w:r w:rsidR="006911A2">
        <w:t>.</w:t>
      </w:r>
      <w:r w:rsidR="00586659">
        <w:t xml:space="preserve"> </w:t>
      </w:r>
      <w:r w:rsidR="00806A2E" w:rsidRPr="00911A44">
        <w:rPr>
          <w:rFonts w:cs="Calibri Light"/>
        </w:rPr>
        <w:t xml:space="preserve">The </w:t>
      </w:r>
      <w:r w:rsidR="00806A2E" w:rsidRPr="00911A44" w:rsidDel="00974D5C">
        <w:rPr>
          <w:rFonts w:cs="Calibri Light"/>
        </w:rPr>
        <w:t xml:space="preserve">notice </w:t>
      </w:r>
      <w:r w:rsidR="00806A2E" w:rsidRPr="00911A44">
        <w:rPr>
          <w:rFonts w:cs="Calibri Light"/>
        </w:rPr>
        <w:t xml:space="preserve">contained a summary of the matters the Tribunal was required to consider and called for submissions by </w:t>
      </w:r>
      <w:r w:rsidR="0041016F" w:rsidRPr="00A22E36">
        <w:t>17 May 2024</w:t>
      </w:r>
      <w:r w:rsidR="00806A2E" w:rsidRPr="00911A44">
        <w:rPr>
          <w:rFonts w:cs="Calibri Light"/>
        </w:rPr>
        <w:t>.</w:t>
      </w:r>
      <w:r w:rsidR="00806A2E">
        <w:rPr>
          <w:rFonts w:cs="Calibri Light"/>
        </w:rPr>
        <w:t xml:space="preserve"> </w:t>
      </w:r>
      <w:r w:rsidR="009D4B64">
        <w:t>The Tribunal also sought submissions from MPs via the Clerks of the Parliament.</w:t>
      </w:r>
    </w:p>
    <w:p w14:paraId="65E3FB89" w14:textId="417A3FB3" w:rsidR="00564B34" w:rsidRPr="001E3404" w:rsidRDefault="009D4B64" w:rsidP="00564B34">
      <w:pPr>
        <w:pStyle w:val="05Paragraph"/>
      </w:pPr>
      <w:r>
        <w:t>Chapter 2 of the Statement of Reasons sets out the Tribunal</w:t>
      </w:r>
      <w:r w:rsidR="00A039F4">
        <w:t>’s</w:t>
      </w:r>
      <w:r>
        <w:t xml:space="preserve"> </w:t>
      </w:r>
      <w:r w:rsidR="00306B24">
        <w:t>consideration of</w:t>
      </w:r>
      <w:r w:rsidR="00367BD3">
        <w:t xml:space="preserve"> the following</w:t>
      </w:r>
      <w:r>
        <w:t xml:space="preserve"> legislative </w:t>
      </w:r>
      <w:r w:rsidRPr="009D4B64">
        <w:t>matters</w:t>
      </w:r>
      <w:r w:rsidRPr="00911A44">
        <w:t>:</w:t>
      </w:r>
      <w:r w:rsidRPr="00911A44">
        <w:rPr>
          <w:rStyle w:val="FootnoteReference"/>
          <w:rFonts w:cs="Calibri Light"/>
        </w:rPr>
        <w:footnoteReference w:id="7"/>
      </w:r>
    </w:p>
    <w:p w14:paraId="7635A0F1" w14:textId="0FD176F1" w:rsidR="00564B34" w:rsidRPr="001E3404" w:rsidRDefault="00564B34" w:rsidP="00564B34">
      <w:pPr>
        <w:pStyle w:val="06VIRTBulletpoints"/>
        <w:ind w:left="502" w:hanging="360"/>
      </w:pPr>
      <w:r w:rsidRPr="001E3404">
        <w:t xml:space="preserve">any statement or policy issued by the Government of Victoria which is in force with respect to its </w:t>
      </w:r>
      <w:r w:rsidR="00306B24">
        <w:t>W</w:t>
      </w:r>
      <w:r w:rsidRPr="001E3404">
        <w:t xml:space="preserve">ages </w:t>
      </w:r>
      <w:r w:rsidR="00306B24">
        <w:t>P</w:t>
      </w:r>
      <w:r w:rsidRPr="001E3404">
        <w:t>olicy (or equivalent) and the remuneration and allowances of any specified occupational group</w:t>
      </w:r>
    </w:p>
    <w:p w14:paraId="026C2628" w14:textId="77777777" w:rsidR="00564B34" w:rsidRPr="001E3404" w:rsidRDefault="00564B34" w:rsidP="00564B34">
      <w:pPr>
        <w:pStyle w:val="06VIRTBulletpoints"/>
        <w:ind w:left="502" w:hanging="360"/>
      </w:pPr>
      <w:r w:rsidRPr="001E3404">
        <w:t xml:space="preserve">the financial position and fiscal strategy of the State of Victoria </w:t>
      </w:r>
    </w:p>
    <w:p w14:paraId="0A006F87" w14:textId="77777777" w:rsidR="00564B34" w:rsidRPr="001E3404" w:rsidRDefault="00564B34" w:rsidP="00564B34">
      <w:pPr>
        <w:pStyle w:val="06VIRTBulletpoints"/>
        <w:ind w:left="502" w:hanging="360"/>
      </w:pPr>
      <w:r w:rsidRPr="001E3404">
        <w:t>current and projected economic conditions and trends</w:t>
      </w:r>
    </w:p>
    <w:p w14:paraId="4DC33ADA" w14:textId="77777777" w:rsidR="00564B34" w:rsidRPr="001E3404" w:rsidRDefault="00564B34" w:rsidP="00564B34">
      <w:pPr>
        <w:pStyle w:val="06VIRTBulletpoints"/>
        <w:ind w:left="502" w:hanging="360"/>
      </w:pPr>
      <w:r w:rsidRPr="001E3404">
        <w:t>submissions received in relation to the proposed Determination.</w:t>
      </w:r>
    </w:p>
    <w:bookmarkEnd w:id="73"/>
    <w:bookmarkEnd w:id="74"/>
    <w:bookmarkEnd w:id="75"/>
    <w:bookmarkEnd w:id="76"/>
    <w:bookmarkEnd w:id="77"/>
    <w:bookmarkEnd w:id="78"/>
    <w:p w14:paraId="48C24450" w14:textId="0301EA5E" w:rsidR="007C4F1E" w:rsidRDefault="009D4B64" w:rsidP="009D4B64">
      <w:pPr>
        <w:pStyle w:val="05Paragraph"/>
      </w:pPr>
      <w:r>
        <w:t>Chapter 3 contains the Tribuna</w:t>
      </w:r>
      <w:r w:rsidR="00FF138E">
        <w:t>l’s decision and conclusions.</w:t>
      </w:r>
    </w:p>
    <w:p w14:paraId="7B88BB96" w14:textId="77777777" w:rsidR="007C4F1E" w:rsidRDefault="007C4F1E">
      <w:pPr>
        <w:spacing w:after="80"/>
        <w:rPr>
          <w:rFonts w:ascii="Calibri Light" w:hAnsi="Calibri Light" w:cs="Arial"/>
          <w:color w:val="000000" w:themeColor="text1"/>
          <w:sz w:val="26"/>
          <w:szCs w:val="20"/>
        </w:rPr>
      </w:pPr>
      <w:r>
        <w:br w:type="page"/>
      </w:r>
    </w:p>
    <w:p w14:paraId="181982B7" w14:textId="5E9BB539" w:rsidR="008F55C1" w:rsidRPr="00E9463E" w:rsidRDefault="008F55C1" w:rsidP="00036BD6">
      <w:pPr>
        <w:pStyle w:val="Chapterheading"/>
        <w:outlineLvl w:val="0"/>
        <w:rPr>
          <w:szCs w:val="72"/>
        </w:rPr>
      </w:pPr>
      <w:bookmarkStart w:id="79" w:name="_Toc42465600"/>
      <w:bookmarkStart w:id="80" w:name="_Toc43378840"/>
      <w:bookmarkStart w:id="81" w:name="_Toc74833672"/>
      <w:bookmarkStart w:id="82" w:name="_Toc170383542"/>
      <w:r w:rsidRPr="001D523A">
        <w:rPr>
          <w:rStyle w:val="01ChapterheadingChar"/>
        </w:rPr>
        <w:lastRenderedPageBreak/>
        <w:t>2</w:t>
      </w:r>
      <w:r w:rsidR="00E9463E" w:rsidRPr="001D523A">
        <w:rPr>
          <w:rStyle w:val="01ChapterheadingChar"/>
        </w:rPr>
        <w:tab/>
        <w:t>Factors considered</w:t>
      </w:r>
      <w:r w:rsidRPr="00E9463E">
        <w:rPr>
          <w:noProof/>
        </w:rPr>
        <w:drawing>
          <wp:inline distT="0" distB="0" distL="0" distR="0" wp14:anchorId="25B876E1" wp14:editId="30B56BC2">
            <wp:extent cx="2222500" cy="253365"/>
            <wp:effectExtent l="0" t="0" r="6350" b="0"/>
            <wp:docPr id="34023487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21">
                      <a:extLst>
                        <a:ext uri="{28A0092B-C50C-407E-A947-70E740481C1C}">
                          <a14:useLocalDpi xmlns:a14="http://schemas.microsoft.com/office/drawing/2010/main" val="0"/>
                        </a:ext>
                      </a:extLst>
                    </a:blip>
                    <a:stretch>
                      <a:fillRect/>
                    </a:stretch>
                  </pic:blipFill>
                  <pic:spPr>
                    <a:xfrm>
                      <a:off x="0" y="0"/>
                      <a:ext cx="2222500" cy="253365"/>
                    </a:xfrm>
                    <a:prstGeom prst="rect">
                      <a:avLst/>
                    </a:prstGeom>
                  </pic:spPr>
                </pic:pic>
              </a:graphicData>
            </a:graphic>
          </wp:inline>
        </w:drawing>
      </w:r>
      <w:bookmarkEnd w:id="79"/>
      <w:bookmarkEnd w:id="80"/>
      <w:bookmarkEnd w:id="81"/>
      <w:bookmarkEnd w:id="82"/>
    </w:p>
    <w:p w14:paraId="57529DF2" w14:textId="63A78EC8" w:rsidR="00120D5F" w:rsidRDefault="00120D5F" w:rsidP="00120D5F">
      <w:pPr>
        <w:pStyle w:val="05Paragraph"/>
        <w:rPr>
          <w:rStyle w:val="cf01"/>
          <w:rFonts w:ascii="Calibri Light" w:hAnsi="Calibri Light" w:cs="Arial"/>
          <w:color w:val="000000" w:themeColor="text1"/>
          <w:sz w:val="26"/>
          <w:szCs w:val="20"/>
        </w:rPr>
      </w:pPr>
      <w:bookmarkStart w:id="83" w:name="_Toc106614534"/>
      <w:r w:rsidRPr="006247FF">
        <w:rPr>
          <w:rStyle w:val="cf01"/>
          <w:rFonts w:ascii="Calibri Light" w:hAnsi="Calibri Light" w:cs="Arial"/>
          <w:color w:val="000000" w:themeColor="text1"/>
          <w:sz w:val="26"/>
          <w:szCs w:val="20"/>
        </w:rPr>
        <w:t xml:space="preserve">This chapter summarises the legislative and other factors that the Tribunal has considered in determining its adjustment to </w:t>
      </w:r>
      <w:r w:rsidR="001E1732">
        <w:rPr>
          <w:rStyle w:val="cf01"/>
          <w:rFonts w:ascii="Calibri Light" w:hAnsi="Calibri Light" w:cs="Arial"/>
          <w:color w:val="000000" w:themeColor="text1"/>
          <w:sz w:val="26"/>
          <w:szCs w:val="20"/>
        </w:rPr>
        <w:t xml:space="preserve">the salaries and </w:t>
      </w:r>
      <w:r w:rsidRPr="006247FF">
        <w:rPr>
          <w:rStyle w:val="cf01"/>
          <w:rFonts w:ascii="Calibri Light" w:hAnsi="Calibri Light" w:cs="Arial"/>
          <w:color w:val="000000" w:themeColor="text1"/>
          <w:sz w:val="26"/>
          <w:szCs w:val="20"/>
        </w:rPr>
        <w:t xml:space="preserve">allowances payable to </w:t>
      </w:r>
      <w:r w:rsidR="00B80613">
        <w:rPr>
          <w:rStyle w:val="cf01"/>
          <w:rFonts w:ascii="Calibri Light" w:hAnsi="Calibri Light" w:cs="Arial"/>
          <w:color w:val="000000" w:themeColor="text1"/>
          <w:sz w:val="26"/>
          <w:szCs w:val="20"/>
        </w:rPr>
        <w:t>MPs</w:t>
      </w:r>
      <w:r w:rsidRPr="006247FF">
        <w:rPr>
          <w:rStyle w:val="cf01"/>
          <w:rFonts w:ascii="Calibri Light" w:hAnsi="Calibri Light" w:cs="Arial"/>
          <w:color w:val="000000" w:themeColor="text1"/>
          <w:sz w:val="26"/>
          <w:szCs w:val="20"/>
        </w:rPr>
        <w:t xml:space="preserve">. </w:t>
      </w:r>
    </w:p>
    <w:p w14:paraId="05EBEB9B" w14:textId="775C6406" w:rsidR="006E361D" w:rsidRPr="001D2483" w:rsidRDefault="006E361D" w:rsidP="006E361D">
      <w:pPr>
        <w:pStyle w:val="05Paragraph"/>
        <w:rPr>
          <w:rFonts w:cs="Calibri Light"/>
        </w:rPr>
      </w:pPr>
      <w:r w:rsidRPr="001D2483">
        <w:rPr>
          <w:rFonts w:cs="Calibri Light"/>
        </w:rPr>
        <w:t xml:space="preserve">Detailed analysis of current and projected economic conditions, the Victorian Government’s financial position and </w:t>
      </w:r>
      <w:r w:rsidR="004119A9">
        <w:rPr>
          <w:rFonts w:cs="Calibri Light"/>
        </w:rPr>
        <w:t>W</w:t>
      </w:r>
      <w:r w:rsidRPr="001D2483">
        <w:rPr>
          <w:rFonts w:cs="Calibri Light"/>
        </w:rPr>
        <w:t xml:space="preserve">ages </w:t>
      </w:r>
      <w:r w:rsidR="004119A9">
        <w:rPr>
          <w:rFonts w:cs="Calibri Light"/>
        </w:rPr>
        <w:t>P</w:t>
      </w:r>
      <w:r w:rsidRPr="001D2483">
        <w:rPr>
          <w:rFonts w:cs="Calibri Light"/>
        </w:rPr>
        <w:t>olicy are set out in</w:t>
      </w:r>
      <w:r w:rsidR="0031625C">
        <w:rPr>
          <w:rFonts w:cs="Calibri Light"/>
        </w:rPr>
        <w:t xml:space="preserve"> </w:t>
      </w:r>
      <w:r w:rsidRPr="001D2483">
        <w:rPr>
          <w:rFonts w:cs="Calibri Light"/>
        </w:rPr>
        <w:t>Appendix A.</w:t>
      </w:r>
    </w:p>
    <w:p w14:paraId="69AE5B82" w14:textId="7AB9F7AF" w:rsidR="00C4351D" w:rsidRPr="00183FA7" w:rsidRDefault="00A47A44" w:rsidP="00C4351D">
      <w:pPr>
        <w:pStyle w:val="02VIRTHeading2"/>
      </w:pPr>
      <w:bookmarkStart w:id="84" w:name="_Toc170383543"/>
      <w:r w:rsidRPr="00183FA7">
        <w:t>2</w:t>
      </w:r>
      <w:r w:rsidR="00C4351D" w:rsidRPr="00183FA7">
        <w:t>.1</w:t>
      </w:r>
      <w:r w:rsidR="00C4351D" w:rsidRPr="00183FA7">
        <w:tab/>
        <w:t>Current and projected economic conditions and trends</w:t>
      </w:r>
      <w:bookmarkEnd w:id="83"/>
      <w:bookmarkEnd w:id="84"/>
    </w:p>
    <w:p w14:paraId="272AFE56" w14:textId="77777777" w:rsidR="00CE62F6" w:rsidRPr="00182559" w:rsidRDefault="00CE62F6" w:rsidP="00CE62F6">
      <w:pPr>
        <w:pStyle w:val="05Paragraph"/>
        <w:rPr>
          <w:rFonts w:cs="Calibri Light"/>
        </w:rPr>
      </w:pPr>
      <w:r w:rsidRPr="00182559">
        <w:rPr>
          <w:rFonts w:cs="Calibri Light"/>
        </w:rPr>
        <w:t xml:space="preserve">The Tribunal’s </w:t>
      </w:r>
      <w:r>
        <w:rPr>
          <w:rFonts w:cs="Calibri Light"/>
        </w:rPr>
        <w:t>discussion</w:t>
      </w:r>
      <w:r w:rsidRPr="00182559">
        <w:rPr>
          <w:rFonts w:cs="Calibri Light"/>
        </w:rPr>
        <w:t xml:space="preserve"> of current </w:t>
      </w:r>
      <w:r>
        <w:rPr>
          <w:rFonts w:cs="Calibri Light"/>
        </w:rPr>
        <w:t xml:space="preserve">and projected </w:t>
      </w:r>
      <w:r w:rsidRPr="00182559">
        <w:rPr>
          <w:rFonts w:cs="Calibri Light"/>
        </w:rPr>
        <w:t>economic conditions has been informed by a range of sources, including:</w:t>
      </w:r>
    </w:p>
    <w:p w14:paraId="376BFF43" w14:textId="77777777" w:rsidR="00CE62F6" w:rsidRPr="00182559" w:rsidRDefault="00CE62F6" w:rsidP="00CE62F6">
      <w:pPr>
        <w:pStyle w:val="06VIRTBulletpoints"/>
        <w:ind w:left="502" w:hanging="360"/>
        <w:rPr>
          <w:rFonts w:cs="Calibri Light"/>
        </w:rPr>
      </w:pPr>
      <w:r w:rsidRPr="00182559">
        <w:rPr>
          <w:rFonts w:cs="Calibri Light"/>
        </w:rPr>
        <w:t>the latest data on key economic indicators published by the Australian Bureau of Statistics (ABS)</w:t>
      </w:r>
    </w:p>
    <w:p w14:paraId="452C74E5" w14:textId="77777777" w:rsidR="00CE62F6" w:rsidRPr="00182559" w:rsidRDefault="00CE62F6" w:rsidP="00CE62F6">
      <w:pPr>
        <w:pStyle w:val="06VIRTBulletpoints"/>
        <w:ind w:left="502" w:hanging="360"/>
        <w:rPr>
          <w:rFonts w:cs="Calibri Light"/>
        </w:rPr>
      </w:pPr>
      <w:r w:rsidRPr="00182559">
        <w:rPr>
          <w:rFonts w:cs="Calibri Light"/>
        </w:rPr>
        <w:t>statements by the Reserve Bank of Australia (RBA)</w:t>
      </w:r>
    </w:p>
    <w:p w14:paraId="558D60F0" w14:textId="77777777" w:rsidR="00CE62F6" w:rsidRPr="00182559" w:rsidRDefault="00CE62F6" w:rsidP="00CE62F6">
      <w:pPr>
        <w:pStyle w:val="06VIRTBulletpoints"/>
        <w:ind w:left="502" w:hanging="360"/>
        <w:rPr>
          <w:rFonts w:cs="Calibri Light"/>
        </w:rPr>
      </w:pPr>
      <w:r w:rsidRPr="00182559">
        <w:rPr>
          <w:rFonts w:cs="Calibri Light"/>
        </w:rPr>
        <w:t xml:space="preserve">the </w:t>
      </w:r>
      <w:r>
        <w:rPr>
          <w:rFonts w:cs="Calibri Light"/>
        </w:rPr>
        <w:t xml:space="preserve">latest Commonwealth and </w:t>
      </w:r>
      <w:r w:rsidRPr="00182559">
        <w:rPr>
          <w:rFonts w:cs="Calibri Light"/>
        </w:rPr>
        <w:t xml:space="preserve">Victorian </w:t>
      </w:r>
      <w:r>
        <w:rPr>
          <w:rFonts w:cs="Calibri Light"/>
        </w:rPr>
        <w:t>b</w:t>
      </w:r>
      <w:r w:rsidRPr="00182559">
        <w:rPr>
          <w:rFonts w:cs="Calibri Light"/>
        </w:rPr>
        <w:t>udget</w:t>
      </w:r>
      <w:r>
        <w:rPr>
          <w:rFonts w:cs="Calibri Light"/>
        </w:rPr>
        <w:t>s</w:t>
      </w:r>
      <w:r w:rsidRPr="00182559">
        <w:rPr>
          <w:rFonts w:cs="Calibri Light"/>
        </w:rPr>
        <w:t>.</w:t>
      </w:r>
    </w:p>
    <w:p w14:paraId="67D55E05" w14:textId="77777777" w:rsidR="00CE62F6" w:rsidRDefault="00CE62F6" w:rsidP="00CE62F6">
      <w:pPr>
        <w:pStyle w:val="03VIRTHeading3"/>
      </w:pPr>
      <w:r>
        <w:t>Economic growth is subdued, as cost-of-living pressures weigh on household consumption</w:t>
      </w:r>
    </w:p>
    <w:p w14:paraId="4A66319E" w14:textId="77777777" w:rsidR="00121BA9" w:rsidRPr="00182559" w:rsidRDefault="00121BA9" w:rsidP="00121BA9">
      <w:pPr>
        <w:pStyle w:val="05Paragraph"/>
        <w:rPr>
          <w:rFonts w:cs="Calibri Light"/>
        </w:rPr>
      </w:pPr>
      <w:r w:rsidRPr="00182559">
        <w:rPr>
          <w:rFonts w:cs="Calibri Light"/>
        </w:rPr>
        <w:t xml:space="preserve">Economic growth has slowed in Australia and Victoria </w:t>
      </w:r>
      <w:r>
        <w:rPr>
          <w:rFonts w:cs="Calibri Light"/>
        </w:rPr>
        <w:t>in recent years</w:t>
      </w:r>
      <w:r w:rsidRPr="00182559">
        <w:rPr>
          <w:rFonts w:cs="Calibri Light"/>
        </w:rPr>
        <w:t xml:space="preserve"> </w:t>
      </w:r>
      <w:r>
        <w:rPr>
          <w:rFonts w:cs="Calibri Light"/>
        </w:rPr>
        <w:t>and remains below its long-run average</w:t>
      </w:r>
      <w:r w:rsidRPr="00182559">
        <w:rPr>
          <w:rFonts w:cs="Calibri Light"/>
        </w:rPr>
        <w:t xml:space="preserve">. </w:t>
      </w:r>
      <w:r>
        <w:rPr>
          <w:rFonts w:cs="Calibri Light"/>
        </w:rPr>
        <w:t>In the year to March 2024</w:t>
      </w:r>
      <w:r w:rsidRPr="00182559">
        <w:rPr>
          <w:rFonts w:cs="Calibri Light"/>
        </w:rPr>
        <w:t xml:space="preserve">, </w:t>
      </w:r>
      <w:r>
        <w:rPr>
          <w:rFonts w:cs="Calibri Light"/>
        </w:rPr>
        <w:t xml:space="preserve">growth in </w:t>
      </w:r>
      <w:r w:rsidRPr="00182559">
        <w:rPr>
          <w:rFonts w:cs="Calibri Light"/>
        </w:rPr>
        <w:t xml:space="preserve">Australian real </w:t>
      </w:r>
      <w:r>
        <w:rPr>
          <w:rFonts w:cs="Calibri Light"/>
        </w:rPr>
        <w:t>Gross Domestic Product (</w:t>
      </w:r>
      <w:r w:rsidRPr="00182559">
        <w:rPr>
          <w:rFonts w:cs="Calibri Light"/>
        </w:rPr>
        <w:t>GDP</w:t>
      </w:r>
      <w:r>
        <w:rPr>
          <w:rFonts w:cs="Calibri Light"/>
        </w:rPr>
        <w:t>)</w:t>
      </w:r>
      <w:r w:rsidRPr="00182559">
        <w:rPr>
          <w:rFonts w:cs="Calibri Light"/>
        </w:rPr>
        <w:t xml:space="preserve"> </w:t>
      </w:r>
      <w:r>
        <w:rPr>
          <w:rFonts w:cs="Calibri Light"/>
        </w:rPr>
        <w:t>was 1.1 per cent, while growth in</w:t>
      </w:r>
      <w:r w:rsidRPr="00182559">
        <w:rPr>
          <w:rFonts w:cs="Calibri Light"/>
        </w:rPr>
        <w:t xml:space="preserve"> Victorian State Final Demand </w:t>
      </w:r>
      <w:r>
        <w:rPr>
          <w:rFonts w:cs="Calibri Light"/>
        </w:rPr>
        <w:t>was</w:t>
      </w:r>
      <w:r w:rsidRPr="00182559">
        <w:rPr>
          <w:rFonts w:cs="Calibri Light"/>
        </w:rPr>
        <w:t xml:space="preserve"> 1.5 per cent.</w:t>
      </w:r>
      <w:r>
        <w:rPr>
          <w:rFonts w:cs="Calibri Light"/>
        </w:rPr>
        <w:t xml:space="preserve"> GDP growth in the March quarter 2024 was driven by consumption,</w:t>
      </w:r>
      <w:r>
        <w:rPr>
          <w:rStyle w:val="FootnoteReference"/>
          <w:rFonts w:cs="Calibri Light"/>
        </w:rPr>
        <w:footnoteReference w:id="8"/>
      </w:r>
      <w:r>
        <w:rPr>
          <w:rFonts w:cs="Calibri Light"/>
        </w:rPr>
        <w:t xml:space="preserve"> while Victorian economic activity has been supported by business investment and population growth.</w:t>
      </w:r>
      <w:r w:rsidRPr="00182559">
        <w:rPr>
          <w:rStyle w:val="FootnoteReference"/>
          <w:rFonts w:cs="Calibri Light"/>
        </w:rPr>
        <w:footnoteReference w:id="9"/>
      </w:r>
    </w:p>
    <w:p w14:paraId="4D8A4A6C" w14:textId="77777777" w:rsidR="00121BA9" w:rsidRPr="00182559" w:rsidRDefault="00121BA9" w:rsidP="00121BA9">
      <w:pPr>
        <w:pStyle w:val="05Paragraph"/>
        <w:rPr>
          <w:rFonts w:cs="Calibri Light"/>
        </w:rPr>
      </w:pPr>
      <w:r w:rsidRPr="00182559">
        <w:rPr>
          <w:rFonts w:cs="Calibri Light"/>
        </w:rPr>
        <w:t xml:space="preserve">The RBA expects </w:t>
      </w:r>
      <w:r>
        <w:rPr>
          <w:rFonts w:cs="Calibri Light"/>
        </w:rPr>
        <w:t xml:space="preserve">Australian GDP growth </w:t>
      </w:r>
      <w:r w:rsidRPr="00182559">
        <w:rPr>
          <w:rFonts w:cs="Calibri Light"/>
        </w:rPr>
        <w:t>to pick up from late 2024</w:t>
      </w:r>
      <w:r>
        <w:rPr>
          <w:rFonts w:cs="Calibri Light"/>
        </w:rPr>
        <w:t>, but</w:t>
      </w:r>
      <w:r w:rsidRPr="00182559">
        <w:rPr>
          <w:rFonts w:cs="Calibri Light"/>
        </w:rPr>
        <w:t xml:space="preserve"> to remain below </w:t>
      </w:r>
      <w:r>
        <w:rPr>
          <w:rFonts w:cs="Calibri Light"/>
        </w:rPr>
        <w:t>its</w:t>
      </w:r>
      <w:r w:rsidRPr="00182559">
        <w:rPr>
          <w:rFonts w:cs="Calibri Light"/>
        </w:rPr>
        <w:t xml:space="preserve"> long</w:t>
      </w:r>
      <w:r w:rsidRPr="00182559">
        <w:rPr>
          <w:rFonts w:cs="Calibri Light"/>
        </w:rPr>
        <w:noBreakHyphen/>
        <w:t>run (excluding the pandemic) average of 2.9 per cent.</w:t>
      </w:r>
      <w:r>
        <w:rPr>
          <w:rStyle w:val="FootnoteReference"/>
          <w:rFonts w:cs="Calibri Light"/>
        </w:rPr>
        <w:footnoteReference w:id="10"/>
      </w:r>
      <w:r>
        <w:rPr>
          <w:rFonts w:cs="Calibri Light"/>
        </w:rPr>
        <w:t xml:space="preserve"> Similarly, </w:t>
      </w:r>
      <w:r>
        <w:rPr>
          <w:rFonts w:cs="Calibri Light"/>
        </w:rPr>
        <w:lastRenderedPageBreak/>
        <w:t>growth in Victoria is expected to pick up, with Gross State Product (GSP) projected to increase by 2.5 per cent in 2024-25.</w:t>
      </w:r>
      <w:r>
        <w:rPr>
          <w:rStyle w:val="FootnoteReference"/>
          <w:rFonts w:cs="Calibri Light"/>
        </w:rPr>
        <w:footnoteReference w:id="11"/>
      </w:r>
    </w:p>
    <w:p w14:paraId="2E207634" w14:textId="0856C71A" w:rsidR="00CE62F6" w:rsidRDefault="00CE62F6" w:rsidP="00CE62F6">
      <w:pPr>
        <w:pStyle w:val="03VIRTHeading3"/>
      </w:pPr>
      <w:r>
        <w:t xml:space="preserve">Inflation </w:t>
      </w:r>
      <w:r w:rsidR="00B53F3D">
        <w:t xml:space="preserve">has </w:t>
      </w:r>
      <w:r>
        <w:t>moderat</w:t>
      </w:r>
      <w:r w:rsidR="00B53F3D">
        <w:t>ed</w:t>
      </w:r>
      <w:r>
        <w:t xml:space="preserve">, but remains above the RBA’s target </w:t>
      </w:r>
    </w:p>
    <w:p w14:paraId="45DAFF71" w14:textId="40A8BD3E" w:rsidR="009A4377" w:rsidRPr="00182559" w:rsidRDefault="009A4377" w:rsidP="009A4377">
      <w:pPr>
        <w:pStyle w:val="05Paragraph"/>
        <w:rPr>
          <w:rFonts w:cs="Calibri Light"/>
        </w:rPr>
      </w:pPr>
      <w:r w:rsidRPr="00182559">
        <w:rPr>
          <w:rFonts w:cs="Calibri Light"/>
        </w:rPr>
        <w:t xml:space="preserve">Headline inflation outcomes in Australia and Victoria have recently moderated, with </w:t>
      </w:r>
      <w:r>
        <w:rPr>
          <w:rFonts w:cs="Calibri Light"/>
        </w:rPr>
        <w:t xml:space="preserve">the </w:t>
      </w:r>
      <w:r w:rsidRPr="00182559">
        <w:rPr>
          <w:rFonts w:cs="Calibri Light"/>
        </w:rPr>
        <w:t>All</w:t>
      </w:r>
      <w:r>
        <w:rPr>
          <w:rFonts w:cs="Calibri Light"/>
        </w:rPr>
        <w:t xml:space="preserve"> </w:t>
      </w:r>
      <w:r w:rsidRPr="00182559">
        <w:rPr>
          <w:rFonts w:cs="Calibri Light"/>
        </w:rPr>
        <w:t xml:space="preserve">Groups Consumer Price Index (CPI) for </w:t>
      </w:r>
      <w:r w:rsidR="00390927">
        <w:rPr>
          <w:rFonts w:cs="Calibri Light"/>
        </w:rPr>
        <w:t>Australia</w:t>
      </w:r>
      <w:r w:rsidRPr="00182559">
        <w:rPr>
          <w:rFonts w:cs="Calibri Light"/>
        </w:rPr>
        <w:t xml:space="preserve"> and </w:t>
      </w:r>
      <w:r w:rsidR="00390927">
        <w:rPr>
          <w:rFonts w:cs="Calibri Light"/>
        </w:rPr>
        <w:t>Melbourne</w:t>
      </w:r>
      <w:r w:rsidRPr="00182559">
        <w:rPr>
          <w:rFonts w:cs="Calibri Light"/>
        </w:rPr>
        <w:t xml:space="preserve"> </w:t>
      </w:r>
      <w:r>
        <w:rPr>
          <w:rFonts w:cs="Calibri Light"/>
        </w:rPr>
        <w:t xml:space="preserve">both increasing by </w:t>
      </w:r>
      <w:r w:rsidRPr="00182559">
        <w:rPr>
          <w:rFonts w:cs="Calibri Light"/>
        </w:rPr>
        <w:t xml:space="preserve">3.6 per cent </w:t>
      </w:r>
      <w:r>
        <w:rPr>
          <w:rFonts w:cs="Calibri Light"/>
        </w:rPr>
        <w:t xml:space="preserve">in the year </w:t>
      </w:r>
      <w:r w:rsidRPr="00182559">
        <w:rPr>
          <w:rFonts w:cs="Calibri Light"/>
        </w:rPr>
        <w:t>to March 2024</w:t>
      </w:r>
      <w:r>
        <w:rPr>
          <w:rFonts w:cs="Calibri Light"/>
        </w:rPr>
        <w:t>,</w:t>
      </w:r>
      <w:r w:rsidRPr="00182559">
        <w:rPr>
          <w:rFonts w:cs="Calibri Light"/>
        </w:rPr>
        <w:t xml:space="preserve"> largely due to slower growth in the prices of goods</w:t>
      </w:r>
      <w:r>
        <w:rPr>
          <w:rFonts w:cs="Calibri Light"/>
        </w:rPr>
        <w:t>.</w:t>
      </w:r>
      <w:r>
        <w:rPr>
          <w:rStyle w:val="FootnoteReference"/>
          <w:rFonts w:cs="Calibri Light"/>
        </w:rPr>
        <w:footnoteReference w:id="12"/>
      </w:r>
      <w:r>
        <w:rPr>
          <w:rFonts w:cs="Calibri Light"/>
        </w:rPr>
        <w:t xml:space="preserve"> </w:t>
      </w:r>
    </w:p>
    <w:p w14:paraId="7D866E49" w14:textId="35C1C9CF" w:rsidR="009A4377" w:rsidRPr="00182559" w:rsidRDefault="009A4377" w:rsidP="009A4377">
      <w:pPr>
        <w:pStyle w:val="05Paragraph"/>
        <w:rPr>
          <w:rFonts w:cs="Calibri Light"/>
        </w:rPr>
      </w:pPr>
      <w:r>
        <w:rPr>
          <w:rFonts w:cs="Calibri Light"/>
        </w:rPr>
        <w:t>Both the RBA and Commonwealth Treasury expect inflation to moderate and return to the RBA’s target range of 2 to 3 per cent in coming years, with Commonwealth Treasury expecting this to occur sooner owing to measures announced in the Commonwealth budget.</w:t>
      </w:r>
      <w:r>
        <w:rPr>
          <w:rStyle w:val="FootnoteReference"/>
          <w:rFonts w:cs="Calibri Light"/>
        </w:rPr>
        <w:footnoteReference w:id="13"/>
      </w:r>
      <w:r w:rsidDel="00533E42">
        <w:rPr>
          <w:rFonts w:cs="Calibri Light"/>
        </w:rPr>
        <w:t xml:space="preserve"> </w:t>
      </w:r>
      <w:r>
        <w:rPr>
          <w:rFonts w:cs="Calibri Light"/>
        </w:rPr>
        <w:t xml:space="preserve">The </w:t>
      </w:r>
      <w:r w:rsidR="00CB4380" w:rsidRPr="00B70287">
        <w:rPr>
          <w:i/>
          <w:iCs/>
        </w:rPr>
        <w:t>Victorian Budget 2024-25</w:t>
      </w:r>
      <w:r w:rsidR="00CB4380">
        <w:rPr>
          <w:i/>
          <w:iCs/>
        </w:rPr>
        <w:t xml:space="preserve"> </w:t>
      </w:r>
      <w:r w:rsidR="00CB4380">
        <w:t>(</w:t>
      </w:r>
      <w:r>
        <w:rPr>
          <w:rFonts w:cs="Calibri Light"/>
        </w:rPr>
        <w:t>Victorian Budget</w:t>
      </w:r>
      <w:r w:rsidR="00CB4380">
        <w:rPr>
          <w:rFonts w:cs="Calibri Light"/>
        </w:rPr>
        <w:t>)</w:t>
      </w:r>
      <w:r>
        <w:rPr>
          <w:rFonts w:cs="Calibri Light"/>
        </w:rPr>
        <w:t xml:space="preserve"> forecast Melbourne CPI growth will slow </w:t>
      </w:r>
      <w:r w:rsidDel="000C2821">
        <w:rPr>
          <w:rFonts w:cs="Calibri Light"/>
        </w:rPr>
        <w:t xml:space="preserve">to </w:t>
      </w:r>
      <w:r>
        <w:rPr>
          <w:rFonts w:cs="Calibri Light"/>
        </w:rPr>
        <w:t>2.75 per cent in 2024-25.</w:t>
      </w:r>
      <w:r>
        <w:rPr>
          <w:rStyle w:val="FootnoteReference"/>
          <w:rFonts w:cs="Calibri Light"/>
        </w:rPr>
        <w:footnoteReference w:id="14"/>
      </w:r>
    </w:p>
    <w:p w14:paraId="2DB3628B" w14:textId="77777777" w:rsidR="00CE62F6" w:rsidRDefault="00CE62F6" w:rsidP="00CE62F6">
      <w:pPr>
        <w:pStyle w:val="03VIRTHeading3"/>
      </w:pPr>
      <w:r>
        <w:t>Nominal wages growth has picked up, while real wages growth is low</w:t>
      </w:r>
    </w:p>
    <w:p w14:paraId="7EB7C351" w14:textId="77777777" w:rsidR="00494028" w:rsidRDefault="00494028" w:rsidP="00494028">
      <w:pPr>
        <w:pStyle w:val="05Paragraph"/>
        <w:rPr>
          <w:rFonts w:cs="Calibri Light"/>
        </w:rPr>
      </w:pPr>
      <w:bookmarkStart w:id="85" w:name="_Toc166014299"/>
      <w:bookmarkStart w:id="86" w:name="_Toc169172612"/>
      <w:bookmarkStart w:id="87" w:name="_Toc169513511"/>
      <w:r w:rsidRPr="00182559">
        <w:rPr>
          <w:rFonts w:cs="Calibri Light"/>
        </w:rPr>
        <w:t xml:space="preserve">Nominal wages growth has picked up </w:t>
      </w:r>
      <w:r>
        <w:rPr>
          <w:rFonts w:cs="Calibri Light"/>
        </w:rPr>
        <w:t xml:space="preserve">due to a tight labour market and high inflation and is </w:t>
      </w:r>
      <w:r w:rsidRPr="00182559">
        <w:rPr>
          <w:rFonts w:cs="Calibri Light"/>
        </w:rPr>
        <w:t xml:space="preserve">around its highest level in over a decade, with the </w:t>
      </w:r>
      <w:r>
        <w:rPr>
          <w:rFonts w:cs="Calibri Light"/>
        </w:rPr>
        <w:t>Australian</w:t>
      </w:r>
      <w:r w:rsidRPr="00182559">
        <w:rPr>
          <w:rFonts w:cs="Calibri Light"/>
        </w:rPr>
        <w:t xml:space="preserve"> Wage Price Index (WPI) </w:t>
      </w:r>
      <w:r>
        <w:rPr>
          <w:rFonts w:cs="Calibri Light"/>
        </w:rPr>
        <w:t>increasing by</w:t>
      </w:r>
      <w:r w:rsidRPr="00182559">
        <w:rPr>
          <w:rFonts w:cs="Calibri Light"/>
        </w:rPr>
        <w:t xml:space="preserve"> 4.</w:t>
      </w:r>
      <w:r>
        <w:rPr>
          <w:rFonts w:cs="Calibri Light"/>
        </w:rPr>
        <w:t>1</w:t>
      </w:r>
      <w:r w:rsidRPr="00182559">
        <w:rPr>
          <w:rFonts w:cs="Calibri Light"/>
        </w:rPr>
        <w:t xml:space="preserve"> per cent</w:t>
      </w:r>
      <w:r>
        <w:rPr>
          <w:rFonts w:cs="Calibri Light"/>
        </w:rPr>
        <w:t xml:space="preserve"> in the year to March 2024.</w:t>
      </w:r>
      <w:r>
        <w:rPr>
          <w:rStyle w:val="FootnoteReference"/>
          <w:rFonts w:cs="Calibri Light"/>
        </w:rPr>
        <w:footnoteReference w:id="15"/>
      </w:r>
      <w:r>
        <w:rPr>
          <w:rFonts w:cs="Calibri Light"/>
        </w:rPr>
        <w:t xml:space="preserve"> </w:t>
      </w:r>
    </w:p>
    <w:p w14:paraId="6ACCF9F4" w14:textId="77777777" w:rsidR="00494028" w:rsidRDefault="00494028" w:rsidP="00494028">
      <w:pPr>
        <w:pStyle w:val="05Paragraph"/>
        <w:rPr>
          <w:rFonts w:cs="Calibri Light"/>
        </w:rPr>
      </w:pPr>
      <w:r w:rsidRPr="00182559">
        <w:rPr>
          <w:rFonts w:cs="Calibri Light"/>
        </w:rPr>
        <w:t>Wages growth has also picked up in Victoria</w:t>
      </w:r>
      <w:r>
        <w:rPr>
          <w:rFonts w:cs="Calibri Light"/>
        </w:rPr>
        <w:t>,</w:t>
      </w:r>
      <w:r w:rsidRPr="00182559">
        <w:rPr>
          <w:rFonts w:cs="Calibri Light"/>
        </w:rPr>
        <w:t xml:space="preserve"> with WPI </w:t>
      </w:r>
      <w:r>
        <w:rPr>
          <w:rFonts w:cs="Calibri Light"/>
        </w:rPr>
        <w:t xml:space="preserve">increasing </w:t>
      </w:r>
      <w:r w:rsidRPr="00182559">
        <w:rPr>
          <w:rFonts w:cs="Calibri Light"/>
        </w:rPr>
        <w:t xml:space="preserve">at </w:t>
      </w:r>
      <w:r>
        <w:rPr>
          <w:rFonts w:cs="Calibri Light"/>
        </w:rPr>
        <w:t xml:space="preserve">an annual rate of </w:t>
      </w:r>
      <w:r w:rsidRPr="00182559">
        <w:rPr>
          <w:rFonts w:cs="Calibri Light"/>
        </w:rPr>
        <w:t xml:space="preserve">3.6 per cent, </w:t>
      </w:r>
      <w:r>
        <w:rPr>
          <w:rFonts w:cs="Calibri Light"/>
        </w:rPr>
        <w:t xml:space="preserve">although this is </w:t>
      </w:r>
      <w:r w:rsidRPr="00182559">
        <w:rPr>
          <w:rFonts w:cs="Calibri Light"/>
        </w:rPr>
        <w:t xml:space="preserve">the lowest among the </w:t>
      </w:r>
      <w:r>
        <w:rPr>
          <w:rFonts w:cs="Calibri Light"/>
        </w:rPr>
        <w:t>s</w:t>
      </w:r>
      <w:r w:rsidRPr="00182559">
        <w:rPr>
          <w:rFonts w:cs="Calibri Light"/>
        </w:rPr>
        <w:t>tates.</w:t>
      </w:r>
      <w:r>
        <w:rPr>
          <w:rStyle w:val="FootnoteReference"/>
          <w:rFonts w:cs="Calibri Light"/>
        </w:rPr>
        <w:footnoteReference w:id="16"/>
      </w:r>
      <w:r>
        <w:rPr>
          <w:rFonts w:cs="Calibri Light"/>
        </w:rPr>
        <w:t xml:space="preserve"> The public sector WPI has increased more slowly than the private sector WPI in Victoria (2.5 per cent compared to 3.9 per cent for the year to March 2024).</w:t>
      </w:r>
      <w:r>
        <w:rPr>
          <w:rStyle w:val="FootnoteReference"/>
          <w:rFonts w:cs="Calibri Light"/>
        </w:rPr>
        <w:footnoteReference w:id="17"/>
      </w:r>
      <w:r>
        <w:rPr>
          <w:rFonts w:cs="Calibri Light"/>
        </w:rPr>
        <w:t xml:space="preserve"> </w:t>
      </w:r>
    </w:p>
    <w:p w14:paraId="549DE579" w14:textId="77777777" w:rsidR="00494028" w:rsidRDefault="00494028" w:rsidP="00494028">
      <w:pPr>
        <w:pStyle w:val="05Paragraph"/>
        <w:rPr>
          <w:rFonts w:cs="Calibri Light"/>
        </w:rPr>
      </w:pPr>
      <w:r>
        <w:rPr>
          <w:rFonts w:cs="Calibri Light"/>
        </w:rPr>
        <w:t>R</w:t>
      </w:r>
      <w:r w:rsidRPr="00182559">
        <w:rPr>
          <w:rFonts w:cs="Calibri Light"/>
        </w:rPr>
        <w:t xml:space="preserve">eal wages grew by 0.5 per cent over the </w:t>
      </w:r>
      <w:r>
        <w:rPr>
          <w:rFonts w:cs="Calibri Light"/>
        </w:rPr>
        <w:t>year</w:t>
      </w:r>
      <w:r w:rsidRPr="00182559">
        <w:rPr>
          <w:rFonts w:cs="Calibri Light"/>
        </w:rPr>
        <w:t xml:space="preserve"> to March 2024</w:t>
      </w:r>
      <w:r>
        <w:rPr>
          <w:rFonts w:cs="Calibri Light"/>
        </w:rPr>
        <w:t xml:space="preserve"> in Australia, whilst remaining</w:t>
      </w:r>
      <w:r w:rsidRPr="00182559">
        <w:rPr>
          <w:rFonts w:cs="Calibri Light"/>
        </w:rPr>
        <w:t xml:space="preserve"> unchanged </w:t>
      </w:r>
      <w:r>
        <w:rPr>
          <w:rFonts w:cs="Calibri Light"/>
        </w:rPr>
        <w:t xml:space="preserve">for </w:t>
      </w:r>
      <w:r w:rsidRPr="00182559">
        <w:rPr>
          <w:rFonts w:cs="Calibri Light"/>
        </w:rPr>
        <w:t>Victoria over the same period.</w:t>
      </w:r>
      <w:r>
        <w:rPr>
          <w:rStyle w:val="FootnoteReference"/>
          <w:rFonts w:cs="Calibri Light"/>
        </w:rPr>
        <w:footnoteReference w:id="18"/>
      </w:r>
      <w:r>
        <w:rPr>
          <w:rFonts w:cs="Calibri Light"/>
        </w:rPr>
        <w:t xml:space="preserve"> </w:t>
      </w:r>
    </w:p>
    <w:p w14:paraId="48793916" w14:textId="77777777" w:rsidR="00494028" w:rsidRPr="00182559" w:rsidRDefault="00494028" w:rsidP="00494028">
      <w:pPr>
        <w:pStyle w:val="05Paragraph"/>
        <w:rPr>
          <w:rFonts w:cs="Calibri Light"/>
        </w:rPr>
      </w:pPr>
      <w:r w:rsidRPr="00182559">
        <w:rPr>
          <w:rFonts w:cs="Calibri Light"/>
        </w:rPr>
        <w:lastRenderedPageBreak/>
        <w:t xml:space="preserve">The RBA forecasts </w:t>
      </w:r>
      <w:r>
        <w:rPr>
          <w:rFonts w:cs="Calibri Light"/>
        </w:rPr>
        <w:t>Australian</w:t>
      </w:r>
      <w:r w:rsidRPr="00182559">
        <w:rPr>
          <w:rFonts w:cs="Calibri Light"/>
        </w:rPr>
        <w:t xml:space="preserve"> WPI </w:t>
      </w:r>
      <w:r>
        <w:rPr>
          <w:rFonts w:cs="Calibri Light"/>
        </w:rPr>
        <w:t xml:space="preserve">growth </w:t>
      </w:r>
      <w:r w:rsidRPr="00182559">
        <w:rPr>
          <w:rFonts w:cs="Calibri Light"/>
        </w:rPr>
        <w:t xml:space="preserve">to </w:t>
      </w:r>
      <w:r>
        <w:rPr>
          <w:rFonts w:cs="Calibri Light"/>
        </w:rPr>
        <w:t>slow</w:t>
      </w:r>
      <w:r w:rsidRPr="00182559">
        <w:rPr>
          <w:rFonts w:cs="Calibri Light"/>
        </w:rPr>
        <w:t xml:space="preserve"> to 3.6 per cent by June 2025</w:t>
      </w:r>
      <w:r>
        <w:rPr>
          <w:rFonts w:cs="Calibri Light"/>
        </w:rPr>
        <w:t>.</w:t>
      </w:r>
      <w:r w:rsidRPr="00182559">
        <w:rPr>
          <w:rFonts w:cs="Calibri Light"/>
        </w:rPr>
        <w:t xml:space="preserve"> </w:t>
      </w:r>
      <w:r>
        <w:rPr>
          <w:rFonts w:cs="Calibri Light"/>
        </w:rPr>
        <w:t>R</w:t>
      </w:r>
      <w:r w:rsidRPr="00182559">
        <w:rPr>
          <w:rFonts w:cs="Calibri Light"/>
        </w:rPr>
        <w:t xml:space="preserve">eal wages </w:t>
      </w:r>
      <w:r>
        <w:rPr>
          <w:rFonts w:cs="Calibri Light"/>
        </w:rPr>
        <w:t>are expected</w:t>
      </w:r>
      <w:r w:rsidRPr="00182559">
        <w:rPr>
          <w:rFonts w:cs="Calibri Light"/>
        </w:rPr>
        <w:t xml:space="preserve"> to grow in both Victoria and Australia, as nominal wages growth </w:t>
      </w:r>
      <w:r>
        <w:rPr>
          <w:rFonts w:cs="Calibri Light"/>
        </w:rPr>
        <w:t>outpaces</w:t>
      </w:r>
      <w:r w:rsidRPr="00182559">
        <w:rPr>
          <w:rFonts w:cs="Calibri Light"/>
        </w:rPr>
        <w:t xml:space="preserve"> inflation.</w:t>
      </w:r>
      <w:r w:rsidRPr="00182559">
        <w:rPr>
          <w:rStyle w:val="FootnoteReference"/>
          <w:rFonts w:cs="Calibri Light"/>
        </w:rPr>
        <w:footnoteReference w:id="19"/>
      </w:r>
    </w:p>
    <w:p w14:paraId="1A63BD95" w14:textId="77777777" w:rsidR="00CE62F6" w:rsidRDefault="00CE62F6" w:rsidP="00CE62F6">
      <w:pPr>
        <w:pStyle w:val="02VIRTHeading2"/>
      </w:pPr>
      <w:bookmarkStart w:id="88" w:name="_Toc170383544"/>
      <w:r w:rsidRPr="000F1881">
        <w:t>2.</w:t>
      </w:r>
      <w:r>
        <w:t>2</w:t>
      </w:r>
      <w:r w:rsidRPr="000F1881">
        <w:tab/>
        <w:t>Financial position and fiscal strategy of the State of Victoria</w:t>
      </w:r>
      <w:bookmarkEnd w:id="85"/>
      <w:bookmarkEnd w:id="86"/>
      <w:bookmarkEnd w:id="87"/>
      <w:bookmarkEnd w:id="88"/>
    </w:p>
    <w:p w14:paraId="7F6CCF19" w14:textId="77777777" w:rsidR="00CE62F6" w:rsidRDefault="00CE62F6" w:rsidP="00CE62F6">
      <w:pPr>
        <w:pStyle w:val="05Paragraph"/>
      </w:pPr>
      <w:bookmarkStart w:id="89" w:name="_Hlk169599641"/>
      <w:r>
        <w:rPr>
          <w:rFonts w:cs="Calibri Light"/>
        </w:rPr>
        <w:t>In t</w:t>
      </w:r>
      <w:r w:rsidRPr="00182559">
        <w:rPr>
          <w:rFonts w:cs="Calibri Light"/>
        </w:rPr>
        <w:t xml:space="preserve">he </w:t>
      </w:r>
      <w:r w:rsidRPr="001F26E1">
        <w:rPr>
          <w:rFonts w:cs="Calibri Light"/>
        </w:rPr>
        <w:t>Victorian Budget</w:t>
      </w:r>
      <w:r>
        <w:rPr>
          <w:rFonts w:cs="Calibri Light"/>
        </w:rPr>
        <w:t xml:space="preserve">, the Victorian Government announced a range </w:t>
      </w:r>
      <w:r>
        <w:t xml:space="preserve">of strategies to improve the State’s financial position. </w:t>
      </w:r>
    </w:p>
    <w:p w14:paraId="0C51E759" w14:textId="77777777" w:rsidR="00CE62F6" w:rsidRPr="009D2128" w:rsidRDefault="00CE62F6" w:rsidP="00CE62F6">
      <w:pPr>
        <w:pStyle w:val="05Paragraph"/>
      </w:pPr>
      <w:r>
        <w:t>The Victorian Government reiterated its existing fiscal strategy and added a new step 5</w:t>
      </w:r>
      <w:r>
        <w:rPr>
          <w:rFonts w:cs="Calibri Light"/>
        </w:rPr>
        <w:t>:</w:t>
      </w:r>
    </w:p>
    <w:p w14:paraId="3D24FF26" w14:textId="77777777" w:rsidR="00CE62F6" w:rsidRPr="00033DEC" w:rsidRDefault="00CE62F6" w:rsidP="00CE62F6">
      <w:pPr>
        <w:pStyle w:val="06VIRTBulletpoints"/>
        <w:rPr>
          <w:spacing w:val="-2"/>
        </w:rPr>
      </w:pPr>
      <w:r w:rsidRPr="00033DEC">
        <w:rPr>
          <w:spacing w:val="-2"/>
        </w:rPr>
        <w:t>Step 1 – Creating jobs, reducing unemployment and restoring economic growth</w:t>
      </w:r>
    </w:p>
    <w:p w14:paraId="4F5D2906" w14:textId="77777777" w:rsidR="00CE62F6" w:rsidRPr="00CE62F6" w:rsidRDefault="00CE62F6" w:rsidP="00CE62F6">
      <w:pPr>
        <w:pStyle w:val="06VIRTBulletpoints"/>
      </w:pPr>
      <w:r w:rsidRPr="00CE62F6">
        <w:t>Step 2 – Returning to an operating cash surplus</w:t>
      </w:r>
    </w:p>
    <w:p w14:paraId="43FBAB50" w14:textId="77777777" w:rsidR="00CE62F6" w:rsidRPr="00CE62F6" w:rsidRDefault="00CE62F6" w:rsidP="00CE62F6">
      <w:pPr>
        <w:pStyle w:val="06VIRTBulletpoints"/>
      </w:pPr>
      <w:r w:rsidRPr="00CE62F6">
        <w:t>Step 3 – Returning to operating surpluses</w:t>
      </w:r>
    </w:p>
    <w:p w14:paraId="28E7F7A0" w14:textId="77777777" w:rsidR="00CE62F6" w:rsidRPr="00CE62F6" w:rsidRDefault="00CE62F6" w:rsidP="00CE62F6">
      <w:pPr>
        <w:pStyle w:val="06VIRTBulletpoints"/>
      </w:pPr>
      <w:r w:rsidRPr="00CE62F6">
        <w:t>Step 4 – Stabilising debt levels</w:t>
      </w:r>
    </w:p>
    <w:p w14:paraId="66138D9D" w14:textId="77777777" w:rsidR="00CE62F6" w:rsidRPr="00CE62F6" w:rsidRDefault="00CE62F6" w:rsidP="00CE62F6">
      <w:pPr>
        <w:pStyle w:val="06VIRTBulletpoints"/>
      </w:pPr>
      <w:r w:rsidRPr="00CE62F6">
        <w:t>Step 5 – Reducing net debt as a proportion of GSP.</w:t>
      </w:r>
    </w:p>
    <w:p w14:paraId="172CADBC" w14:textId="77777777" w:rsidR="00CE62F6" w:rsidRDefault="00CE62F6" w:rsidP="00CE62F6">
      <w:pPr>
        <w:pStyle w:val="05Paragraph"/>
        <w:rPr>
          <w:rFonts w:cs="Calibri Light"/>
        </w:rPr>
      </w:pPr>
      <w:r w:rsidRPr="00182559">
        <w:rPr>
          <w:rFonts w:cs="Calibri Light"/>
        </w:rPr>
        <w:t>The general government sector (GGS) recorded an operating cash surplus of $4.2 billion in 2022-23</w:t>
      </w:r>
      <w:r>
        <w:rPr>
          <w:rFonts w:cs="Calibri Light"/>
        </w:rPr>
        <w:t xml:space="preserve"> and</w:t>
      </w:r>
      <w:r w:rsidRPr="00182559">
        <w:rPr>
          <w:rFonts w:cs="Calibri Light"/>
        </w:rPr>
        <w:t xml:space="preserve"> </w:t>
      </w:r>
      <w:r>
        <w:rPr>
          <w:rFonts w:cs="Calibri Light"/>
        </w:rPr>
        <w:t xml:space="preserve">the Government </w:t>
      </w:r>
      <w:r w:rsidRPr="00182559">
        <w:rPr>
          <w:rFonts w:cs="Calibri Light"/>
        </w:rPr>
        <w:t xml:space="preserve">is </w:t>
      </w:r>
      <w:r>
        <w:rPr>
          <w:rFonts w:cs="Calibri Light"/>
        </w:rPr>
        <w:t>expecting a return to an operating</w:t>
      </w:r>
      <w:r w:rsidRPr="00182559">
        <w:rPr>
          <w:rFonts w:cs="Calibri Light"/>
        </w:rPr>
        <w:t xml:space="preserve"> surplus in 2025</w:t>
      </w:r>
      <w:r w:rsidRPr="00182559">
        <w:rPr>
          <w:rFonts w:cs="Calibri Light"/>
        </w:rPr>
        <w:noBreakHyphen/>
        <w:t>26</w:t>
      </w:r>
      <w:r>
        <w:rPr>
          <w:rFonts w:cs="Calibri Light"/>
        </w:rPr>
        <w:t xml:space="preserve"> (consistent with steps 2 and 3)</w:t>
      </w:r>
      <w:r w:rsidRPr="00182559">
        <w:rPr>
          <w:rFonts w:cs="Calibri Light"/>
        </w:rPr>
        <w:t>.</w:t>
      </w:r>
      <w:r>
        <w:rPr>
          <w:rStyle w:val="FootnoteReference"/>
          <w:rFonts w:cs="Calibri Light"/>
        </w:rPr>
        <w:footnoteReference w:id="20"/>
      </w:r>
      <w:r>
        <w:rPr>
          <w:rFonts w:cs="Calibri Light"/>
        </w:rPr>
        <w:t xml:space="preserve"> </w:t>
      </w:r>
    </w:p>
    <w:p w14:paraId="2811B5C7" w14:textId="2435C49C" w:rsidR="00CE62F6" w:rsidRPr="00182559" w:rsidRDefault="00CE62F6" w:rsidP="00CE62F6">
      <w:pPr>
        <w:pStyle w:val="05Paragraph"/>
        <w:rPr>
          <w:rFonts w:cs="Calibri Light"/>
        </w:rPr>
      </w:pPr>
      <w:r w:rsidRPr="00182559">
        <w:rPr>
          <w:rFonts w:cs="Calibri Light"/>
        </w:rPr>
        <w:t>Net debt for the GGS was $115 billion at 30 June 2023, and is forecast to be around $1</w:t>
      </w:r>
      <w:r>
        <w:rPr>
          <w:rFonts w:cs="Calibri Light"/>
        </w:rPr>
        <w:t>88</w:t>
      </w:r>
      <w:r w:rsidRPr="00182559">
        <w:rPr>
          <w:rFonts w:cs="Calibri Light"/>
        </w:rPr>
        <w:t xml:space="preserve"> billion </w:t>
      </w:r>
      <w:r>
        <w:rPr>
          <w:rFonts w:cs="Calibri Light"/>
        </w:rPr>
        <w:t xml:space="preserve">by </w:t>
      </w:r>
      <w:r w:rsidRPr="00182559">
        <w:rPr>
          <w:rFonts w:cs="Calibri Light"/>
        </w:rPr>
        <w:t xml:space="preserve">30 June </w:t>
      </w:r>
      <w:r>
        <w:rPr>
          <w:rFonts w:cs="Calibri Light"/>
        </w:rPr>
        <w:t>2027</w:t>
      </w:r>
      <w:r w:rsidRPr="00182559">
        <w:rPr>
          <w:rFonts w:cs="Calibri Light"/>
        </w:rPr>
        <w:t xml:space="preserve">. </w:t>
      </w:r>
      <w:r>
        <w:rPr>
          <w:rFonts w:cs="Calibri Light"/>
        </w:rPr>
        <w:t>However, n</w:t>
      </w:r>
      <w:r w:rsidRPr="00182559">
        <w:rPr>
          <w:rFonts w:cs="Calibri Light"/>
        </w:rPr>
        <w:t xml:space="preserve">et debt as a proportion of GSP is expected to stabilise at around 25 per cent from June 2026 </w:t>
      </w:r>
      <w:r>
        <w:rPr>
          <w:rFonts w:cs="Calibri Light"/>
        </w:rPr>
        <w:t>(consistent with steps 4 and 5).</w:t>
      </w:r>
      <w:r>
        <w:rPr>
          <w:rStyle w:val="FootnoteReference"/>
          <w:rFonts w:cs="Calibri Light"/>
        </w:rPr>
        <w:footnoteReference w:id="21"/>
      </w:r>
    </w:p>
    <w:p w14:paraId="4A775AC6" w14:textId="77777777" w:rsidR="00CE62F6" w:rsidRDefault="00CE62F6" w:rsidP="00CE62F6">
      <w:pPr>
        <w:pStyle w:val="02VIRTHeading2"/>
      </w:pPr>
      <w:bookmarkStart w:id="90" w:name="_Toc166014300"/>
      <w:bookmarkStart w:id="91" w:name="_Toc169172613"/>
      <w:bookmarkStart w:id="92" w:name="_Toc169513512"/>
      <w:bookmarkStart w:id="93" w:name="_Toc170383545"/>
      <w:bookmarkEnd w:id="89"/>
      <w:r w:rsidRPr="000F1881">
        <w:t>2.</w:t>
      </w:r>
      <w:r>
        <w:t>3</w:t>
      </w:r>
      <w:r w:rsidRPr="000F1881">
        <w:tab/>
        <w:t xml:space="preserve">Wages </w:t>
      </w:r>
      <w:bookmarkEnd w:id="90"/>
      <w:bookmarkEnd w:id="91"/>
      <w:r>
        <w:t>P</w:t>
      </w:r>
      <w:r w:rsidRPr="000F1881">
        <w:t>olicy</w:t>
      </w:r>
      <w:bookmarkEnd w:id="92"/>
      <w:bookmarkEnd w:id="93"/>
    </w:p>
    <w:p w14:paraId="2A3A67F2" w14:textId="1109E9E6" w:rsidR="0066283C" w:rsidRPr="00CA4E2B" w:rsidRDefault="0066283C" w:rsidP="0066283C">
      <w:pPr>
        <w:pStyle w:val="05Paragraph"/>
        <w:rPr>
          <w:spacing w:val="-4"/>
        </w:rPr>
      </w:pPr>
      <w:bookmarkStart w:id="94" w:name="_Hlk169599675"/>
      <w:r w:rsidRPr="00CA4E2B">
        <w:t>In April 2023, the Treasurer of Victoria announced the introduction of a new Wages Policy, which provides for increases to wages and conditions under public sector enterprise agreements</w:t>
      </w:r>
      <w:r>
        <w:t xml:space="preserve"> (EAs)</w:t>
      </w:r>
      <w:r w:rsidRPr="00CA4E2B">
        <w:t xml:space="preserve">. </w:t>
      </w:r>
      <w:r w:rsidRPr="00CA4E2B">
        <w:rPr>
          <w:spacing w:val="-4"/>
        </w:rPr>
        <w:t>In particular, the Wages Policy stipulates that:</w:t>
      </w:r>
      <w:r w:rsidRPr="00CA4E2B">
        <w:rPr>
          <w:rStyle w:val="FootnoteReference"/>
          <w:rFonts w:cs="Calibri Light"/>
        </w:rPr>
        <w:footnoteReference w:id="22"/>
      </w:r>
      <w:r w:rsidR="00083673">
        <w:rPr>
          <w:spacing w:val="-4"/>
        </w:rPr>
        <w:t xml:space="preserve"> </w:t>
      </w:r>
    </w:p>
    <w:p w14:paraId="0625FF5C" w14:textId="58B364E7" w:rsidR="00CE62F6" w:rsidRPr="00CE62F6" w:rsidRDefault="00CE62F6" w:rsidP="00CE62F6">
      <w:pPr>
        <w:pStyle w:val="06VIRTBulletpoints"/>
      </w:pPr>
      <w:r w:rsidRPr="00CE62F6">
        <w:t>increases in wages and conditions will be funded at a rate of growth of 3</w:t>
      </w:r>
      <w:r w:rsidR="003C778B">
        <w:t> </w:t>
      </w:r>
      <w:r w:rsidRPr="00CE62F6">
        <w:t>per</w:t>
      </w:r>
      <w:r w:rsidR="003C778B">
        <w:t> </w:t>
      </w:r>
      <w:r w:rsidRPr="00CE62F6">
        <w:t>cent per annum over the life of the agreement</w:t>
      </w:r>
    </w:p>
    <w:p w14:paraId="7AC22B95" w14:textId="4E6631B6" w:rsidR="00CE62F6" w:rsidRPr="00CE62F6" w:rsidRDefault="00CE62F6" w:rsidP="00CE62F6">
      <w:pPr>
        <w:pStyle w:val="06VIRTBulletpoints"/>
      </w:pPr>
      <w:r w:rsidRPr="00CE62F6">
        <w:t>in addition to annual wage increases, a separate lump sum cash payment will be available, equivalent to an additional 0.5 per cent of overall agreement</w:t>
      </w:r>
      <w:r w:rsidR="003C778B">
        <w:t> </w:t>
      </w:r>
      <w:r w:rsidRPr="00CE62F6">
        <w:t>costs.</w:t>
      </w:r>
    </w:p>
    <w:p w14:paraId="22B3881B" w14:textId="2019778B" w:rsidR="007A4A23" w:rsidRPr="00E214FE" w:rsidRDefault="007A4A23" w:rsidP="007A4A23">
      <w:pPr>
        <w:pStyle w:val="05Paragraph"/>
      </w:pPr>
      <w:r w:rsidRPr="00E214FE">
        <w:t xml:space="preserve">The Government </w:t>
      </w:r>
      <w:r>
        <w:t xml:space="preserve">and the Community and Public Sector Union </w:t>
      </w:r>
      <w:r w:rsidRPr="00E214FE">
        <w:t>ha</w:t>
      </w:r>
      <w:r>
        <w:t>ve</w:t>
      </w:r>
      <w:r w:rsidRPr="00E214FE">
        <w:t xml:space="preserve"> reached in</w:t>
      </w:r>
      <w:r w:rsidR="00A658A9">
        <w:noBreakHyphen/>
      </w:r>
      <w:r w:rsidRPr="00E214FE">
        <w:t xml:space="preserve">principle agreement on a new </w:t>
      </w:r>
      <w:r>
        <w:t xml:space="preserve">2024 </w:t>
      </w:r>
      <w:r w:rsidRPr="00E214FE">
        <w:t>V</w:t>
      </w:r>
      <w:r>
        <w:t xml:space="preserve">ictorian </w:t>
      </w:r>
      <w:r w:rsidRPr="00E214FE">
        <w:t>P</w:t>
      </w:r>
      <w:r>
        <w:t xml:space="preserve">ublic </w:t>
      </w:r>
      <w:r w:rsidRPr="00E214FE">
        <w:t>S</w:t>
      </w:r>
      <w:r>
        <w:t>ervice</w:t>
      </w:r>
      <w:r w:rsidRPr="00E214FE">
        <w:t xml:space="preserve"> EA, under the framework provided by the </w:t>
      </w:r>
      <w:r>
        <w:t>G</w:t>
      </w:r>
      <w:r w:rsidRPr="00E214FE">
        <w:t>overnment</w:t>
      </w:r>
      <w:r>
        <w:t>’</w:t>
      </w:r>
      <w:r w:rsidRPr="00E214FE">
        <w:t>s Wages Policy. This EA provides for:</w:t>
      </w:r>
    </w:p>
    <w:p w14:paraId="79FC2A76" w14:textId="77777777" w:rsidR="00CE62F6" w:rsidRPr="00CE62F6" w:rsidRDefault="00CE62F6" w:rsidP="00CE62F6">
      <w:pPr>
        <w:pStyle w:val="06VIRTBulletpoints"/>
      </w:pPr>
      <w:r w:rsidRPr="00CE62F6">
        <w:t>annual salary increases of 3 per cent over the life of the agreement</w:t>
      </w:r>
    </w:p>
    <w:p w14:paraId="59F5F4D1" w14:textId="77777777" w:rsidR="00CE62F6" w:rsidRPr="00CE62F6" w:rsidRDefault="00CE62F6" w:rsidP="00CE62F6">
      <w:pPr>
        <w:pStyle w:val="06VIRTBulletpoints"/>
      </w:pPr>
      <w:r w:rsidRPr="00CE62F6">
        <w:t>a once-off lump sum payment of $5,600 (pro-rata for part-time and eligible casual employees) for all non-executive employees</w:t>
      </w:r>
    </w:p>
    <w:p w14:paraId="4BBDCAD2" w14:textId="77777777" w:rsidR="00CE62F6" w:rsidRPr="00CE62F6" w:rsidRDefault="00CE62F6" w:rsidP="007A4A23">
      <w:pPr>
        <w:pStyle w:val="06VIRTBulletpoints"/>
      </w:pPr>
      <w:r w:rsidRPr="00CE62F6">
        <w:t xml:space="preserve">an additional once-off payment of $1,000 also payable to eligible shift workers </w:t>
      </w:r>
    </w:p>
    <w:p w14:paraId="4B1AAC69" w14:textId="7408C983" w:rsidR="00CE62F6" w:rsidRDefault="00CE62F6" w:rsidP="00CE62F6">
      <w:pPr>
        <w:pStyle w:val="06VIRTBulletpoints"/>
      </w:pPr>
      <w:r w:rsidRPr="00CE62F6">
        <w:t xml:space="preserve">an increase in the lump sum payment </w:t>
      </w:r>
      <w:r w:rsidR="007A4A23">
        <w:t xml:space="preserve">(from 1 per cent </w:t>
      </w:r>
      <w:r w:rsidRPr="00CE62F6">
        <w:t>to 1.5 per cent of base salary</w:t>
      </w:r>
      <w:r w:rsidR="00C70468">
        <w:t>)</w:t>
      </w:r>
      <w:r w:rsidRPr="00CE62F6">
        <w:t xml:space="preserve"> paid to employees at the top of their grade</w:t>
      </w:r>
      <w:r>
        <w:t xml:space="preserve"> who have met their progression criteria</w:t>
      </w:r>
      <w:r w:rsidRPr="00E214FE">
        <w:t>.</w:t>
      </w:r>
    </w:p>
    <w:p w14:paraId="14E34D5C" w14:textId="6B16D3CE" w:rsidR="00E9463E" w:rsidRPr="006A3602" w:rsidRDefault="00E9463E" w:rsidP="00E9463E">
      <w:pPr>
        <w:pStyle w:val="02VIRTHeading2"/>
      </w:pPr>
      <w:bookmarkStart w:id="95" w:name="_Toc42465597"/>
      <w:bookmarkStart w:id="96" w:name="_Toc43378837"/>
      <w:bookmarkStart w:id="97" w:name="_Toc74833670"/>
      <w:bookmarkStart w:id="98" w:name="_Toc170383546"/>
      <w:bookmarkEnd w:id="94"/>
      <w:r w:rsidRPr="006A3602">
        <w:t>2.4</w:t>
      </w:r>
      <w:r w:rsidRPr="006A3602">
        <w:tab/>
      </w:r>
      <w:bookmarkEnd w:id="95"/>
      <w:bookmarkEnd w:id="96"/>
      <w:bookmarkEnd w:id="97"/>
      <w:r w:rsidR="00512B91">
        <w:t>Matters raised in s</w:t>
      </w:r>
      <w:r w:rsidR="006A3602" w:rsidRPr="006A3602">
        <w:t>ubmissions</w:t>
      </w:r>
      <w:bookmarkEnd w:id="98"/>
    </w:p>
    <w:p w14:paraId="100322F1" w14:textId="58D2728C" w:rsidR="003E4573" w:rsidRDefault="002F02E2" w:rsidP="003E4573">
      <w:pPr>
        <w:pStyle w:val="05Paragraph"/>
      </w:pPr>
      <w:r w:rsidRPr="00977DC5">
        <w:t xml:space="preserve">The Tribunal received </w:t>
      </w:r>
      <w:r w:rsidR="003B013C" w:rsidRPr="00977DC5">
        <w:t>nine submissions</w:t>
      </w:r>
      <w:r w:rsidR="00400D0C">
        <w:t>. Fi</w:t>
      </w:r>
      <w:r w:rsidR="008C4AE2" w:rsidRPr="007460D0">
        <w:t>ve</w:t>
      </w:r>
      <w:r w:rsidR="00400D0C">
        <w:t xml:space="preserve"> </w:t>
      </w:r>
      <w:r w:rsidR="006A4F92" w:rsidRPr="00977DC5">
        <w:t>were</w:t>
      </w:r>
      <w:r w:rsidR="004A5C06" w:rsidRPr="00977DC5">
        <w:t xml:space="preserve"> </w:t>
      </w:r>
      <w:r w:rsidR="004918D2">
        <w:t xml:space="preserve">written submissions </w:t>
      </w:r>
      <w:r w:rsidR="00C80D88" w:rsidRPr="00977DC5">
        <w:t>from members of the public</w:t>
      </w:r>
      <w:r w:rsidR="00400D0C">
        <w:t xml:space="preserve">, while </w:t>
      </w:r>
      <w:r w:rsidR="00295A8F">
        <w:t>two MPs made written submissions and one</w:t>
      </w:r>
      <w:r w:rsidR="00F61DE6">
        <w:t xml:space="preserve"> MP</w:t>
      </w:r>
      <w:r w:rsidR="00295A8F">
        <w:t xml:space="preserve"> made an oral submission. </w:t>
      </w:r>
      <w:r w:rsidR="00EF58C0">
        <w:t>These s</w:t>
      </w:r>
      <w:r w:rsidR="006A4F92" w:rsidRPr="00977DC5">
        <w:t xml:space="preserve">ubmissions </w:t>
      </w:r>
      <w:r w:rsidR="00C80D88" w:rsidRPr="00977DC5">
        <w:t>have been published on the Tribunal’s website</w:t>
      </w:r>
      <w:r w:rsidR="00F17787" w:rsidRPr="00977DC5">
        <w:t xml:space="preserve"> </w:t>
      </w:r>
      <w:r w:rsidR="00B472CF">
        <w:t>and, where requested by the submitter,</w:t>
      </w:r>
      <w:r w:rsidR="00BE66D5">
        <w:t xml:space="preserve"> have been</w:t>
      </w:r>
      <w:r w:rsidR="00B472CF">
        <w:t xml:space="preserve"> </w:t>
      </w:r>
      <w:r w:rsidR="00F17787" w:rsidRPr="00977DC5">
        <w:t>de</w:t>
      </w:r>
      <w:r w:rsidR="00C70468">
        <w:noBreakHyphen/>
      </w:r>
      <w:r w:rsidR="00F17787" w:rsidRPr="00977DC5">
        <w:t>identified</w:t>
      </w:r>
      <w:r w:rsidR="007E220B" w:rsidRPr="00977DC5">
        <w:t>.</w:t>
      </w:r>
      <w:r w:rsidR="006A4F92" w:rsidRPr="00977DC5">
        <w:t xml:space="preserve"> </w:t>
      </w:r>
      <w:r w:rsidR="003E4573">
        <w:t xml:space="preserve">The Tribunal </w:t>
      </w:r>
      <w:r w:rsidR="007438A7">
        <w:t xml:space="preserve">received one submission </w:t>
      </w:r>
      <w:r w:rsidR="00FF5B3D">
        <w:t>that</w:t>
      </w:r>
      <w:r w:rsidR="007438A7">
        <w:t xml:space="preserve"> the submitter requested be treated as confidential.</w:t>
      </w:r>
    </w:p>
    <w:p w14:paraId="0AC1F2FB" w14:textId="1F328DE5" w:rsidR="006F6E14" w:rsidRDefault="00107E72" w:rsidP="00B756A7">
      <w:pPr>
        <w:pStyle w:val="05Paragraph"/>
      </w:pPr>
      <w:r>
        <w:t>Several s</w:t>
      </w:r>
      <w:r w:rsidR="00582841">
        <w:t xml:space="preserve">ubmitters </w:t>
      </w:r>
      <w:r w:rsidR="002505F7">
        <w:t xml:space="preserve">suggested that the </w:t>
      </w:r>
      <w:r w:rsidR="00F55D1A">
        <w:t>salaries and allowances paid to MPs should be reduced</w:t>
      </w:r>
      <w:r w:rsidR="00FA7197">
        <w:t xml:space="preserve">. </w:t>
      </w:r>
      <w:r w:rsidR="00EE2806">
        <w:t>O</w:t>
      </w:r>
      <w:r w:rsidR="00897DF5">
        <w:t xml:space="preserve">ther options suggested by submitters were to either make no adjustment </w:t>
      </w:r>
      <w:r w:rsidR="00B756A7">
        <w:t>or to increase MP salaries and allowances by 3 per cent.</w:t>
      </w:r>
      <w:r w:rsidR="00FB0B23">
        <w:t xml:space="preserve"> </w:t>
      </w:r>
    </w:p>
    <w:p w14:paraId="67200DCC" w14:textId="283608FB" w:rsidR="00D36853" w:rsidRDefault="00104758" w:rsidP="003E4573">
      <w:pPr>
        <w:pStyle w:val="05Paragraph"/>
      </w:pPr>
      <w:r>
        <w:t xml:space="preserve">Submitters </w:t>
      </w:r>
      <w:r w:rsidR="000E7BC5">
        <w:t xml:space="preserve">proposed that the Tribunal consider a mix of factors </w:t>
      </w:r>
      <w:r w:rsidR="00D36853">
        <w:t>in making the Determination, including</w:t>
      </w:r>
      <w:r w:rsidR="00A41985">
        <w:t xml:space="preserve"> </w:t>
      </w:r>
      <w:r w:rsidR="00163EE6">
        <w:t>the government’s financial position</w:t>
      </w:r>
      <w:r w:rsidR="00A41985">
        <w:t xml:space="preserve">, </w:t>
      </w:r>
      <w:r w:rsidR="00423610">
        <w:t>Wages Policy</w:t>
      </w:r>
      <w:r w:rsidR="00A41985">
        <w:t xml:space="preserve"> and recent </w:t>
      </w:r>
      <w:r w:rsidR="00483018">
        <w:t>wage increases for public sector workers.</w:t>
      </w:r>
      <w:r w:rsidR="009415E6">
        <w:t xml:space="preserve"> </w:t>
      </w:r>
    </w:p>
    <w:p w14:paraId="4DE5A90A" w14:textId="77107C95" w:rsidR="00CA6DE0" w:rsidRPr="00977DC5" w:rsidRDefault="001136DD" w:rsidP="003E4573">
      <w:pPr>
        <w:pStyle w:val="05Paragraph"/>
      </w:pPr>
      <w:r>
        <w:t>In addition to adjustments to MP salaries and allowances, s</w:t>
      </w:r>
      <w:r w:rsidR="00D11B04">
        <w:t xml:space="preserve">everal </w:t>
      </w:r>
      <w:r w:rsidR="003D1308">
        <w:t>submitters raised</w:t>
      </w:r>
      <w:r w:rsidR="00D11B04">
        <w:t xml:space="preserve"> </w:t>
      </w:r>
      <w:r w:rsidR="00034AC0">
        <w:t xml:space="preserve">other </w:t>
      </w:r>
      <w:r w:rsidR="00D11B04">
        <w:t>issues</w:t>
      </w:r>
      <w:r w:rsidR="00034AC0">
        <w:t xml:space="preserve"> with the Tribunal</w:t>
      </w:r>
      <w:r w:rsidR="002853B4">
        <w:t xml:space="preserve"> related to the</w:t>
      </w:r>
      <w:r w:rsidR="009E3A2A">
        <w:t xml:space="preserve"> broader</w:t>
      </w:r>
      <w:r w:rsidR="002853B4">
        <w:t xml:space="preserve"> </w:t>
      </w:r>
      <w:r w:rsidR="0095518D">
        <w:t>regulatory framework</w:t>
      </w:r>
      <w:r w:rsidR="00E8221A">
        <w:t xml:space="preserve">, which </w:t>
      </w:r>
      <w:r w:rsidR="000E14C4">
        <w:t xml:space="preserve">are discussed in </w:t>
      </w:r>
      <w:r w:rsidR="00E649C4">
        <w:t>Chapter 3</w:t>
      </w:r>
      <w:r w:rsidR="00F35611">
        <w:t>.</w:t>
      </w:r>
      <w:r w:rsidR="00034AC0">
        <w:t xml:space="preserve"> </w:t>
      </w:r>
    </w:p>
    <w:p w14:paraId="02D0A5A8" w14:textId="78C81A9C" w:rsidR="00E9463E" w:rsidRPr="00A15EDD" w:rsidRDefault="00E9463E" w:rsidP="00E9463E">
      <w:pPr>
        <w:pStyle w:val="02VIRTHeading2"/>
      </w:pPr>
      <w:bookmarkStart w:id="99" w:name="_Toc170383547"/>
      <w:r w:rsidRPr="00A15EDD">
        <w:t>2.5</w:t>
      </w:r>
      <w:r w:rsidR="00183FA7" w:rsidRPr="00A15EDD">
        <w:tab/>
        <w:t xml:space="preserve">Other </w:t>
      </w:r>
      <w:r w:rsidR="008545C3" w:rsidRPr="00A15EDD">
        <w:t xml:space="preserve">relevant </w:t>
      </w:r>
      <w:r w:rsidR="00183FA7" w:rsidRPr="00A15EDD">
        <w:t>considerations</w:t>
      </w:r>
      <w:bookmarkEnd w:id="99"/>
    </w:p>
    <w:p w14:paraId="4E15D015" w14:textId="7C1A3BC8" w:rsidR="001A01A1" w:rsidRDefault="000E5B1A" w:rsidP="0084671F">
      <w:pPr>
        <w:pStyle w:val="03VIRTHeading3"/>
      </w:pPr>
      <w:r>
        <w:t>Adjustments in other jurisdictions</w:t>
      </w:r>
    </w:p>
    <w:p w14:paraId="3D39E92B" w14:textId="3987A21C" w:rsidR="00920731" w:rsidRDefault="00D74226" w:rsidP="00D46634">
      <w:pPr>
        <w:pStyle w:val="05Paragraph"/>
      </w:pPr>
      <w:r>
        <w:t xml:space="preserve">At the time of making this Determination, </w:t>
      </w:r>
      <w:r w:rsidR="00A407BB">
        <w:t xml:space="preserve">two </w:t>
      </w:r>
      <w:r w:rsidR="00F72D4A">
        <w:t xml:space="preserve">Australian jurisdictions </w:t>
      </w:r>
      <w:r w:rsidR="004E7485" w:rsidRPr="007460D0">
        <w:t>ha</w:t>
      </w:r>
      <w:r w:rsidR="00D239F1">
        <w:t>d</w:t>
      </w:r>
      <w:r w:rsidR="004E7485">
        <w:t xml:space="preserve"> </w:t>
      </w:r>
      <w:r w:rsidR="00FD144D">
        <w:t xml:space="preserve">made adjustments to the </w:t>
      </w:r>
      <w:r w:rsidR="00747C7A">
        <w:t xml:space="preserve">salaries </w:t>
      </w:r>
      <w:r w:rsidR="002434D2">
        <w:t xml:space="preserve">paid to MPs </w:t>
      </w:r>
      <w:r w:rsidR="007901C7">
        <w:t>from 1 July 2024</w:t>
      </w:r>
      <w:r w:rsidR="00D46634">
        <w:t xml:space="preserve">, with </w:t>
      </w:r>
      <w:r w:rsidR="000D75B8">
        <w:t xml:space="preserve">Commonwealth MPs receiving a 3.5 per cent increase and </w:t>
      </w:r>
      <w:r w:rsidR="00D46634">
        <w:t>Q</w:t>
      </w:r>
      <w:r w:rsidR="00920731" w:rsidRPr="001A1221">
        <w:t xml:space="preserve">ueensland MPs </w:t>
      </w:r>
      <w:r w:rsidR="00D46634">
        <w:t>rec</w:t>
      </w:r>
      <w:r w:rsidR="00613287">
        <w:t>e</w:t>
      </w:r>
      <w:r w:rsidR="00563F1F">
        <w:t>i</w:t>
      </w:r>
      <w:r w:rsidR="00D46634">
        <w:t>ving</w:t>
      </w:r>
      <w:r w:rsidR="00920731" w:rsidRPr="001A1221">
        <w:t xml:space="preserve"> a </w:t>
      </w:r>
      <w:r w:rsidR="00D50D6F">
        <w:t>4</w:t>
      </w:r>
      <w:r w:rsidR="00920731" w:rsidRPr="001A1221">
        <w:t xml:space="preserve"> per cent increase </w:t>
      </w:r>
      <w:r w:rsidR="00920731">
        <w:t>in</w:t>
      </w:r>
      <w:r w:rsidR="00920731" w:rsidRPr="001A1221">
        <w:t xml:space="preserve"> salaries</w:t>
      </w:r>
      <w:r w:rsidR="00DD09AD">
        <w:t>.</w:t>
      </w:r>
      <w:r w:rsidR="00DD09AD">
        <w:rPr>
          <w:rStyle w:val="FootnoteReference"/>
        </w:rPr>
        <w:footnoteReference w:id="23"/>
      </w:r>
    </w:p>
    <w:p w14:paraId="6D829930" w14:textId="2C80D151" w:rsidR="00920731" w:rsidRDefault="00C104D6" w:rsidP="00920731">
      <w:pPr>
        <w:pStyle w:val="05Paragraph"/>
      </w:pPr>
      <w:r>
        <w:t xml:space="preserve">In New South Wales, MP salaries have been frozen </w:t>
      </w:r>
      <w:r w:rsidR="00465263" w:rsidRPr="00161277">
        <w:t>until July 2025</w:t>
      </w:r>
      <w:r w:rsidR="00465263">
        <w:t>.</w:t>
      </w:r>
      <w:r w:rsidR="00465263" w:rsidRPr="00161277">
        <w:rPr>
          <w:rStyle w:val="FootnoteReference"/>
        </w:rPr>
        <w:footnoteReference w:id="24"/>
      </w:r>
    </w:p>
    <w:p w14:paraId="1CB47521" w14:textId="4168CAD7" w:rsidR="008F10DA" w:rsidRPr="007C3312" w:rsidRDefault="008F10DA" w:rsidP="008F10DA">
      <w:pPr>
        <w:pStyle w:val="03VIRTHeading3"/>
      </w:pPr>
      <w:r w:rsidRPr="007C3312">
        <w:t>Annual Wage Review Decision 202</w:t>
      </w:r>
      <w:r>
        <w:t>3</w:t>
      </w:r>
      <w:r w:rsidR="00272E51">
        <w:t>-</w:t>
      </w:r>
      <w:r w:rsidRPr="007C3312">
        <w:t>2</w:t>
      </w:r>
      <w:r>
        <w:t>4</w:t>
      </w:r>
    </w:p>
    <w:p w14:paraId="51FE3EAA" w14:textId="67CAAFDA" w:rsidR="008F10DA" w:rsidRPr="002671CF" w:rsidRDefault="00DE417F" w:rsidP="008F10DA">
      <w:pPr>
        <w:pStyle w:val="05Paragraph"/>
      </w:pPr>
      <w:r>
        <w:t>The Fair Work Commissions (</w:t>
      </w:r>
      <w:r w:rsidR="008F10DA" w:rsidRPr="00977DC5">
        <w:t>FW</w:t>
      </w:r>
      <w:r>
        <w:t xml:space="preserve">C) </w:t>
      </w:r>
      <w:r w:rsidR="008F10DA" w:rsidRPr="002671CF">
        <w:rPr>
          <w:i/>
          <w:iCs/>
        </w:rPr>
        <w:t>Annual Wage Review 2023</w:t>
      </w:r>
      <w:r w:rsidR="00DC585C">
        <w:rPr>
          <w:i/>
          <w:iCs/>
        </w:rPr>
        <w:t>-</w:t>
      </w:r>
      <w:r w:rsidR="008F10DA" w:rsidRPr="002671CF">
        <w:rPr>
          <w:i/>
          <w:iCs/>
        </w:rPr>
        <w:t>24</w:t>
      </w:r>
      <w:r w:rsidR="008F10DA" w:rsidRPr="002671CF">
        <w:t xml:space="preserve"> decision increased the </w:t>
      </w:r>
      <w:r w:rsidR="003E1E4C">
        <w:t xml:space="preserve">National Minimum Wage </w:t>
      </w:r>
      <w:r w:rsidR="008F10DA" w:rsidRPr="002671CF">
        <w:t>and all modern award minimum wages by 3.75 per cent with effect from 1 July 2024.</w:t>
      </w:r>
      <w:r w:rsidR="008F10DA" w:rsidRPr="002671CF">
        <w:rPr>
          <w:rStyle w:val="FootnoteReference"/>
        </w:rPr>
        <w:footnoteReference w:id="25"/>
      </w:r>
    </w:p>
    <w:p w14:paraId="640FA998" w14:textId="5FA9D2F0" w:rsidR="00E9463E" w:rsidRPr="00764135" w:rsidRDefault="00E9463E" w:rsidP="00C9726B">
      <w:pPr>
        <w:pStyle w:val="05Paragraph"/>
        <w:rPr>
          <w:highlight w:val="yellow"/>
        </w:rPr>
      </w:pPr>
      <w:r w:rsidRPr="00764135">
        <w:rPr>
          <w:highlight w:val="yellow"/>
        </w:rPr>
        <w:br w:type="page"/>
      </w:r>
    </w:p>
    <w:p w14:paraId="72E78217" w14:textId="63D7588C" w:rsidR="006D5481" w:rsidRPr="00A21739" w:rsidRDefault="006D5481" w:rsidP="00036BD6">
      <w:pPr>
        <w:pStyle w:val="Chapterheading"/>
        <w:outlineLvl w:val="0"/>
      </w:pPr>
      <w:bookmarkStart w:id="100" w:name="_Toc42465604"/>
      <w:bookmarkStart w:id="101" w:name="_Toc43378844"/>
      <w:bookmarkStart w:id="102" w:name="_Toc74833676"/>
      <w:bookmarkStart w:id="103" w:name="_Toc170383548"/>
      <w:r w:rsidRPr="001D523A">
        <w:rPr>
          <w:rStyle w:val="01ChapterheadingChar"/>
        </w:rPr>
        <w:t>3</w:t>
      </w:r>
      <w:r w:rsidR="005A288F" w:rsidRPr="001D523A">
        <w:rPr>
          <w:rStyle w:val="01ChapterheadingChar"/>
        </w:rPr>
        <w:tab/>
      </w:r>
      <w:r w:rsidRPr="001D523A">
        <w:rPr>
          <w:rStyle w:val="01ChapterheadingChar"/>
        </w:rPr>
        <w:t xml:space="preserve">Tribunal’s </w:t>
      </w:r>
      <w:r w:rsidR="00A21739" w:rsidRPr="001D523A">
        <w:rPr>
          <w:rStyle w:val="01ChapterheadingChar"/>
        </w:rPr>
        <w:t>decision</w:t>
      </w:r>
      <w:r w:rsidR="00512B91">
        <w:rPr>
          <w:rStyle w:val="01ChapterheadingChar"/>
        </w:rPr>
        <w:t>s</w:t>
      </w:r>
      <w:r w:rsidRPr="00A21739">
        <w:rPr>
          <w:noProof/>
        </w:rPr>
        <w:drawing>
          <wp:inline distT="0" distB="0" distL="0" distR="0" wp14:anchorId="4FC49C95" wp14:editId="44B7D82B">
            <wp:extent cx="2222500" cy="253365"/>
            <wp:effectExtent l="0" t="0" r="6350" b="0"/>
            <wp:docPr id="211138863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21">
                      <a:extLst>
                        <a:ext uri="{28A0092B-C50C-407E-A947-70E740481C1C}">
                          <a14:useLocalDpi xmlns:a14="http://schemas.microsoft.com/office/drawing/2010/main" val="0"/>
                        </a:ext>
                      </a:extLst>
                    </a:blip>
                    <a:stretch>
                      <a:fillRect/>
                    </a:stretch>
                  </pic:blipFill>
                  <pic:spPr>
                    <a:xfrm>
                      <a:off x="0" y="0"/>
                      <a:ext cx="2222500" cy="253365"/>
                    </a:xfrm>
                    <a:prstGeom prst="rect">
                      <a:avLst/>
                    </a:prstGeom>
                  </pic:spPr>
                </pic:pic>
              </a:graphicData>
            </a:graphic>
          </wp:inline>
        </w:drawing>
      </w:r>
      <w:bookmarkEnd w:id="100"/>
      <w:bookmarkEnd w:id="101"/>
      <w:bookmarkEnd w:id="102"/>
      <w:bookmarkEnd w:id="103"/>
    </w:p>
    <w:p w14:paraId="45F8495C" w14:textId="64BBDAF1" w:rsidR="006D5481" w:rsidRPr="00D95157" w:rsidRDefault="006D5481" w:rsidP="006D5481">
      <w:pPr>
        <w:pStyle w:val="02VIRTHeading2"/>
      </w:pPr>
      <w:bookmarkStart w:id="104" w:name="_Toc74833677"/>
      <w:bookmarkStart w:id="105" w:name="_Toc170383549"/>
      <w:r w:rsidRPr="00D95157">
        <w:t>3.1</w:t>
      </w:r>
      <w:r w:rsidRPr="00D95157">
        <w:tab/>
      </w:r>
      <w:r w:rsidR="00202F7B">
        <w:t>Adjustments to b</w:t>
      </w:r>
      <w:r w:rsidR="009D2791" w:rsidRPr="007460D0">
        <w:t>asic</w:t>
      </w:r>
      <w:r w:rsidR="009D2791" w:rsidRPr="009D2791">
        <w:t xml:space="preserve"> salary, additional salaries and expense allowance</w:t>
      </w:r>
      <w:bookmarkEnd w:id="104"/>
      <w:bookmarkEnd w:id="105"/>
    </w:p>
    <w:p w14:paraId="7243A655" w14:textId="4F94D13D" w:rsidR="006D5481" w:rsidRPr="007C5253" w:rsidRDefault="006D5481" w:rsidP="006D5481">
      <w:pPr>
        <w:pStyle w:val="05Paragraph"/>
      </w:pPr>
      <w:r w:rsidRPr="007C5253">
        <w:t xml:space="preserve">The basic salary </w:t>
      </w:r>
      <w:r w:rsidR="002E1AA1">
        <w:t xml:space="preserve">for all MPs </w:t>
      </w:r>
      <w:r w:rsidRPr="007C5253">
        <w:t>and</w:t>
      </w:r>
      <w:r w:rsidR="00E8648A" w:rsidRPr="007C5253">
        <w:t xml:space="preserve"> </w:t>
      </w:r>
      <w:r w:rsidRPr="007C5253">
        <w:t xml:space="preserve">additional salaries </w:t>
      </w:r>
      <w:r w:rsidR="00E8648A" w:rsidRPr="007C5253">
        <w:t>for specified parliamentary office holders</w:t>
      </w:r>
      <w:r w:rsidR="00573842">
        <w:t xml:space="preserve"> </w:t>
      </w:r>
      <w:r w:rsidR="009F744A">
        <w:t xml:space="preserve">are designed to compensate MPs for </w:t>
      </w:r>
      <w:r w:rsidR="00642356">
        <w:t xml:space="preserve">fulfilling </w:t>
      </w:r>
      <w:r w:rsidR="009F744A">
        <w:t>their responsibilities and</w:t>
      </w:r>
      <w:r w:rsidRPr="007C5253">
        <w:t xml:space="preserve"> </w:t>
      </w:r>
      <w:r w:rsidR="003D5F22">
        <w:t>performing</w:t>
      </w:r>
      <w:r w:rsidR="005A2CAC">
        <w:t xml:space="preserve"> their </w:t>
      </w:r>
      <w:r w:rsidR="003D5F22">
        <w:t>duties</w:t>
      </w:r>
      <w:r w:rsidRPr="007C5253">
        <w:t>.</w:t>
      </w:r>
      <w:r w:rsidR="00C11202">
        <w:t xml:space="preserve"> Additionally, specified parliamentary office holders receive an expense allowance </w:t>
      </w:r>
      <w:r w:rsidR="00CF0499">
        <w:t>t</w:t>
      </w:r>
      <w:r w:rsidR="00CF0499" w:rsidRPr="002039CF">
        <w:t>o cover expenses particular to that office</w:t>
      </w:r>
      <w:r w:rsidRPr="007C5253">
        <w:t>.</w:t>
      </w:r>
      <w:r w:rsidR="00EC089C">
        <w:rPr>
          <w:rStyle w:val="FootnoteReference"/>
        </w:rPr>
        <w:footnoteReference w:id="26"/>
      </w:r>
    </w:p>
    <w:p w14:paraId="0B9D33E4" w14:textId="7C045D59" w:rsidR="00E1259A" w:rsidRDefault="006C6868" w:rsidP="006D5481">
      <w:pPr>
        <w:pStyle w:val="05Paragraph"/>
      </w:pPr>
      <w:r>
        <w:t xml:space="preserve">Having regard to all of the considerations from Chapter 2, the Tribunal has </w:t>
      </w:r>
      <w:r w:rsidR="0091459C">
        <w:t>decided</w:t>
      </w:r>
      <w:r>
        <w:t xml:space="preserve"> to</w:t>
      </w:r>
      <w:r w:rsidR="00EE45DA">
        <w:t xml:space="preserve"> </w:t>
      </w:r>
      <w:r w:rsidR="00E1259A" w:rsidRPr="00EE6536">
        <w:t xml:space="preserve">increase the basic salary for Victorian MPs, </w:t>
      </w:r>
      <w:r w:rsidR="00E1259A">
        <w:t>along with</w:t>
      </w:r>
      <w:r w:rsidR="00E1259A" w:rsidRPr="00EE6536">
        <w:t xml:space="preserve"> the additional salaries and expense allowance for specified parliamentary office holders, by 3.5 per cent</w:t>
      </w:r>
      <w:r w:rsidR="008573EA">
        <w:t>.</w:t>
      </w:r>
    </w:p>
    <w:p w14:paraId="38BFE568" w14:textId="6B4ED976" w:rsidR="006C6868" w:rsidRPr="004B3CE8" w:rsidRDefault="00C46D9D" w:rsidP="006D5481">
      <w:pPr>
        <w:pStyle w:val="05Paragraph"/>
      </w:pPr>
      <w:r>
        <w:t xml:space="preserve">In doing so, the Tribunal was </w:t>
      </w:r>
      <w:r w:rsidR="008573EA">
        <w:t xml:space="preserve">particularly </w:t>
      </w:r>
      <w:r>
        <w:t xml:space="preserve">mindful of the </w:t>
      </w:r>
      <w:r w:rsidR="002B3D80">
        <w:t xml:space="preserve">current financial position and Wages Policy of the </w:t>
      </w:r>
      <w:r w:rsidR="00C91651">
        <w:t xml:space="preserve">Victorian Government and recent </w:t>
      </w:r>
      <w:r w:rsidR="00D2209B">
        <w:t>annual</w:t>
      </w:r>
      <w:r w:rsidR="00C91651" w:rsidRPr="007460D0">
        <w:t xml:space="preserve"> </w:t>
      </w:r>
      <w:r w:rsidR="0021643D">
        <w:t>movements in wages and prices in Victoria.</w:t>
      </w:r>
    </w:p>
    <w:p w14:paraId="514F9BC1" w14:textId="7BFF167D" w:rsidR="004E3388" w:rsidRDefault="00FB6A30" w:rsidP="004E3388">
      <w:pPr>
        <w:pStyle w:val="02VIRTHeading2"/>
      </w:pPr>
      <w:bookmarkStart w:id="106" w:name="_Toc170383550"/>
      <w:r>
        <w:t>3.2</w:t>
      </w:r>
      <w:r>
        <w:tab/>
      </w:r>
      <w:r w:rsidR="004E3388">
        <w:t xml:space="preserve">Adjustments to the value of </w:t>
      </w:r>
      <w:r w:rsidR="00D677B9">
        <w:t>work</w:t>
      </w:r>
      <w:r w:rsidR="00202F7B">
        <w:noBreakHyphen/>
      </w:r>
      <w:r w:rsidR="00D677B9">
        <w:t xml:space="preserve">related </w:t>
      </w:r>
      <w:r w:rsidR="00202F7B">
        <w:t xml:space="preserve">parliamentary </w:t>
      </w:r>
      <w:r w:rsidR="00D677B9">
        <w:t xml:space="preserve">allowances </w:t>
      </w:r>
      <w:r w:rsidR="00202F7B">
        <w:t>and the EO&amp;C Budget</w:t>
      </w:r>
      <w:bookmarkEnd w:id="106"/>
      <w:r w:rsidR="00D677B9" w:rsidRPr="007460D0">
        <w:t xml:space="preserve"> </w:t>
      </w:r>
    </w:p>
    <w:p w14:paraId="72D9ADD9" w14:textId="56E9FD1C" w:rsidR="00FB6A30" w:rsidRDefault="00C54F40" w:rsidP="00FB6A30">
      <w:pPr>
        <w:pStyle w:val="05Paragraph"/>
      </w:pPr>
      <w:r>
        <w:t xml:space="preserve">In </w:t>
      </w:r>
      <w:r w:rsidR="00202F7B">
        <w:t>making</w:t>
      </w:r>
      <w:r w:rsidR="00EF0C1D">
        <w:t xml:space="preserve"> </w:t>
      </w:r>
      <w:r w:rsidR="00EF0C1D" w:rsidRPr="007460D0">
        <w:t>adjustment</w:t>
      </w:r>
      <w:r w:rsidR="00202F7B">
        <w:t>s</w:t>
      </w:r>
      <w:r w:rsidR="00EF0C1D">
        <w:t xml:space="preserve"> to the value of other work-related allowances for MPs</w:t>
      </w:r>
      <w:r w:rsidR="00651274">
        <w:t>, the Tribunal had particular regard to price movements in the Victorian economy</w:t>
      </w:r>
      <w:r w:rsidR="00EF0C1D">
        <w:t>.</w:t>
      </w:r>
    </w:p>
    <w:p w14:paraId="3B7FA141" w14:textId="053CFB1C" w:rsidR="006D5481" w:rsidRDefault="00651274" w:rsidP="006D5481">
      <w:pPr>
        <w:pStyle w:val="03VIRTHeading3"/>
      </w:pPr>
      <w:r>
        <w:t>Adjustment to the e</w:t>
      </w:r>
      <w:r w:rsidR="006D5481" w:rsidRPr="00CC083C">
        <w:t xml:space="preserve">lectorate allowance </w:t>
      </w:r>
    </w:p>
    <w:p w14:paraId="6597A7F7" w14:textId="7C79D9A3" w:rsidR="00D30419" w:rsidRDefault="00D30419" w:rsidP="007A19AC">
      <w:pPr>
        <w:pStyle w:val="05Paragraph"/>
      </w:pPr>
      <w:r w:rsidRPr="00D30419">
        <w:t>The electorate allowance is paid to all MPs for the costs associated with providing services to their constituents.</w:t>
      </w:r>
      <w:r w:rsidRPr="00D30419">
        <w:rPr>
          <w:rStyle w:val="FootnoteReference"/>
        </w:rPr>
        <w:footnoteReference w:id="27"/>
      </w:r>
      <w:r w:rsidRPr="00D30419">
        <w:t xml:space="preserve"> The value of the electorate allowance varies by the size of </w:t>
      </w:r>
      <w:r w:rsidR="00907B43">
        <w:t>an</w:t>
      </w:r>
      <w:r w:rsidRPr="00D30419">
        <w:t xml:space="preserve"> MP’s electorate, reflecting the higher costs of providing services in larger electorates.</w:t>
      </w:r>
      <w:r w:rsidRPr="00D30419">
        <w:rPr>
          <w:rStyle w:val="FootnoteReference"/>
        </w:rPr>
        <w:footnoteReference w:id="28"/>
      </w:r>
    </w:p>
    <w:p w14:paraId="794775BA" w14:textId="0D4900C5" w:rsidR="0013761D" w:rsidRPr="008724C1" w:rsidRDefault="0013761D" w:rsidP="007A19AC">
      <w:pPr>
        <w:pStyle w:val="05Paragraph"/>
        <w:rPr>
          <w:b/>
          <w:bCs/>
        </w:rPr>
      </w:pPr>
      <w:r>
        <w:t>The Tribunal</w:t>
      </w:r>
      <w:r w:rsidR="00136582">
        <w:t xml:space="preserve"> determined to increase the value of the electorate allowance </w:t>
      </w:r>
      <w:r w:rsidR="003E70BA">
        <w:t>by</w:t>
      </w:r>
      <w:r w:rsidR="008956C8">
        <w:t xml:space="preserve"> </w:t>
      </w:r>
      <w:r w:rsidR="008956C8">
        <w:br/>
      </w:r>
      <w:r w:rsidR="003E70BA">
        <w:t>3.6</w:t>
      </w:r>
      <w:r w:rsidR="008A5EE1">
        <w:t xml:space="preserve"> </w:t>
      </w:r>
      <w:r w:rsidR="003E70BA">
        <w:t xml:space="preserve">per cent, which is in line with </w:t>
      </w:r>
      <w:r w:rsidR="000A417F">
        <w:t>the annual growth in</w:t>
      </w:r>
      <w:r w:rsidR="00EA3177">
        <w:t xml:space="preserve"> the</w:t>
      </w:r>
      <w:r w:rsidR="000A417F">
        <w:t xml:space="preserve"> Melbourne CPI (to March</w:t>
      </w:r>
      <w:r w:rsidR="00A47063">
        <w:t> </w:t>
      </w:r>
      <w:r w:rsidR="000A417F">
        <w:t>2024)</w:t>
      </w:r>
      <w:r w:rsidR="001D05D3">
        <w:t>.</w:t>
      </w:r>
    </w:p>
    <w:p w14:paraId="16126AB5" w14:textId="76B34406" w:rsidR="00D30419" w:rsidRPr="00CC083C" w:rsidRDefault="00651274" w:rsidP="006D5481">
      <w:pPr>
        <w:pStyle w:val="03VIRTHeading3"/>
      </w:pPr>
      <w:r>
        <w:t xml:space="preserve">Adjustment to the </w:t>
      </w:r>
      <w:r w:rsidR="00D30419" w:rsidRPr="00CC083C">
        <w:t>EO&amp;C Budget</w:t>
      </w:r>
    </w:p>
    <w:p w14:paraId="56C5228B" w14:textId="202D5783" w:rsidR="00557BED" w:rsidRPr="00832228" w:rsidRDefault="0055756A" w:rsidP="006D5481">
      <w:pPr>
        <w:pStyle w:val="05Paragraph"/>
      </w:pPr>
      <w:r>
        <w:t xml:space="preserve">Each MP is entitled to an EO&amp;C Budget, which is available on a reimbursement basis, </w:t>
      </w:r>
      <w:r w:rsidR="00F626DE">
        <w:t>to</w:t>
      </w:r>
      <w:r w:rsidR="00557BED" w:rsidRPr="00487636">
        <w:t>:</w:t>
      </w:r>
      <w:r w:rsidR="0008432B" w:rsidRPr="00487636">
        <w:rPr>
          <w:rStyle w:val="FootnoteReference"/>
        </w:rPr>
        <w:footnoteReference w:id="29"/>
      </w:r>
    </w:p>
    <w:p w14:paraId="000B7169" w14:textId="215DF29F" w:rsidR="00557BED" w:rsidRPr="00D757CD" w:rsidRDefault="00FA49E4" w:rsidP="00D757CD">
      <w:pPr>
        <w:pStyle w:val="06VIRTBulletpoints"/>
      </w:pPr>
      <w:r w:rsidRPr="00D757CD">
        <w:t>cover</w:t>
      </w:r>
      <w:r w:rsidR="0008432B" w:rsidRPr="00D757CD">
        <w:t xml:space="preserve"> the operating costs and maintenance of their electorate office</w:t>
      </w:r>
    </w:p>
    <w:p w14:paraId="74117753" w14:textId="52026E53" w:rsidR="00557BED" w:rsidRPr="00D757CD" w:rsidRDefault="00FA49E4" w:rsidP="00D757CD">
      <w:pPr>
        <w:pStyle w:val="06VIRTBulletpoints"/>
      </w:pPr>
      <w:r w:rsidRPr="00D757CD">
        <w:t xml:space="preserve">facilitate </w:t>
      </w:r>
      <w:r w:rsidR="0008432B" w:rsidRPr="00D757CD">
        <w:t>communicat</w:t>
      </w:r>
      <w:r w:rsidRPr="00D757CD">
        <w:t>ion</w:t>
      </w:r>
      <w:r w:rsidR="0008432B" w:rsidRPr="00D757CD">
        <w:t xml:space="preserve"> with their electorate </w:t>
      </w:r>
      <w:r w:rsidRPr="00D757CD">
        <w:t>regarding</w:t>
      </w:r>
      <w:r w:rsidR="0008432B" w:rsidRPr="00D757CD">
        <w:t xml:space="preserve"> their public duties.</w:t>
      </w:r>
    </w:p>
    <w:p w14:paraId="35ECA75B" w14:textId="30084DA3" w:rsidR="00583EB6" w:rsidRPr="00487636" w:rsidRDefault="006D5481" w:rsidP="006D5481">
      <w:pPr>
        <w:pStyle w:val="05Paragraph"/>
      </w:pPr>
      <w:r w:rsidRPr="00487636">
        <w:t>T</w:t>
      </w:r>
      <w:r w:rsidR="006A5FD7" w:rsidRPr="00487636">
        <w:t>he T</w:t>
      </w:r>
      <w:r w:rsidRPr="00487636">
        <w:t>ribunal</w:t>
      </w:r>
      <w:r w:rsidR="006A5FD7" w:rsidRPr="00487636">
        <w:t>’s</w:t>
      </w:r>
      <w:r w:rsidRPr="00487636">
        <w:t xml:space="preserve"> analysis of </w:t>
      </w:r>
      <w:r w:rsidR="00F626DE">
        <w:t>data provided</w:t>
      </w:r>
      <w:r w:rsidR="00532530">
        <w:t xml:space="preserve"> by the Department of Parliamentary Services regarding</w:t>
      </w:r>
      <w:r w:rsidRPr="00487636">
        <w:t xml:space="preserve"> expenses claimed by MPs </w:t>
      </w:r>
      <w:r w:rsidR="006A5FD7" w:rsidRPr="00487636">
        <w:t>from</w:t>
      </w:r>
      <w:r w:rsidRPr="00487636">
        <w:t xml:space="preserve"> the EO&amp;C Budget </w:t>
      </w:r>
      <w:r w:rsidR="00473D6D" w:rsidRPr="00487636">
        <w:t xml:space="preserve">in </w:t>
      </w:r>
      <w:r w:rsidR="005B72CB" w:rsidRPr="00487636">
        <w:t>2022</w:t>
      </w:r>
      <w:r w:rsidR="00C032E1">
        <w:t>-</w:t>
      </w:r>
      <w:r w:rsidR="00540D6B" w:rsidRPr="00487636">
        <w:t>23</w:t>
      </w:r>
      <w:r w:rsidR="00CF5D1E">
        <w:t xml:space="preserve">, </w:t>
      </w:r>
      <w:r w:rsidRPr="00487636">
        <w:t>found that</w:t>
      </w:r>
      <w:r w:rsidR="00583EB6" w:rsidRPr="00487636">
        <w:t>:</w:t>
      </w:r>
    </w:p>
    <w:p w14:paraId="6239BE42" w14:textId="2A35D5D4" w:rsidR="00583EB6" w:rsidRPr="00D757CD" w:rsidRDefault="004E1ECF" w:rsidP="00D757CD">
      <w:pPr>
        <w:pStyle w:val="06VIRTBulletpoints"/>
      </w:pPr>
      <w:r w:rsidRPr="00D757CD">
        <w:t>49</w:t>
      </w:r>
      <w:r w:rsidR="009758AE" w:rsidRPr="00D757CD">
        <w:t> </w:t>
      </w:r>
      <w:r w:rsidR="00DE5EF8" w:rsidRPr="00D757CD">
        <w:t xml:space="preserve">per cent </w:t>
      </w:r>
      <w:r w:rsidR="009758AE" w:rsidRPr="00D757CD">
        <w:t xml:space="preserve">of the Budget </w:t>
      </w:r>
      <w:r w:rsidR="00DE5EF8" w:rsidRPr="00D757CD">
        <w:t>was</w:t>
      </w:r>
      <w:r w:rsidR="006D5481" w:rsidRPr="00D757CD">
        <w:t xml:space="preserve"> </w:t>
      </w:r>
      <w:r w:rsidR="009D4898">
        <w:t>spent on</w:t>
      </w:r>
      <w:r w:rsidR="006D5481" w:rsidRPr="00D757CD">
        <w:t xml:space="preserve"> goods and services</w:t>
      </w:r>
      <w:r w:rsidR="00AE6DAF" w:rsidRPr="00D757CD">
        <w:t>,</w:t>
      </w:r>
      <w:r w:rsidR="006D5481" w:rsidRPr="00D757CD">
        <w:t xml:space="preserve"> </w:t>
      </w:r>
      <w:r w:rsidR="00AE6DAF" w:rsidRPr="00D757CD">
        <w:t>including</w:t>
      </w:r>
      <w:r w:rsidR="006D5481" w:rsidRPr="00D757CD">
        <w:t xml:space="preserve"> advertising, printing</w:t>
      </w:r>
      <w:r w:rsidR="00E924C9" w:rsidRPr="00D757CD">
        <w:t xml:space="preserve"> and</w:t>
      </w:r>
      <w:r w:rsidR="006D5481" w:rsidRPr="00D757CD">
        <w:t xml:space="preserve"> communications </w:t>
      </w:r>
      <w:r w:rsidR="00E924C9" w:rsidRPr="00D757CD">
        <w:t>costs</w:t>
      </w:r>
    </w:p>
    <w:p w14:paraId="1189895B" w14:textId="67072D28" w:rsidR="009C61D3" w:rsidRPr="00D757CD" w:rsidRDefault="00886FF7" w:rsidP="00D757CD">
      <w:pPr>
        <w:pStyle w:val="06VIRTBulletpoints"/>
      </w:pPr>
      <w:r w:rsidRPr="00D757CD">
        <w:t xml:space="preserve">30 per cent </w:t>
      </w:r>
      <w:r w:rsidR="002A6643" w:rsidRPr="00D757CD">
        <w:t xml:space="preserve">of the Budget </w:t>
      </w:r>
      <w:r w:rsidRPr="00D757CD">
        <w:t xml:space="preserve">was </w:t>
      </w:r>
      <w:r w:rsidR="002A6643" w:rsidRPr="00D757CD">
        <w:t>allocated for</w:t>
      </w:r>
      <w:r w:rsidRPr="00D757CD">
        <w:t xml:space="preserve"> </w:t>
      </w:r>
      <w:r w:rsidR="008157DB" w:rsidRPr="00D757CD">
        <w:t xml:space="preserve">employing additional </w:t>
      </w:r>
      <w:r w:rsidR="00E914C1" w:rsidRPr="00D757CD">
        <w:t>electorate officer</w:t>
      </w:r>
      <w:r w:rsidR="008157DB" w:rsidRPr="00D757CD">
        <w:t>s</w:t>
      </w:r>
      <w:r w:rsidR="004F52FC" w:rsidRPr="00D757CD">
        <w:t xml:space="preserve">, </w:t>
      </w:r>
      <w:r w:rsidR="002A6643" w:rsidRPr="00D757CD">
        <w:t>other</w:t>
      </w:r>
      <w:r w:rsidR="001E2185" w:rsidRPr="00D757CD">
        <w:t xml:space="preserve"> </w:t>
      </w:r>
      <w:r w:rsidR="00E914C1" w:rsidRPr="00D757CD">
        <w:t>staff</w:t>
      </w:r>
      <w:r w:rsidR="000831EC" w:rsidRPr="00D757CD">
        <w:t>-</w:t>
      </w:r>
      <w:r w:rsidR="00E914C1" w:rsidRPr="00D757CD">
        <w:t xml:space="preserve">related </w:t>
      </w:r>
      <w:r w:rsidR="004F52FC" w:rsidRPr="00D757CD">
        <w:t>expenses and electorate office</w:t>
      </w:r>
      <w:r w:rsidR="00C50BF2" w:rsidRPr="00D757CD">
        <w:t xml:space="preserve"> costs</w:t>
      </w:r>
    </w:p>
    <w:p w14:paraId="64082573" w14:textId="1DCF237D" w:rsidR="00E74B5A" w:rsidRPr="00D757CD" w:rsidRDefault="006805B8" w:rsidP="00D757CD">
      <w:pPr>
        <w:pStyle w:val="06VIRTBulletpoints"/>
      </w:pPr>
      <w:r w:rsidRPr="00D757CD">
        <w:t xml:space="preserve">21 per cent of the Budget was used for postage </w:t>
      </w:r>
      <w:r w:rsidR="004E1ECF" w:rsidRPr="00D757CD">
        <w:t>costs</w:t>
      </w:r>
      <w:r w:rsidR="007F61C9" w:rsidRPr="00D757CD">
        <w:t xml:space="preserve">. </w:t>
      </w:r>
    </w:p>
    <w:p w14:paraId="500E1C35" w14:textId="5E140363" w:rsidR="006738C0" w:rsidRPr="00487636" w:rsidRDefault="00421C55" w:rsidP="006D5481">
      <w:pPr>
        <w:pStyle w:val="05Paragraph"/>
      </w:pPr>
      <w:r>
        <w:t>One</w:t>
      </w:r>
      <w:r w:rsidR="001D2B5E">
        <w:t xml:space="preserve"> submitter </w:t>
      </w:r>
      <w:r w:rsidR="009450E7">
        <w:t xml:space="preserve">considered </w:t>
      </w:r>
      <w:r w:rsidR="007F61C9" w:rsidRPr="00487636">
        <w:t>that the EO&amp;C Budget</w:t>
      </w:r>
      <w:r w:rsidR="0067302D" w:rsidRPr="00487636">
        <w:t xml:space="preserve"> </w:t>
      </w:r>
      <w:r w:rsidR="009450E7">
        <w:t>was</w:t>
      </w:r>
      <w:r w:rsidR="0067302D" w:rsidRPr="00487636">
        <w:t xml:space="preserve"> insufficient to </w:t>
      </w:r>
      <w:r w:rsidR="006738C0" w:rsidRPr="00487636">
        <w:t>cover</w:t>
      </w:r>
      <w:r w:rsidR="0067302D" w:rsidRPr="00487636">
        <w:t xml:space="preserve"> the </w:t>
      </w:r>
      <w:r w:rsidR="006738C0" w:rsidRPr="00487636">
        <w:t>increasing</w:t>
      </w:r>
      <w:r w:rsidR="0067302D" w:rsidRPr="00487636">
        <w:t xml:space="preserve"> cost</w:t>
      </w:r>
      <w:r w:rsidR="006738C0" w:rsidRPr="00487636">
        <w:t>s</w:t>
      </w:r>
      <w:r w:rsidR="0067302D" w:rsidRPr="00487636">
        <w:t xml:space="preserve"> of postal services</w:t>
      </w:r>
      <w:r w:rsidR="00955185">
        <w:t>, which limits the ability of MPs to communicate with their constituents</w:t>
      </w:r>
      <w:r w:rsidR="0067302D" w:rsidRPr="00487636">
        <w:t xml:space="preserve">. </w:t>
      </w:r>
    </w:p>
    <w:p w14:paraId="4CD043B3" w14:textId="12A424BA" w:rsidR="001C26C6" w:rsidRPr="00487636" w:rsidRDefault="00971188" w:rsidP="00DB1340">
      <w:pPr>
        <w:pStyle w:val="05Paragraph"/>
      </w:pPr>
      <w:r>
        <w:t xml:space="preserve">The Tribunal </w:t>
      </w:r>
      <w:r w:rsidR="007821B1">
        <w:t>decided</w:t>
      </w:r>
      <w:r w:rsidR="00D5147A">
        <w:t xml:space="preserve"> to </w:t>
      </w:r>
      <w:r w:rsidR="00693F1E">
        <w:t xml:space="preserve">increase </w:t>
      </w:r>
      <w:r w:rsidR="000604AA">
        <w:t xml:space="preserve">the EO&amp;C </w:t>
      </w:r>
      <w:r w:rsidR="004F1459">
        <w:t>B</w:t>
      </w:r>
      <w:r w:rsidR="000604AA">
        <w:t>udget</w:t>
      </w:r>
      <w:r w:rsidR="00D5147A">
        <w:t xml:space="preserve"> </w:t>
      </w:r>
      <w:r w:rsidR="00BB4EDB">
        <w:t>using expenditure we</w:t>
      </w:r>
      <w:r w:rsidR="00651627">
        <w:t xml:space="preserve">ights </w:t>
      </w:r>
      <w:r w:rsidR="00B90F8E">
        <w:t xml:space="preserve">based on </w:t>
      </w:r>
      <w:r w:rsidR="00E6596F">
        <w:t xml:space="preserve">the latest </w:t>
      </w:r>
      <w:r w:rsidR="00A03AB1">
        <w:t xml:space="preserve">claims </w:t>
      </w:r>
      <w:r w:rsidR="00301308">
        <w:t>data</w:t>
      </w:r>
      <w:r w:rsidR="00182D9A">
        <w:t xml:space="preserve">. </w:t>
      </w:r>
      <w:r w:rsidR="002F6974">
        <w:t xml:space="preserve">The Tribunal </w:t>
      </w:r>
      <w:r w:rsidR="000E39E8">
        <w:t xml:space="preserve">then </w:t>
      </w:r>
      <w:r w:rsidR="00E51363">
        <w:t xml:space="preserve">applied </w:t>
      </w:r>
      <w:r w:rsidR="00154432" w:rsidRPr="000D45F3">
        <w:t xml:space="preserve">the </w:t>
      </w:r>
      <w:r w:rsidR="00321F2F">
        <w:t xml:space="preserve">annual change in the </w:t>
      </w:r>
      <w:r w:rsidR="00A460AB">
        <w:t>‘</w:t>
      </w:r>
      <w:r w:rsidR="00154432" w:rsidRPr="000D45F3">
        <w:t>postal services</w:t>
      </w:r>
      <w:r w:rsidR="00A460AB">
        <w:t>’</w:t>
      </w:r>
      <w:r w:rsidR="00154432" w:rsidRPr="000D45F3">
        <w:t xml:space="preserve"> sub-group of the Melbourne CPI</w:t>
      </w:r>
      <w:r w:rsidR="00154432">
        <w:t xml:space="preserve"> </w:t>
      </w:r>
      <w:r w:rsidR="00321F2F">
        <w:t xml:space="preserve">to March 2024 </w:t>
      </w:r>
      <w:r w:rsidR="00D33161">
        <w:t xml:space="preserve">to postal costs </w:t>
      </w:r>
      <w:r w:rsidR="00DD4955">
        <w:t xml:space="preserve">and the </w:t>
      </w:r>
      <w:r w:rsidR="00DB1340" w:rsidRPr="00487636">
        <w:t>annual change in the Melbourne CPI</w:t>
      </w:r>
      <w:r w:rsidR="00DB1340">
        <w:t xml:space="preserve"> </w:t>
      </w:r>
      <w:r w:rsidR="00154432">
        <w:t>over the same period</w:t>
      </w:r>
      <w:r w:rsidR="00DB1340">
        <w:t xml:space="preserve"> to all other costs.</w:t>
      </w:r>
      <w:r w:rsidR="00AC34EA">
        <w:t xml:space="preserve"> The overall </w:t>
      </w:r>
      <w:r w:rsidR="00D33C0B">
        <w:t xml:space="preserve">increase to the EO&amp;C Budget is </w:t>
      </w:r>
      <w:r w:rsidR="001B16CF">
        <w:t xml:space="preserve">6.1 per cent </w:t>
      </w:r>
      <w:r w:rsidR="00F05E5B">
        <w:t>on a per voter</w:t>
      </w:r>
      <w:r w:rsidR="00D22812">
        <w:t> </w:t>
      </w:r>
      <w:r w:rsidR="006253D2">
        <w:t>basis</w:t>
      </w:r>
      <w:r w:rsidR="00F05E5B">
        <w:t>.</w:t>
      </w:r>
      <w:r w:rsidR="00CB3CF4">
        <w:t xml:space="preserve"> </w:t>
      </w:r>
    </w:p>
    <w:p w14:paraId="4CAECD8F" w14:textId="1226F8FD" w:rsidR="006D5481" w:rsidRPr="00364AB5" w:rsidRDefault="00651274" w:rsidP="006D5481">
      <w:pPr>
        <w:pStyle w:val="03VIRTHeading3"/>
      </w:pPr>
      <w:r>
        <w:t>Adjustment to t</w:t>
      </w:r>
      <w:r w:rsidR="006D5481" w:rsidRPr="00364AB5">
        <w:t>ravel and transport-related allowances</w:t>
      </w:r>
    </w:p>
    <w:p w14:paraId="20DC2100" w14:textId="3C4024C1" w:rsidR="007F6C11" w:rsidRPr="007F6C11" w:rsidRDefault="007F6C11" w:rsidP="007F6C11">
      <w:pPr>
        <w:pStyle w:val="05Paragraph"/>
      </w:pPr>
      <w:r w:rsidRPr="007F6C11">
        <w:t xml:space="preserve">The travel and transport-related allowances are </w:t>
      </w:r>
      <w:r w:rsidR="00FB104F">
        <w:t>designed</w:t>
      </w:r>
      <w:r w:rsidRPr="007F6C11">
        <w:t xml:space="preserve"> to cover work</w:t>
      </w:r>
      <w:r w:rsidRPr="007F6C11">
        <w:noBreakHyphen/>
        <w:t xml:space="preserve">related travel and transport </w:t>
      </w:r>
      <w:r w:rsidR="00FB104F">
        <w:t>expenses</w:t>
      </w:r>
      <w:r w:rsidRPr="007F6C11">
        <w:t xml:space="preserve"> incurred by MPs </w:t>
      </w:r>
      <w:r w:rsidR="00A6745F">
        <w:t>while</w:t>
      </w:r>
      <w:r w:rsidR="00FB104F">
        <w:t xml:space="preserve"> performing</w:t>
      </w:r>
      <w:r w:rsidRPr="007F6C11">
        <w:t xml:space="preserve"> their public duties.</w:t>
      </w:r>
      <w:r w:rsidRPr="007F6C11">
        <w:rPr>
          <w:rStyle w:val="FootnoteReference"/>
        </w:rPr>
        <w:footnoteReference w:id="30"/>
      </w:r>
      <w:r w:rsidRPr="007F6C11">
        <w:t xml:space="preserve"> </w:t>
      </w:r>
      <w:r w:rsidR="00A6745F">
        <w:t>These allowances ensure that MPs are reimbursed for costs associated with fulfilling their responsibilities across various locations.</w:t>
      </w:r>
    </w:p>
    <w:p w14:paraId="5BAD5C4D" w14:textId="43107ECB" w:rsidR="002A61C9" w:rsidRDefault="001B6612" w:rsidP="002A61C9">
      <w:pPr>
        <w:pStyle w:val="04VIRTheading4"/>
      </w:pPr>
      <w:r>
        <w:t>Motor vehicle allowance</w:t>
      </w:r>
    </w:p>
    <w:p w14:paraId="68055491" w14:textId="77777777" w:rsidR="001B6612" w:rsidRPr="006C42F5" w:rsidRDefault="001B6612" w:rsidP="001B6612">
      <w:pPr>
        <w:pStyle w:val="05Paragraph"/>
      </w:pPr>
      <w:r>
        <w:t xml:space="preserve">The motor vehicle allowance is available to MPs who opt not to receive a fully maintained motor vehicle. </w:t>
      </w:r>
      <w:r w:rsidRPr="00587D36">
        <w:t xml:space="preserve">MPs are expected to use </w:t>
      </w:r>
      <w:r w:rsidRPr="00977DC5">
        <w:t>th</w:t>
      </w:r>
      <w:r>
        <w:t>is</w:t>
      </w:r>
      <w:r w:rsidRPr="00587D36">
        <w:t xml:space="preserve"> allowance to cover the cost</w:t>
      </w:r>
      <w:r>
        <w:t>s</w:t>
      </w:r>
      <w:r w:rsidRPr="00587D36">
        <w:t xml:space="preserve"> of any </w:t>
      </w:r>
      <w:r>
        <w:t xml:space="preserve">necessary </w:t>
      </w:r>
      <w:r w:rsidRPr="00587D36">
        <w:t xml:space="preserve">motor vehicle travel within Victoria </w:t>
      </w:r>
      <w:r>
        <w:t>related to their</w:t>
      </w:r>
      <w:r w:rsidRPr="00587D36">
        <w:t xml:space="preserve"> public</w:t>
      </w:r>
      <w:r>
        <w:t> </w:t>
      </w:r>
      <w:r w:rsidRPr="00587D36">
        <w:t>duties.</w:t>
      </w:r>
      <w:r>
        <w:rPr>
          <w:rStyle w:val="FootnoteReference"/>
        </w:rPr>
        <w:footnoteReference w:id="31"/>
      </w:r>
    </w:p>
    <w:p w14:paraId="0F444BFC" w14:textId="092BB1F9" w:rsidR="001B6612" w:rsidRPr="00CF5D1E" w:rsidRDefault="001B6612" w:rsidP="001B6612">
      <w:pPr>
        <w:pStyle w:val="05Paragraph"/>
        <w:rPr>
          <w:b/>
          <w:bCs/>
        </w:rPr>
      </w:pPr>
      <w:r>
        <w:t>The Tribunal has increased the value of the</w:t>
      </w:r>
      <w:r w:rsidRPr="007460D0">
        <w:t xml:space="preserve"> </w:t>
      </w:r>
      <w:r>
        <w:t xml:space="preserve">motor vehicle allowance by 3.4 per cent, in line with the annual growth in the </w:t>
      </w:r>
      <w:r w:rsidR="0046213E">
        <w:t>‘</w:t>
      </w:r>
      <w:r>
        <w:t>transport</w:t>
      </w:r>
      <w:r w:rsidR="0046213E">
        <w:t>’</w:t>
      </w:r>
      <w:r>
        <w:t xml:space="preserve"> group of Melbourne CPI to March 2024.</w:t>
      </w:r>
    </w:p>
    <w:p w14:paraId="6BA3C9F7" w14:textId="183A4F46" w:rsidR="00364AB5" w:rsidRDefault="00364AB5" w:rsidP="00364AB5">
      <w:pPr>
        <w:pStyle w:val="04VIRTheading4"/>
      </w:pPr>
      <w:r w:rsidRPr="00364AB5">
        <w:t>Travel allowance</w:t>
      </w:r>
    </w:p>
    <w:p w14:paraId="797EE87C" w14:textId="25D560CB" w:rsidR="007724A3" w:rsidRDefault="007724A3" w:rsidP="007724A3">
      <w:pPr>
        <w:pStyle w:val="05Paragraph"/>
      </w:pPr>
      <w:r>
        <w:t xml:space="preserve">The travel allowance </w:t>
      </w:r>
      <w:r w:rsidR="00154FAE">
        <w:t>reimburses MPs for</w:t>
      </w:r>
      <w:r>
        <w:t xml:space="preserve"> the cost</w:t>
      </w:r>
      <w:r w:rsidR="007C33B0">
        <w:t>s</w:t>
      </w:r>
      <w:r>
        <w:t xml:space="preserve"> of accommodation, meals and incidentals </w:t>
      </w:r>
      <w:r w:rsidR="00C53BE2">
        <w:t>incurred during</w:t>
      </w:r>
      <w:r>
        <w:t xml:space="preserve"> domestic</w:t>
      </w:r>
      <w:r w:rsidR="00C53BE2">
        <w:t xml:space="preserve"> travel</w:t>
      </w:r>
      <w:r>
        <w:t>.</w:t>
      </w:r>
      <w:r w:rsidR="00304F7D">
        <w:t xml:space="preserve"> This allowance is available to all MPs on a reimbursement basis.</w:t>
      </w:r>
      <w:r w:rsidR="00993885">
        <w:rPr>
          <w:rStyle w:val="FootnoteReference"/>
        </w:rPr>
        <w:footnoteReference w:id="32"/>
      </w:r>
    </w:p>
    <w:p w14:paraId="6B158FD1" w14:textId="4A8ACEF3" w:rsidR="00140094" w:rsidRPr="00977DC5" w:rsidRDefault="00140094" w:rsidP="007724A3">
      <w:pPr>
        <w:pStyle w:val="05Paragraph"/>
      </w:pPr>
      <w:r w:rsidRPr="00977DC5">
        <w:t xml:space="preserve">In the Comprehensive Determination, the Tribunal set the </w:t>
      </w:r>
      <w:r w:rsidR="00082988">
        <w:t>‘</w:t>
      </w:r>
      <w:r w:rsidRPr="00977DC5">
        <w:t>travel</w:t>
      </w:r>
      <w:r w:rsidR="00082988">
        <w:t>ling</w:t>
      </w:r>
      <w:r w:rsidRPr="00977DC5">
        <w:t xml:space="preserve"> allowance </w:t>
      </w:r>
      <w:r w:rsidR="00082988">
        <w:t xml:space="preserve">rate’ </w:t>
      </w:r>
      <w:r w:rsidR="0031084B" w:rsidRPr="00487636">
        <w:t>for</w:t>
      </w:r>
      <w:r w:rsidRPr="00977DC5">
        <w:t xml:space="preserve"> overnight </w:t>
      </w:r>
      <w:r w:rsidRPr="00487636">
        <w:t>stay</w:t>
      </w:r>
      <w:r w:rsidR="0031084B" w:rsidRPr="00487636">
        <w:t>s</w:t>
      </w:r>
      <w:r w:rsidRPr="00977DC5">
        <w:t xml:space="preserve"> in commercial accommodation </w:t>
      </w:r>
      <w:r w:rsidR="00D03DB0">
        <w:t>to match</w:t>
      </w:r>
      <w:r w:rsidRPr="00977DC5">
        <w:t xml:space="preserve"> the rate </w:t>
      </w:r>
      <w:r w:rsidR="00D03DB0">
        <w:t>established</w:t>
      </w:r>
      <w:r>
        <w:t xml:space="preserve"> </w:t>
      </w:r>
      <w:r w:rsidRPr="00977DC5">
        <w:t>by the Commonwealth Remuneration Tribunal.</w:t>
      </w:r>
      <w:r w:rsidR="006477DC">
        <w:rPr>
          <w:rStyle w:val="FootnoteReference"/>
        </w:rPr>
        <w:footnoteReference w:id="33"/>
      </w:r>
      <w:r w:rsidR="005C64B6" w:rsidRPr="00487636">
        <w:t xml:space="preserve"> The Tribunal has </w:t>
      </w:r>
      <w:r w:rsidR="0031084B" w:rsidRPr="00487636">
        <w:t>chosen</w:t>
      </w:r>
      <w:r w:rsidR="00604C6A" w:rsidRPr="00487636">
        <w:t xml:space="preserve"> to </w:t>
      </w:r>
      <w:r w:rsidR="0031084B" w:rsidRPr="00487636">
        <w:t>maintain</w:t>
      </w:r>
      <w:r w:rsidR="00604C6A" w:rsidRPr="00487636">
        <w:t xml:space="preserve"> this </w:t>
      </w:r>
      <w:r w:rsidR="0016464D" w:rsidRPr="00487636">
        <w:t>alignment,</w:t>
      </w:r>
      <w:r w:rsidR="00604C6A" w:rsidRPr="00487636">
        <w:t xml:space="preserve"> so the travel allowance will </w:t>
      </w:r>
      <w:r w:rsidR="001322EC">
        <w:t xml:space="preserve">continue to </w:t>
      </w:r>
      <w:r w:rsidR="00604C6A" w:rsidRPr="00487636">
        <w:t xml:space="preserve">be adjusted </w:t>
      </w:r>
      <w:r w:rsidR="0016464D" w:rsidRPr="00487636">
        <w:t>in accordance with</w:t>
      </w:r>
      <w:r w:rsidR="00604C6A" w:rsidRPr="00487636">
        <w:t xml:space="preserve"> </w:t>
      </w:r>
      <w:r w:rsidR="001322EC">
        <w:t>future</w:t>
      </w:r>
      <w:r w:rsidR="004362D7" w:rsidRPr="00487636">
        <w:t xml:space="preserve"> </w:t>
      </w:r>
      <w:r w:rsidR="00604C6A" w:rsidRPr="00487636">
        <w:t>Determination</w:t>
      </w:r>
      <w:r w:rsidR="001322EC">
        <w:t>s</w:t>
      </w:r>
      <w:r w:rsidR="004362D7" w:rsidRPr="00487636">
        <w:t xml:space="preserve"> </w:t>
      </w:r>
      <w:r w:rsidR="00153AE8">
        <w:t xml:space="preserve">made by </w:t>
      </w:r>
      <w:r w:rsidR="004362D7" w:rsidRPr="00487636">
        <w:t>the Commonwealth Remuneration Tribunal.</w:t>
      </w:r>
    </w:p>
    <w:p w14:paraId="3E3E578F" w14:textId="3690F9A2" w:rsidR="007F6C11" w:rsidRPr="00364AB5" w:rsidRDefault="007F6C11" w:rsidP="00364AB5">
      <w:pPr>
        <w:pStyle w:val="04VIRTheading4"/>
      </w:pPr>
      <w:r>
        <w:t>Parliamentary accommodation sitting allowance</w:t>
      </w:r>
    </w:p>
    <w:p w14:paraId="3AC6AD3F" w14:textId="17D3E3C9" w:rsidR="00CC3F8A" w:rsidRDefault="00E818FA" w:rsidP="00CC3F8A">
      <w:pPr>
        <w:pStyle w:val="05Paragraph"/>
      </w:pPr>
      <w:r>
        <w:t>The PASA is available to MPs in regional electorates</w:t>
      </w:r>
      <w:r w:rsidR="004E3460">
        <w:t xml:space="preserve"> who choose to maintain a second residence in metropolitan Melbourne to assist them in carrying out their public duties.</w:t>
      </w:r>
      <w:r w:rsidR="007356B5">
        <w:rPr>
          <w:rStyle w:val="FootnoteReference"/>
        </w:rPr>
        <w:footnoteReference w:id="34"/>
      </w:r>
      <w:r w:rsidR="004E3460">
        <w:t xml:space="preserve"> The value </w:t>
      </w:r>
      <w:r w:rsidR="00444D68">
        <w:t xml:space="preserve">of this allowance </w:t>
      </w:r>
      <w:r w:rsidR="004E3460">
        <w:t>varies depending on the office held by the MP</w:t>
      </w:r>
      <w:r w:rsidR="00444D68">
        <w:t xml:space="preserve">, </w:t>
      </w:r>
      <w:r w:rsidR="004E3460">
        <w:t>if any</w:t>
      </w:r>
      <w:r w:rsidR="00444D68">
        <w:t>, and</w:t>
      </w:r>
      <w:r w:rsidR="00DB299E">
        <w:t xml:space="preserve"> is paid as a fixed amount, provided the MP meets the eligibility</w:t>
      </w:r>
      <w:r w:rsidR="005B6687">
        <w:t> </w:t>
      </w:r>
      <w:r w:rsidR="00DB299E">
        <w:t>criteria.</w:t>
      </w:r>
    </w:p>
    <w:p w14:paraId="732E8B8A" w14:textId="4A320D9A" w:rsidR="00517563" w:rsidRDefault="00517563" w:rsidP="00CC3F8A">
      <w:pPr>
        <w:pStyle w:val="05Paragraph"/>
      </w:pPr>
      <w:r>
        <w:t xml:space="preserve">In the </w:t>
      </w:r>
      <w:r w:rsidR="00917CC0">
        <w:t>C</w:t>
      </w:r>
      <w:r w:rsidR="00AE20AE">
        <w:t xml:space="preserve">omprehensive </w:t>
      </w:r>
      <w:r w:rsidR="00917CC0">
        <w:t>D</w:t>
      </w:r>
      <w:r w:rsidR="00AE20AE">
        <w:t>etermination, the</w:t>
      </w:r>
      <w:r w:rsidR="00917CC0">
        <w:t xml:space="preserve"> </w:t>
      </w:r>
      <w:r w:rsidR="00D63287">
        <w:t xml:space="preserve">Tribunal </w:t>
      </w:r>
      <w:r w:rsidR="009060F7">
        <w:t>decided to retain the PASA</w:t>
      </w:r>
      <w:r w:rsidR="0037508B">
        <w:t xml:space="preserve"> noting that </w:t>
      </w:r>
      <w:r w:rsidR="00C96F10">
        <w:t xml:space="preserve">it </w:t>
      </w:r>
      <w:r w:rsidR="009060F7">
        <w:t>provide</w:t>
      </w:r>
      <w:r w:rsidR="0037508B">
        <w:t>d</w:t>
      </w:r>
      <w:r w:rsidR="009060F7">
        <w:t xml:space="preserve"> support </w:t>
      </w:r>
      <w:r w:rsidR="0037508B">
        <w:t>for</w:t>
      </w:r>
      <w:r w:rsidR="009060F7">
        <w:t xml:space="preserve"> </w:t>
      </w:r>
      <w:r w:rsidR="0037508B">
        <w:t xml:space="preserve">people </w:t>
      </w:r>
      <w:r w:rsidR="00B50676">
        <w:t xml:space="preserve">in regional areas with family responsibilities to stand for Parliament and represent their communities. At that time, the Tribunal </w:t>
      </w:r>
      <w:r w:rsidR="001F6EF2">
        <w:t xml:space="preserve">did not </w:t>
      </w:r>
      <w:r w:rsidR="00AB36B2">
        <w:t>adjust</w:t>
      </w:r>
      <w:r w:rsidR="001F6EF2">
        <w:t xml:space="preserve"> the value </w:t>
      </w:r>
      <w:r w:rsidR="00DF7360">
        <w:t>of the PASA</w:t>
      </w:r>
      <w:r w:rsidR="0010245A">
        <w:t xml:space="preserve">, which </w:t>
      </w:r>
      <w:r w:rsidR="00AB36B2">
        <w:t>has remained unchanged since 2020.</w:t>
      </w:r>
      <w:r w:rsidR="00CF0E20">
        <w:rPr>
          <w:rStyle w:val="FootnoteReference"/>
        </w:rPr>
        <w:footnoteReference w:id="35"/>
      </w:r>
    </w:p>
    <w:p w14:paraId="6DB27532" w14:textId="7311416E" w:rsidR="009F265F" w:rsidRPr="008724C1" w:rsidRDefault="007D4DA8" w:rsidP="009F265F">
      <w:pPr>
        <w:pStyle w:val="05Paragraph"/>
        <w:rPr>
          <w:b/>
          <w:bCs/>
        </w:rPr>
      </w:pPr>
      <w:r>
        <w:t xml:space="preserve">Having regard to the purpose </w:t>
      </w:r>
      <w:r w:rsidR="006E2032">
        <w:t xml:space="preserve">of the PASA and </w:t>
      </w:r>
      <w:r w:rsidR="0066160E">
        <w:t>relevant bench</w:t>
      </w:r>
      <w:r w:rsidR="00225764">
        <w:t xml:space="preserve">marks, including the value of the travel allowance, the </w:t>
      </w:r>
      <w:r w:rsidR="009F265F">
        <w:t>Tribunal</w:t>
      </w:r>
      <w:r w:rsidR="00CD6A9D">
        <w:t xml:space="preserve"> decided to increase the PASA </w:t>
      </w:r>
      <w:r w:rsidR="006B74FE">
        <w:t>by 3.6 per cent</w:t>
      </w:r>
      <w:r w:rsidR="00EE1FC6">
        <w:t xml:space="preserve">. </w:t>
      </w:r>
      <w:r w:rsidR="00EE1FC6" w:rsidRPr="007460D0">
        <w:t xml:space="preserve">This </w:t>
      </w:r>
      <w:r w:rsidR="00B72D59">
        <w:t>reflects</w:t>
      </w:r>
      <w:r w:rsidR="009F265F">
        <w:t xml:space="preserve"> annual growth in </w:t>
      </w:r>
      <w:r w:rsidR="002037B5">
        <w:t xml:space="preserve">the </w:t>
      </w:r>
      <w:r w:rsidR="009F265F">
        <w:t xml:space="preserve">Melbourne CPI </w:t>
      </w:r>
      <w:r w:rsidR="00FD7D31">
        <w:t>(</w:t>
      </w:r>
      <w:r w:rsidR="009F265F">
        <w:t>to March</w:t>
      </w:r>
      <w:r w:rsidR="00FE055C">
        <w:t> </w:t>
      </w:r>
      <w:r w:rsidR="009F265F">
        <w:t>2024</w:t>
      </w:r>
      <w:r w:rsidR="00FD7D31">
        <w:t>)</w:t>
      </w:r>
      <w:r w:rsidR="009F265F">
        <w:t>.</w:t>
      </w:r>
    </w:p>
    <w:p w14:paraId="473CC423" w14:textId="43713F32" w:rsidR="00364AB5" w:rsidRPr="00364AB5" w:rsidRDefault="00364AB5" w:rsidP="00364AB5">
      <w:pPr>
        <w:pStyle w:val="04VIRTheading4"/>
      </w:pPr>
      <w:r w:rsidRPr="00364AB5">
        <w:t>Commercial transport allowance</w:t>
      </w:r>
    </w:p>
    <w:p w14:paraId="2AD30873" w14:textId="40120883" w:rsidR="00DB299E" w:rsidRDefault="00DC0285" w:rsidP="00DB299E">
      <w:pPr>
        <w:pStyle w:val="05Paragraph"/>
      </w:pPr>
      <w:r>
        <w:t>The commercial transport allowance covers the cost of transport undertaken by an MP within Australia to perform their public duties.</w:t>
      </w:r>
      <w:r w:rsidR="004E4F0F">
        <w:rPr>
          <w:rStyle w:val="FootnoteReference"/>
        </w:rPr>
        <w:footnoteReference w:id="36"/>
      </w:r>
      <w:r>
        <w:t xml:space="preserve"> </w:t>
      </w:r>
      <w:r w:rsidR="009D78A2">
        <w:t>This allowance</w:t>
      </w:r>
      <w:r>
        <w:t xml:space="preserve"> is available to all MPs on a reimbursement basis.</w:t>
      </w:r>
    </w:p>
    <w:p w14:paraId="164B21DF" w14:textId="74585D7A" w:rsidR="003F4CFF" w:rsidRDefault="00501B50" w:rsidP="00BB1377">
      <w:pPr>
        <w:pStyle w:val="05Paragraph"/>
      </w:pPr>
      <w:r>
        <w:t xml:space="preserve">Similar to the </w:t>
      </w:r>
      <w:r w:rsidR="001334B4">
        <w:t>motor vehicle allowance, th</w:t>
      </w:r>
      <w:r w:rsidR="003F4CFF">
        <w:t xml:space="preserve">e Tribunal </w:t>
      </w:r>
      <w:r>
        <w:t>decided</w:t>
      </w:r>
      <w:r w:rsidR="003F4CFF">
        <w:t xml:space="preserve"> to increase the </w:t>
      </w:r>
      <w:r w:rsidR="00277D67">
        <w:t xml:space="preserve">value of the </w:t>
      </w:r>
      <w:r w:rsidR="003F4CFF">
        <w:t>commercial transport allowance by 3.4 per cent</w:t>
      </w:r>
      <w:r w:rsidR="001334B4">
        <w:t xml:space="preserve">, </w:t>
      </w:r>
      <w:r w:rsidR="001334B4" w:rsidRPr="001334B4">
        <w:t xml:space="preserve">in line with the annual growth in the ‘transport’ group of </w:t>
      </w:r>
      <w:r w:rsidR="00837E70">
        <w:t xml:space="preserve">the </w:t>
      </w:r>
      <w:r w:rsidR="001334B4" w:rsidRPr="001334B4">
        <w:t>Melbourne CPI (to March 2024)</w:t>
      </w:r>
      <w:r w:rsidR="003F4CFF">
        <w:t>.</w:t>
      </w:r>
    </w:p>
    <w:p w14:paraId="4AA44EEA" w14:textId="66406CD5" w:rsidR="00364AB5" w:rsidRPr="00364AB5" w:rsidRDefault="00364AB5" w:rsidP="00364AB5">
      <w:pPr>
        <w:pStyle w:val="04VIRTheading4"/>
      </w:pPr>
      <w:r w:rsidRPr="00364AB5">
        <w:t>International travel allowance</w:t>
      </w:r>
    </w:p>
    <w:p w14:paraId="101C2B91" w14:textId="7E9CAB46" w:rsidR="002C3227" w:rsidRPr="00977DC5" w:rsidRDefault="00405895" w:rsidP="00AE091C">
      <w:pPr>
        <w:pStyle w:val="05Paragraph"/>
        <w:rPr>
          <w:highlight w:val="yellow"/>
        </w:rPr>
      </w:pPr>
      <w:r>
        <w:t xml:space="preserve">The international travel allowance </w:t>
      </w:r>
      <w:r w:rsidR="00065286">
        <w:t>is available to</w:t>
      </w:r>
      <w:r w:rsidR="00B24F78" w:rsidRPr="00487636">
        <w:t xml:space="preserve"> MPs for expenses incurred during </w:t>
      </w:r>
      <w:r>
        <w:t xml:space="preserve">international travel undertaken in </w:t>
      </w:r>
      <w:r w:rsidR="00B24F78" w:rsidRPr="00487636">
        <w:t xml:space="preserve">the </w:t>
      </w:r>
      <w:r w:rsidRPr="00487636">
        <w:t>perform</w:t>
      </w:r>
      <w:r w:rsidR="00B24F78" w:rsidRPr="00487636">
        <w:t>ance of</w:t>
      </w:r>
      <w:r w:rsidRPr="00487636">
        <w:t xml:space="preserve"> </w:t>
      </w:r>
      <w:r>
        <w:t>their public duties.</w:t>
      </w:r>
      <w:r w:rsidR="006B7AE5">
        <w:t xml:space="preserve"> </w:t>
      </w:r>
      <w:r w:rsidR="00B24F78" w:rsidRPr="00487636">
        <w:t>This allowance</w:t>
      </w:r>
      <w:r w:rsidR="006B7AE5">
        <w:t xml:space="preserve"> is available to all MPs on a reimbursement basis.</w:t>
      </w:r>
      <w:r w:rsidR="00F50DC7">
        <w:rPr>
          <w:rStyle w:val="FootnoteReference"/>
        </w:rPr>
        <w:footnoteReference w:id="37"/>
      </w:r>
    </w:p>
    <w:p w14:paraId="49343A44" w14:textId="2340554D" w:rsidR="00AA099B" w:rsidRDefault="00E21B12" w:rsidP="006D5481">
      <w:pPr>
        <w:pStyle w:val="05Paragraph"/>
      </w:pPr>
      <w:r w:rsidRPr="00487636">
        <w:t xml:space="preserve">In its </w:t>
      </w:r>
      <w:r w:rsidR="002766AB">
        <w:t>Comprehensive</w:t>
      </w:r>
      <w:r w:rsidRPr="00487636">
        <w:t xml:space="preserve"> Determination, the Tribunal adjusted this allowance </w:t>
      </w:r>
      <w:r w:rsidR="00FD3F73" w:rsidRPr="00487636">
        <w:t>by</w:t>
      </w:r>
      <w:r w:rsidR="00374B9D">
        <w:br/>
      </w:r>
      <w:r w:rsidR="00FD3F73" w:rsidRPr="00487636">
        <w:t xml:space="preserve">6.8 per cent </w:t>
      </w:r>
      <w:r w:rsidRPr="00487636">
        <w:t>in line with the annual change in the Melbourne CPI</w:t>
      </w:r>
      <w:r w:rsidR="00822402">
        <w:t xml:space="preserve"> due to </w:t>
      </w:r>
      <w:r w:rsidR="00FD3F73" w:rsidRPr="00487636">
        <w:t>volatility in international travel costs</w:t>
      </w:r>
      <w:r w:rsidRPr="00487636">
        <w:t>.</w:t>
      </w:r>
      <w:r w:rsidR="003B6758">
        <w:rPr>
          <w:rStyle w:val="FootnoteReference"/>
        </w:rPr>
        <w:footnoteReference w:id="38"/>
      </w:r>
      <w:r w:rsidRPr="00487636">
        <w:t xml:space="preserve"> </w:t>
      </w:r>
      <w:r w:rsidR="00957BF1">
        <w:t xml:space="preserve">While ABS </w:t>
      </w:r>
      <w:r w:rsidR="00636DFF" w:rsidRPr="00487636">
        <w:t xml:space="preserve">data </w:t>
      </w:r>
      <w:r w:rsidR="005414C4" w:rsidRPr="00487636">
        <w:t xml:space="preserve">for the </w:t>
      </w:r>
      <w:r w:rsidR="00822402">
        <w:t xml:space="preserve">year </w:t>
      </w:r>
      <w:r w:rsidR="005414C4" w:rsidRPr="00487636">
        <w:t>to March 202</w:t>
      </w:r>
      <w:r w:rsidR="00847AB0" w:rsidRPr="00487636">
        <w:t>4</w:t>
      </w:r>
      <w:r w:rsidR="005414C4" w:rsidRPr="00487636">
        <w:t xml:space="preserve"> </w:t>
      </w:r>
      <w:r w:rsidR="009462B8" w:rsidRPr="00487636">
        <w:t>indicates</w:t>
      </w:r>
      <w:r w:rsidR="005414C4" w:rsidRPr="00487636">
        <w:t xml:space="preserve"> </w:t>
      </w:r>
      <w:r w:rsidR="00626706" w:rsidRPr="00487636">
        <w:t xml:space="preserve">a </w:t>
      </w:r>
      <w:r w:rsidR="009462B8" w:rsidRPr="00487636">
        <w:t>decrease</w:t>
      </w:r>
      <w:r w:rsidR="00626706" w:rsidRPr="00487636">
        <w:t xml:space="preserve"> in </w:t>
      </w:r>
      <w:r w:rsidR="00636DFF" w:rsidRPr="00487636">
        <w:t>the cost of international travel</w:t>
      </w:r>
      <w:r w:rsidR="00335D24">
        <w:t xml:space="preserve"> (as measured by the </w:t>
      </w:r>
      <w:r w:rsidR="006830B2">
        <w:t>‘</w:t>
      </w:r>
      <w:r w:rsidR="00203BBB">
        <w:t>i</w:t>
      </w:r>
      <w:r w:rsidR="00CF0465">
        <w:t xml:space="preserve">nternational </w:t>
      </w:r>
      <w:r w:rsidR="00ED2369" w:rsidRPr="00BD7F2B">
        <w:t xml:space="preserve">holiday travel and accommodation’ </w:t>
      </w:r>
      <w:r w:rsidR="003D6376">
        <w:t>sub-group of the Melbourne CPI)</w:t>
      </w:r>
      <w:r w:rsidR="00F3593E">
        <w:t xml:space="preserve">, </w:t>
      </w:r>
      <w:r w:rsidR="00801611">
        <w:t xml:space="preserve">it is not </w:t>
      </w:r>
      <w:r w:rsidR="007E7625">
        <w:t xml:space="preserve">yet </w:t>
      </w:r>
      <w:r w:rsidR="00801611">
        <w:t xml:space="preserve">clear that </w:t>
      </w:r>
      <w:r w:rsidR="00B01BE7">
        <w:t xml:space="preserve">international travel costs </w:t>
      </w:r>
      <w:r w:rsidR="000829DC">
        <w:t>have stabilised</w:t>
      </w:r>
      <w:r w:rsidR="00D6269B" w:rsidRPr="00487636">
        <w:t>.</w:t>
      </w:r>
      <w:r w:rsidRPr="00487636">
        <w:t xml:space="preserve"> </w:t>
      </w:r>
    </w:p>
    <w:p w14:paraId="1C1ABC10" w14:textId="5ADB7B03" w:rsidR="0052241D" w:rsidRPr="00487636" w:rsidRDefault="00E350E7" w:rsidP="006D5481">
      <w:pPr>
        <w:pStyle w:val="05Paragraph"/>
      </w:pPr>
      <w:r w:rsidRPr="00487636">
        <w:t>Consequently, t</w:t>
      </w:r>
      <w:r w:rsidR="009C61D3" w:rsidRPr="00487636">
        <w:t>he Tribunal</w:t>
      </w:r>
      <w:r w:rsidR="00DF2ACA">
        <w:t xml:space="preserve"> decided</w:t>
      </w:r>
      <w:r w:rsidR="0033599C">
        <w:t xml:space="preserve"> to</w:t>
      </w:r>
      <w:r w:rsidR="009807AC">
        <w:t xml:space="preserve"> increase the </w:t>
      </w:r>
      <w:r w:rsidR="00F0407F">
        <w:t>international</w:t>
      </w:r>
      <w:r w:rsidR="009807AC">
        <w:t xml:space="preserve"> travel allowance</w:t>
      </w:r>
      <w:r w:rsidR="001123CA" w:rsidRPr="00487636">
        <w:t xml:space="preserve"> </w:t>
      </w:r>
      <w:r w:rsidR="009807AC">
        <w:t>by</w:t>
      </w:r>
      <w:r w:rsidR="001123CA" w:rsidRPr="00487636">
        <w:t xml:space="preserve"> 3.6 per cent</w:t>
      </w:r>
      <w:r w:rsidR="009807AC">
        <w:t>,</w:t>
      </w:r>
      <w:r w:rsidR="008B43C9" w:rsidRPr="00487636">
        <w:t xml:space="preserve"> </w:t>
      </w:r>
      <w:r w:rsidR="00F0407F">
        <w:t xml:space="preserve">which reflects the </w:t>
      </w:r>
      <w:r w:rsidR="008B43C9" w:rsidRPr="00487636">
        <w:t xml:space="preserve">annual </w:t>
      </w:r>
      <w:r w:rsidR="00F0407F">
        <w:t>growth in</w:t>
      </w:r>
      <w:r w:rsidR="008B43C9" w:rsidRPr="00487636">
        <w:t xml:space="preserve"> Melbourne CPI</w:t>
      </w:r>
      <w:r w:rsidR="00F0407F">
        <w:t xml:space="preserve"> (to March 2024)</w:t>
      </w:r>
      <w:r w:rsidR="009C61D3" w:rsidRPr="00487636">
        <w:t xml:space="preserve">. </w:t>
      </w:r>
    </w:p>
    <w:p w14:paraId="5A587DF7" w14:textId="3D58961C" w:rsidR="004D3C39" w:rsidRDefault="006D5481" w:rsidP="006D5481">
      <w:pPr>
        <w:pStyle w:val="02VIRTHeading2"/>
      </w:pPr>
      <w:bookmarkStart w:id="107" w:name="_Toc170383551"/>
      <w:bookmarkStart w:id="108" w:name="_Toc42465607"/>
      <w:bookmarkStart w:id="109" w:name="_Toc43378846"/>
      <w:bookmarkStart w:id="110" w:name="_Toc74833679"/>
      <w:r w:rsidRPr="0032133A">
        <w:t>3.</w:t>
      </w:r>
      <w:r w:rsidR="004D3C39">
        <w:t>3</w:t>
      </w:r>
      <w:r w:rsidRPr="0032133A">
        <w:tab/>
      </w:r>
      <w:r w:rsidR="004D3C39">
        <w:t>Other matte</w:t>
      </w:r>
      <w:r w:rsidR="00AF0B12">
        <w:t>r</w:t>
      </w:r>
      <w:r w:rsidR="004D3C39">
        <w:t xml:space="preserve">s raised </w:t>
      </w:r>
      <w:r w:rsidR="00AE2FCB">
        <w:t>with the Tribunal</w:t>
      </w:r>
      <w:bookmarkEnd w:id="107"/>
    </w:p>
    <w:p w14:paraId="665C3BE0" w14:textId="3C033CDB" w:rsidR="00BE14DB" w:rsidRDefault="00BE14DB" w:rsidP="00AE2FCB">
      <w:pPr>
        <w:pStyle w:val="05Paragraph"/>
      </w:pPr>
      <w:r>
        <w:t xml:space="preserve">Some submissions raised other matters </w:t>
      </w:r>
      <w:r w:rsidR="002E0A35">
        <w:t>related to</w:t>
      </w:r>
      <w:r w:rsidR="00E3794B">
        <w:t xml:space="preserve"> the broader regulatory framework governing </w:t>
      </w:r>
      <w:r w:rsidR="002E3E69">
        <w:t>MP salaries and allowances</w:t>
      </w:r>
      <w:r w:rsidR="00AB0C3C">
        <w:t xml:space="preserve">, including </w:t>
      </w:r>
      <w:r w:rsidR="00AD1DEA">
        <w:t>the Tribunal’s</w:t>
      </w:r>
      <w:r w:rsidR="00AB0C3C">
        <w:t xml:space="preserve"> MP Guidelines which </w:t>
      </w:r>
      <w:r w:rsidR="00C0540F">
        <w:t xml:space="preserve">set rules </w:t>
      </w:r>
      <w:r w:rsidR="006C6707">
        <w:t xml:space="preserve">and eligibility criteria for </w:t>
      </w:r>
      <w:r w:rsidR="00BF411D">
        <w:t>the use of certain work</w:t>
      </w:r>
      <w:r w:rsidR="003C6F2F">
        <w:noBreakHyphen/>
      </w:r>
      <w:r w:rsidR="00BF411D">
        <w:t>related parliamentary allowances and the EO&amp;C Budget.</w:t>
      </w:r>
    </w:p>
    <w:p w14:paraId="3FAFE9B0" w14:textId="12089A5A" w:rsidR="00803F2E" w:rsidRDefault="002E3E69" w:rsidP="00803F2E">
      <w:pPr>
        <w:pStyle w:val="06VIRTBulletpoints"/>
        <w:numPr>
          <w:ilvl w:val="0"/>
          <w:numId w:val="0"/>
        </w:numPr>
      </w:pPr>
      <w:r>
        <w:t xml:space="preserve">One submission </w:t>
      </w:r>
      <w:r w:rsidR="00247F18">
        <w:t>requested the</w:t>
      </w:r>
      <w:r w:rsidR="00BF411D">
        <w:t xml:space="preserve"> Tribunal provide </w:t>
      </w:r>
      <w:r w:rsidR="00BA4D8C">
        <w:t xml:space="preserve">greater flexibility </w:t>
      </w:r>
      <w:r w:rsidR="0082781B">
        <w:t>in the use of certain work-related parliamentary allowance</w:t>
      </w:r>
      <w:r w:rsidR="00AD1897">
        <w:t>s</w:t>
      </w:r>
      <w:r w:rsidR="00803F2E" w:rsidRPr="007460D0">
        <w:t xml:space="preserve"> </w:t>
      </w:r>
      <w:r w:rsidR="00197FFE">
        <w:t xml:space="preserve">to </w:t>
      </w:r>
      <w:r w:rsidR="00803F2E" w:rsidRPr="007460D0">
        <w:t>support MPs with a medical condition or illness to undertake their public duties</w:t>
      </w:r>
      <w:r w:rsidR="00803F2E">
        <w:t xml:space="preserve">. </w:t>
      </w:r>
      <w:r w:rsidR="00803F2E" w:rsidRPr="00781707">
        <w:t xml:space="preserve">The Tribunal </w:t>
      </w:r>
      <w:r w:rsidR="00BC11B7">
        <w:br/>
      </w:r>
      <w:r w:rsidR="00803F2E" w:rsidRPr="00781707">
        <w:t xml:space="preserve">agrees-in-principle </w:t>
      </w:r>
      <w:r w:rsidR="004772F1">
        <w:t xml:space="preserve">that greater flexibility should be provided </w:t>
      </w:r>
      <w:r w:rsidR="00803F2E" w:rsidRPr="00781707">
        <w:t xml:space="preserve">and </w:t>
      </w:r>
      <w:r w:rsidR="00352C45">
        <w:t>intends</w:t>
      </w:r>
      <w:r w:rsidR="00803F2E" w:rsidRPr="00781707">
        <w:t xml:space="preserve"> to publish updated </w:t>
      </w:r>
      <w:r w:rsidR="00943A66" w:rsidRPr="00781707">
        <w:t>MP G</w:t>
      </w:r>
      <w:r w:rsidR="00803F2E" w:rsidRPr="00781707">
        <w:t>uidelines in mid-2024 as an interim step</w:t>
      </w:r>
      <w:r w:rsidR="00142A41" w:rsidRPr="00781707">
        <w:t>.</w:t>
      </w:r>
    </w:p>
    <w:p w14:paraId="6B4A1E02" w14:textId="465A381A" w:rsidR="00EB2668" w:rsidRDefault="00977B3E" w:rsidP="000E076B">
      <w:pPr>
        <w:pStyle w:val="05Paragraph"/>
      </w:pPr>
      <w:r>
        <w:t xml:space="preserve">One submitter proposed that the </w:t>
      </w:r>
      <w:r w:rsidR="00DB44BE">
        <w:t>Trib</w:t>
      </w:r>
      <w:r w:rsidR="00812174">
        <w:t>u</w:t>
      </w:r>
      <w:r w:rsidR="00DB44BE">
        <w:t>nal consi</w:t>
      </w:r>
      <w:r w:rsidR="00812174">
        <w:t>der</w:t>
      </w:r>
      <w:r w:rsidR="00CA6DF8">
        <w:t xml:space="preserve"> add</w:t>
      </w:r>
      <w:r w:rsidR="008426D8">
        <w:t>ing</w:t>
      </w:r>
      <w:r w:rsidR="00CA6DF8">
        <w:t xml:space="preserve"> a</w:t>
      </w:r>
      <w:r w:rsidR="006B7F1D">
        <w:t>n electorate to the</w:t>
      </w:r>
      <w:r w:rsidR="00807F56" w:rsidRPr="007460D0">
        <w:t xml:space="preserve"> list of electorates </w:t>
      </w:r>
      <w:r w:rsidR="008426D8">
        <w:t xml:space="preserve">in the MP Guidelines </w:t>
      </w:r>
      <w:r w:rsidR="00807F56" w:rsidRPr="007460D0">
        <w:t>for which an MP is eligible to claim the PASA</w:t>
      </w:r>
      <w:r w:rsidR="002C207A">
        <w:t xml:space="preserve">. </w:t>
      </w:r>
    </w:p>
    <w:p w14:paraId="731E5483" w14:textId="163FCF27" w:rsidR="00A97390" w:rsidRDefault="00A97390" w:rsidP="00A97390">
      <w:pPr>
        <w:pStyle w:val="05Paragraph"/>
      </w:pPr>
      <w:r w:rsidRPr="00A97390">
        <w:t>The Tribunal substantively reviewed the MP Guidelines, including the eligibility criteria for the PASA, in 2023. The Tribunal intends to consider these matters further when it undertakes its next substantive review of the Guidelines</w:t>
      </w:r>
      <w:r>
        <w:t>.</w:t>
      </w:r>
    </w:p>
    <w:p w14:paraId="0258AF2D" w14:textId="0D77A481" w:rsidR="00E95447" w:rsidRDefault="00E95447" w:rsidP="00A97390">
      <w:pPr>
        <w:pStyle w:val="05Paragraph"/>
      </w:pPr>
      <w:r>
        <w:t xml:space="preserve">Another submission </w:t>
      </w:r>
      <w:r w:rsidRPr="00A97390">
        <w:t>called</w:t>
      </w:r>
      <w:r>
        <w:t xml:space="preserve"> for changes to the MP Guidelines to</w:t>
      </w:r>
      <w:r w:rsidRPr="007460D0">
        <w:t xml:space="preserve"> </w:t>
      </w:r>
      <w:r>
        <w:t xml:space="preserve">enable additional electorate office staff funded via the EO&amp;C Budget to be employed on a </w:t>
      </w:r>
      <w:r w:rsidR="00F276C6">
        <w:br/>
      </w:r>
      <w:r>
        <w:t>‘non-casual’ basis (such as on a fixed</w:t>
      </w:r>
      <w:r w:rsidR="00C413C7">
        <w:t>-</w:t>
      </w:r>
      <w:r>
        <w:t>term arrangement).</w:t>
      </w:r>
      <w:r w:rsidR="008A29E3">
        <w:t xml:space="preserve"> </w:t>
      </w:r>
      <w:r w:rsidR="0034542B">
        <w:t>T</w:t>
      </w:r>
      <w:r>
        <w:t xml:space="preserve">he Tribunal </w:t>
      </w:r>
      <w:r w:rsidR="0034542B">
        <w:t>notes</w:t>
      </w:r>
      <w:r>
        <w:t xml:space="preserve"> that the employment arrangements for all electorate office staff are principally a matter for the Parliament. </w:t>
      </w:r>
    </w:p>
    <w:p w14:paraId="61A6B096" w14:textId="381A2F52" w:rsidR="00D57A10" w:rsidRDefault="000E076B" w:rsidP="000E076B">
      <w:pPr>
        <w:pStyle w:val="05Paragraph"/>
      </w:pPr>
      <w:r>
        <w:t xml:space="preserve">Finally, another submission called for </w:t>
      </w:r>
      <w:r w:rsidR="004F2705">
        <w:t>changes to the additional salary and expense allowances for Government and Opposition Whips</w:t>
      </w:r>
      <w:r w:rsidR="00F83493">
        <w:t xml:space="preserve">, and </w:t>
      </w:r>
      <w:r w:rsidR="00F71CAA">
        <w:t xml:space="preserve">for </w:t>
      </w:r>
      <w:r w:rsidR="004F2705">
        <w:t>the position of ‘Shadow Parliamentary Secretary’ to</w:t>
      </w:r>
      <w:r w:rsidR="007C5A58">
        <w:t xml:space="preserve"> be added to</w:t>
      </w:r>
      <w:r w:rsidR="004F2705">
        <w:t xml:space="preserve"> the list of specified </w:t>
      </w:r>
      <w:r w:rsidR="008F2D08">
        <w:t xml:space="preserve">parliamentary </w:t>
      </w:r>
      <w:r w:rsidR="004F2705">
        <w:t>office</w:t>
      </w:r>
      <w:r w:rsidR="008F2D08">
        <w:t>s</w:t>
      </w:r>
      <w:r w:rsidR="00B567A8">
        <w:t>.</w:t>
      </w:r>
    </w:p>
    <w:p w14:paraId="1B79B9B2" w14:textId="6306B94E" w:rsidR="000E076B" w:rsidRPr="007460D0" w:rsidRDefault="00E34809" w:rsidP="000E076B">
      <w:pPr>
        <w:pStyle w:val="05Paragraph"/>
      </w:pPr>
      <w:r w:rsidRPr="007460D0">
        <w:t xml:space="preserve">The Tribunal </w:t>
      </w:r>
      <w:r>
        <w:t>does not have the power</w:t>
      </w:r>
      <w:r w:rsidRPr="007460D0">
        <w:t xml:space="preserve"> to change the list of specified parliamentary offices, which is defined in the VIRTIPS Act.</w:t>
      </w:r>
      <w:r w:rsidRPr="007460D0">
        <w:rPr>
          <w:rStyle w:val="FootnoteReference"/>
        </w:rPr>
        <w:footnoteReference w:id="39"/>
      </w:r>
      <w:r w:rsidRPr="007460D0">
        <w:t xml:space="preserve"> </w:t>
      </w:r>
      <w:r>
        <w:t xml:space="preserve">However, </w:t>
      </w:r>
      <w:r w:rsidR="00391574">
        <w:t>t</w:t>
      </w:r>
      <w:r w:rsidR="005E4638">
        <w:t xml:space="preserve">he Tribunal </w:t>
      </w:r>
      <w:r w:rsidR="00DC3B9F">
        <w:t xml:space="preserve">intends to </w:t>
      </w:r>
      <w:r w:rsidR="000B054C">
        <w:t>undertake a</w:t>
      </w:r>
      <w:r w:rsidR="00682307">
        <w:t xml:space="preserve">n analysis of </w:t>
      </w:r>
      <w:r w:rsidR="00482B85">
        <w:t xml:space="preserve">additional salaries </w:t>
      </w:r>
      <w:r w:rsidR="00741B49">
        <w:t xml:space="preserve">(including relativities) for parliamentary office holders </w:t>
      </w:r>
      <w:r w:rsidR="009147CE">
        <w:t xml:space="preserve">to inform its next Comprehensive Determination for MPs due in 2027. </w:t>
      </w:r>
      <w:r w:rsidR="009745B8">
        <w:t xml:space="preserve">Consideration of </w:t>
      </w:r>
      <w:r>
        <w:t>the expense allowance will be part of this</w:t>
      </w:r>
      <w:r w:rsidR="00665B66">
        <w:t> </w:t>
      </w:r>
      <w:r>
        <w:t>analysis.</w:t>
      </w:r>
      <w:r w:rsidRPr="007460D0">
        <w:rPr>
          <w:rStyle w:val="FootnoteReference"/>
        </w:rPr>
        <w:footnoteReference w:id="40"/>
      </w:r>
    </w:p>
    <w:p w14:paraId="3A2E0CFF" w14:textId="717DFBA9" w:rsidR="006D5481" w:rsidRPr="0032133A" w:rsidRDefault="004D3C39" w:rsidP="006D5481">
      <w:pPr>
        <w:pStyle w:val="02VIRTHeading2"/>
      </w:pPr>
      <w:bookmarkStart w:id="111" w:name="_Toc170383552"/>
      <w:r>
        <w:t>3.4</w:t>
      </w:r>
      <w:r>
        <w:tab/>
      </w:r>
      <w:r w:rsidR="006D5481" w:rsidRPr="0032133A">
        <w:t>Conclusion</w:t>
      </w:r>
      <w:bookmarkEnd w:id="108"/>
      <w:bookmarkEnd w:id="109"/>
      <w:bookmarkEnd w:id="110"/>
      <w:bookmarkEnd w:id="111"/>
    </w:p>
    <w:p w14:paraId="333F21B6" w14:textId="585B37E5" w:rsidR="002E4BD6" w:rsidRDefault="006D5481" w:rsidP="00B87DFA">
      <w:pPr>
        <w:pStyle w:val="05Paragraph"/>
      </w:pPr>
      <w:r w:rsidRPr="0032133A">
        <w:t xml:space="preserve">This Statement of Reasons </w:t>
      </w:r>
      <w:r w:rsidR="002E4BD6">
        <w:t>explains</w:t>
      </w:r>
      <w:r w:rsidRPr="0032133A">
        <w:t xml:space="preserve"> the Tribunal’s considerations in making the 202</w:t>
      </w:r>
      <w:r w:rsidR="0032133A" w:rsidRPr="0032133A">
        <w:t>4</w:t>
      </w:r>
      <w:r w:rsidRPr="0032133A">
        <w:t xml:space="preserve"> MP Annual Adjustment Determination</w:t>
      </w:r>
      <w:r w:rsidR="0032133A" w:rsidRPr="0032133A">
        <w:t>.</w:t>
      </w:r>
      <w:r w:rsidR="003C71B2" w:rsidRPr="00487636">
        <w:t xml:space="preserve"> </w:t>
      </w:r>
    </w:p>
    <w:p w14:paraId="4C2C5A87" w14:textId="01AB01AC" w:rsidR="00E76B30" w:rsidRPr="00FC120E" w:rsidRDefault="00E76B30" w:rsidP="00E76B30">
      <w:pPr>
        <w:pStyle w:val="05Paragraph"/>
        <w:rPr>
          <w:rFonts w:cs="Calibri Light"/>
        </w:rPr>
      </w:pPr>
      <w:r w:rsidRPr="00FC120E">
        <w:rPr>
          <w:rFonts w:cs="Calibri Light"/>
        </w:rPr>
        <w:t xml:space="preserve">Before making the Determination, the Tribunal </w:t>
      </w:r>
      <w:r w:rsidR="00B87DFA" w:rsidRPr="00830C08">
        <w:t>published</w:t>
      </w:r>
      <w:r w:rsidR="0035055A">
        <w:t xml:space="preserve"> a</w:t>
      </w:r>
      <w:r w:rsidR="00B87DFA" w:rsidRPr="00830C08">
        <w:t xml:space="preserve"> notice of its intention to make a Determination and called for submissions in </w:t>
      </w:r>
      <w:r w:rsidR="00B87DFA">
        <w:t>April</w:t>
      </w:r>
      <w:r w:rsidR="00B87DFA" w:rsidRPr="00830C08">
        <w:t xml:space="preserve"> 2024. </w:t>
      </w:r>
      <w:r w:rsidRPr="00FC120E">
        <w:rPr>
          <w:rFonts w:cs="Calibri Light"/>
        </w:rPr>
        <w:t xml:space="preserve">The Tribunal considered </w:t>
      </w:r>
      <w:r>
        <w:rPr>
          <w:rFonts w:cs="Calibri Light"/>
        </w:rPr>
        <w:t xml:space="preserve">each </w:t>
      </w:r>
      <w:r w:rsidRPr="00FC120E">
        <w:rPr>
          <w:rFonts w:cs="Calibri Light"/>
        </w:rPr>
        <w:t xml:space="preserve">submission </w:t>
      </w:r>
      <w:r>
        <w:rPr>
          <w:rFonts w:cs="Calibri Light"/>
        </w:rPr>
        <w:t xml:space="preserve">it </w:t>
      </w:r>
      <w:r w:rsidRPr="00FC120E">
        <w:rPr>
          <w:rFonts w:cs="Calibri Light"/>
        </w:rPr>
        <w:t xml:space="preserve">received and expresses its appreciation to all those who made submissions or otherwise participated in the process and assisted the Tribunal to perform its functions. </w:t>
      </w:r>
    </w:p>
    <w:p w14:paraId="557AFE33" w14:textId="05E43204" w:rsidR="00874A57" w:rsidRPr="00114290" w:rsidRDefault="00874A57" w:rsidP="00874A57">
      <w:pPr>
        <w:pStyle w:val="05Paragraph"/>
      </w:pPr>
      <w:r w:rsidRPr="00114290">
        <w:t xml:space="preserve">In accordance with the VIRTIPS Act, the Tribunal </w:t>
      </w:r>
      <w:r w:rsidR="007801C8">
        <w:t xml:space="preserve">has </w:t>
      </w:r>
      <w:r w:rsidR="002E4BD6">
        <w:t>made</w:t>
      </w:r>
      <w:r w:rsidRPr="00114290">
        <w:t xml:space="preserve"> an annual adjustment to the values of the </w:t>
      </w:r>
      <w:r w:rsidR="0057508A">
        <w:t xml:space="preserve">salaries and </w:t>
      </w:r>
      <w:r w:rsidRPr="00114290">
        <w:t xml:space="preserve">allowances payable to </w:t>
      </w:r>
      <w:r>
        <w:t>MPs</w:t>
      </w:r>
      <w:r w:rsidRPr="00114290">
        <w:t xml:space="preserve">, taking into account a range of legislative and other </w:t>
      </w:r>
      <w:r w:rsidR="00A147E8">
        <w:t>consideration</w:t>
      </w:r>
      <w:r w:rsidR="00972FE2">
        <w:t>s</w:t>
      </w:r>
      <w:r w:rsidRPr="00114290">
        <w:t>.</w:t>
      </w:r>
    </w:p>
    <w:p w14:paraId="2A830103" w14:textId="6D928636" w:rsidR="001F3EEE" w:rsidRPr="00487636" w:rsidRDefault="00E00EBF" w:rsidP="002D0FC3">
      <w:pPr>
        <w:pStyle w:val="05Paragraph"/>
        <w:keepNext/>
      </w:pPr>
      <w:r w:rsidRPr="00487636">
        <w:t>T</w:t>
      </w:r>
      <w:r w:rsidR="006D5481" w:rsidRPr="00487636">
        <w:t xml:space="preserve">he Tribunal has </w:t>
      </w:r>
      <w:r w:rsidR="00493F0B">
        <w:t xml:space="preserve">made the </w:t>
      </w:r>
      <w:r w:rsidR="001F3EEE" w:rsidRPr="00487636">
        <w:t>following adjustments:</w:t>
      </w:r>
    </w:p>
    <w:p w14:paraId="22B4AD42" w14:textId="29F878DD" w:rsidR="007B2933" w:rsidRDefault="006D5481" w:rsidP="007B2933">
      <w:pPr>
        <w:pStyle w:val="06VIRTBulletpoints"/>
      </w:pPr>
      <w:r w:rsidRPr="00487636">
        <w:t>a</w:t>
      </w:r>
      <w:r w:rsidR="00A71F2A" w:rsidRPr="00487636">
        <w:t xml:space="preserve"> </w:t>
      </w:r>
      <w:r w:rsidR="001F4AE4" w:rsidRPr="00487636">
        <w:t>3</w:t>
      </w:r>
      <w:r w:rsidR="00A71F2A" w:rsidRPr="00487636">
        <w:t>.5</w:t>
      </w:r>
      <w:r w:rsidR="00E940DF">
        <w:t xml:space="preserve"> </w:t>
      </w:r>
      <w:r w:rsidR="00A71F2A" w:rsidRPr="00487636">
        <w:t xml:space="preserve">per cent </w:t>
      </w:r>
      <w:r w:rsidR="000B6AC1">
        <w:t xml:space="preserve">increase </w:t>
      </w:r>
      <w:r w:rsidRPr="00487636">
        <w:t xml:space="preserve">to </w:t>
      </w:r>
      <w:r w:rsidR="00910E9E" w:rsidRPr="00487636">
        <w:t xml:space="preserve">MP </w:t>
      </w:r>
      <w:r w:rsidRPr="00487636">
        <w:t>salaries</w:t>
      </w:r>
      <w:r w:rsidR="00A71F2A" w:rsidRPr="00487636">
        <w:t xml:space="preserve"> and </w:t>
      </w:r>
      <w:r w:rsidR="00C10E4E" w:rsidRPr="00487636">
        <w:t>the expense allowance</w:t>
      </w:r>
    </w:p>
    <w:p w14:paraId="40E9FE76" w14:textId="0D3AC56D" w:rsidR="005E1AF0" w:rsidRPr="00487636" w:rsidRDefault="00EF4236" w:rsidP="007B2933">
      <w:pPr>
        <w:pStyle w:val="06VIRTBulletpoints"/>
      </w:pPr>
      <w:r w:rsidRPr="00487636">
        <w:t xml:space="preserve">a 3.6 per </w:t>
      </w:r>
      <w:r w:rsidRPr="003B6758">
        <w:t>cent</w:t>
      </w:r>
      <w:r w:rsidRPr="00487636">
        <w:t xml:space="preserve"> </w:t>
      </w:r>
      <w:r w:rsidR="000B6AC1" w:rsidRPr="007B2933">
        <w:t>increase</w:t>
      </w:r>
      <w:r w:rsidRPr="00487636">
        <w:t xml:space="preserve"> to</w:t>
      </w:r>
      <w:r w:rsidR="00184E41" w:rsidRPr="00487636">
        <w:t xml:space="preserve"> </w:t>
      </w:r>
      <w:r w:rsidRPr="00487636">
        <w:t>the</w:t>
      </w:r>
      <w:r w:rsidR="005E1AF0" w:rsidRPr="00487636">
        <w:t xml:space="preserve"> </w:t>
      </w:r>
      <w:r w:rsidR="00302A08" w:rsidRPr="00487636">
        <w:t>electorate allowanc</w:t>
      </w:r>
      <w:r w:rsidR="00184E41" w:rsidRPr="00487636">
        <w:t>e</w:t>
      </w:r>
      <w:r w:rsidR="005E1AF0" w:rsidRPr="00487636">
        <w:t xml:space="preserve">, </w:t>
      </w:r>
      <w:r w:rsidR="001700DA" w:rsidRPr="00487636">
        <w:t>international travel allowance</w:t>
      </w:r>
      <w:r w:rsidR="005E1AF0" w:rsidRPr="00487636">
        <w:t xml:space="preserve"> and </w:t>
      </w:r>
      <w:r w:rsidR="0004120E">
        <w:t>PASA</w:t>
      </w:r>
    </w:p>
    <w:p w14:paraId="7589A0E6" w14:textId="28A55914" w:rsidR="005E1AF0" w:rsidRPr="00487636" w:rsidRDefault="00302A08" w:rsidP="007B2933">
      <w:pPr>
        <w:pStyle w:val="06VIRTBulletpoints"/>
      </w:pPr>
      <w:r w:rsidRPr="00487636">
        <w:t xml:space="preserve">a 3.4 per cent </w:t>
      </w:r>
      <w:r w:rsidR="000B6AC1">
        <w:t>increase</w:t>
      </w:r>
      <w:r w:rsidRPr="00487636">
        <w:t xml:space="preserve"> to the motor vehicle and commercial transport allowances</w:t>
      </w:r>
    </w:p>
    <w:p w14:paraId="241F3195" w14:textId="07B38510" w:rsidR="005B22BD" w:rsidRPr="00487636" w:rsidRDefault="005E1AF0" w:rsidP="00184E41">
      <w:pPr>
        <w:pStyle w:val="06VIRTBulletpoints"/>
      </w:pPr>
      <w:r w:rsidRPr="00487636">
        <w:t>a</w:t>
      </w:r>
      <w:r w:rsidR="0057141D">
        <w:t xml:space="preserve">n increase </w:t>
      </w:r>
      <w:r w:rsidR="00781707">
        <w:t xml:space="preserve">of 6.1 per cent (on a per voter basis) </w:t>
      </w:r>
      <w:r w:rsidRPr="00487636">
        <w:t>to the EO&amp;C Budget.</w:t>
      </w:r>
    </w:p>
    <w:p w14:paraId="2A28BF4E" w14:textId="6DEC84B3" w:rsidR="006D5481" w:rsidRPr="008D6A54" w:rsidRDefault="006D5481" w:rsidP="006D5481">
      <w:pPr>
        <w:pStyle w:val="05Paragraph"/>
      </w:pPr>
      <w:r w:rsidRPr="00487636">
        <w:t>Th</w:t>
      </w:r>
      <w:r w:rsidR="002E4BD6">
        <w:t>e</w:t>
      </w:r>
      <w:r w:rsidRPr="008D6A54">
        <w:t xml:space="preserve"> Determination will take effect on 1 July 202</w:t>
      </w:r>
      <w:r w:rsidR="008D6A54" w:rsidRPr="008D6A54">
        <w:t>4</w:t>
      </w:r>
      <w:r w:rsidRPr="008D6A54">
        <w:t>.</w:t>
      </w:r>
      <w:r w:rsidRPr="008D6A54">
        <w:br w:type="page"/>
      </w:r>
    </w:p>
    <w:p w14:paraId="64226CAA" w14:textId="0B277ECB" w:rsidR="00A22A5A" w:rsidRPr="00516470" w:rsidRDefault="00A22A5A" w:rsidP="00036BD6">
      <w:pPr>
        <w:pStyle w:val="Style4"/>
        <w:outlineLvl w:val="0"/>
      </w:pPr>
      <w:bookmarkStart w:id="112" w:name="_Toc97728587"/>
      <w:bookmarkStart w:id="113" w:name="_Toc169176243"/>
      <w:bookmarkStart w:id="114" w:name="_Toc170383553"/>
      <w:r w:rsidRPr="00516470">
        <w:rPr>
          <w:rStyle w:val="01ChapterheadingChar"/>
        </w:rPr>
        <w:t>Appendix A –</w:t>
      </w:r>
      <w:bookmarkEnd w:id="112"/>
      <w:r w:rsidRPr="00516470">
        <w:rPr>
          <w:rStyle w:val="01ChapterheadingChar"/>
        </w:rPr>
        <w:br/>
        <w:t>Detailed economic and financial considerations</w:t>
      </w:r>
      <w:bookmarkEnd w:id="113"/>
      <w:bookmarkEnd w:id="114"/>
      <w:r>
        <w:br w:type="textWrapping" w:clear="all"/>
      </w:r>
      <w:r w:rsidRPr="004A6931">
        <w:rPr>
          <w:noProof/>
        </w:rPr>
        <w:drawing>
          <wp:inline distT="0" distB="0" distL="0" distR="0" wp14:anchorId="61FF7338" wp14:editId="1FF40F4D">
            <wp:extent cx="2212975" cy="255905"/>
            <wp:effectExtent l="0" t="0" r="0" b="0"/>
            <wp:docPr id="2054579104" name="Picture 2054579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pic:nvPicPr>
                  <pic:blipFill>
                    <a:blip r:embed="rId29">
                      <a:extLst>
                        <a:ext uri="{28A0092B-C50C-407E-A947-70E740481C1C}">
                          <a14:useLocalDpi xmlns:a14="http://schemas.microsoft.com/office/drawing/2010/main" val="0"/>
                        </a:ext>
                      </a:extLst>
                    </a:blip>
                    <a:stretch>
                      <a:fillRect/>
                    </a:stretch>
                  </pic:blipFill>
                  <pic:spPr>
                    <a:xfrm>
                      <a:off x="0" y="0"/>
                      <a:ext cx="2212975" cy="255905"/>
                    </a:xfrm>
                    <a:prstGeom prst="rect">
                      <a:avLst/>
                    </a:prstGeom>
                  </pic:spPr>
                </pic:pic>
              </a:graphicData>
            </a:graphic>
          </wp:inline>
        </w:drawing>
      </w:r>
    </w:p>
    <w:p w14:paraId="202E39D6" w14:textId="77777777" w:rsidR="005649FB" w:rsidRPr="00516470" w:rsidRDefault="005649FB" w:rsidP="005649FB">
      <w:pPr>
        <w:pStyle w:val="02VIRTHeading2"/>
      </w:pPr>
      <w:bookmarkStart w:id="115" w:name="_Toc169513520"/>
      <w:bookmarkStart w:id="116" w:name="_Toc170383554"/>
      <w:r w:rsidRPr="00516470">
        <w:t>A.1</w:t>
      </w:r>
      <w:r w:rsidRPr="00516470">
        <w:tab/>
        <w:t>Current economic conditions</w:t>
      </w:r>
      <w:bookmarkEnd w:id="115"/>
      <w:bookmarkEnd w:id="116"/>
    </w:p>
    <w:p w14:paraId="286D7F3D" w14:textId="77777777" w:rsidR="005649FB" w:rsidRDefault="005649FB" w:rsidP="005649FB">
      <w:pPr>
        <w:pStyle w:val="05Paragraph"/>
      </w:pPr>
      <w:r>
        <w:t>Figure A.1 provides a high-level overview of current economic conditions, which are described in further detail in the coming sections.</w:t>
      </w:r>
    </w:p>
    <w:p w14:paraId="0BB71F5B" w14:textId="77777777" w:rsidR="005649FB" w:rsidRDefault="005649FB" w:rsidP="005649FB">
      <w:pPr>
        <w:pStyle w:val="08Figuretableboxheading"/>
        <w:keepNext w:val="0"/>
      </w:pPr>
      <w:r>
        <w:t xml:space="preserve">Figure A.1: Overview of conditions in the </w:t>
      </w:r>
      <w:r w:rsidRPr="00516470">
        <w:t>Australian</w:t>
      </w:r>
      <w:r>
        <w:t xml:space="preserve"> and Victorian economies, June 2024</w:t>
      </w:r>
    </w:p>
    <w:p w14:paraId="0B3A9185" w14:textId="62E04E6B" w:rsidR="005649FB" w:rsidRDefault="00492EAE" w:rsidP="005649FB">
      <w:pPr>
        <w:pStyle w:val="05Paragraph"/>
      </w:pPr>
      <w:r>
        <w:rPr>
          <w:noProof/>
        </w:rPr>
        <w:drawing>
          <wp:inline distT="0" distB="0" distL="0" distR="0" wp14:anchorId="74B831DA" wp14:editId="08386363">
            <wp:extent cx="5509260" cy="2944694"/>
            <wp:effectExtent l="0" t="0" r="0" b="8255"/>
            <wp:docPr id="1393830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518101" cy="2949419"/>
                    </a:xfrm>
                    <a:prstGeom prst="rect">
                      <a:avLst/>
                    </a:prstGeom>
                    <a:noFill/>
                  </pic:spPr>
                </pic:pic>
              </a:graphicData>
            </a:graphic>
          </wp:inline>
        </w:drawing>
      </w:r>
    </w:p>
    <w:p w14:paraId="60ED5C47" w14:textId="77777777" w:rsidR="005649FB" w:rsidRPr="00516470" w:rsidRDefault="005649FB" w:rsidP="005649FB">
      <w:pPr>
        <w:pStyle w:val="03VIRTHeading3"/>
      </w:pPr>
      <w:r w:rsidRPr="00516470">
        <w:t>Economic growth is subdued as cost-of-living pressures and higher interest rates weigh on household consumption</w:t>
      </w:r>
    </w:p>
    <w:p w14:paraId="0CF9FC25" w14:textId="77777777" w:rsidR="005649FB" w:rsidRDefault="005649FB" w:rsidP="005649FB">
      <w:pPr>
        <w:pStyle w:val="05Paragraph"/>
      </w:pPr>
      <w:r>
        <w:t>Economic growth has slowed in Australia and Victoria from the high levels associated with the recovery from the COVID-19 pandemic.</w:t>
      </w:r>
    </w:p>
    <w:p w14:paraId="6D4ABD94" w14:textId="45D9CA93" w:rsidR="005649FB" w:rsidRDefault="005649FB" w:rsidP="005649FB">
      <w:pPr>
        <w:pStyle w:val="05Paragraph"/>
      </w:pPr>
      <w:r>
        <w:t xml:space="preserve">Australia’s real Gross Domestic Product (GDP) rose 0.1 per cent over the March quarter 2024 and 1.1 per cent through the year. Excluding the pandemic period, this was the weakest annual growth since the early 1990s. Victoria’s State Final Demand held steady in the March quarter </w:t>
      </w:r>
      <w:r w:rsidR="005D6379">
        <w:t>2024 and</w:t>
      </w:r>
      <w:r>
        <w:t xml:space="preserve"> rose 1.5 per cent through the year (Figure A.2). The latter is well below its long-run (excluding the pandemic period) average growth rate of 3.</w:t>
      </w:r>
      <w:r w:rsidR="007E34F7">
        <w:t>5</w:t>
      </w:r>
      <w:r>
        <w:t> per cent.</w:t>
      </w:r>
      <w:r>
        <w:rPr>
          <w:rStyle w:val="FootnoteReference"/>
        </w:rPr>
        <w:footnoteReference w:id="41"/>
      </w:r>
    </w:p>
    <w:p w14:paraId="6757C210" w14:textId="77777777" w:rsidR="005649FB" w:rsidRDefault="005649FB" w:rsidP="00B950DC">
      <w:pPr>
        <w:pStyle w:val="08Figuretableboxheading"/>
      </w:pPr>
      <w:r>
        <w:t xml:space="preserve">Figure A.2: Quarterly and </w:t>
      </w:r>
      <w:r w:rsidRPr="00B950DC">
        <w:t>annual</w:t>
      </w:r>
      <w:r>
        <w:t xml:space="preserve"> growth in real GDP and Victorian State Final Demand, March quarter 2023 to March quarter 2024</w:t>
      </w:r>
    </w:p>
    <w:p w14:paraId="2CBCBDD9" w14:textId="77777777" w:rsidR="005649FB" w:rsidRDefault="005649FB" w:rsidP="005649FB">
      <w:pPr>
        <w:pStyle w:val="09Sourcesandnotesfortablesfiguresboxes"/>
      </w:pPr>
      <w:r w:rsidRPr="00C242E7">
        <w:rPr>
          <w:noProof/>
        </w:rPr>
        <w:t xml:space="preserve"> </w:t>
      </w:r>
      <w:r>
        <w:rPr>
          <w:noProof/>
        </w:rPr>
        <w:drawing>
          <wp:inline distT="0" distB="0" distL="0" distR="0" wp14:anchorId="3195EE1F" wp14:editId="6411B192">
            <wp:extent cx="5372100" cy="2308860"/>
            <wp:effectExtent l="0" t="0" r="0" b="15240"/>
            <wp:docPr id="207490608" name="Chart 1">
              <a:extLst xmlns:a="http://schemas.openxmlformats.org/drawingml/2006/main">
                <a:ext uri="{FF2B5EF4-FFF2-40B4-BE49-F238E27FC236}">
                  <a16:creationId xmlns:a16="http://schemas.microsoft.com/office/drawing/2014/main" id="{3FADCF91-5DA8-224C-DD07-38531B3EA4F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r w:rsidRPr="00211B02">
        <w:rPr>
          <w:rFonts w:ascii="Arial" w:hAnsi="Arial"/>
          <w:noProof/>
          <w:color w:val="7F7F7F" w:themeColor="text1" w:themeTint="80"/>
          <w:sz w:val="20"/>
          <w:szCs w:val="22"/>
        </w:rPr>
        <w:t xml:space="preserve"> </w:t>
      </w:r>
    </w:p>
    <w:p w14:paraId="5FCC0619" w14:textId="4074F987" w:rsidR="005649FB" w:rsidRDefault="005649FB" w:rsidP="005649FB">
      <w:pPr>
        <w:pStyle w:val="09Sourcesandnotesfortablesfiguresboxes"/>
      </w:pPr>
      <w:r>
        <w:t xml:space="preserve">Source: </w:t>
      </w:r>
      <w:r w:rsidRPr="00362D07">
        <w:t>ABS (</w:t>
      </w:r>
      <w:r w:rsidR="004D3136" w:rsidRPr="005171F9">
        <w:t>2024</w:t>
      </w:r>
      <w:r w:rsidR="00440090">
        <w:t>a</w:t>
      </w:r>
      <w:r w:rsidRPr="00362D07">
        <w:t>)</w:t>
      </w:r>
      <w:r>
        <w:t>.</w:t>
      </w:r>
    </w:p>
    <w:p w14:paraId="3112C5E0" w14:textId="737A3E2E" w:rsidR="005649FB" w:rsidRDefault="005649FB" w:rsidP="005649FB">
      <w:pPr>
        <w:pStyle w:val="05Paragraph"/>
      </w:pPr>
      <w:r w:rsidRPr="00DB4BBF">
        <w:t>According to the ABS, the ‘weak’ GDP result in the March quarter 2024 reflects subdued domestic demand, with increased consumption offset by falling</w:t>
      </w:r>
      <w:r>
        <w:t xml:space="preserve"> </w:t>
      </w:r>
      <w:r w:rsidRPr="00DB4BBF">
        <w:t>investment.</w:t>
      </w:r>
      <w:r>
        <w:t xml:space="preserve"> The ABS noted that its latest release included upward revisions to recent data on household consumption, which has been stronger than previously indicated. Despite this, growth in household consumption remains subdued by historical standards and continues to be driven by spending on essentials.</w:t>
      </w:r>
      <w:r>
        <w:rPr>
          <w:rStyle w:val="FootnoteReference"/>
        </w:rPr>
        <w:footnoteReference w:id="42"/>
      </w:r>
    </w:p>
    <w:p w14:paraId="383DDF38" w14:textId="351CCFE4" w:rsidR="005649FB" w:rsidRDefault="005649FB" w:rsidP="005649FB">
      <w:pPr>
        <w:pStyle w:val="05Paragraph"/>
      </w:pPr>
      <w:r>
        <w:t xml:space="preserve">The </w:t>
      </w:r>
      <w:r w:rsidRPr="001E3081">
        <w:t>Victorian Budget</w:t>
      </w:r>
      <w:r w:rsidRPr="001E3081" w:rsidDel="001E3081">
        <w:t xml:space="preserve"> </w:t>
      </w:r>
      <w:r>
        <w:t>observed that growth in the Victorian economy over 2023</w:t>
      </w:r>
      <w:r w:rsidR="00354590">
        <w:noBreakHyphen/>
      </w:r>
      <w:r>
        <w:t>24 has been supported by strong business investment and population growth. Meanwhile, growth in household consumption has been subdued amid ongoing pressure on household budgets from high inflation and higher interest rates.</w:t>
      </w:r>
      <w:r>
        <w:rPr>
          <w:rStyle w:val="FootnoteReference"/>
        </w:rPr>
        <w:footnoteReference w:id="43"/>
      </w:r>
    </w:p>
    <w:p w14:paraId="38A92DB4" w14:textId="1BB7DB8F" w:rsidR="005649FB" w:rsidRDefault="005649FB" w:rsidP="005649FB">
      <w:pPr>
        <w:pStyle w:val="05Paragraph"/>
      </w:pPr>
      <w:r>
        <w:t xml:space="preserve">Population growth has rebounded significantly since Australia’s international borders were re-opened in early </w:t>
      </w:r>
      <w:r w:rsidR="00AF4512">
        <w:t>2022 and</w:t>
      </w:r>
      <w:r>
        <w:t xml:space="preserve"> has exceeded economic growth rates in recent times.</w:t>
      </w:r>
      <w:r w:rsidR="00BB44E8">
        <w:rPr>
          <w:rStyle w:val="FootnoteReference"/>
        </w:rPr>
        <w:footnoteReference w:id="44"/>
      </w:r>
      <w:r>
        <w:t xml:space="preserve"> As a result, real GDP per capita has declined or held steady for five consecutive quarters, falling 0.4 per cent in the March quarter 2024 and 1.3 per cent through the year.</w:t>
      </w:r>
      <w:r>
        <w:rPr>
          <w:rStyle w:val="FootnoteReference"/>
        </w:rPr>
        <w:footnoteReference w:id="45"/>
      </w:r>
    </w:p>
    <w:p w14:paraId="4D4B1B5F" w14:textId="32C832A8" w:rsidR="005649FB" w:rsidRDefault="005649FB" w:rsidP="005649FB">
      <w:pPr>
        <w:pStyle w:val="05Paragraph"/>
      </w:pPr>
      <w:r>
        <w:t>ABS data show</w:t>
      </w:r>
      <w:r w:rsidR="00B155BE">
        <w:t>s</w:t>
      </w:r>
      <w:r>
        <w:t xml:space="preserve"> that GDP per hour worked </w:t>
      </w:r>
      <w:r w:rsidRPr="0096741E">
        <w:t>—</w:t>
      </w:r>
      <w:r>
        <w:t xml:space="preserve"> a measure of labour productivity </w:t>
      </w:r>
      <w:r w:rsidRPr="0096741E">
        <w:t>—</w:t>
      </w:r>
      <w:r>
        <w:t xml:space="preserve"> held steady in the March quarter 2024, after growing over the second half of 2023. This recent growth follows a period of five quarters in which labour productivity declined.</w:t>
      </w:r>
      <w:r>
        <w:rPr>
          <w:rStyle w:val="FootnoteReference"/>
        </w:rPr>
        <w:footnoteReference w:id="46"/>
      </w:r>
      <w:r>
        <w:t xml:space="preserve"> The RBA observed that an improvement in productivity outcomes had been expected, partly due to strong business investment, though it noted that growth was weaker than expected in the December quarter 2023.</w:t>
      </w:r>
      <w:r>
        <w:rPr>
          <w:rStyle w:val="FootnoteReference"/>
        </w:rPr>
        <w:footnoteReference w:id="47"/>
      </w:r>
    </w:p>
    <w:p w14:paraId="5565E234" w14:textId="237397C0" w:rsidR="005649FB" w:rsidRDefault="005649FB" w:rsidP="00B950DC">
      <w:pPr>
        <w:pStyle w:val="03VIRTHeading3"/>
      </w:pPr>
      <w:r>
        <w:t xml:space="preserve">Inflation </w:t>
      </w:r>
      <w:r w:rsidR="00B53F3D">
        <w:t xml:space="preserve">has </w:t>
      </w:r>
      <w:r>
        <w:t>moderate</w:t>
      </w:r>
      <w:r w:rsidR="00B53F3D">
        <w:t>d</w:t>
      </w:r>
      <w:r>
        <w:t>, but remains high</w:t>
      </w:r>
    </w:p>
    <w:p w14:paraId="40A3C4CD" w14:textId="56BA7FD4" w:rsidR="005649FB" w:rsidRDefault="005649FB" w:rsidP="00B950DC">
      <w:pPr>
        <w:pStyle w:val="05Paragraph"/>
      </w:pPr>
      <w:r w:rsidRPr="00B950DC">
        <w:t>Headline</w:t>
      </w:r>
      <w:r>
        <w:t xml:space="preserve"> inflation has moderate</w:t>
      </w:r>
      <w:r w:rsidR="00B53F3D">
        <w:t>d</w:t>
      </w:r>
      <w:r>
        <w:t xml:space="preserve"> in Victoria and Australia more </w:t>
      </w:r>
      <w:r w:rsidR="00DB7882">
        <w:t>broadly but</w:t>
      </w:r>
      <w:r>
        <w:t xml:space="preserve"> remains above the RBA’s 2 </w:t>
      </w:r>
      <w:r w:rsidR="00CD50BF">
        <w:t>to</w:t>
      </w:r>
      <w:r>
        <w:t xml:space="preserve"> 3 per cent target band.</w:t>
      </w:r>
    </w:p>
    <w:p w14:paraId="65C1B321" w14:textId="2E3476F6" w:rsidR="005649FB" w:rsidRDefault="005649FB" w:rsidP="005649FB">
      <w:pPr>
        <w:pStyle w:val="05Paragraph"/>
      </w:pPr>
      <w:r>
        <w:t>ABS data show that annual growth in the All Groups Consumer Price Index for Melbourne (Melbourne CPI) declined to 3.6 per cent in the March quarter 2024, well below the peak of 8 per cent recorded in the December quarter 2022. However, a larger than expected quarterly rise (1 per cent) saw the annual inflation rate decline more slowly than in previous quarters (Figure A.3).</w:t>
      </w:r>
      <w:r w:rsidR="00BA7995">
        <w:rPr>
          <w:rStyle w:val="FootnoteReference"/>
        </w:rPr>
        <w:footnoteReference w:id="48"/>
      </w:r>
    </w:p>
    <w:p w14:paraId="026FF4A6" w14:textId="4A786CC2" w:rsidR="008215A9" w:rsidRPr="008215A9" w:rsidRDefault="008215A9" w:rsidP="008215A9">
      <w:pPr>
        <w:pStyle w:val="05Paragraph"/>
        <w:rPr>
          <w:rFonts w:cs="Calibri Light"/>
        </w:rPr>
      </w:pPr>
      <w:r w:rsidRPr="008215A9">
        <w:rPr>
          <w:rFonts w:cs="Calibri Light"/>
        </w:rPr>
        <w:t>Most components of the Melbourne CPI recorded an increase over the 12 months to the March quarter 2024.</w:t>
      </w:r>
      <w:r w:rsidRPr="008215A9">
        <w:rPr>
          <w:rStyle w:val="FootnoteReference"/>
          <w:rFonts w:cs="Calibri Light"/>
        </w:rPr>
        <w:footnoteReference w:id="49"/>
      </w:r>
      <w:r w:rsidRPr="008215A9">
        <w:rPr>
          <w:rFonts w:cs="Calibri Light"/>
        </w:rPr>
        <w:t xml:space="preserve"> The Tribunal particularly noted the following annual movements in selected components, which are of relevance to this Determination:</w:t>
      </w:r>
      <w:r w:rsidRPr="008215A9">
        <w:rPr>
          <w:rStyle w:val="FootnoteReference"/>
          <w:rFonts w:cs="Calibri Light"/>
        </w:rPr>
        <w:footnoteReference w:id="50"/>
      </w:r>
    </w:p>
    <w:p w14:paraId="1C093CE1" w14:textId="5C9C3E89" w:rsidR="008215A9" w:rsidRPr="00BD7F2B" w:rsidRDefault="008215A9" w:rsidP="00BD7F2B">
      <w:pPr>
        <w:pStyle w:val="06VIRTBulletpoints"/>
      </w:pPr>
      <w:r w:rsidRPr="00BD7F2B">
        <w:t>‘</w:t>
      </w:r>
      <w:r w:rsidR="008D0E45">
        <w:t>t</w:t>
      </w:r>
      <w:r w:rsidRPr="00BD7F2B">
        <w:t>ransport’ increased by 3.4 per cent</w:t>
      </w:r>
    </w:p>
    <w:p w14:paraId="29713C8A" w14:textId="3F1146D7" w:rsidR="008215A9" w:rsidRPr="00BD7F2B" w:rsidRDefault="008215A9" w:rsidP="00BD7F2B">
      <w:pPr>
        <w:pStyle w:val="06VIRTBulletpoints"/>
      </w:pPr>
      <w:r w:rsidRPr="00BD7F2B">
        <w:t>‘</w:t>
      </w:r>
      <w:r w:rsidR="008D0E45">
        <w:t>h</w:t>
      </w:r>
      <w:r w:rsidRPr="00BD7F2B">
        <w:t>ousing’ increased by 4.1 per cent, driven by a 6.8 per cent increase in ‘Rents’</w:t>
      </w:r>
    </w:p>
    <w:p w14:paraId="782C3878" w14:textId="2C0924EE" w:rsidR="008215A9" w:rsidRPr="00BD7F2B" w:rsidRDefault="008215A9" w:rsidP="00BD7F2B">
      <w:pPr>
        <w:pStyle w:val="06VIRTBulletpoints"/>
      </w:pPr>
      <w:r w:rsidRPr="00BD7F2B">
        <w:t>‘</w:t>
      </w:r>
      <w:r w:rsidR="008D0E45">
        <w:t>i</w:t>
      </w:r>
      <w:r w:rsidRPr="00BD7F2B">
        <w:t>nternational holiday travel and accommodation’ decreased by 2.4 per cent.</w:t>
      </w:r>
    </w:p>
    <w:p w14:paraId="7F81DAA2" w14:textId="77777777" w:rsidR="008215A9" w:rsidRDefault="008215A9" w:rsidP="005649FB">
      <w:pPr>
        <w:pStyle w:val="05Paragraph"/>
      </w:pPr>
    </w:p>
    <w:p w14:paraId="5301DDD7" w14:textId="77777777" w:rsidR="005649FB" w:rsidRDefault="005649FB" w:rsidP="005649FB">
      <w:pPr>
        <w:pStyle w:val="08Figuretableboxheading"/>
      </w:pPr>
      <w:r>
        <w:t>Figure A.3: Annual growth in the Melbourne CPI, March quarter 2023 to March quarter 2024</w:t>
      </w:r>
    </w:p>
    <w:p w14:paraId="09A86DAE" w14:textId="77777777" w:rsidR="005649FB" w:rsidRDefault="005649FB" w:rsidP="005649FB">
      <w:pPr>
        <w:pStyle w:val="05Paragraph"/>
      </w:pPr>
      <w:r>
        <w:rPr>
          <w:noProof/>
        </w:rPr>
        <mc:AlternateContent>
          <mc:Choice Requires="wps">
            <w:drawing>
              <wp:anchor distT="0" distB="0" distL="114300" distR="114300" simplePos="0" relativeHeight="251658245" behindDoc="0" locked="0" layoutInCell="1" allowOverlap="1" wp14:anchorId="366C8964" wp14:editId="7CDF97F1">
                <wp:simplePos x="0" y="0"/>
                <wp:positionH relativeFrom="column">
                  <wp:posOffset>512445</wp:posOffset>
                </wp:positionH>
                <wp:positionV relativeFrom="paragraph">
                  <wp:posOffset>1299845</wp:posOffset>
                </wp:positionV>
                <wp:extent cx="1501140" cy="518160"/>
                <wp:effectExtent l="0" t="0" r="0" b="0"/>
                <wp:wrapNone/>
                <wp:docPr id="2136581815" name="Text Box 1"/>
                <wp:cNvGraphicFramePr/>
                <a:graphic xmlns:a="http://schemas.openxmlformats.org/drawingml/2006/main">
                  <a:graphicData uri="http://schemas.microsoft.com/office/word/2010/wordprocessingShape">
                    <wps:wsp>
                      <wps:cNvSpPr txBox="1"/>
                      <wps:spPr>
                        <a:xfrm>
                          <a:off x="0" y="0"/>
                          <a:ext cx="1501140" cy="518160"/>
                        </a:xfrm>
                        <a:prstGeom prst="rect">
                          <a:avLst/>
                        </a:prstGeom>
                        <a:noFill/>
                        <a:ln w="6350">
                          <a:noFill/>
                        </a:ln>
                      </wps:spPr>
                      <wps:txbx>
                        <w:txbxContent>
                          <w:p w14:paraId="02A1C40B" w14:textId="77777777" w:rsidR="005649FB" w:rsidRPr="008F6765" w:rsidRDefault="005649FB" w:rsidP="005649FB">
                            <w:pPr>
                              <w:rPr>
                                <w:rFonts w:ascii="Calibri" w:hAnsi="Calibri" w:cs="Calibri"/>
                              </w:rPr>
                            </w:pPr>
                            <w:r w:rsidRPr="008F6765">
                              <w:rPr>
                                <w:rFonts w:ascii="Calibri" w:hAnsi="Calibri" w:cs="Calibri"/>
                              </w:rPr>
                              <w:t xml:space="preserve">RBA </w:t>
                            </w:r>
                            <w:r w:rsidRPr="00816096">
                              <w:rPr>
                                <w:rFonts w:ascii="Calibri" w:hAnsi="Calibri" w:cs="Calibri"/>
                              </w:rPr>
                              <w:t>target</w:t>
                            </w:r>
                            <w:r w:rsidRPr="008F6765">
                              <w:rPr>
                                <w:rFonts w:ascii="Calibri" w:hAnsi="Calibri" w:cs="Calibri"/>
                              </w:rPr>
                              <w:t xml:space="preserve"> </w:t>
                            </w:r>
                            <w:r w:rsidRPr="00461E1B">
                              <w:rPr>
                                <w:rFonts w:ascii="Calibri Light" w:hAnsi="Calibri Light" w:cs="Calibri Light"/>
                              </w:rPr>
                              <w:t>band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6C8964" id="_x0000_t202" coordsize="21600,21600" o:spt="202" path="m,l,21600r21600,l21600,xe">
                <v:stroke joinstyle="miter"/>
                <v:path gradientshapeok="t" o:connecttype="rect"/>
              </v:shapetype>
              <v:shape id="Text Box 1" o:spid="_x0000_s1026" type="#_x0000_t202" style="position:absolute;left:0;text-align:left;margin-left:40.35pt;margin-top:102.35pt;width:118.2pt;height:40.8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" filled="f" stroked="f" strokeweight=".5pt">
                <v:textbox>
                  <w:txbxContent>
                    <w:p w14:paraId="02A1C40B" w14:textId="77777777" w:rsidR="005649FB" w:rsidRPr="008F6765" w:rsidRDefault="005649FB" w:rsidP="005649FB">
                      <w:pPr>
                        <w:rPr>
                          <w:rFonts w:ascii="Calibri" w:hAnsi="Calibri" w:cs="Calibri"/>
                        </w:rPr>
                      </w:pPr>
                      <w:r w:rsidRPr="008F6765">
                        <w:rPr>
                          <w:rFonts w:ascii="Calibri" w:hAnsi="Calibri" w:cs="Calibri"/>
                        </w:rPr>
                        <w:t xml:space="preserve">RBA </w:t>
                      </w:r>
                      <w:r w:rsidRPr="00816096">
                        <w:rPr>
                          <w:rFonts w:ascii="Calibri" w:hAnsi="Calibri" w:cs="Calibri"/>
                        </w:rPr>
                        <w:t>target</w:t>
                      </w:r>
                      <w:r w:rsidRPr="008F6765">
                        <w:rPr>
                          <w:rFonts w:ascii="Calibri" w:hAnsi="Calibri" w:cs="Calibri"/>
                        </w:rPr>
                        <w:t xml:space="preserve"> </w:t>
                      </w:r>
                      <w:r w:rsidRPr="00461E1B">
                        <w:rPr>
                          <w:rFonts w:ascii="Calibri Light" w:hAnsi="Calibri Light" w:cs="Calibri Light"/>
                        </w:rPr>
                        <w:t>band</w:t>
                      </w:r>
                    </w:p>
                  </w:txbxContent>
                </v:textbox>
              </v:shape>
            </w:pict>
          </mc:Fallback>
        </mc:AlternateContent>
      </w:r>
      <w:r>
        <w:rPr>
          <w:noProof/>
        </w:rPr>
        <mc:AlternateContent>
          <mc:Choice Requires="wps">
            <w:drawing>
              <wp:anchor distT="0" distB="0" distL="114300" distR="114300" simplePos="0" relativeHeight="251658244" behindDoc="0" locked="0" layoutInCell="1" allowOverlap="1" wp14:anchorId="28D4F7DB" wp14:editId="0D35576A">
                <wp:simplePos x="0" y="0"/>
                <wp:positionH relativeFrom="column">
                  <wp:posOffset>3583305</wp:posOffset>
                </wp:positionH>
                <wp:positionV relativeFrom="paragraph">
                  <wp:posOffset>918845</wp:posOffset>
                </wp:positionV>
                <wp:extent cx="1501140" cy="518160"/>
                <wp:effectExtent l="0" t="0" r="0" b="0"/>
                <wp:wrapNone/>
                <wp:docPr id="2131196055" name="Text Box 1"/>
                <wp:cNvGraphicFramePr/>
                <a:graphic xmlns:a="http://schemas.openxmlformats.org/drawingml/2006/main">
                  <a:graphicData uri="http://schemas.microsoft.com/office/word/2010/wordprocessingShape">
                    <wps:wsp>
                      <wps:cNvSpPr txBox="1"/>
                      <wps:spPr>
                        <a:xfrm>
                          <a:off x="0" y="0"/>
                          <a:ext cx="1501140" cy="518160"/>
                        </a:xfrm>
                        <a:prstGeom prst="rect">
                          <a:avLst/>
                        </a:prstGeom>
                        <a:noFill/>
                        <a:ln w="6350">
                          <a:noFill/>
                        </a:ln>
                      </wps:spPr>
                      <wps:txbx>
                        <w:txbxContent>
                          <w:p w14:paraId="4CB4FBF3" w14:textId="77777777" w:rsidR="005649FB" w:rsidRPr="008F6765" w:rsidRDefault="005649FB" w:rsidP="005649FB">
                            <w:pPr>
                              <w:rPr>
                                <w:rFonts w:ascii="Calibri" w:hAnsi="Calibri" w:cs="Calibri"/>
                                <w:color w:val="148A5D" w:themeColor="accent2"/>
                              </w:rPr>
                            </w:pPr>
                            <w:r w:rsidRPr="008F6765">
                              <w:rPr>
                                <w:rFonts w:ascii="Calibri" w:hAnsi="Calibri" w:cs="Calibri"/>
                                <w:color w:val="148A5D" w:themeColor="accent2"/>
                              </w:rPr>
                              <w:t xml:space="preserve">Melbourne </w:t>
                            </w:r>
                            <w:r w:rsidRPr="00461E1B">
                              <w:rPr>
                                <w:rFonts w:ascii="Calibri Light" w:hAnsi="Calibri Light" w:cs="Calibri Light"/>
                                <w:color w:val="148A5D" w:themeColor="accent2"/>
                              </w:rPr>
                              <w:t>CPI</w:t>
                            </w:r>
                            <w:r w:rsidRPr="008F6765">
                              <w:rPr>
                                <w:rFonts w:ascii="Calibri" w:hAnsi="Calibri" w:cs="Calibri"/>
                                <w:color w:val="148A5D" w:themeColor="accent2"/>
                              </w:rPr>
                              <w:t xml:space="preserve"> growth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D4F7DB" id="_x0000_s1027" type="#_x0000_t202" style="position:absolute;left:0;text-align:left;margin-left:282.15pt;margin-top:72.35pt;width:118.2pt;height:40.8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" filled="f" stroked="f" strokeweight=".5pt">
                <v:textbox>
                  <w:txbxContent>
                    <w:p w14:paraId="4CB4FBF3" w14:textId="77777777" w:rsidR="005649FB" w:rsidRPr="008F6765" w:rsidRDefault="005649FB" w:rsidP="005649FB">
                      <w:pPr>
                        <w:rPr>
                          <w:rFonts w:ascii="Calibri" w:hAnsi="Calibri" w:cs="Calibri"/>
                          <w:color w:val="148A5D" w:themeColor="accent2"/>
                        </w:rPr>
                      </w:pPr>
                      <w:r w:rsidRPr="008F6765">
                        <w:rPr>
                          <w:rFonts w:ascii="Calibri" w:hAnsi="Calibri" w:cs="Calibri"/>
                          <w:color w:val="148A5D" w:themeColor="accent2"/>
                        </w:rPr>
                        <w:t xml:space="preserve">Melbourne </w:t>
                      </w:r>
                      <w:r w:rsidRPr="00461E1B">
                        <w:rPr>
                          <w:rFonts w:ascii="Calibri Light" w:hAnsi="Calibri Light" w:cs="Calibri Light"/>
                          <w:color w:val="148A5D" w:themeColor="accent2"/>
                        </w:rPr>
                        <w:t>CPI</w:t>
                      </w:r>
                      <w:r w:rsidRPr="008F6765">
                        <w:rPr>
                          <w:rFonts w:ascii="Calibri" w:hAnsi="Calibri" w:cs="Calibri"/>
                          <w:color w:val="148A5D" w:themeColor="accent2"/>
                        </w:rPr>
                        <w:t xml:space="preserve"> growth</w:t>
                      </w:r>
                    </w:p>
                  </w:txbxContent>
                </v:textbox>
              </v:shape>
            </w:pict>
          </mc:Fallback>
        </mc:AlternateContent>
      </w:r>
      <w:r>
        <w:rPr>
          <w:noProof/>
        </w:rPr>
        <w:drawing>
          <wp:inline distT="0" distB="0" distL="0" distR="0" wp14:anchorId="52674297" wp14:editId="6EA3CA80">
            <wp:extent cx="5402580" cy="2506980"/>
            <wp:effectExtent l="0" t="0" r="7620" b="7620"/>
            <wp:docPr id="1506338346" name="Chart 1">
              <a:extLst xmlns:a="http://schemas.openxmlformats.org/drawingml/2006/main">
                <a:ext uri="{FF2B5EF4-FFF2-40B4-BE49-F238E27FC236}">
                  <a16:creationId xmlns:a16="http://schemas.microsoft.com/office/drawing/2014/main" id="{B684C228-263D-6D2F-67A8-2F19014E2B4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1D846742" w14:textId="03CA9918" w:rsidR="005649FB" w:rsidRDefault="005649FB" w:rsidP="005649FB">
      <w:pPr>
        <w:pStyle w:val="09Sourcesandnotesfortablesfiguresboxes"/>
      </w:pPr>
      <w:r>
        <w:t xml:space="preserve">Source: </w:t>
      </w:r>
      <w:r w:rsidRPr="000E3D79">
        <w:t>ABS (2024c)</w:t>
      </w:r>
      <w:r>
        <w:t>.</w:t>
      </w:r>
    </w:p>
    <w:p w14:paraId="7B7A078B" w14:textId="4CC799E5" w:rsidR="005649FB" w:rsidRDefault="005649FB" w:rsidP="005649FB">
      <w:pPr>
        <w:pStyle w:val="05Paragraph"/>
      </w:pPr>
      <w:r>
        <w:t>Movements in the</w:t>
      </w:r>
      <w:r w:rsidDel="000A6BD2">
        <w:t xml:space="preserve"> </w:t>
      </w:r>
      <w:r>
        <w:t xml:space="preserve">Melbourne CPI were consistent with national outcomes, with the Australian CPI rising 1 per cent in the March quarter 2024 and 3.6 per cent through the year. Measures of Australian underlying inflation, which reduce the impact of irregular or temporary price changes, also continue to ease. </w:t>
      </w:r>
      <w:r w:rsidR="00A5752E">
        <w:t>Annual</w:t>
      </w:r>
      <w:r>
        <w:t xml:space="preserve"> trimmed mean inflation </w:t>
      </w:r>
      <w:r w:rsidRPr="0096741E">
        <w:t>—</w:t>
      </w:r>
      <w:r>
        <w:t xml:space="preserve"> the RBA’s preferred measure of underlying inflation </w:t>
      </w:r>
      <w:r w:rsidRPr="0096741E">
        <w:t>—</w:t>
      </w:r>
      <w:r>
        <w:t xml:space="preserve"> fell to 4 per cent in the March quarter 2024, having decreased for five consecutive quarters since peaking at 6.8 per cent in the December quarter 2022.</w:t>
      </w:r>
      <w:r>
        <w:rPr>
          <w:rStyle w:val="FootnoteReference"/>
        </w:rPr>
        <w:footnoteReference w:id="51"/>
      </w:r>
      <w:r>
        <w:t xml:space="preserve"> </w:t>
      </w:r>
    </w:p>
    <w:p w14:paraId="13806505" w14:textId="319A9703" w:rsidR="005649FB" w:rsidRDefault="002A6DC4" w:rsidP="005649FB">
      <w:pPr>
        <w:pStyle w:val="05Paragraph"/>
      </w:pPr>
      <w:r>
        <w:t>T</w:t>
      </w:r>
      <w:r w:rsidR="005649FB">
        <w:t>he ABS’ monthly Australian CPI indicator has risen for two consecutive months, from 3.4 per cent in February 2024 to 3.6 per cent in April 2024.</w:t>
      </w:r>
      <w:r w:rsidR="005649FB">
        <w:rPr>
          <w:rStyle w:val="FootnoteReference"/>
        </w:rPr>
        <w:footnoteReference w:id="52"/>
      </w:r>
      <w:r w:rsidR="005649FB">
        <w:t xml:space="preserve"> Eight out of the 11 CPI groups also recorded increases over that period, indicating that inflationary pressures remain elevated and broad-based.</w:t>
      </w:r>
    </w:p>
    <w:p w14:paraId="3FB03EAB" w14:textId="3D368082" w:rsidR="005649FB" w:rsidRDefault="005649FB" w:rsidP="00681E3F">
      <w:pPr>
        <w:pStyle w:val="05Paragraph"/>
      </w:pPr>
      <w:r>
        <w:t xml:space="preserve">The RBA’s latest </w:t>
      </w:r>
      <w:r w:rsidRPr="00B34BE2">
        <w:rPr>
          <w:i/>
          <w:iCs/>
        </w:rPr>
        <w:t>Statement on Monetary Policy</w:t>
      </w:r>
      <w:r>
        <w:t xml:space="preserve"> (May 2024) and the </w:t>
      </w:r>
      <w:r w:rsidRPr="001E3081">
        <w:t>Victorian Budget</w:t>
      </w:r>
      <w:r w:rsidDel="001E3081">
        <w:t xml:space="preserve"> </w:t>
      </w:r>
      <w:r>
        <w:t>both noted that the recent moderation in inflation outcomes in Australia and Victoria has been largely due to slower growth in the prices of goods. ABS data show</w:t>
      </w:r>
      <w:r w:rsidR="00F27E82">
        <w:t>s</w:t>
      </w:r>
      <w:r>
        <w:t xml:space="preserve"> that goods inflation has fallen sharply since its peak in mid</w:t>
      </w:r>
      <w:r>
        <w:noBreakHyphen/>
        <w:t>2022, consistent with the easing of global supply chain pressures. By contrast, services inflation peaked later and is declining more gradually.</w:t>
      </w:r>
      <w:r>
        <w:rPr>
          <w:rStyle w:val="FootnoteReference"/>
        </w:rPr>
        <w:footnoteReference w:id="53"/>
      </w:r>
      <w:r w:rsidR="008A5F29">
        <w:t xml:space="preserve"> </w:t>
      </w:r>
    </w:p>
    <w:p w14:paraId="6760F565" w14:textId="77777777" w:rsidR="005649FB" w:rsidRDefault="005649FB" w:rsidP="005649FB">
      <w:pPr>
        <w:pStyle w:val="03VIRTHeading3"/>
      </w:pPr>
      <w:r>
        <w:t>Labour market conditions are gradually easing, but remain tight</w:t>
      </w:r>
    </w:p>
    <w:p w14:paraId="0DB30447" w14:textId="0CF932E6" w:rsidR="005649FB" w:rsidRDefault="005649FB" w:rsidP="005649FB">
      <w:pPr>
        <w:pStyle w:val="05Paragraph"/>
      </w:pPr>
      <w:r w:rsidRPr="00F01111">
        <w:t xml:space="preserve">Conditions in the Australian and Victorian labour markets have been ‘tight’ in recent </w:t>
      </w:r>
      <w:r w:rsidR="00F27E82" w:rsidRPr="00F01111">
        <w:t>years but</w:t>
      </w:r>
      <w:r w:rsidRPr="00F01111">
        <w:t xml:space="preserve"> are gradually easing.</w:t>
      </w:r>
    </w:p>
    <w:p w14:paraId="27B7D071" w14:textId="77777777" w:rsidR="005649FB" w:rsidRDefault="005649FB" w:rsidP="005649FB">
      <w:pPr>
        <w:pStyle w:val="05Paragraph"/>
      </w:pPr>
      <w:r>
        <w:t xml:space="preserve">In its May 2024 </w:t>
      </w:r>
      <w:r w:rsidRPr="004748E0">
        <w:rPr>
          <w:i/>
          <w:iCs/>
        </w:rPr>
        <w:t>Statement</w:t>
      </w:r>
      <w:r>
        <w:t xml:space="preserve">, the RBA observed that the easing in the national labour market had been slower than expected, with much of the easing occurring through declines in average hours worked and job vacancies. On the other hand, it noted that the Australian unemployment rate </w:t>
      </w:r>
      <w:r w:rsidRPr="00764DD0">
        <w:t>—</w:t>
      </w:r>
      <w:r>
        <w:t xml:space="preserve"> a key indicator of spare capacity in the labour market </w:t>
      </w:r>
      <w:r w:rsidRPr="00764DD0">
        <w:t>—</w:t>
      </w:r>
      <w:r>
        <w:t xml:space="preserve"> had increased only modestly.</w:t>
      </w:r>
      <w:r>
        <w:rPr>
          <w:rStyle w:val="FootnoteReference"/>
        </w:rPr>
        <w:footnoteReference w:id="54"/>
      </w:r>
    </w:p>
    <w:p w14:paraId="3563A709" w14:textId="46DDEBB5" w:rsidR="00D9250D" w:rsidRDefault="00D9250D" w:rsidP="00D9250D">
      <w:pPr>
        <w:spacing w:before="180" w:after="0" w:line="276" w:lineRule="auto"/>
        <w:jc w:val="both"/>
        <w:rPr>
          <w:rFonts w:ascii="Calibri Light" w:eastAsia="Rockwell" w:hAnsi="Calibri Light" w:cs="Arial"/>
          <w:color w:val="000000"/>
          <w:sz w:val="26"/>
          <w:szCs w:val="20"/>
        </w:rPr>
      </w:pPr>
      <w:bookmarkStart w:id="117" w:name="_Hlk170204393"/>
      <w:r w:rsidRPr="00606811">
        <w:rPr>
          <w:rFonts w:ascii="Calibri Light" w:eastAsia="Rockwell" w:hAnsi="Calibri Light" w:cs="Arial"/>
          <w:color w:val="000000"/>
          <w:sz w:val="26"/>
          <w:szCs w:val="20"/>
        </w:rPr>
        <w:t xml:space="preserve">In its latest </w:t>
      </w:r>
      <w:r w:rsidRPr="00606811">
        <w:rPr>
          <w:rFonts w:ascii="Calibri Light" w:eastAsia="Rockwell" w:hAnsi="Calibri Light" w:cs="Arial"/>
          <w:i/>
          <w:iCs/>
          <w:color w:val="000000"/>
          <w:sz w:val="26"/>
          <w:szCs w:val="20"/>
        </w:rPr>
        <w:t>Labour Force</w:t>
      </w:r>
      <w:r w:rsidRPr="00606811">
        <w:rPr>
          <w:rFonts w:ascii="Calibri Light" w:eastAsia="Rockwell" w:hAnsi="Calibri Light" w:cs="Arial"/>
          <w:color w:val="000000"/>
          <w:sz w:val="26"/>
          <w:szCs w:val="20"/>
        </w:rPr>
        <w:t xml:space="preserve"> release (</w:t>
      </w:r>
      <w:r>
        <w:rPr>
          <w:rFonts w:ascii="Calibri Light" w:eastAsia="Rockwell" w:hAnsi="Calibri Light" w:cs="Arial"/>
          <w:color w:val="000000"/>
          <w:sz w:val="26"/>
          <w:szCs w:val="20"/>
        </w:rPr>
        <w:t>May</w:t>
      </w:r>
      <w:r w:rsidRPr="00606811">
        <w:rPr>
          <w:rFonts w:ascii="Calibri Light" w:eastAsia="Rockwell" w:hAnsi="Calibri Light" w:cs="Arial"/>
          <w:color w:val="000000"/>
          <w:sz w:val="26"/>
          <w:szCs w:val="20"/>
        </w:rPr>
        <w:t xml:space="preserve"> 2024), the ABS observed that </w:t>
      </w:r>
      <w:r>
        <w:rPr>
          <w:rFonts w:ascii="Calibri Light" w:eastAsia="Rockwell" w:hAnsi="Calibri Light" w:cs="Arial"/>
          <w:color w:val="000000"/>
          <w:sz w:val="26"/>
          <w:szCs w:val="20"/>
        </w:rPr>
        <w:t>Australia’s</w:t>
      </w:r>
      <w:r w:rsidRPr="00606811">
        <w:rPr>
          <w:rFonts w:ascii="Calibri Light" w:eastAsia="Rockwell" w:hAnsi="Calibri Light" w:cs="Arial"/>
          <w:color w:val="000000"/>
          <w:sz w:val="26"/>
          <w:szCs w:val="20"/>
        </w:rPr>
        <w:t xml:space="preserve"> employment-to-population ratio</w:t>
      </w:r>
      <w:r>
        <w:rPr>
          <w:rFonts w:ascii="Calibri Light" w:eastAsia="Rockwell" w:hAnsi="Calibri Light" w:cs="Arial"/>
          <w:color w:val="000000"/>
          <w:sz w:val="26"/>
          <w:szCs w:val="20"/>
        </w:rPr>
        <w:t xml:space="preserve"> and participation rate remain much</w:t>
      </w:r>
      <w:r w:rsidRPr="00606811">
        <w:rPr>
          <w:rFonts w:ascii="Calibri Light" w:eastAsia="Rockwell" w:hAnsi="Calibri Light" w:cs="Arial"/>
          <w:color w:val="000000"/>
          <w:sz w:val="26"/>
          <w:szCs w:val="20"/>
        </w:rPr>
        <w:t xml:space="preserve"> high</w:t>
      </w:r>
      <w:r>
        <w:rPr>
          <w:rFonts w:ascii="Calibri Light" w:eastAsia="Rockwell" w:hAnsi="Calibri Light" w:cs="Arial"/>
          <w:color w:val="000000"/>
          <w:sz w:val="26"/>
          <w:szCs w:val="20"/>
        </w:rPr>
        <w:t>er</w:t>
      </w:r>
      <w:r w:rsidRPr="00606811">
        <w:rPr>
          <w:rFonts w:ascii="Calibri Light" w:eastAsia="Rockwell" w:hAnsi="Calibri Light" w:cs="Arial"/>
          <w:color w:val="000000"/>
          <w:sz w:val="26"/>
          <w:szCs w:val="20"/>
        </w:rPr>
        <w:t xml:space="preserve"> </w:t>
      </w:r>
      <w:r>
        <w:rPr>
          <w:rFonts w:ascii="Calibri Light" w:eastAsia="Rockwell" w:hAnsi="Calibri Light" w:cs="Arial"/>
          <w:color w:val="000000"/>
          <w:sz w:val="26"/>
          <w:szCs w:val="20"/>
        </w:rPr>
        <w:t xml:space="preserve">than their pre-pandemic </w:t>
      </w:r>
      <w:r w:rsidRPr="00606811">
        <w:rPr>
          <w:rFonts w:ascii="Calibri Light" w:eastAsia="Rockwell" w:hAnsi="Calibri Light" w:cs="Arial"/>
          <w:color w:val="000000"/>
          <w:sz w:val="26"/>
          <w:szCs w:val="20"/>
        </w:rPr>
        <w:t>levels</w:t>
      </w:r>
      <w:r>
        <w:rPr>
          <w:rFonts w:ascii="Calibri Light" w:eastAsia="Rockwell" w:hAnsi="Calibri Light" w:cs="Arial"/>
          <w:color w:val="000000"/>
          <w:sz w:val="26"/>
          <w:szCs w:val="20"/>
        </w:rPr>
        <w:t>. According to the ABS:</w:t>
      </w:r>
      <w:r w:rsidR="00305E99" w:rsidRPr="00305E99">
        <w:rPr>
          <w:rStyle w:val="FootnoteReference"/>
          <w:rFonts w:eastAsia="Rockwell" w:cs="Arial"/>
          <w:color w:val="000000"/>
          <w:szCs w:val="20"/>
        </w:rPr>
        <w:t xml:space="preserve"> </w:t>
      </w:r>
      <w:r w:rsidR="00305E99" w:rsidRPr="00305E99">
        <w:rPr>
          <w:rStyle w:val="05ParagraphChar"/>
          <w:vertAlign w:val="superscript"/>
        </w:rPr>
        <w:footnoteReference w:id="55"/>
      </w:r>
    </w:p>
    <w:p w14:paraId="4B0BC4C8" w14:textId="2818B39B" w:rsidR="00D9250D" w:rsidRPr="00606811" w:rsidRDefault="00D9250D" w:rsidP="00D9250D">
      <w:pPr>
        <w:pStyle w:val="07VIRTBreakouttext"/>
      </w:pPr>
      <w:r>
        <w:t xml:space="preserve">Together with elevated </w:t>
      </w:r>
      <w:r w:rsidRPr="00F560CC">
        <w:t>levels</w:t>
      </w:r>
      <w:r>
        <w:t xml:space="preserve"> of job vacancies, this suggests the labour market remains relatively tight, though less [tight] than in late 2022 and early 2023.</w:t>
      </w:r>
    </w:p>
    <w:p w14:paraId="1D89158F" w14:textId="77777777" w:rsidR="00D9250D" w:rsidRPr="00606811" w:rsidRDefault="00D9250D" w:rsidP="00D9250D">
      <w:pPr>
        <w:spacing w:before="180" w:after="0" w:line="276" w:lineRule="auto"/>
        <w:jc w:val="both"/>
        <w:rPr>
          <w:rFonts w:ascii="Calibri Light" w:eastAsia="Rockwell" w:hAnsi="Calibri Light" w:cs="Arial"/>
          <w:color w:val="000000"/>
          <w:sz w:val="26"/>
          <w:szCs w:val="20"/>
        </w:rPr>
      </w:pPr>
      <w:r w:rsidRPr="00606811">
        <w:rPr>
          <w:rFonts w:ascii="Calibri Light" w:eastAsia="Rockwell" w:hAnsi="Calibri Light" w:cs="Arial"/>
          <w:color w:val="000000"/>
          <w:sz w:val="26"/>
          <w:szCs w:val="20"/>
        </w:rPr>
        <w:t xml:space="preserve">The Australian participation rate also remains near record high levels, while the Australian unemployment rate rose modestly over the past year to be 4 per cent in </w:t>
      </w:r>
      <w:r>
        <w:rPr>
          <w:rFonts w:ascii="Calibri Light" w:eastAsia="Rockwell" w:hAnsi="Calibri Light" w:cs="Arial"/>
          <w:color w:val="000000"/>
          <w:sz w:val="26"/>
          <w:szCs w:val="20"/>
        </w:rPr>
        <w:t>May</w:t>
      </w:r>
      <w:r w:rsidRPr="00606811">
        <w:rPr>
          <w:rFonts w:ascii="Calibri Light" w:eastAsia="Rockwell" w:hAnsi="Calibri Light" w:cs="Arial"/>
          <w:color w:val="000000"/>
          <w:sz w:val="26"/>
          <w:szCs w:val="20"/>
        </w:rPr>
        <w:t xml:space="preserve"> 2024.</w:t>
      </w:r>
      <w:r w:rsidRPr="00606811">
        <w:rPr>
          <w:rFonts w:ascii="Calibri Light" w:eastAsia="Rockwell" w:hAnsi="Calibri Light" w:cs="Arial"/>
          <w:color w:val="000000"/>
          <w:sz w:val="26"/>
          <w:szCs w:val="20"/>
          <w:vertAlign w:val="superscript"/>
        </w:rPr>
        <w:footnoteReference w:id="56"/>
      </w:r>
    </w:p>
    <w:bookmarkEnd w:id="117"/>
    <w:p w14:paraId="24ECA011" w14:textId="77777777" w:rsidR="00C40BB3" w:rsidRDefault="005649FB" w:rsidP="00C40BB3">
      <w:pPr>
        <w:pStyle w:val="05Paragraph"/>
      </w:pPr>
      <w:r>
        <w:t>A similar scenario is unfolding in the Victorian labour market. According to the</w:t>
      </w:r>
      <w:r w:rsidRPr="00AE41E1">
        <w:t xml:space="preserve"> Victorian Budget,</w:t>
      </w:r>
      <w:r>
        <w:t xml:space="preserve"> the State’s labour market remains </w:t>
      </w:r>
      <w:r w:rsidR="007427C9">
        <w:t>‘</w:t>
      </w:r>
      <w:r>
        <w:t>strong</w:t>
      </w:r>
      <w:r w:rsidR="007427C9">
        <w:t>’</w:t>
      </w:r>
      <w:r>
        <w:t>, with the share of working-age Victorians in employment and labour force participation remaining near record levels. Nonetheless, it also noted that employment growth has eased from the relatively high levels observed in previous years.</w:t>
      </w:r>
      <w:r>
        <w:rPr>
          <w:rStyle w:val="FootnoteReference"/>
        </w:rPr>
        <w:footnoteReference w:id="57"/>
      </w:r>
      <w:r>
        <w:t xml:space="preserve"> </w:t>
      </w:r>
      <w:bookmarkStart w:id="118" w:name="_Hlk170204475"/>
      <w:r w:rsidR="00C40BB3" w:rsidRPr="00606811">
        <w:rPr>
          <w:rFonts w:eastAsia="Rockwell"/>
          <w:color w:val="000000"/>
        </w:rPr>
        <w:t xml:space="preserve">Since the release of the Victorian Budget, ABS data show that the Victorian unemployment rate </w:t>
      </w:r>
      <w:r w:rsidR="00C40BB3">
        <w:rPr>
          <w:rFonts w:eastAsia="Rockwell"/>
          <w:color w:val="000000"/>
        </w:rPr>
        <w:t>increased</w:t>
      </w:r>
      <w:r w:rsidR="00C40BB3" w:rsidRPr="00606811">
        <w:rPr>
          <w:rFonts w:eastAsia="Rockwell"/>
          <w:color w:val="000000"/>
        </w:rPr>
        <w:t xml:space="preserve"> to 4.</w:t>
      </w:r>
      <w:r w:rsidR="00C40BB3">
        <w:rPr>
          <w:rFonts w:eastAsia="Rockwell"/>
          <w:color w:val="000000"/>
        </w:rPr>
        <w:t>4</w:t>
      </w:r>
      <w:r w:rsidR="00C40BB3" w:rsidRPr="00606811">
        <w:rPr>
          <w:rFonts w:eastAsia="Rockwell"/>
          <w:color w:val="000000"/>
        </w:rPr>
        <w:t xml:space="preserve"> per cent in </w:t>
      </w:r>
      <w:r w:rsidR="00C40BB3">
        <w:rPr>
          <w:rFonts w:eastAsia="Rockwell"/>
          <w:color w:val="000000"/>
        </w:rPr>
        <w:t>May</w:t>
      </w:r>
      <w:r w:rsidR="00C40BB3" w:rsidRPr="00606811">
        <w:rPr>
          <w:rFonts w:eastAsia="Rockwell"/>
          <w:color w:val="000000"/>
        </w:rPr>
        <w:t xml:space="preserve"> 2024 </w:t>
      </w:r>
      <w:r w:rsidR="00C40BB3">
        <w:rPr>
          <w:rFonts w:eastAsia="Rockwell"/>
          <w:color w:val="000000"/>
        </w:rPr>
        <w:t xml:space="preserve">to be </w:t>
      </w:r>
      <w:r w:rsidR="00C40BB3" w:rsidRPr="00606811">
        <w:rPr>
          <w:rFonts w:eastAsia="Rockwell"/>
          <w:color w:val="000000"/>
        </w:rPr>
        <w:t>the highest of the states</w:t>
      </w:r>
      <w:r w:rsidR="00C40BB3">
        <w:rPr>
          <w:rFonts w:eastAsia="Rockwell"/>
          <w:color w:val="000000"/>
        </w:rPr>
        <w:t xml:space="preserve"> and territories</w:t>
      </w:r>
      <w:r w:rsidR="00C40BB3" w:rsidRPr="00606811">
        <w:rPr>
          <w:rFonts w:eastAsia="Rockwell"/>
          <w:color w:val="000000"/>
        </w:rPr>
        <w:t>.</w:t>
      </w:r>
      <w:r w:rsidR="00C40BB3" w:rsidRPr="00606811">
        <w:rPr>
          <w:rFonts w:eastAsia="Rockwell"/>
          <w:color w:val="000000"/>
          <w:vertAlign w:val="superscript"/>
        </w:rPr>
        <w:footnoteReference w:id="58"/>
      </w:r>
      <w:bookmarkEnd w:id="118"/>
    </w:p>
    <w:p w14:paraId="4CA41191" w14:textId="2290B7EC" w:rsidR="005649FB" w:rsidRDefault="005649FB" w:rsidP="00C40BB3">
      <w:pPr>
        <w:pStyle w:val="03VIRTHeading3"/>
      </w:pPr>
      <w:r>
        <w:t xml:space="preserve">Nominal wages growth has picked up </w:t>
      </w:r>
    </w:p>
    <w:p w14:paraId="4D42B84C" w14:textId="77777777" w:rsidR="005649FB" w:rsidRDefault="005649FB" w:rsidP="005649FB">
      <w:pPr>
        <w:pStyle w:val="05Paragraph"/>
      </w:pPr>
      <w:r>
        <w:t>Nominal wages growth has picked up in recent years in response to the tight labour market and high inflation, and is currently around its highest level in over a decade. Annual growth in the Australian Wage Price Index (WPI) was 4.2 per cent in the December quarter 2023 (the highest growth rate since early 2009), before moderating slightly to 4.1 per cent in the March quarter 2024.</w:t>
      </w:r>
      <w:r>
        <w:rPr>
          <w:rStyle w:val="FootnoteReference"/>
        </w:rPr>
        <w:footnoteReference w:id="59"/>
      </w:r>
    </w:p>
    <w:p w14:paraId="13A52689" w14:textId="13813C83" w:rsidR="005649FB" w:rsidRDefault="005649FB" w:rsidP="005649FB">
      <w:pPr>
        <w:pStyle w:val="05Paragraph"/>
      </w:pPr>
      <w:r>
        <w:t>The RBA has observed that wages growth appears to have peaked for workers on individual arrangements, whose wages are the most responsive to economic conditions. By contrast, it noted that wages growth is continuing to strengthen for enterprise agreements (EAs), which are slower to respond to economic conditions.</w:t>
      </w:r>
      <w:r>
        <w:rPr>
          <w:rStyle w:val="FootnoteReference"/>
        </w:rPr>
        <w:footnoteReference w:id="60"/>
      </w:r>
      <w:r>
        <w:t xml:space="preserve"> Data from the Commonwealth Department of Employment and Workplace Relations show</w:t>
      </w:r>
      <w:r w:rsidR="00116416">
        <w:t>s</w:t>
      </w:r>
      <w:r>
        <w:t xml:space="preserve"> that the average annualised wage increase for agreements approved in the December quarter 2023 was 4.3 per cent.</w:t>
      </w:r>
      <w:r>
        <w:rPr>
          <w:rStyle w:val="FootnoteReference"/>
        </w:rPr>
        <w:footnoteReference w:id="61"/>
      </w:r>
    </w:p>
    <w:p w14:paraId="42A4CCC5" w14:textId="0FFF8245" w:rsidR="00462D0D" w:rsidRPr="00606811" w:rsidRDefault="00462D0D" w:rsidP="00462D0D">
      <w:pPr>
        <w:spacing w:before="180" w:after="0" w:line="276" w:lineRule="auto"/>
        <w:jc w:val="both"/>
        <w:rPr>
          <w:rFonts w:ascii="Calibri Light" w:eastAsia="Rockwell" w:hAnsi="Calibri Light" w:cs="Arial"/>
          <w:color w:val="000000"/>
          <w:sz w:val="26"/>
          <w:szCs w:val="20"/>
        </w:rPr>
      </w:pPr>
      <w:r w:rsidRPr="00606811">
        <w:rPr>
          <w:rFonts w:ascii="Calibri Light" w:eastAsia="Rockwell" w:hAnsi="Calibri Light" w:cs="Arial"/>
          <w:color w:val="000000"/>
          <w:sz w:val="26"/>
          <w:szCs w:val="20"/>
        </w:rPr>
        <w:t>Award wages and the National Minimum Wage have also grown in recent years</w:t>
      </w:r>
      <w:r>
        <w:rPr>
          <w:rFonts w:ascii="Calibri Light" w:eastAsia="Rockwell" w:hAnsi="Calibri Light" w:cs="Arial"/>
          <w:color w:val="000000"/>
          <w:sz w:val="26"/>
          <w:szCs w:val="20"/>
        </w:rPr>
        <w:t>.</w:t>
      </w:r>
      <w:r w:rsidRPr="00606811">
        <w:rPr>
          <w:rFonts w:ascii="Calibri Light" w:eastAsia="Rockwell" w:hAnsi="Calibri Light" w:cs="Arial"/>
          <w:color w:val="000000"/>
          <w:sz w:val="26"/>
          <w:szCs w:val="20"/>
        </w:rPr>
        <w:t xml:space="preserve"> In its </w:t>
      </w:r>
      <w:r w:rsidRPr="00606811">
        <w:rPr>
          <w:rFonts w:ascii="Calibri Light" w:eastAsia="Rockwell" w:hAnsi="Calibri Light" w:cs="Arial"/>
          <w:i/>
          <w:iCs/>
          <w:color w:val="000000"/>
          <w:sz w:val="26"/>
          <w:szCs w:val="20"/>
        </w:rPr>
        <w:t>Annual Wage Review 2023-24</w:t>
      </w:r>
      <w:r w:rsidRPr="00606811">
        <w:rPr>
          <w:rFonts w:ascii="Calibri Light" w:eastAsia="Rockwell" w:hAnsi="Calibri Light" w:cs="Arial"/>
          <w:color w:val="000000"/>
          <w:sz w:val="26"/>
          <w:szCs w:val="20"/>
        </w:rPr>
        <w:t>, the Fair Work Commission (FWC) increased the N</w:t>
      </w:r>
      <w:r w:rsidR="001F55BE">
        <w:rPr>
          <w:rFonts w:ascii="Calibri Light" w:eastAsia="Rockwell" w:hAnsi="Calibri Light" w:cs="Arial"/>
          <w:color w:val="000000"/>
          <w:sz w:val="26"/>
          <w:szCs w:val="20"/>
        </w:rPr>
        <w:t xml:space="preserve">ational </w:t>
      </w:r>
      <w:r w:rsidRPr="00606811">
        <w:rPr>
          <w:rFonts w:ascii="Calibri Light" w:eastAsia="Rockwell" w:hAnsi="Calibri Light" w:cs="Arial"/>
          <w:color w:val="000000"/>
          <w:sz w:val="26"/>
          <w:szCs w:val="20"/>
        </w:rPr>
        <w:t>M</w:t>
      </w:r>
      <w:r w:rsidR="001F55BE">
        <w:rPr>
          <w:rFonts w:ascii="Calibri Light" w:eastAsia="Rockwell" w:hAnsi="Calibri Light" w:cs="Arial"/>
          <w:color w:val="000000"/>
          <w:sz w:val="26"/>
          <w:szCs w:val="20"/>
        </w:rPr>
        <w:t xml:space="preserve">inimum </w:t>
      </w:r>
      <w:r w:rsidRPr="00606811">
        <w:rPr>
          <w:rFonts w:ascii="Calibri Light" w:eastAsia="Rockwell" w:hAnsi="Calibri Light" w:cs="Arial"/>
          <w:color w:val="000000"/>
          <w:sz w:val="26"/>
          <w:szCs w:val="20"/>
        </w:rPr>
        <w:t>W</w:t>
      </w:r>
      <w:r w:rsidR="001F55BE">
        <w:rPr>
          <w:rFonts w:ascii="Calibri Light" w:eastAsia="Rockwell" w:hAnsi="Calibri Light" w:cs="Arial"/>
          <w:color w:val="000000"/>
          <w:sz w:val="26"/>
          <w:szCs w:val="20"/>
        </w:rPr>
        <w:t>age</w:t>
      </w:r>
      <w:r w:rsidRPr="00606811">
        <w:rPr>
          <w:rFonts w:ascii="Calibri Light" w:eastAsia="Rockwell" w:hAnsi="Calibri Light" w:cs="Arial"/>
          <w:color w:val="000000"/>
          <w:sz w:val="26"/>
          <w:szCs w:val="20"/>
        </w:rPr>
        <w:t xml:space="preserve"> and all modern award minimum wages by 3.75 per cent with effect from 1 July 2024.</w:t>
      </w:r>
      <w:r w:rsidRPr="00606811">
        <w:rPr>
          <w:rFonts w:ascii="Calibri Light" w:eastAsia="Rockwell" w:hAnsi="Calibri Light" w:cs="Arial"/>
          <w:color w:val="000000"/>
          <w:sz w:val="26"/>
          <w:szCs w:val="20"/>
          <w:vertAlign w:val="superscript"/>
        </w:rPr>
        <w:footnoteReference w:id="62"/>
      </w:r>
      <w:r w:rsidRPr="00606811">
        <w:rPr>
          <w:rFonts w:ascii="Calibri Light" w:eastAsia="Rockwell" w:hAnsi="Calibri Light" w:cs="Arial"/>
          <w:color w:val="000000"/>
          <w:sz w:val="26"/>
          <w:szCs w:val="20"/>
        </w:rPr>
        <w:t xml:space="preserve"> </w:t>
      </w:r>
    </w:p>
    <w:p w14:paraId="19CB9A3E" w14:textId="608E3C6E" w:rsidR="005649FB" w:rsidRDefault="005649FB" w:rsidP="005649FB">
      <w:pPr>
        <w:pStyle w:val="05Paragraph"/>
      </w:pPr>
      <w:r>
        <w:t xml:space="preserve">Wages growth has also picked up in Victoria, although to a lesser extent than in Australia as a whole. The Victorian WPI rose 3.6 per cent over the 12 months to the March quarter 2024, the lowest growth among the states, and has grown </w:t>
      </w:r>
      <w:r w:rsidR="003A56FF">
        <w:t xml:space="preserve">slower </w:t>
      </w:r>
      <w:r>
        <w:t>than the national WPI since mid</w:t>
      </w:r>
      <w:r>
        <w:noBreakHyphen/>
        <w:t>2023 (Figure A.4).</w:t>
      </w:r>
      <w:r>
        <w:rPr>
          <w:rStyle w:val="FootnoteReference"/>
        </w:rPr>
        <w:footnoteReference w:id="63"/>
      </w:r>
    </w:p>
    <w:p w14:paraId="2CDBE6B8" w14:textId="5DED8ABA" w:rsidR="005649FB" w:rsidRDefault="005649FB" w:rsidP="003C1191">
      <w:pPr>
        <w:pStyle w:val="08Figuretableboxheading"/>
      </w:pPr>
      <w:r>
        <w:t>Figure A</w:t>
      </w:r>
      <w:r w:rsidR="00173122">
        <w:t>.</w:t>
      </w:r>
      <w:r>
        <w:t xml:space="preserve">4: Annual WPI growth (all sectors), Victoria and Australia, March quarter 2023 to March quarter 2024 </w:t>
      </w:r>
      <w:r w:rsidR="003C1191" w:rsidRPr="00606811">
        <w:rPr>
          <w:rFonts w:eastAsia="Rockwell"/>
          <w:noProof/>
          <w:color w:val="000000"/>
          <w:sz w:val="26"/>
        </w:rPr>
        <w:drawing>
          <wp:inline distT="0" distB="0" distL="0" distR="0" wp14:anchorId="67339ED1" wp14:editId="411A9FC5">
            <wp:extent cx="5400040" cy="2315073"/>
            <wp:effectExtent l="0" t="0" r="10160" b="9525"/>
            <wp:docPr id="1003444578" name="Chart 1">
              <a:extLst xmlns:a="http://schemas.openxmlformats.org/drawingml/2006/main">
                <a:ext uri="{FF2B5EF4-FFF2-40B4-BE49-F238E27FC236}">
                  <a16:creationId xmlns:a16="http://schemas.microsoft.com/office/drawing/2014/main" id="{B991F7CF-48E7-4327-A793-EA802E50FB0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0B2EDB24" w14:textId="6E1BE58F" w:rsidR="005649FB" w:rsidRDefault="005649FB" w:rsidP="005649FB">
      <w:pPr>
        <w:pStyle w:val="09Sourcesandnotesfortablesfiguresboxes"/>
      </w:pPr>
      <w:r>
        <w:t xml:space="preserve">Source: </w:t>
      </w:r>
      <w:r w:rsidRPr="00DF2C34">
        <w:rPr>
          <w:rFonts w:cs="Calibri Light"/>
        </w:rPr>
        <w:t>ABS (</w:t>
      </w:r>
      <w:r w:rsidR="00BD05A4" w:rsidRPr="00DF2C34">
        <w:rPr>
          <w:rFonts w:cs="Calibri Light"/>
        </w:rPr>
        <w:t>2024</w:t>
      </w:r>
      <w:r w:rsidR="00FC6908">
        <w:rPr>
          <w:rFonts w:cs="Calibri Light"/>
        </w:rPr>
        <w:t>f</w:t>
      </w:r>
      <w:r w:rsidR="00BD05A4" w:rsidRPr="00DF2C34">
        <w:rPr>
          <w:rFonts w:cs="Calibri Light"/>
        </w:rPr>
        <w:t>)</w:t>
      </w:r>
      <w:r w:rsidR="00C41227">
        <w:t>.</w:t>
      </w:r>
    </w:p>
    <w:p w14:paraId="1F99B3B2" w14:textId="4F862B05" w:rsidR="005649FB" w:rsidRDefault="005649FB" w:rsidP="005649FB">
      <w:pPr>
        <w:pStyle w:val="05Paragraph"/>
      </w:pPr>
      <w:r>
        <w:t>The public sector in Victoria (which comprises the Victorian Government, local governments and Australian Government agencies operating in Victoria)</w:t>
      </w:r>
      <w:r w:rsidR="00F87351">
        <w:rPr>
          <w:rStyle w:val="FootnoteReference"/>
        </w:rPr>
        <w:footnoteReference w:id="64"/>
      </w:r>
      <w:r w:rsidR="00F87351">
        <w:t xml:space="preserve"> </w:t>
      </w:r>
      <w:r>
        <w:t>has experienced lower wages growth than the private sector in recent years, in a reversal of the pre-pandemic trend. Over the</w:t>
      </w:r>
      <w:r w:rsidR="008517AB">
        <w:t xml:space="preserve"> </w:t>
      </w:r>
      <w:r>
        <w:t>12</w:t>
      </w:r>
      <w:r w:rsidR="008517AB">
        <w:t xml:space="preserve"> </w:t>
      </w:r>
      <w:r>
        <w:t>months to the March quarter 2024, public sector wages grew by 2.5 per cent, compared with 3.9 per cent in the private sector.</w:t>
      </w:r>
      <w:r>
        <w:rPr>
          <w:rStyle w:val="FootnoteReference"/>
        </w:rPr>
        <w:footnoteReference w:id="65"/>
      </w:r>
      <w:r>
        <w:t xml:space="preserve"> The Victorian Government’s submission to the </w:t>
      </w:r>
      <w:r w:rsidR="006C60C4">
        <w:t>FWC</w:t>
      </w:r>
      <w:r>
        <w:t xml:space="preserve">’s </w:t>
      </w:r>
      <w:r w:rsidRPr="00C73A61">
        <w:rPr>
          <w:i/>
          <w:iCs/>
        </w:rPr>
        <w:t>Annual Wage Review 2023-24</w:t>
      </w:r>
      <w:r>
        <w:t xml:space="preserve"> observed that a relevant factor in this regard is the influence of the prevalent pay setting method in each sector (EAs in the public sector, individual arrangements in the private sector).</w:t>
      </w:r>
      <w:r>
        <w:rPr>
          <w:rStyle w:val="FootnoteReference"/>
        </w:rPr>
        <w:footnoteReference w:id="66"/>
      </w:r>
    </w:p>
    <w:p w14:paraId="668F6F4E" w14:textId="3D95B5B3" w:rsidR="005649FB" w:rsidRDefault="005649FB" w:rsidP="005649FB">
      <w:pPr>
        <w:pStyle w:val="05Paragraph"/>
        <w:keepNext/>
      </w:pPr>
      <w:r>
        <w:t>Nationally, broader measures of employee earnings have generally grown faster than base wages. Depending on the measure, t</w:t>
      </w:r>
      <w:r w:rsidRPr="0069666A">
        <w:t xml:space="preserve">his </w:t>
      </w:r>
      <w:r>
        <w:t xml:space="preserve">may </w:t>
      </w:r>
      <w:r w:rsidRPr="0069666A">
        <w:t xml:space="preserve">reflect compositional factors </w:t>
      </w:r>
      <w:r w:rsidR="00771524">
        <w:t>like</w:t>
      </w:r>
      <w:r w:rsidRPr="0069666A">
        <w:t xml:space="preserve"> increases in full-time employment and hours worked</w:t>
      </w:r>
      <w:r w:rsidR="00771524">
        <w:t>.</w:t>
      </w:r>
      <w:r w:rsidRPr="0069666A">
        <w:t xml:space="preserve"> </w:t>
      </w:r>
      <w:r w:rsidR="00771524">
        <w:t>It might also reflect</w:t>
      </w:r>
      <w:r w:rsidRPr="0069666A">
        <w:t xml:space="preserve"> the </w:t>
      </w:r>
      <w:r>
        <w:t>use</w:t>
      </w:r>
      <w:r w:rsidRPr="0069666A">
        <w:t xml:space="preserve"> of </w:t>
      </w:r>
      <w:r>
        <w:t>other</w:t>
      </w:r>
      <w:r w:rsidRPr="0069666A">
        <w:t xml:space="preserve"> forms of compensation (</w:t>
      </w:r>
      <w:r w:rsidR="00484E41">
        <w:t>such as</w:t>
      </w:r>
      <w:r w:rsidRPr="0069666A">
        <w:t xml:space="preserve"> bonuses)</w:t>
      </w:r>
      <w:r>
        <w:t xml:space="preserve"> to attract and retain employees in a</w:t>
      </w:r>
      <w:r w:rsidRPr="0069666A">
        <w:t xml:space="preserve"> tight labour market.</w:t>
      </w:r>
      <w:r>
        <w:t xml:space="preserve"> For example, ABS data show</w:t>
      </w:r>
      <w:r w:rsidR="007D2B29">
        <w:t>s</w:t>
      </w:r>
      <w:r w:rsidR="0089435F">
        <w:t> </w:t>
      </w:r>
      <w:r>
        <w:t>that:</w:t>
      </w:r>
    </w:p>
    <w:p w14:paraId="27ADF3A8" w14:textId="297E677C" w:rsidR="005649FB" w:rsidRPr="00BD7F2B" w:rsidRDefault="005649FB" w:rsidP="00BD7F2B">
      <w:pPr>
        <w:pStyle w:val="06VIRTBulletpoints"/>
      </w:pPr>
      <w:r w:rsidRPr="00BD7F2B">
        <w:t>average compensation per employee (also known as Average Earnings from the National Accounts) grew by 5 per cent over 2023</w:t>
      </w:r>
      <w:r w:rsidR="00167815">
        <w:rPr>
          <w:rStyle w:val="FootnoteReference"/>
        </w:rPr>
        <w:footnoteReference w:id="67"/>
      </w:r>
    </w:p>
    <w:p w14:paraId="57693238" w14:textId="09886433" w:rsidR="005649FB" w:rsidRPr="00BD7F2B" w:rsidRDefault="005649FB" w:rsidP="00BD7F2B">
      <w:pPr>
        <w:pStyle w:val="06VIRTBulletpoints"/>
      </w:pPr>
      <w:r w:rsidRPr="00BD7F2B">
        <w:t>average weekly ordinary time earnings for full-time Australian adults grew by 4.5 per cent over the 12 months to November 2023</w:t>
      </w:r>
      <w:r w:rsidR="00555D4E">
        <w:rPr>
          <w:rStyle w:val="FootnoteReference"/>
        </w:rPr>
        <w:footnoteReference w:id="68"/>
      </w:r>
    </w:p>
    <w:p w14:paraId="79B88567" w14:textId="0AC65FD7" w:rsidR="005649FB" w:rsidRPr="00BD7F2B" w:rsidRDefault="005649FB" w:rsidP="00BD7F2B">
      <w:pPr>
        <w:pStyle w:val="06VIRTBulletpoints"/>
      </w:pPr>
      <w:r w:rsidRPr="00BD7F2B">
        <w:t>the Australian WPI including bonuses rose 4.2 per cent over the 12 months to the March quarter 2024.</w:t>
      </w:r>
      <w:r w:rsidR="000B49A7">
        <w:rPr>
          <w:rStyle w:val="FootnoteReference"/>
        </w:rPr>
        <w:footnoteReference w:id="69"/>
      </w:r>
    </w:p>
    <w:p w14:paraId="36E2B24F" w14:textId="77777777" w:rsidR="005649FB" w:rsidRDefault="005649FB" w:rsidP="005649FB">
      <w:pPr>
        <w:pStyle w:val="03VIRTHeading3"/>
      </w:pPr>
      <w:r>
        <w:t>Real wages are growing again following a period of decline due to high inflation</w:t>
      </w:r>
    </w:p>
    <w:p w14:paraId="31DF5E23" w14:textId="77777777" w:rsidR="005649FB" w:rsidRDefault="005649FB" w:rsidP="005649FB">
      <w:pPr>
        <w:pStyle w:val="05Paragraph"/>
      </w:pPr>
      <w:r>
        <w:t>While nominal wages are growing at the fastest pace in some time, real wages have declined considerably since early 2021, and have only recently started growing again.</w:t>
      </w:r>
    </w:p>
    <w:p w14:paraId="612B2B98" w14:textId="2BE941E5" w:rsidR="005649FB" w:rsidRDefault="005649FB" w:rsidP="005649FB">
      <w:pPr>
        <w:pStyle w:val="05Paragraph"/>
      </w:pPr>
      <w:r>
        <w:t>The Australian headline inflation rate consistently exceeded annual WPI growth from mid</w:t>
      </w:r>
      <w:r>
        <w:noBreakHyphen/>
        <w:t xml:space="preserve">2021 to mid-2023, resulting in falling real wages. However, as inflation and nominal wages growth have moderated and strengthened, respectively, real wages have stabilised and begun to grow again. At the national level, real wages grew by 0.5 per cent over the 12 months to the March quarter 2024. By contrast, real wages in Victoria were unchanged over the same </w:t>
      </w:r>
      <w:r w:rsidR="008517AB">
        <w:t>period and</w:t>
      </w:r>
      <w:r>
        <w:t xml:space="preserve"> have not grown in annual terms since early 2021 (Figure A.5).</w:t>
      </w:r>
    </w:p>
    <w:p w14:paraId="50345FFA" w14:textId="77777777" w:rsidR="005649FB" w:rsidRDefault="005649FB" w:rsidP="005649FB">
      <w:pPr>
        <w:pStyle w:val="08Figuretableboxheading"/>
      </w:pPr>
      <w:r>
        <w:t>Figure A.5: Difference</w:t>
      </w:r>
      <w:r w:rsidRPr="00736202">
        <w:t xml:space="preserve"> between annual CPI and WPI</w:t>
      </w:r>
      <w:r>
        <w:t xml:space="preserve"> growth rates</w:t>
      </w:r>
      <w:r w:rsidRPr="00736202">
        <w:t>, Australia and Victoria</w:t>
      </w:r>
      <w:r>
        <w:t>, March quarter 2021 to March quarter 2024</w:t>
      </w:r>
    </w:p>
    <w:p w14:paraId="0452DA08" w14:textId="77777777" w:rsidR="005649FB" w:rsidRDefault="005649FB" w:rsidP="005649FB">
      <w:pPr>
        <w:pStyle w:val="05Paragraph"/>
      </w:pPr>
      <w:r w:rsidRPr="006D250C">
        <w:rPr>
          <w:noProof/>
        </w:rPr>
        <w:drawing>
          <wp:inline distT="0" distB="0" distL="0" distR="0" wp14:anchorId="3B282566" wp14:editId="474337D4">
            <wp:extent cx="5417820" cy="2415540"/>
            <wp:effectExtent l="0" t="0" r="11430" b="3810"/>
            <wp:docPr id="896166915" name="Chart 1">
              <a:extLst xmlns:a="http://schemas.openxmlformats.org/drawingml/2006/main">
                <a:ext uri="{FF2B5EF4-FFF2-40B4-BE49-F238E27FC236}">
                  <a16:creationId xmlns:a16="http://schemas.microsoft.com/office/drawing/2014/main" id="{D47BD65B-6436-4329-BC3E-C519353DED6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79832112" w14:textId="71B7C54C" w:rsidR="005649FB" w:rsidRPr="00736202" w:rsidRDefault="005649FB" w:rsidP="005649FB">
      <w:pPr>
        <w:pStyle w:val="09Sourcesandnotesfortablesfiguresboxes"/>
      </w:pPr>
      <w:r w:rsidRPr="00736202">
        <w:t xml:space="preserve">Note: </w:t>
      </w:r>
      <w:r>
        <w:t>P</w:t>
      </w:r>
      <w:r w:rsidRPr="00736202">
        <w:t xml:space="preserve">ositive/negative values indicate that </w:t>
      </w:r>
      <w:r>
        <w:t xml:space="preserve">annual </w:t>
      </w:r>
      <w:r w:rsidRPr="00736202">
        <w:t xml:space="preserve">WPI growth for that period was higher/lower than </w:t>
      </w:r>
      <w:r>
        <w:t xml:space="preserve">annual </w:t>
      </w:r>
      <w:r w:rsidRPr="00736202">
        <w:t>CPI growth for the same period.</w:t>
      </w:r>
      <w:r>
        <w:t xml:space="preserve"> Victorian figures calculated on basis of changes in the Melbourne CPI and Victorian WPI.</w:t>
      </w:r>
      <w:r w:rsidRPr="00736202">
        <w:br/>
        <w:t>Source</w:t>
      </w:r>
      <w:r w:rsidR="003854CF">
        <w:t>s</w:t>
      </w:r>
      <w:r w:rsidRPr="00736202">
        <w:t xml:space="preserve">: </w:t>
      </w:r>
      <w:r w:rsidRPr="00DF2C34">
        <w:rPr>
          <w:rFonts w:cs="Calibri Light"/>
        </w:rPr>
        <w:t>ABS (2024</w:t>
      </w:r>
      <w:r>
        <w:rPr>
          <w:rFonts w:cs="Calibri Light"/>
        </w:rPr>
        <w:t>c</w:t>
      </w:r>
      <w:r w:rsidRPr="00DF2C34">
        <w:rPr>
          <w:rFonts w:cs="Calibri Light"/>
        </w:rPr>
        <w:t>)</w:t>
      </w:r>
      <w:r w:rsidRPr="00610B6F">
        <w:t xml:space="preserve">; </w:t>
      </w:r>
      <w:r w:rsidRPr="00DF2C34">
        <w:rPr>
          <w:rFonts w:cs="Calibri Light"/>
        </w:rPr>
        <w:t>ABS (</w:t>
      </w:r>
      <w:r w:rsidR="00347492" w:rsidRPr="00DF2C34">
        <w:rPr>
          <w:rFonts w:cs="Calibri Light"/>
        </w:rPr>
        <w:t>2024</w:t>
      </w:r>
      <w:r w:rsidR="00FC6908">
        <w:rPr>
          <w:rFonts w:cs="Calibri Light"/>
        </w:rPr>
        <w:t>f</w:t>
      </w:r>
      <w:r w:rsidRPr="00DF2C34">
        <w:rPr>
          <w:rFonts w:cs="Calibri Light"/>
        </w:rPr>
        <w:t>)</w:t>
      </w:r>
      <w:r w:rsidRPr="00610B6F">
        <w:t>.</w:t>
      </w:r>
    </w:p>
    <w:p w14:paraId="3698AA46" w14:textId="77777777" w:rsidR="005649FB" w:rsidRDefault="005649FB" w:rsidP="005649FB">
      <w:pPr>
        <w:pStyle w:val="02VIRTHeading2"/>
      </w:pPr>
      <w:bookmarkStart w:id="119" w:name="_Toc169513521"/>
      <w:bookmarkStart w:id="120" w:name="_Toc170383555"/>
      <w:r>
        <w:t>A.2</w:t>
      </w:r>
      <w:r>
        <w:tab/>
      </w:r>
      <w:r w:rsidRPr="007A0ABD">
        <w:t>Economic</w:t>
      </w:r>
      <w:r>
        <w:t xml:space="preserve"> </w:t>
      </w:r>
      <w:r w:rsidRPr="00516470">
        <w:t>outlook</w:t>
      </w:r>
      <w:bookmarkEnd w:id="119"/>
      <w:bookmarkEnd w:id="120"/>
    </w:p>
    <w:p w14:paraId="19C9074A" w14:textId="77777777" w:rsidR="005649FB" w:rsidRDefault="005649FB" w:rsidP="005649FB">
      <w:pPr>
        <w:pStyle w:val="05Paragraph"/>
      </w:pPr>
      <w:r>
        <w:t>The Tribunal’s understanding of the outlook for the Australian and Victorian economies has been informed by the latest forecasts and analysis from the RBA and the federal and Victorian budgets.</w:t>
      </w:r>
    </w:p>
    <w:p w14:paraId="5DD90F4A" w14:textId="01355D50" w:rsidR="005649FB" w:rsidRDefault="005649FB" w:rsidP="00BD7F2B">
      <w:pPr>
        <w:pStyle w:val="05Paragraph"/>
      </w:pPr>
      <w:r>
        <w:t>Key forecasts are reproduced in Tables A.1 and A.2, followed by more detailed</w:t>
      </w:r>
      <w:r w:rsidR="001E6E2D">
        <w:t> </w:t>
      </w:r>
      <w:r>
        <w:t>analysis.</w:t>
      </w:r>
    </w:p>
    <w:p w14:paraId="7352D14E" w14:textId="77777777" w:rsidR="004B2314" w:rsidRDefault="004B2314" w:rsidP="005649FB">
      <w:pPr>
        <w:pStyle w:val="08Figuretableboxheading"/>
      </w:pPr>
      <w:r>
        <w:br w:type="page"/>
      </w:r>
    </w:p>
    <w:p w14:paraId="6B2C7148" w14:textId="362CE4D0" w:rsidR="005649FB" w:rsidRDefault="005649FB" w:rsidP="005649FB">
      <w:pPr>
        <w:pStyle w:val="08Figuretableboxheading"/>
      </w:pPr>
      <w:r>
        <w:t>Table A.1: Selected RBA and Commonwealth Treasury</w:t>
      </w:r>
      <w:r w:rsidR="00AF26E8">
        <w:rPr>
          <w:vertAlign w:val="superscript"/>
        </w:rPr>
        <w:t>(a)</w:t>
      </w:r>
      <w:r>
        <w:t xml:space="preserve"> forecasts for the Australian</w:t>
      </w:r>
      <w:r w:rsidR="001E6E2D">
        <w:t> </w:t>
      </w:r>
      <w:r>
        <w:t>economy</w:t>
      </w:r>
    </w:p>
    <w:tbl>
      <w:tblPr>
        <w:tblStyle w:val="Glossary"/>
        <w:tblW w:w="8505" w:type="dxa"/>
        <w:tblLook w:val="04A0" w:firstRow="1" w:lastRow="0" w:firstColumn="1" w:lastColumn="0" w:noHBand="0" w:noVBand="1"/>
      </w:tblPr>
      <w:tblGrid>
        <w:gridCol w:w="1831"/>
        <w:gridCol w:w="993"/>
        <w:gridCol w:w="1136"/>
        <w:gridCol w:w="1136"/>
        <w:gridCol w:w="1136"/>
        <w:gridCol w:w="1136"/>
        <w:gridCol w:w="1137"/>
      </w:tblGrid>
      <w:tr w:rsidR="005649FB" w:rsidRPr="007A0ABD" w14:paraId="102DCD7D" w14:textId="77777777" w:rsidTr="00183CD1">
        <w:trPr>
          <w:cnfStyle w:val="100000000000" w:firstRow="1" w:lastRow="0" w:firstColumn="0" w:lastColumn="0" w:oddVBand="0" w:evenVBand="0" w:oddHBand="0" w:evenHBand="0" w:firstRowFirstColumn="0" w:firstRowLastColumn="0" w:lastRowFirstColumn="0" w:lastRowLastColumn="0"/>
        </w:trPr>
        <w:tc>
          <w:tcPr>
            <w:tcW w:w="1831" w:type="dxa"/>
            <w:tcBorders>
              <w:bottom w:val="single" w:sz="4" w:space="0" w:color="148A5D"/>
            </w:tcBorders>
          </w:tcPr>
          <w:p w14:paraId="2302CA79" w14:textId="77777777" w:rsidR="005649FB" w:rsidRPr="007A0ABD" w:rsidRDefault="005649FB" w:rsidP="00183CD1">
            <w:pPr>
              <w:pStyle w:val="Tabletext"/>
              <w:rPr>
                <w:rFonts w:cs="Calibri Light"/>
                <w:color w:val="FFFFFF" w:themeColor="background1"/>
              </w:rPr>
            </w:pPr>
            <w:r w:rsidRPr="007A0ABD">
              <w:rPr>
                <w:rFonts w:cs="Calibri Light"/>
                <w:color w:val="FFFFFF" w:themeColor="background1"/>
              </w:rPr>
              <w:t>Indicator</w:t>
            </w:r>
          </w:p>
        </w:tc>
        <w:tc>
          <w:tcPr>
            <w:tcW w:w="993" w:type="dxa"/>
            <w:tcBorders>
              <w:bottom w:val="single" w:sz="4" w:space="0" w:color="148A5D"/>
            </w:tcBorders>
          </w:tcPr>
          <w:p w14:paraId="3D1E4C6A" w14:textId="77777777" w:rsidR="005649FB" w:rsidRPr="007A0ABD" w:rsidRDefault="005649FB" w:rsidP="00183CD1">
            <w:pPr>
              <w:pStyle w:val="Tabletext"/>
              <w:rPr>
                <w:rFonts w:cs="Calibri Light"/>
                <w:color w:val="FFFFFF" w:themeColor="background1"/>
              </w:rPr>
            </w:pPr>
            <w:r w:rsidRPr="007A0ABD">
              <w:rPr>
                <w:rFonts w:cs="Calibri Light"/>
                <w:color w:val="FFFFFF" w:themeColor="background1"/>
              </w:rPr>
              <w:t>Source</w:t>
            </w:r>
          </w:p>
        </w:tc>
        <w:tc>
          <w:tcPr>
            <w:tcW w:w="1136" w:type="dxa"/>
            <w:tcBorders>
              <w:bottom w:val="single" w:sz="4" w:space="0" w:color="148A5D"/>
            </w:tcBorders>
          </w:tcPr>
          <w:p w14:paraId="4E664AC9" w14:textId="77777777" w:rsidR="005649FB" w:rsidRPr="007A0ABD" w:rsidRDefault="005649FB" w:rsidP="00183CD1">
            <w:pPr>
              <w:pStyle w:val="Tabletext"/>
              <w:jc w:val="right"/>
              <w:rPr>
                <w:rFonts w:cs="Calibri Light"/>
                <w:color w:val="FFFFFF" w:themeColor="background1"/>
              </w:rPr>
            </w:pPr>
            <w:r w:rsidRPr="007A0ABD">
              <w:rPr>
                <w:rFonts w:cs="Calibri Light"/>
                <w:color w:val="FFFFFF" w:themeColor="background1"/>
              </w:rPr>
              <w:t>June 2024</w:t>
            </w:r>
          </w:p>
        </w:tc>
        <w:tc>
          <w:tcPr>
            <w:tcW w:w="1136" w:type="dxa"/>
            <w:tcBorders>
              <w:bottom w:val="single" w:sz="4" w:space="0" w:color="148A5D"/>
            </w:tcBorders>
          </w:tcPr>
          <w:p w14:paraId="454FD769" w14:textId="77777777" w:rsidR="005649FB" w:rsidRPr="007A0ABD" w:rsidRDefault="005649FB" w:rsidP="00183CD1">
            <w:pPr>
              <w:pStyle w:val="Tabletext"/>
              <w:jc w:val="right"/>
              <w:rPr>
                <w:rFonts w:cs="Calibri Light"/>
                <w:color w:val="FFFFFF" w:themeColor="background1"/>
              </w:rPr>
            </w:pPr>
            <w:r w:rsidRPr="007A0ABD">
              <w:rPr>
                <w:rFonts w:cs="Calibri Light"/>
                <w:color w:val="FFFFFF" w:themeColor="background1"/>
              </w:rPr>
              <w:t>Dec 2024</w:t>
            </w:r>
          </w:p>
        </w:tc>
        <w:tc>
          <w:tcPr>
            <w:tcW w:w="1136" w:type="dxa"/>
            <w:tcBorders>
              <w:bottom w:val="single" w:sz="4" w:space="0" w:color="148A5D"/>
            </w:tcBorders>
          </w:tcPr>
          <w:p w14:paraId="2307C18B" w14:textId="77777777" w:rsidR="005649FB" w:rsidRPr="007A0ABD" w:rsidRDefault="005649FB" w:rsidP="00183CD1">
            <w:pPr>
              <w:pStyle w:val="Tabletext"/>
              <w:jc w:val="right"/>
              <w:rPr>
                <w:rFonts w:cs="Calibri Light"/>
                <w:color w:val="FFFFFF" w:themeColor="background1"/>
              </w:rPr>
            </w:pPr>
            <w:r w:rsidRPr="007A0ABD">
              <w:rPr>
                <w:rFonts w:cs="Calibri Light"/>
                <w:color w:val="FFFFFF" w:themeColor="background1"/>
              </w:rPr>
              <w:t>June 2025</w:t>
            </w:r>
          </w:p>
        </w:tc>
        <w:tc>
          <w:tcPr>
            <w:tcW w:w="1136" w:type="dxa"/>
            <w:tcBorders>
              <w:bottom w:val="single" w:sz="4" w:space="0" w:color="148A5D"/>
            </w:tcBorders>
          </w:tcPr>
          <w:p w14:paraId="7B98C8A2" w14:textId="77777777" w:rsidR="005649FB" w:rsidRPr="007A0ABD" w:rsidRDefault="005649FB" w:rsidP="00183CD1">
            <w:pPr>
              <w:pStyle w:val="Tabletext"/>
              <w:jc w:val="right"/>
              <w:rPr>
                <w:rFonts w:cs="Calibri Light"/>
                <w:color w:val="FFFFFF" w:themeColor="background1"/>
              </w:rPr>
            </w:pPr>
            <w:r w:rsidRPr="007A0ABD">
              <w:rPr>
                <w:rFonts w:cs="Calibri Light"/>
                <w:color w:val="FFFFFF" w:themeColor="background1"/>
              </w:rPr>
              <w:t>Dec 2025</w:t>
            </w:r>
          </w:p>
        </w:tc>
        <w:tc>
          <w:tcPr>
            <w:tcW w:w="1137" w:type="dxa"/>
            <w:tcBorders>
              <w:bottom w:val="single" w:sz="4" w:space="0" w:color="148A5D"/>
            </w:tcBorders>
          </w:tcPr>
          <w:p w14:paraId="2F55F892" w14:textId="77777777" w:rsidR="005649FB" w:rsidRPr="007A0ABD" w:rsidRDefault="005649FB" w:rsidP="00183CD1">
            <w:pPr>
              <w:pStyle w:val="Tabletext"/>
              <w:jc w:val="right"/>
              <w:rPr>
                <w:rFonts w:cs="Calibri Light"/>
                <w:color w:val="FFFFFF" w:themeColor="background1"/>
              </w:rPr>
            </w:pPr>
            <w:r w:rsidRPr="007A0ABD">
              <w:rPr>
                <w:rFonts w:cs="Calibri Light"/>
                <w:color w:val="FFFFFF" w:themeColor="background1"/>
              </w:rPr>
              <w:t>June 2026</w:t>
            </w:r>
          </w:p>
        </w:tc>
      </w:tr>
      <w:tr w:rsidR="005649FB" w:rsidRPr="007A0ABD" w14:paraId="79E29A7B" w14:textId="77777777" w:rsidTr="00183CD1">
        <w:tc>
          <w:tcPr>
            <w:tcW w:w="1831" w:type="dxa"/>
            <w:tcBorders>
              <w:bottom w:val="single" w:sz="4" w:space="0" w:color="148A5D" w:themeColor="accent2"/>
            </w:tcBorders>
            <w:shd w:val="clear" w:color="auto" w:fill="D1F5EB" w:themeFill="accent5" w:themeFillTint="33"/>
            <w:vAlign w:val="center"/>
          </w:tcPr>
          <w:p w14:paraId="4830DCB9" w14:textId="3A585143" w:rsidR="005649FB" w:rsidRPr="007A0ABD" w:rsidRDefault="005649FB" w:rsidP="00183CD1">
            <w:pPr>
              <w:pStyle w:val="Tabletext"/>
              <w:rPr>
                <w:rFonts w:cs="Calibri Light"/>
                <w:vertAlign w:val="superscript"/>
              </w:rPr>
            </w:pPr>
            <w:r w:rsidRPr="007A0ABD">
              <w:rPr>
                <w:rFonts w:cs="Calibri Light"/>
              </w:rPr>
              <w:t>Real GDP</w:t>
            </w:r>
            <w:r w:rsidRPr="007A0ABD">
              <w:rPr>
                <w:rFonts w:cs="Calibri Light"/>
                <w:vertAlign w:val="superscript"/>
              </w:rPr>
              <w:t>(</w:t>
            </w:r>
            <w:r w:rsidR="00172E84">
              <w:rPr>
                <w:rFonts w:cs="Calibri Light"/>
                <w:vertAlign w:val="superscript"/>
              </w:rPr>
              <w:t>b</w:t>
            </w:r>
            <w:r w:rsidRPr="007A0ABD">
              <w:rPr>
                <w:rFonts w:cs="Calibri Light"/>
                <w:vertAlign w:val="superscript"/>
              </w:rPr>
              <w:t>)</w:t>
            </w:r>
          </w:p>
        </w:tc>
        <w:tc>
          <w:tcPr>
            <w:tcW w:w="993" w:type="dxa"/>
            <w:tcBorders>
              <w:bottom w:val="single" w:sz="4" w:space="0" w:color="148A5D" w:themeColor="accent2"/>
            </w:tcBorders>
            <w:shd w:val="clear" w:color="auto" w:fill="D1F5EB" w:themeFill="accent5" w:themeFillTint="33"/>
          </w:tcPr>
          <w:p w14:paraId="15907469" w14:textId="77777777" w:rsidR="005649FB" w:rsidRPr="007A0ABD" w:rsidRDefault="005649FB" w:rsidP="00183CD1">
            <w:pPr>
              <w:pStyle w:val="Tabletext"/>
              <w:rPr>
                <w:rFonts w:cs="Calibri Light"/>
              </w:rPr>
            </w:pPr>
            <w:r w:rsidRPr="007A0ABD">
              <w:rPr>
                <w:rFonts w:cs="Calibri Light"/>
              </w:rPr>
              <w:t>RBA</w:t>
            </w:r>
          </w:p>
        </w:tc>
        <w:tc>
          <w:tcPr>
            <w:tcW w:w="1136" w:type="dxa"/>
            <w:tcBorders>
              <w:bottom w:val="single" w:sz="4" w:space="0" w:color="148A5D" w:themeColor="accent2"/>
            </w:tcBorders>
            <w:shd w:val="clear" w:color="auto" w:fill="D1F5EB" w:themeFill="accent5" w:themeFillTint="33"/>
          </w:tcPr>
          <w:p w14:paraId="61CE9365" w14:textId="77777777" w:rsidR="005649FB" w:rsidRPr="007A0ABD" w:rsidRDefault="005649FB" w:rsidP="00183CD1">
            <w:pPr>
              <w:pStyle w:val="Tabletext"/>
              <w:jc w:val="right"/>
              <w:rPr>
                <w:rFonts w:cs="Calibri Light"/>
              </w:rPr>
            </w:pPr>
            <w:r w:rsidRPr="007A0ABD">
              <w:rPr>
                <w:rFonts w:cs="Calibri Light"/>
              </w:rPr>
              <w:t>1.2</w:t>
            </w:r>
          </w:p>
        </w:tc>
        <w:tc>
          <w:tcPr>
            <w:tcW w:w="1136" w:type="dxa"/>
            <w:tcBorders>
              <w:bottom w:val="single" w:sz="4" w:space="0" w:color="148A5D" w:themeColor="accent2"/>
            </w:tcBorders>
            <w:shd w:val="clear" w:color="auto" w:fill="D1F5EB" w:themeFill="accent5" w:themeFillTint="33"/>
          </w:tcPr>
          <w:p w14:paraId="4CF96CD2" w14:textId="77777777" w:rsidR="005649FB" w:rsidRPr="007A0ABD" w:rsidRDefault="005649FB" w:rsidP="00183CD1">
            <w:pPr>
              <w:pStyle w:val="Tabletext"/>
              <w:jc w:val="right"/>
              <w:rPr>
                <w:rFonts w:cs="Calibri Light"/>
              </w:rPr>
            </w:pPr>
            <w:r w:rsidRPr="007A0ABD">
              <w:rPr>
                <w:rFonts w:cs="Calibri Light"/>
              </w:rPr>
              <w:t>1.6</w:t>
            </w:r>
          </w:p>
        </w:tc>
        <w:tc>
          <w:tcPr>
            <w:tcW w:w="1136" w:type="dxa"/>
            <w:tcBorders>
              <w:bottom w:val="single" w:sz="4" w:space="0" w:color="148A5D" w:themeColor="accent2"/>
            </w:tcBorders>
            <w:shd w:val="clear" w:color="auto" w:fill="D1F5EB" w:themeFill="accent5" w:themeFillTint="33"/>
          </w:tcPr>
          <w:p w14:paraId="17D09A0B" w14:textId="77777777" w:rsidR="005649FB" w:rsidRPr="007A0ABD" w:rsidRDefault="005649FB" w:rsidP="00183CD1">
            <w:pPr>
              <w:pStyle w:val="Tabletext"/>
              <w:jc w:val="right"/>
              <w:rPr>
                <w:rFonts w:cs="Calibri Light"/>
              </w:rPr>
            </w:pPr>
            <w:r w:rsidRPr="007A0ABD">
              <w:rPr>
                <w:rFonts w:cs="Calibri Light"/>
              </w:rPr>
              <w:t>2.1</w:t>
            </w:r>
          </w:p>
        </w:tc>
        <w:tc>
          <w:tcPr>
            <w:tcW w:w="1136" w:type="dxa"/>
            <w:tcBorders>
              <w:bottom w:val="single" w:sz="4" w:space="0" w:color="148A5D" w:themeColor="accent2"/>
            </w:tcBorders>
            <w:shd w:val="clear" w:color="auto" w:fill="D1F5EB" w:themeFill="accent5" w:themeFillTint="33"/>
          </w:tcPr>
          <w:p w14:paraId="38B26519" w14:textId="77777777" w:rsidR="005649FB" w:rsidRPr="007A0ABD" w:rsidRDefault="005649FB" w:rsidP="00183CD1">
            <w:pPr>
              <w:pStyle w:val="Tabletext"/>
              <w:jc w:val="right"/>
              <w:rPr>
                <w:rFonts w:cs="Calibri Light"/>
              </w:rPr>
            </w:pPr>
            <w:r w:rsidRPr="007A0ABD">
              <w:rPr>
                <w:rFonts w:cs="Calibri Light"/>
              </w:rPr>
              <w:t>2.3</w:t>
            </w:r>
          </w:p>
        </w:tc>
        <w:tc>
          <w:tcPr>
            <w:tcW w:w="1137" w:type="dxa"/>
            <w:tcBorders>
              <w:bottom w:val="single" w:sz="4" w:space="0" w:color="148A5D" w:themeColor="accent2"/>
            </w:tcBorders>
            <w:shd w:val="clear" w:color="auto" w:fill="D1F5EB" w:themeFill="accent5" w:themeFillTint="33"/>
          </w:tcPr>
          <w:p w14:paraId="2EDD4667" w14:textId="77777777" w:rsidR="005649FB" w:rsidRPr="007A0ABD" w:rsidRDefault="005649FB" w:rsidP="00183CD1">
            <w:pPr>
              <w:pStyle w:val="Tabletext"/>
              <w:jc w:val="right"/>
              <w:rPr>
                <w:rFonts w:cs="Calibri Light"/>
              </w:rPr>
            </w:pPr>
            <w:r w:rsidRPr="007A0ABD">
              <w:rPr>
                <w:rFonts w:cs="Calibri Light"/>
              </w:rPr>
              <w:t>2.4</w:t>
            </w:r>
          </w:p>
        </w:tc>
      </w:tr>
      <w:tr w:rsidR="005649FB" w:rsidRPr="007A0ABD" w14:paraId="7F0562BF" w14:textId="77777777" w:rsidTr="00183CD1">
        <w:tc>
          <w:tcPr>
            <w:tcW w:w="1831" w:type="dxa"/>
            <w:tcBorders>
              <w:top w:val="single" w:sz="4" w:space="0" w:color="148A5D" w:themeColor="accent2"/>
            </w:tcBorders>
            <w:vAlign w:val="center"/>
          </w:tcPr>
          <w:p w14:paraId="054D6250" w14:textId="4F556893" w:rsidR="005649FB" w:rsidRPr="007A0ABD" w:rsidRDefault="005649FB" w:rsidP="00183CD1">
            <w:pPr>
              <w:pStyle w:val="Tabletext"/>
              <w:rPr>
                <w:rFonts w:cs="Calibri Light"/>
              </w:rPr>
            </w:pPr>
            <w:r w:rsidRPr="007A0ABD">
              <w:rPr>
                <w:rFonts w:cs="Calibri Light"/>
              </w:rPr>
              <w:t>Population</w:t>
            </w:r>
            <w:r w:rsidRPr="007A0ABD">
              <w:rPr>
                <w:rFonts w:cs="Calibri Light"/>
                <w:vertAlign w:val="superscript"/>
              </w:rPr>
              <w:t>(</w:t>
            </w:r>
            <w:r w:rsidR="00172E84">
              <w:rPr>
                <w:rFonts w:cs="Calibri Light"/>
                <w:vertAlign w:val="superscript"/>
              </w:rPr>
              <w:t>b</w:t>
            </w:r>
            <w:r w:rsidRPr="007A0ABD">
              <w:rPr>
                <w:rFonts w:cs="Calibri Light"/>
                <w:vertAlign w:val="superscript"/>
              </w:rPr>
              <w:t>)</w:t>
            </w:r>
          </w:p>
        </w:tc>
        <w:tc>
          <w:tcPr>
            <w:tcW w:w="993" w:type="dxa"/>
            <w:tcBorders>
              <w:top w:val="single" w:sz="4" w:space="0" w:color="148A5D" w:themeColor="accent2"/>
              <w:bottom w:val="single" w:sz="4" w:space="0" w:color="148A5D"/>
            </w:tcBorders>
          </w:tcPr>
          <w:p w14:paraId="04C153D5" w14:textId="77777777" w:rsidR="005649FB" w:rsidRPr="007A0ABD" w:rsidRDefault="005649FB" w:rsidP="00183CD1">
            <w:pPr>
              <w:pStyle w:val="Tabletext"/>
              <w:rPr>
                <w:rFonts w:cs="Calibri Light"/>
              </w:rPr>
            </w:pPr>
            <w:r w:rsidRPr="007A0ABD">
              <w:rPr>
                <w:rFonts w:cs="Calibri Light"/>
              </w:rPr>
              <w:t>RBA</w:t>
            </w:r>
          </w:p>
        </w:tc>
        <w:tc>
          <w:tcPr>
            <w:tcW w:w="1136" w:type="dxa"/>
            <w:tcBorders>
              <w:top w:val="single" w:sz="4" w:space="0" w:color="148A5D" w:themeColor="accent2"/>
              <w:bottom w:val="single" w:sz="4" w:space="0" w:color="148A5D"/>
            </w:tcBorders>
          </w:tcPr>
          <w:p w14:paraId="07B9D1C6" w14:textId="77777777" w:rsidR="005649FB" w:rsidRPr="007A0ABD" w:rsidRDefault="005649FB" w:rsidP="00183CD1">
            <w:pPr>
              <w:pStyle w:val="Tabletext"/>
              <w:jc w:val="right"/>
              <w:rPr>
                <w:rFonts w:cs="Calibri Light"/>
              </w:rPr>
            </w:pPr>
            <w:r w:rsidRPr="007A0ABD">
              <w:rPr>
                <w:rFonts w:cs="Calibri Light"/>
              </w:rPr>
              <w:t>2.0</w:t>
            </w:r>
          </w:p>
        </w:tc>
        <w:tc>
          <w:tcPr>
            <w:tcW w:w="1136" w:type="dxa"/>
            <w:tcBorders>
              <w:top w:val="single" w:sz="4" w:space="0" w:color="148A5D" w:themeColor="accent2"/>
              <w:bottom w:val="single" w:sz="4" w:space="0" w:color="148A5D"/>
            </w:tcBorders>
          </w:tcPr>
          <w:p w14:paraId="7EB13FAA" w14:textId="77777777" w:rsidR="005649FB" w:rsidRPr="007A0ABD" w:rsidRDefault="005649FB" w:rsidP="00183CD1">
            <w:pPr>
              <w:pStyle w:val="Tabletext"/>
              <w:jc w:val="right"/>
              <w:rPr>
                <w:rFonts w:cs="Calibri Light"/>
              </w:rPr>
            </w:pPr>
            <w:r w:rsidRPr="007A0ABD">
              <w:rPr>
                <w:rFonts w:cs="Calibri Light"/>
              </w:rPr>
              <w:t>1.5</w:t>
            </w:r>
          </w:p>
        </w:tc>
        <w:tc>
          <w:tcPr>
            <w:tcW w:w="1136" w:type="dxa"/>
            <w:tcBorders>
              <w:top w:val="single" w:sz="4" w:space="0" w:color="148A5D" w:themeColor="accent2"/>
              <w:bottom w:val="single" w:sz="4" w:space="0" w:color="148A5D"/>
            </w:tcBorders>
          </w:tcPr>
          <w:p w14:paraId="70E45970" w14:textId="77777777" w:rsidR="005649FB" w:rsidRPr="007A0ABD" w:rsidRDefault="005649FB" w:rsidP="00183CD1">
            <w:pPr>
              <w:pStyle w:val="Tabletext"/>
              <w:jc w:val="right"/>
              <w:rPr>
                <w:rFonts w:cs="Calibri Light"/>
              </w:rPr>
            </w:pPr>
            <w:r w:rsidRPr="007A0ABD">
              <w:rPr>
                <w:rFonts w:cs="Calibri Light"/>
              </w:rPr>
              <w:t>1.4</w:t>
            </w:r>
          </w:p>
        </w:tc>
        <w:tc>
          <w:tcPr>
            <w:tcW w:w="1136" w:type="dxa"/>
            <w:tcBorders>
              <w:top w:val="single" w:sz="4" w:space="0" w:color="148A5D" w:themeColor="accent2"/>
              <w:bottom w:val="single" w:sz="4" w:space="0" w:color="148A5D"/>
            </w:tcBorders>
          </w:tcPr>
          <w:p w14:paraId="0348011F" w14:textId="77777777" w:rsidR="005649FB" w:rsidRPr="007A0ABD" w:rsidRDefault="005649FB" w:rsidP="00183CD1">
            <w:pPr>
              <w:pStyle w:val="Tabletext"/>
              <w:jc w:val="right"/>
              <w:rPr>
                <w:rFonts w:cs="Calibri Light"/>
              </w:rPr>
            </w:pPr>
            <w:r w:rsidRPr="007A0ABD">
              <w:rPr>
                <w:rFonts w:cs="Calibri Light"/>
              </w:rPr>
              <w:t>1.4</w:t>
            </w:r>
          </w:p>
        </w:tc>
        <w:tc>
          <w:tcPr>
            <w:tcW w:w="1137" w:type="dxa"/>
            <w:tcBorders>
              <w:top w:val="single" w:sz="4" w:space="0" w:color="148A5D" w:themeColor="accent2"/>
              <w:bottom w:val="single" w:sz="4" w:space="0" w:color="148A5D"/>
            </w:tcBorders>
          </w:tcPr>
          <w:p w14:paraId="7C5FB73C" w14:textId="77777777" w:rsidR="005649FB" w:rsidRPr="007A0ABD" w:rsidRDefault="005649FB" w:rsidP="00183CD1">
            <w:pPr>
              <w:pStyle w:val="Tabletext"/>
              <w:jc w:val="right"/>
              <w:rPr>
                <w:rFonts w:cs="Calibri Light"/>
              </w:rPr>
            </w:pPr>
            <w:r w:rsidRPr="007A0ABD">
              <w:rPr>
                <w:rFonts w:cs="Calibri Light"/>
              </w:rPr>
              <w:t>1.4</w:t>
            </w:r>
          </w:p>
        </w:tc>
      </w:tr>
      <w:tr w:rsidR="005649FB" w:rsidRPr="007A0ABD" w14:paraId="05BE0FF1" w14:textId="77777777" w:rsidTr="00183CD1">
        <w:tc>
          <w:tcPr>
            <w:tcW w:w="1831" w:type="dxa"/>
            <w:vMerge w:val="restart"/>
            <w:shd w:val="clear" w:color="auto" w:fill="D1F5EB" w:themeFill="accent5" w:themeFillTint="33"/>
          </w:tcPr>
          <w:p w14:paraId="0CAA242A" w14:textId="3B822825" w:rsidR="005649FB" w:rsidRPr="007A0ABD" w:rsidRDefault="005649FB" w:rsidP="00183CD1">
            <w:pPr>
              <w:pStyle w:val="Tabletext"/>
              <w:rPr>
                <w:rFonts w:cs="Calibri Light"/>
              </w:rPr>
            </w:pPr>
            <w:r w:rsidRPr="007A0ABD">
              <w:rPr>
                <w:rFonts w:cs="Calibri Light"/>
              </w:rPr>
              <w:t>CPI</w:t>
            </w:r>
            <w:r w:rsidRPr="007A0ABD">
              <w:rPr>
                <w:rFonts w:cs="Calibri Light"/>
                <w:vertAlign w:val="superscript"/>
              </w:rPr>
              <w:t>(</w:t>
            </w:r>
            <w:r w:rsidR="00172E84">
              <w:rPr>
                <w:rFonts w:cs="Calibri Light"/>
                <w:vertAlign w:val="superscript"/>
              </w:rPr>
              <w:t>b</w:t>
            </w:r>
            <w:r w:rsidRPr="007A0ABD">
              <w:rPr>
                <w:rFonts w:cs="Calibri Light"/>
                <w:vertAlign w:val="superscript"/>
              </w:rPr>
              <w:t>)</w:t>
            </w:r>
          </w:p>
        </w:tc>
        <w:tc>
          <w:tcPr>
            <w:tcW w:w="993" w:type="dxa"/>
            <w:tcBorders>
              <w:bottom w:val="single" w:sz="4" w:space="0" w:color="148A5D" w:themeColor="accent2"/>
            </w:tcBorders>
            <w:shd w:val="clear" w:color="auto" w:fill="D1F5EB" w:themeFill="accent5" w:themeFillTint="33"/>
          </w:tcPr>
          <w:p w14:paraId="763A0C96" w14:textId="77777777" w:rsidR="005649FB" w:rsidRPr="007A0ABD" w:rsidRDefault="005649FB" w:rsidP="00183CD1">
            <w:pPr>
              <w:pStyle w:val="Tabletext"/>
              <w:rPr>
                <w:rFonts w:cs="Calibri Light"/>
              </w:rPr>
            </w:pPr>
            <w:r w:rsidRPr="007A0ABD">
              <w:rPr>
                <w:rFonts w:cs="Calibri Light"/>
              </w:rPr>
              <w:t>RBA</w:t>
            </w:r>
          </w:p>
        </w:tc>
        <w:tc>
          <w:tcPr>
            <w:tcW w:w="1136" w:type="dxa"/>
            <w:tcBorders>
              <w:bottom w:val="single" w:sz="4" w:space="0" w:color="148A5D" w:themeColor="accent2"/>
            </w:tcBorders>
            <w:shd w:val="clear" w:color="auto" w:fill="D1F5EB" w:themeFill="accent5" w:themeFillTint="33"/>
          </w:tcPr>
          <w:p w14:paraId="2C01D293" w14:textId="77777777" w:rsidR="005649FB" w:rsidRPr="007A0ABD" w:rsidRDefault="005649FB" w:rsidP="00183CD1">
            <w:pPr>
              <w:pStyle w:val="Tabletext"/>
              <w:jc w:val="right"/>
              <w:rPr>
                <w:rFonts w:cs="Calibri Light"/>
              </w:rPr>
            </w:pPr>
            <w:r w:rsidRPr="007A0ABD">
              <w:rPr>
                <w:rFonts w:cs="Calibri Light"/>
              </w:rPr>
              <w:t>3.8</w:t>
            </w:r>
          </w:p>
        </w:tc>
        <w:tc>
          <w:tcPr>
            <w:tcW w:w="1136" w:type="dxa"/>
            <w:tcBorders>
              <w:bottom w:val="single" w:sz="4" w:space="0" w:color="148A5D" w:themeColor="accent2"/>
            </w:tcBorders>
            <w:shd w:val="clear" w:color="auto" w:fill="D1F5EB" w:themeFill="accent5" w:themeFillTint="33"/>
          </w:tcPr>
          <w:p w14:paraId="5CF82373" w14:textId="77777777" w:rsidR="005649FB" w:rsidRPr="007A0ABD" w:rsidRDefault="005649FB" w:rsidP="00183CD1">
            <w:pPr>
              <w:pStyle w:val="Tabletext"/>
              <w:jc w:val="right"/>
              <w:rPr>
                <w:rFonts w:cs="Calibri Light"/>
              </w:rPr>
            </w:pPr>
            <w:r w:rsidRPr="007A0ABD">
              <w:rPr>
                <w:rFonts w:cs="Calibri Light"/>
              </w:rPr>
              <w:t>3.8</w:t>
            </w:r>
          </w:p>
        </w:tc>
        <w:tc>
          <w:tcPr>
            <w:tcW w:w="1136" w:type="dxa"/>
            <w:tcBorders>
              <w:bottom w:val="single" w:sz="4" w:space="0" w:color="148A5D" w:themeColor="accent2"/>
            </w:tcBorders>
            <w:shd w:val="clear" w:color="auto" w:fill="D1F5EB" w:themeFill="accent5" w:themeFillTint="33"/>
          </w:tcPr>
          <w:p w14:paraId="3674C8A5" w14:textId="77777777" w:rsidR="005649FB" w:rsidRPr="007A0ABD" w:rsidRDefault="005649FB" w:rsidP="00183CD1">
            <w:pPr>
              <w:pStyle w:val="Tabletext"/>
              <w:jc w:val="right"/>
              <w:rPr>
                <w:rFonts w:cs="Calibri Light"/>
              </w:rPr>
            </w:pPr>
            <w:r w:rsidRPr="007A0ABD">
              <w:rPr>
                <w:rFonts w:cs="Calibri Light"/>
              </w:rPr>
              <w:t>3.2</w:t>
            </w:r>
          </w:p>
        </w:tc>
        <w:tc>
          <w:tcPr>
            <w:tcW w:w="1136" w:type="dxa"/>
            <w:tcBorders>
              <w:bottom w:val="single" w:sz="4" w:space="0" w:color="148A5D" w:themeColor="accent2"/>
            </w:tcBorders>
            <w:shd w:val="clear" w:color="auto" w:fill="D1F5EB" w:themeFill="accent5" w:themeFillTint="33"/>
          </w:tcPr>
          <w:p w14:paraId="394241ED" w14:textId="77777777" w:rsidR="005649FB" w:rsidRPr="007A0ABD" w:rsidRDefault="005649FB" w:rsidP="00183CD1">
            <w:pPr>
              <w:pStyle w:val="Tabletext"/>
              <w:jc w:val="right"/>
              <w:rPr>
                <w:rFonts w:cs="Calibri Light"/>
              </w:rPr>
            </w:pPr>
            <w:r w:rsidRPr="007A0ABD">
              <w:rPr>
                <w:rFonts w:cs="Calibri Light"/>
              </w:rPr>
              <w:t>2.8</w:t>
            </w:r>
          </w:p>
        </w:tc>
        <w:tc>
          <w:tcPr>
            <w:tcW w:w="1137" w:type="dxa"/>
            <w:tcBorders>
              <w:bottom w:val="single" w:sz="4" w:space="0" w:color="148A5D" w:themeColor="accent2"/>
            </w:tcBorders>
            <w:shd w:val="clear" w:color="auto" w:fill="D1F5EB" w:themeFill="accent5" w:themeFillTint="33"/>
          </w:tcPr>
          <w:p w14:paraId="3DE7EEB9" w14:textId="77777777" w:rsidR="005649FB" w:rsidRPr="007A0ABD" w:rsidRDefault="005649FB" w:rsidP="00183CD1">
            <w:pPr>
              <w:pStyle w:val="Tabletext"/>
              <w:jc w:val="right"/>
              <w:rPr>
                <w:rFonts w:cs="Calibri Light"/>
              </w:rPr>
            </w:pPr>
            <w:r w:rsidRPr="007A0ABD">
              <w:rPr>
                <w:rFonts w:cs="Calibri Light"/>
              </w:rPr>
              <w:t>2.6</w:t>
            </w:r>
          </w:p>
        </w:tc>
      </w:tr>
      <w:tr w:rsidR="005649FB" w:rsidRPr="007A0ABD" w14:paraId="194EDE07" w14:textId="77777777" w:rsidTr="00183CD1">
        <w:tc>
          <w:tcPr>
            <w:tcW w:w="1831" w:type="dxa"/>
            <w:vMerge/>
            <w:shd w:val="clear" w:color="auto" w:fill="D1F5EB" w:themeFill="accent5" w:themeFillTint="33"/>
            <w:vAlign w:val="center"/>
          </w:tcPr>
          <w:p w14:paraId="67765722" w14:textId="77777777" w:rsidR="005649FB" w:rsidRPr="007A0ABD" w:rsidRDefault="005649FB" w:rsidP="00183CD1">
            <w:pPr>
              <w:pStyle w:val="Tabletext"/>
              <w:rPr>
                <w:rFonts w:cs="Calibri Light"/>
              </w:rPr>
            </w:pPr>
          </w:p>
        </w:tc>
        <w:tc>
          <w:tcPr>
            <w:tcW w:w="993" w:type="dxa"/>
            <w:tcBorders>
              <w:top w:val="single" w:sz="4" w:space="0" w:color="148A5D" w:themeColor="accent2"/>
            </w:tcBorders>
            <w:shd w:val="clear" w:color="auto" w:fill="D1F5EB" w:themeFill="accent5" w:themeFillTint="33"/>
          </w:tcPr>
          <w:p w14:paraId="41F9913D" w14:textId="77777777" w:rsidR="005649FB" w:rsidRPr="007A0ABD" w:rsidRDefault="005649FB" w:rsidP="00183CD1">
            <w:pPr>
              <w:pStyle w:val="Tabletext"/>
              <w:rPr>
                <w:rFonts w:cs="Calibri Light"/>
              </w:rPr>
            </w:pPr>
            <w:r w:rsidRPr="007A0ABD">
              <w:rPr>
                <w:rFonts w:cs="Calibri Light"/>
              </w:rPr>
              <w:t>Treasury</w:t>
            </w:r>
          </w:p>
        </w:tc>
        <w:tc>
          <w:tcPr>
            <w:tcW w:w="1136" w:type="dxa"/>
            <w:tcBorders>
              <w:top w:val="single" w:sz="4" w:space="0" w:color="148A5D" w:themeColor="accent2"/>
            </w:tcBorders>
            <w:shd w:val="clear" w:color="auto" w:fill="D1F5EB" w:themeFill="accent5" w:themeFillTint="33"/>
          </w:tcPr>
          <w:p w14:paraId="1E459B7E" w14:textId="77777777" w:rsidR="005649FB" w:rsidRPr="007A0ABD" w:rsidRDefault="005649FB" w:rsidP="00183CD1">
            <w:pPr>
              <w:pStyle w:val="Tabletext"/>
              <w:jc w:val="right"/>
              <w:rPr>
                <w:rFonts w:cs="Calibri Light"/>
              </w:rPr>
            </w:pPr>
            <w:r w:rsidRPr="007A0ABD">
              <w:rPr>
                <w:rFonts w:cs="Calibri Light"/>
              </w:rPr>
              <w:t>3.5</w:t>
            </w:r>
          </w:p>
        </w:tc>
        <w:tc>
          <w:tcPr>
            <w:tcW w:w="1136" w:type="dxa"/>
            <w:tcBorders>
              <w:top w:val="single" w:sz="4" w:space="0" w:color="148A5D" w:themeColor="accent2"/>
            </w:tcBorders>
            <w:shd w:val="clear" w:color="auto" w:fill="D1F5EB" w:themeFill="accent5" w:themeFillTint="33"/>
          </w:tcPr>
          <w:p w14:paraId="6F6AEB71" w14:textId="77777777" w:rsidR="005649FB" w:rsidRPr="007A0ABD" w:rsidRDefault="005649FB" w:rsidP="00183CD1">
            <w:pPr>
              <w:pStyle w:val="Tabletext"/>
              <w:jc w:val="right"/>
              <w:rPr>
                <w:rFonts w:cs="Calibri Light"/>
              </w:rPr>
            </w:pPr>
            <w:r w:rsidRPr="007A0ABD">
              <w:rPr>
                <w:rFonts w:cs="Calibri Light"/>
              </w:rPr>
              <w:t>N/A</w:t>
            </w:r>
          </w:p>
        </w:tc>
        <w:tc>
          <w:tcPr>
            <w:tcW w:w="1136" w:type="dxa"/>
            <w:tcBorders>
              <w:top w:val="single" w:sz="4" w:space="0" w:color="148A5D" w:themeColor="accent2"/>
            </w:tcBorders>
            <w:shd w:val="clear" w:color="auto" w:fill="D1F5EB" w:themeFill="accent5" w:themeFillTint="33"/>
          </w:tcPr>
          <w:p w14:paraId="73D73081" w14:textId="77777777" w:rsidR="005649FB" w:rsidRPr="007A0ABD" w:rsidRDefault="005649FB" w:rsidP="00183CD1">
            <w:pPr>
              <w:pStyle w:val="Tabletext"/>
              <w:jc w:val="right"/>
              <w:rPr>
                <w:rFonts w:cs="Calibri Light"/>
              </w:rPr>
            </w:pPr>
            <w:r w:rsidRPr="007A0ABD">
              <w:rPr>
                <w:rFonts w:cs="Calibri Light"/>
              </w:rPr>
              <w:t>2.8</w:t>
            </w:r>
          </w:p>
        </w:tc>
        <w:tc>
          <w:tcPr>
            <w:tcW w:w="1136" w:type="dxa"/>
            <w:tcBorders>
              <w:top w:val="single" w:sz="4" w:space="0" w:color="148A5D" w:themeColor="accent2"/>
            </w:tcBorders>
            <w:shd w:val="clear" w:color="auto" w:fill="D1F5EB" w:themeFill="accent5" w:themeFillTint="33"/>
          </w:tcPr>
          <w:p w14:paraId="216CB8C8" w14:textId="77777777" w:rsidR="005649FB" w:rsidRPr="007A0ABD" w:rsidRDefault="005649FB" w:rsidP="00183CD1">
            <w:pPr>
              <w:pStyle w:val="Tabletext"/>
              <w:jc w:val="right"/>
              <w:rPr>
                <w:rFonts w:cs="Calibri Light"/>
              </w:rPr>
            </w:pPr>
            <w:r w:rsidRPr="007A0ABD">
              <w:rPr>
                <w:rFonts w:cs="Calibri Light"/>
              </w:rPr>
              <w:t>N/A</w:t>
            </w:r>
          </w:p>
        </w:tc>
        <w:tc>
          <w:tcPr>
            <w:tcW w:w="1137" w:type="dxa"/>
            <w:tcBorders>
              <w:top w:val="single" w:sz="4" w:space="0" w:color="148A5D" w:themeColor="accent2"/>
            </w:tcBorders>
            <w:shd w:val="clear" w:color="auto" w:fill="D1F5EB" w:themeFill="accent5" w:themeFillTint="33"/>
          </w:tcPr>
          <w:p w14:paraId="62F98421" w14:textId="77777777" w:rsidR="005649FB" w:rsidRPr="007A0ABD" w:rsidRDefault="005649FB" w:rsidP="00183CD1">
            <w:pPr>
              <w:pStyle w:val="Tabletext"/>
              <w:jc w:val="right"/>
              <w:rPr>
                <w:rFonts w:cs="Calibri Light"/>
              </w:rPr>
            </w:pPr>
            <w:r w:rsidRPr="007A0ABD">
              <w:rPr>
                <w:rFonts w:cs="Calibri Light"/>
              </w:rPr>
              <w:t>2.8</w:t>
            </w:r>
          </w:p>
        </w:tc>
      </w:tr>
      <w:tr w:rsidR="005649FB" w:rsidRPr="007A0ABD" w14:paraId="7ACDBC7B" w14:textId="77777777" w:rsidTr="00183CD1">
        <w:tc>
          <w:tcPr>
            <w:tcW w:w="1831" w:type="dxa"/>
            <w:vAlign w:val="center"/>
          </w:tcPr>
          <w:p w14:paraId="01A86593" w14:textId="0CF6663A" w:rsidR="005649FB" w:rsidRPr="007A0ABD" w:rsidRDefault="005649FB" w:rsidP="00183CD1">
            <w:pPr>
              <w:pStyle w:val="Tabletext"/>
              <w:rPr>
                <w:rFonts w:cs="Calibri Light"/>
              </w:rPr>
            </w:pPr>
            <w:r w:rsidRPr="007A0ABD">
              <w:rPr>
                <w:rFonts w:cs="Calibri Light"/>
              </w:rPr>
              <w:t>Trimmed mean</w:t>
            </w:r>
            <w:r w:rsidRPr="007A0ABD">
              <w:rPr>
                <w:rFonts w:cs="Calibri Light"/>
                <w:vertAlign w:val="superscript"/>
              </w:rPr>
              <w:t>(</w:t>
            </w:r>
            <w:r w:rsidR="00172E84">
              <w:rPr>
                <w:rFonts w:cs="Calibri Light"/>
                <w:vertAlign w:val="superscript"/>
              </w:rPr>
              <w:t>b</w:t>
            </w:r>
            <w:r w:rsidRPr="007A0ABD">
              <w:rPr>
                <w:rFonts w:cs="Calibri Light"/>
                <w:vertAlign w:val="superscript"/>
              </w:rPr>
              <w:t>)</w:t>
            </w:r>
          </w:p>
        </w:tc>
        <w:tc>
          <w:tcPr>
            <w:tcW w:w="993" w:type="dxa"/>
            <w:tcBorders>
              <w:bottom w:val="single" w:sz="4" w:space="0" w:color="148A5D"/>
            </w:tcBorders>
          </w:tcPr>
          <w:p w14:paraId="344D6044" w14:textId="77777777" w:rsidR="005649FB" w:rsidRPr="007A0ABD" w:rsidRDefault="005649FB" w:rsidP="00183CD1">
            <w:pPr>
              <w:pStyle w:val="Tabletext"/>
              <w:rPr>
                <w:rFonts w:cs="Calibri Light"/>
              </w:rPr>
            </w:pPr>
            <w:r w:rsidRPr="007A0ABD">
              <w:rPr>
                <w:rFonts w:cs="Calibri Light"/>
              </w:rPr>
              <w:t>RBA</w:t>
            </w:r>
          </w:p>
        </w:tc>
        <w:tc>
          <w:tcPr>
            <w:tcW w:w="1136" w:type="dxa"/>
            <w:tcBorders>
              <w:bottom w:val="single" w:sz="4" w:space="0" w:color="148A5D"/>
            </w:tcBorders>
          </w:tcPr>
          <w:p w14:paraId="1772DC76" w14:textId="77777777" w:rsidR="005649FB" w:rsidRPr="007A0ABD" w:rsidRDefault="005649FB" w:rsidP="00183CD1">
            <w:pPr>
              <w:pStyle w:val="Tabletext"/>
              <w:jc w:val="right"/>
              <w:rPr>
                <w:rFonts w:cs="Calibri Light"/>
              </w:rPr>
            </w:pPr>
            <w:r w:rsidRPr="007A0ABD">
              <w:rPr>
                <w:rFonts w:cs="Calibri Light"/>
              </w:rPr>
              <w:t>3.8</w:t>
            </w:r>
          </w:p>
        </w:tc>
        <w:tc>
          <w:tcPr>
            <w:tcW w:w="1136" w:type="dxa"/>
            <w:tcBorders>
              <w:bottom w:val="single" w:sz="4" w:space="0" w:color="148A5D"/>
            </w:tcBorders>
          </w:tcPr>
          <w:p w14:paraId="2C804BFC" w14:textId="77777777" w:rsidR="005649FB" w:rsidRPr="007A0ABD" w:rsidRDefault="005649FB" w:rsidP="00183CD1">
            <w:pPr>
              <w:pStyle w:val="Tabletext"/>
              <w:jc w:val="right"/>
              <w:rPr>
                <w:rFonts w:cs="Calibri Light"/>
              </w:rPr>
            </w:pPr>
            <w:r w:rsidRPr="007A0ABD">
              <w:rPr>
                <w:rFonts w:cs="Calibri Light"/>
              </w:rPr>
              <w:t>3.4</w:t>
            </w:r>
          </w:p>
        </w:tc>
        <w:tc>
          <w:tcPr>
            <w:tcW w:w="1136" w:type="dxa"/>
            <w:tcBorders>
              <w:bottom w:val="single" w:sz="4" w:space="0" w:color="148A5D"/>
            </w:tcBorders>
          </w:tcPr>
          <w:p w14:paraId="50EFCBB7" w14:textId="77777777" w:rsidR="005649FB" w:rsidRPr="007A0ABD" w:rsidRDefault="005649FB" w:rsidP="00183CD1">
            <w:pPr>
              <w:pStyle w:val="Tabletext"/>
              <w:jc w:val="right"/>
              <w:rPr>
                <w:rFonts w:cs="Calibri Light"/>
              </w:rPr>
            </w:pPr>
            <w:r w:rsidRPr="007A0ABD">
              <w:rPr>
                <w:rFonts w:cs="Calibri Light"/>
              </w:rPr>
              <w:t>3.1</w:t>
            </w:r>
          </w:p>
        </w:tc>
        <w:tc>
          <w:tcPr>
            <w:tcW w:w="1136" w:type="dxa"/>
            <w:tcBorders>
              <w:bottom w:val="single" w:sz="4" w:space="0" w:color="148A5D"/>
            </w:tcBorders>
          </w:tcPr>
          <w:p w14:paraId="1A67006A" w14:textId="77777777" w:rsidR="005649FB" w:rsidRPr="007A0ABD" w:rsidRDefault="005649FB" w:rsidP="00183CD1">
            <w:pPr>
              <w:pStyle w:val="Tabletext"/>
              <w:jc w:val="right"/>
              <w:rPr>
                <w:rFonts w:cs="Calibri Light"/>
              </w:rPr>
            </w:pPr>
            <w:r w:rsidRPr="007A0ABD">
              <w:rPr>
                <w:rFonts w:cs="Calibri Light"/>
              </w:rPr>
              <w:t>2.8</w:t>
            </w:r>
          </w:p>
        </w:tc>
        <w:tc>
          <w:tcPr>
            <w:tcW w:w="1137" w:type="dxa"/>
            <w:tcBorders>
              <w:bottom w:val="single" w:sz="4" w:space="0" w:color="148A5D"/>
            </w:tcBorders>
          </w:tcPr>
          <w:p w14:paraId="7C87A4E4" w14:textId="77777777" w:rsidR="005649FB" w:rsidRPr="007A0ABD" w:rsidRDefault="005649FB" w:rsidP="00183CD1">
            <w:pPr>
              <w:pStyle w:val="Tabletext"/>
              <w:jc w:val="right"/>
              <w:rPr>
                <w:rFonts w:cs="Calibri Light"/>
              </w:rPr>
            </w:pPr>
            <w:r w:rsidRPr="007A0ABD">
              <w:rPr>
                <w:rFonts w:cs="Calibri Light"/>
              </w:rPr>
              <w:t>2.6</w:t>
            </w:r>
          </w:p>
        </w:tc>
      </w:tr>
      <w:tr w:rsidR="005649FB" w:rsidRPr="007A0ABD" w14:paraId="2E377047" w14:textId="77777777" w:rsidTr="00183CD1">
        <w:tc>
          <w:tcPr>
            <w:tcW w:w="1831" w:type="dxa"/>
            <w:vMerge w:val="restart"/>
            <w:shd w:val="clear" w:color="auto" w:fill="D1F5EB" w:themeFill="accent5" w:themeFillTint="33"/>
          </w:tcPr>
          <w:p w14:paraId="41C4AC0D" w14:textId="1E26E4E8" w:rsidR="005649FB" w:rsidRPr="007A0ABD" w:rsidRDefault="005649FB" w:rsidP="00183CD1">
            <w:pPr>
              <w:pStyle w:val="Tabletext"/>
              <w:rPr>
                <w:rFonts w:cs="Calibri Light"/>
              </w:rPr>
            </w:pPr>
            <w:r w:rsidRPr="007A0ABD">
              <w:rPr>
                <w:rFonts w:cs="Calibri Light"/>
              </w:rPr>
              <w:t>Employment</w:t>
            </w:r>
            <w:r w:rsidRPr="007A0ABD">
              <w:rPr>
                <w:rFonts w:cs="Calibri Light"/>
                <w:vertAlign w:val="superscript"/>
              </w:rPr>
              <w:t>(</w:t>
            </w:r>
            <w:r w:rsidR="00172E84">
              <w:rPr>
                <w:rFonts w:cs="Calibri Light"/>
                <w:vertAlign w:val="superscript"/>
              </w:rPr>
              <w:t>b</w:t>
            </w:r>
            <w:r w:rsidRPr="007A0ABD">
              <w:rPr>
                <w:rFonts w:cs="Calibri Light"/>
                <w:vertAlign w:val="superscript"/>
              </w:rPr>
              <w:t>)</w:t>
            </w:r>
          </w:p>
        </w:tc>
        <w:tc>
          <w:tcPr>
            <w:tcW w:w="993" w:type="dxa"/>
            <w:tcBorders>
              <w:bottom w:val="single" w:sz="4" w:space="0" w:color="148A5D" w:themeColor="accent2"/>
            </w:tcBorders>
            <w:shd w:val="clear" w:color="auto" w:fill="D1F5EB" w:themeFill="accent5" w:themeFillTint="33"/>
          </w:tcPr>
          <w:p w14:paraId="310941D2" w14:textId="77777777" w:rsidR="005649FB" w:rsidRPr="007A0ABD" w:rsidRDefault="005649FB" w:rsidP="00183CD1">
            <w:pPr>
              <w:pStyle w:val="Tabletext"/>
              <w:rPr>
                <w:rFonts w:cs="Calibri Light"/>
              </w:rPr>
            </w:pPr>
            <w:r w:rsidRPr="007A0ABD">
              <w:rPr>
                <w:rFonts w:cs="Calibri Light"/>
              </w:rPr>
              <w:t>RBA</w:t>
            </w:r>
          </w:p>
        </w:tc>
        <w:tc>
          <w:tcPr>
            <w:tcW w:w="1136" w:type="dxa"/>
            <w:tcBorders>
              <w:bottom w:val="single" w:sz="4" w:space="0" w:color="148A5D" w:themeColor="accent2"/>
            </w:tcBorders>
            <w:shd w:val="clear" w:color="auto" w:fill="D1F5EB" w:themeFill="accent5" w:themeFillTint="33"/>
          </w:tcPr>
          <w:p w14:paraId="4B2ED9A0" w14:textId="77777777" w:rsidR="005649FB" w:rsidRPr="007A0ABD" w:rsidRDefault="005649FB" w:rsidP="00183CD1">
            <w:pPr>
              <w:pStyle w:val="Tabletext"/>
              <w:jc w:val="right"/>
              <w:rPr>
                <w:rFonts w:cs="Calibri Light"/>
              </w:rPr>
            </w:pPr>
            <w:r w:rsidRPr="007A0ABD">
              <w:rPr>
                <w:rFonts w:cs="Calibri Light"/>
              </w:rPr>
              <w:t>2.1</w:t>
            </w:r>
          </w:p>
        </w:tc>
        <w:tc>
          <w:tcPr>
            <w:tcW w:w="1136" w:type="dxa"/>
            <w:tcBorders>
              <w:bottom w:val="single" w:sz="4" w:space="0" w:color="148A5D" w:themeColor="accent2"/>
            </w:tcBorders>
            <w:shd w:val="clear" w:color="auto" w:fill="D1F5EB" w:themeFill="accent5" w:themeFillTint="33"/>
          </w:tcPr>
          <w:p w14:paraId="5F5F9BC6" w14:textId="77777777" w:rsidR="005649FB" w:rsidRPr="007A0ABD" w:rsidRDefault="005649FB" w:rsidP="00183CD1">
            <w:pPr>
              <w:pStyle w:val="Tabletext"/>
              <w:jc w:val="right"/>
              <w:rPr>
                <w:rFonts w:cs="Calibri Light"/>
              </w:rPr>
            </w:pPr>
            <w:r w:rsidRPr="007A0ABD">
              <w:rPr>
                <w:rFonts w:cs="Calibri Light"/>
              </w:rPr>
              <w:t>1.4</w:t>
            </w:r>
          </w:p>
        </w:tc>
        <w:tc>
          <w:tcPr>
            <w:tcW w:w="1136" w:type="dxa"/>
            <w:tcBorders>
              <w:bottom w:val="single" w:sz="4" w:space="0" w:color="148A5D" w:themeColor="accent2"/>
            </w:tcBorders>
            <w:shd w:val="clear" w:color="auto" w:fill="D1F5EB" w:themeFill="accent5" w:themeFillTint="33"/>
          </w:tcPr>
          <w:p w14:paraId="71E7F429" w14:textId="77777777" w:rsidR="005649FB" w:rsidRPr="007A0ABD" w:rsidRDefault="005649FB" w:rsidP="00183CD1">
            <w:pPr>
              <w:pStyle w:val="Tabletext"/>
              <w:jc w:val="right"/>
              <w:rPr>
                <w:rFonts w:cs="Calibri Light"/>
              </w:rPr>
            </w:pPr>
            <w:r w:rsidRPr="007A0ABD">
              <w:rPr>
                <w:rFonts w:cs="Calibri Light"/>
              </w:rPr>
              <w:t>1.2</w:t>
            </w:r>
          </w:p>
        </w:tc>
        <w:tc>
          <w:tcPr>
            <w:tcW w:w="1136" w:type="dxa"/>
            <w:tcBorders>
              <w:bottom w:val="single" w:sz="4" w:space="0" w:color="148A5D" w:themeColor="accent2"/>
            </w:tcBorders>
            <w:shd w:val="clear" w:color="auto" w:fill="D1F5EB" w:themeFill="accent5" w:themeFillTint="33"/>
          </w:tcPr>
          <w:p w14:paraId="6A8EC50C" w14:textId="77777777" w:rsidR="005649FB" w:rsidRPr="007A0ABD" w:rsidRDefault="005649FB" w:rsidP="00183CD1">
            <w:pPr>
              <w:pStyle w:val="Tabletext"/>
              <w:jc w:val="right"/>
              <w:rPr>
                <w:rFonts w:cs="Calibri Light"/>
              </w:rPr>
            </w:pPr>
            <w:r w:rsidRPr="007A0ABD">
              <w:rPr>
                <w:rFonts w:cs="Calibri Light"/>
              </w:rPr>
              <w:t>1.3</w:t>
            </w:r>
          </w:p>
        </w:tc>
        <w:tc>
          <w:tcPr>
            <w:tcW w:w="1137" w:type="dxa"/>
            <w:tcBorders>
              <w:bottom w:val="single" w:sz="4" w:space="0" w:color="148A5D" w:themeColor="accent2"/>
            </w:tcBorders>
            <w:shd w:val="clear" w:color="auto" w:fill="D1F5EB" w:themeFill="accent5" w:themeFillTint="33"/>
          </w:tcPr>
          <w:p w14:paraId="022A5CD1" w14:textId="77777777" w:rsidR="005649FB" w:rsidRPr="007A0ABD" w:rsidRDefault="005649FB" w:rsidP="00183CD1">
            <w:pPr>
              <w:pStyle w:val="Tabletext"/>
              <w:jc w:val="right"/>
              <w:rPr>
                <w:rFonts w:cs="Calibri Light"/>
              </w:rPr>
            </w:pPr>
            <w:r w:rsidRPr="007A0ABD">
              <w:rPr>
                <w:rFonts w:cs="Calibri Light"/>
              </w:rPr>
              <w:t>1.4</w:t>
            </w:r>
          </w:p>
        </w:tc>
      </w:tr>
      <w:tr w:rsidR="005649FB" w:rsidRPr="007A0ABD" w14:paraId="58D7F6A7" w14:textId="77777777" w:rsidTr="00183CD1">
        <w:tc>
          <w:tcPr>
            <w:tcW w:w="1831" w:type="dxa"/>
            <w:vMerge/>
            <w:shd w:val="clear" w:color="auto" w:fill="D1F5EB" w:themeFill="accent5" w:themeFillTint="33"/>
            <w:vAlign w:val="center"/>
          </w:tcPr>
          <w:p w14:paraId="1FDB3009" w14:textId="77777777" w:rsidR="005649FB" w:rsidRPr="007A0ABD" w:rsidRDefault="005649FB" w:rsidP="00183CD1">
            <w:pPr>
              <w:pStyle w:val="Tabletext"/>
              <w:rPr>
                <w:rFonts w:cs="Calibri Light"/>
              </w:rPr>
            </w:pPr>
          </w:p>
        </w:tc>
        <w:tc>
          <w:tcPr>
            <w:tcW w:w="993" w:type="dxa"/>
            <w:tcBorders>
              <w:top w:val="single" w:sz="4" w:space="0" w:color="148A5D" w:themeColor="accent2"/>
              <w:bottom w:val="single" w:sz="4" w:space="0" w:color="148A5D"/>
            </w:tcBorders>
            <w:shd w:val="clear" w:color="auto" w:fill="D1F5EB" w:themeFill="accent5" w:themeFillTint="33"/>
          </w:tcPr>
          <w:p w14:paraId="36CE8464" w14:textId="77777777" w:rsidR="005649FB" w:rsidRPr="007A0ABD" w:rsidRDefault="005649FB" w:rsidP="00183CD1">
            <w:pPr>
              <w:pStyle w:val="Tabletext"/>
              <w:rPr>
                <w:rFonts w:cs="Calibri Light"/>
              </w:rPr>
            </w:pPr>
            <w:r w:rsidRPr="007A0ABD">
              <w:rPr>
                <w:rFonts w:cs="Calibri Light"/>
              </w:rPr>
              <w:t>Treasury</w:t>
            </w:r>
          </w:p>
        </w:tc>
        <w:tc>
          <w:tcPr>
            <w:tcW w:w="1136" w:type="dxa"/>
            <w:tcBorders>
              <w:top w:val="single" w:sz="4" w:space="0" w:color="148A5D" w:themeColor="accent2"/>
              <w:bottom w:val="single" w:sz="4" w:space="0" w:color="148A5D"/>
            </w:tcBorders>
            <w:shd w:val="clear" w:color="auto" w:fill="D1F5EB" w:themeFill="accent5" w:themeFillTint="33"/>
          </w:tcPr>
          <w:p w14:paraId="2BB9AFDE" w14:textId="77777777" w:rsidR="005649FB" w:rsidRPr="007A0ABD" w:rsidRDefault="005649FB" w:rsidP="00183CD1">
            <w:pPr>
              <w:pStyle w:val="Tabletext"/>
              <w:jc w:val="right"/>
              <w:rPr>
                <w:rFonts w:cs="Calibri Light"/>
              </w:rPr>
            </w:pPr>
            <w:r w:rsidRPr="007A0ABD">
              <w:rPr>
                <w:rFonts w:cs="Calibri Light"/>
              </w:rPr>
              <w:t>2.3</w:t>
            </w:r>
          </w:p>
        </w:tc>
        <w:tc>
          <w:tcPr>
            <w:tcW w:w="1136" w:type="dxa"/>
            <w:tcBorders>
              <w:top w:val="single" w:sz="4" w:space="0" w:color="148A5D" w:themeColor="accent2"/>
              <w:bottom w:val="single" w:sz="4" w:space="0" w:color="148A5D"/>
            </w:tcBorders>
            <w:shd w:val="clear" w:color="auto" w:fill="D1F5EB" w:themeFill="accent5" w:themeFillTint="33"/>
          </w:tcPr>
          <w:p w14:paraId="0D9CB2B1" w14:textId="77777777" w:rsidR="005649FB" w:rsidRPr="007A0ABD" w:rsidRDefault="005649FB" w:rsidP="00183CD1">
            <w:pPr>
              <w:pStyle w:val="Tabletext"/>
              <w:jc w:val="right"/>
              <w:rPr>
                <w:rFonts w:cs="Calibri Light"/>
              </w:rPr>
            </w:pPr>
            <w:r w:rsidRPr="007A0ABD">
              <w:rPr>
                <w:rFonts w:cs="Calibri Light"/>
              </w:rPr>
              <w:t>N/A</w:t>
            </w:r>
          </w:p>
        </w:tc>
        <w:tc>
          <w:tcPr>
            <w:tcW w:w="1136" w:type="dxa"/>
            <w:tcBorders>
              <w:top w:val="single" w:sz="4" w:space="0" w:color="148A5D" w:themeColor="accent2"/>
              <w:bottom w:val="single" w:sz="4" w:space="0" w:color="148A5D"/>
            </w:tcBorders>
            <w:shd w:val="clear" w:color="auto" w:fill="D1F5EB" w:themeFill="accent5" w:themeFillTint="33"/>
          </w:tcPr>
          <w:p w14:paraId="4F7FD803" w14:textId="77777777" w:rsidR="005649FB" w:rsidRPr="007A0ABD" w:rsidRDefault="005649FB" w:rsidP="00183CD1">
            <w:pPr>
              <w:pStyle w:val="Tabletext"/>
              <w:jc w:val="right"/>
              <w:rPr>
                <w:rFonts w:cs="Calibri Light"/>
              </w:rPr>
            </w:pPr>
            <w:r w:rsidRPr="007A0ABD">
              <w:rPr>
                <w:rFonts w:cs="Calibri Light"/>
              </w:rPr>
              <w:t>0.8</w:t>
            </w:r>
          </w:p>
        </w:tc>
        <w:tc>
          <w:tcPr>
            <w:tcW w:w="1136" w:type="dxa"/>
            <w:tcBorders>
              <w:top w:val="single" w:sz="4" w:space="0" w:color="148A5D" w:themeColor="accent2"/>
              <w:bottom w:val="single" w:sz="4" w:space="0" w:color="148A5D"/>
            </w:tcBorders>
            <w:shd w:val="clear" w:color="auto" w:fill="D1F5EB" w:themeFill="accent5" w:themeFillTint="33"/>
          </w:tcPr>
          <w:p w14:paraId="768ECF44" w14:textId="77777777" w:rsidR="005649FB" w:rsidRPr="007A0ABD" w:rsidRDefault="005649FB" w:rsidP="00183CD1">
            <w:pPr>
              <w:pStyle w:val="Tabletext"/>
              <w:jc w:val="right"/>
              <w:rPr>
                <w:rFonts w:cs="Calibri Light"/>
              </w:rPr>
            </w:pPr>
            <w:r w:rsidRPr="007A0ABD">
              <w:rPr>
                <w:rFonts w:cs="Calibri Light"/>
              </w:rPr>
              <w:t>N/A</w:t>
            </w:r>
          </w:p>
        </w:tc>
        <w:tc>
          <w:tcPr>
            <w:tcW w:w="1137" w:type="dxa"/>
            <w:tcBorders>
              <w:top w:val="single" w:sz="4" w:space="0" w:color="148A5D" w:themeColor="accent2"/>
              <w:bottom w:val="single" w:sz="4" w:space="0" w:color="148A5D"/>
            </w:tcBorders>
            <w:shd w:val="clear" w:color="auto" w:fill="D1F5EB" w:themeFill="accent5" w:themeFillTint="33"/>
          </w:tcPr>
          <w:p w14:paraId="5FB25E49" w14:textId="77777777" w:rsidR="005649FB" w:rsidRPr="007A0ABD" w:rsidRDefault="005649FB" w:rsidP="00183CD1">
            <w:pPr>
              <w:pStyle w:val="Tabletext"/>
              <w:jc w:val="right"/>
              <w:rPr>
                <w:rFonts w:cs="Calibri Light"/>
              </w:rPr>
            </w:pPr>
            <w:r w:rsidRPr="007A0ABD">
              <w:rPr>
                <w:rFonts w:cs="Calibri Light"/>
              </w:rPr>
              <w:t>1.3</w:t>
            </w:r>
          </w:p>
        </w:tc>
      </w:tr>
      <w:tr w:rsidR="005649FB" w:rsidRPr="007A0ABD" w14:paraId="7B843834" w14:textId="77777777" w:rsidTr="00183CD1">
        <w:tc>
          <w:tcPr>
            <w:tcW w:w="1831" w:type="dxa"/>
            <w:vMerge w:val="restart"/>
            <w:vAlign w:val="center"/>
          </w:tcPr>
          <w:p w14:paraId="701E403A" w14:textId="05B5C5C3" w:rsidR="005649FB" w:rsidRPr="007A0ABD" w:rsidRDefault="005649FB" w:rsidP="00183CD1">
            <w:pPr>
              <w:pStyle w:val="Tabletext"/>
              <w:rPr>
                <w:rFonts w:cs="Calibri Light"/>
              </w:rPr>
            </w:pPr>
            <w:r w:rsidRPr="007A0ABD">
              <w:rPr>
                <w:rFonts w:cs="Calibri Light"/>
              </w:rPr>
              <w:t>Unemployment rate</w:t>
            </w:r>
            <w:r w:rsidRPr="007A0ABD">
              <w:rPr>
                <w:rFonts w:cs="Calibri Light"/>
                <w:vertAlign w:val="superscript"/>
              </w:rPr>
              <w:t>(</w:t>
            </w:r>
            <w:r w:rsidR="00172E84">
              <w:rPr>
                <w:rFonts w:cs="Calibri Light"/>
                <w:vertAlign w:val="superscript"/>
              </w:rPr>
              <w:t>c</w:t>
            </w:r>
            <w:r w:rsidRPr="007A0ABD">
              <w:rPr>
                <w:rFonts w:cs="Calibri Light"/>
                <w:vertAlign w:val="superscript"/>
              </w:rPr>
              <w:t>)</w:t>
            </w:r>
          </w:p>
        </w:tc>
        <w:tc>
          <w:tcPr>
            <w:tcW w:w="993" w:type="dxa"/>
            <w:tcBorders>
              <w:bottom w:val="single" w:sz="4" w:space="0" w:color="148A5D" w:themeColor="accent2"/>
            </w:tcBorders>
          </w:tcPr>
          <w:p w14:paraId="5392EFEC" w14:textId="77777777" w:rsidR="005649FB" w:rsidRPr="007A0ABD" w:rsidRDefault="005649FB" w:rsidP="00183CD1">
            <w:pPr>
              <w:pStyle w:val="Tabletext"/>
              <w:rPr>
                <w:rFonts w:cs="Calibri Light"/>
              </w:rPr>
            </w:pPr>
            <w:r w:rsidRPr="007A0ABD">
              <w:rPr>
                <w:rFonts w:cs="Calibri Light"/>
              </w:rPr>
              <w:t>RBA</w:t>
            </w:r>
          </w:p>
        </w:tc>
        <w:tc>
          <w:tcPr>
            <w:tcW w:w="1136" w:type="dxa"/>
            <w:tcBorders>
              <w:bottom w:val="single" w:sz="4" w:space="0" w:color="148A5D" w:themeColor="accent2"/>
            </w:tcBorders>
          </w:tcPr>
          <w:p w14:paraId="470B1E81" w14:textId="77777777" w:rsidR="005649FB" w:rsidRPr="007A0ABD" w:rsidRDefault="005649FB" w:rsidP="00183CD1">
            <w:pPr>
              <w:pStyle w:val="Tabletext"/>
              <w:jc w:val="right"/>
              <w:rPr>
                <w:rFonts w:cs="Calibri Light"/>
              </w:rPr>
            </w:pPr>
            <w:r w:rsidRPr="007A0ABD">
              <w:rPr>
                <w:rFonts w:cs="Calibri Light"/>
              </w:rPr>
              <w:t>4.0</w:t>
            </w:r>
          </w:p>
        </w:tc>
        <w:tc>
          <w:tcPr>
            <w:tcW w:w="1136" w:type="dxa"/>
            <w:tcBorders>
              <w:bottom w:val="single" w:sz="4" w:space="0" w:color="148A5D" w:themeColor="accent2"/>
            </w:tcBorders>
          </w:tcPr>
          <w:p w14:paraId="109E18AD" w14:textId="77777777" w:rsidR="005649FB" w:rsidRPr="007A0ABD" w:rsidRDefault="005649FB" w:rsidP="00183CD1">
            <w:pPr>
              <w:pStyle w:val="Tabletext"/>
              <w:jc w:val="right"/>
              <w:rPr>
                <w:rFonts w:cs="Calibri Light"/>
              </w:rPr>
            </w:pPr>
            <w:r w:rsidRPr="007A0ABD">
              <w:rPr>
                <w:rFonts w:cs="Calibri Light"/>
              </w:rPr>
              <w:t>4.2</w:t>
            </w:r>
          </w:p>
        </w:tc>
        <w:tc>
          <w:tcPr>
            <w:tcW w:w="1136" w:type="dxa"/>
            <w:tcBorders>
              <w:bottom w:val="single" w:sz="4" w:space="0" w:color="148A5D" w:themeColor="accent2"/>
            </w:tcBorders>
          </w:tcPr>
          <w:p w14:paraId="1C256836" w14:textId="77777777" w:rsidR="005649FB" w:rsidRPr="007A0ABD" w:rsidRDefault="005649FB" w:rsidP="00183CD1">
            <w:pPr>
              <w:pStyle w:val="Tabletext"/>
              <w:jc w:val="right"/>
              <w:rPr>
                <w:rFonts w:cs="Calibri Light"/>
              </w:rPr>
            </w:pPr>
            <w:r w:rsidRPr="007A0ABD">
              <w:rPr>
                <w:rFonts w:cs="Calibri Light"/>
              </w:rPr>
              <w:t>4.3</w:t>
            </w:r>
          </w:p>
        </w:tc>
        <w:tc>
          <w:tcPr>
            <w:tcW w:w="1136" w:type="dxa"/>
            <w:tcBorders>
              <w:bottom w:val="single" w:sz="4" w:space="0" w:color="148A5D" w:themeColor="accent2"/>
            </w:tcBorders>
          </w:tcPr>
          <w:p w14:paraId="621B9E68" w14:textId="77777777" w:rsidR="005649FB" w:rsidRPr="007A0ABD" w:rsidRDefault="005649FB" w:rsidP="00183CD1">
            <w:pPr>
              <w:pStyle w:val="Tabletext"/>
              <w:jc w:val="right"/>
              <w:rPr>
                <w:rFonts w:cs="Calibri Light"/>
              </w:rPr>
            </w:pPr>
            <w:r w:rsidRPr="007A0ABD">
              <w:rPr>
                <w:rFonts w:cs="Calibri Light"/>
              </w:rPr>
              <w:t>4.3</w:t>
            </w:r>
          </w:p>
        </w:tc>
        <w:tc>
          <w:tcPr>
            <w:tcW w:w="1137" w:type="dxa"/>
            <w:tcBorders>
              <w:bottom w:val="single" w:sz="4" w:space="0" w:color="148A5D" w:themeColor="accent2"/>
            </w:tcBorders>
          </w:tcPr>
          <w:p w14:paraId="5898DDDC" w14:textId="77777777" w:rsidR="005649FB" w:rsidRPr="007A0ABD" w:rsidRDefault="005649FB" w:rsidP="00183CD1">
            <w:pPr>
              <w:pStyle w:val="Tabletext"/>
              <w:jc w:val="right"/>
              <w:rPr>
                <w:rFonts w:cs="Calibri Light"/>
              </w:rPr>
            </w:pPr>
            <w:r w:rsidRPr="007A0ABD">
              <w:rPr>
                <w:rFonts w:cs="Calibri Light"/>
              </w:rPr>
              <w:t>4.3</w:t>
            </w:r>
          </w:p>
        </w:tc>
      </w:tr>
      <w:tr w:rsidR="005649FB" w:rsidRPr="007A0ABD" w14:paraId="5F30A7C3" w14:textId="77777777" w:rsidTr="00183CD1">
        <w:tc>
          <w:tcPr>
            <w:tcW w:w="1831" w:type="dxa"/>
            <w:vMerge/>
            <w:vAlign w:val="center"/>
          </w:tcPr>
          <w:p w14:paraId="1A6D29B0" w14:textId="77777777" w:rsidR="005649FB" w:rsidRPr="007A0ABD" w:rsidRDefault="005649FB" w:rsidP="00183CD1">
            <w:pPr>
              <w:pStyle w:val="Tabletext"/>
              <w:rPr>
                <w:rFonts w:cs="Calibri Light"/>
              </w:rPr>
            </w:pPr>
          </w:p>
        </w:tc>
        <w:tc>
          <w:tcPr>
            <w:tcW w:w="993" w:type="dxa"/>
            <w:tcBorders>
              <w:top w:val="single" w:sz="4" w:space="0" w:color="148A5D" w:themeColor="accent2"/>
              <w:bottom w:val="single" w:sz="4" w:space="0" w:color="148A5D"/>
            </w:tcBorders>
          </w:tcPr>
          <w:p w14:paraId="68E51615" w14:textId="77777777" w:rsidR="005649FB" w:rsidRPr="007A0ABD" w:rsidRDefault="005649FB" w:rsidP="00183CD1">
            <w:pPr>
              <w:pStyle w:val="Tabletext"/>
              <w:rPr>
                <w:rFonts w:cs="Calibri Light"/>
              </w:rPr>
            </w:pPr>
            <w:r w:rsidRPr="007A0ABD">
              <w:rPr>
                <w:rFonts w:cs="Calibri Light"/>
              </w:rPr>
              <w:t>Treasury</w:t>
            </w:r>
          </w:p>
        </w:tc>
        <w:tc>
          <w:tcPr>
            <w:tcW w:w="1136" w:type="dxa"/>
            <w:tcBorders>
              <w:top w:val="single" w:sz="4" w:space="0" w:color="148A5D" w:themeColor="accent2"/>
              <w:bottom w:val="single" w:sz="4" w:space="0" w:color="148A5D"/>
            </w:tcBorders>
          </w:tcPr>
          <w:p w14:paraId="378D18F8" w14:textId="77777777" w:rsidR="005649FB" w:rsidRPr="007A0ABD" w:rsidRDefault="005649FB" w:rsidP="00183CD1">
            <w:pPr>
              <w:pStyle w:val="Tabletext"/>
              <w:jc w:val="right"/>
              <w:rPr>
                <w:rFonts w:cs="Calibri Light"/>
              </w:rPr>
            </w:pPr>
            <w:r w:rsidRPr="007A0ABD">
              <w:rPr>
                <w:rFonts w:cs="Calibri Light"/>
              </w:rPr>
              <w:t>4.0</w:t>
            </w:r>
          </w:p>
        </w:tc>
        <w:tc>
          <w:tcPr>
            <w:tcW w:w="1136" w:type="dxa"/>
            <w:tcBorders>
              <w:top w:val="single" w:sz="4" w:space="0" w:color="148A5D" w:themeColor="accent2"/>
              <w:bottom w:val="single" w:sz="4" w:space="0" w:color="148A5D"/>
            </w:tcBorders>
          </w:tcPr>
          <w:p w14:paraId="3B03A6CE" w14:textId="77777777" w:rsidR="005649FB" w:rsidRPr="007A0ABD" w:rsidRDefault="005649FB" w:rsidP="00183CD1">
            <w:pPr>
              <w:pStyle w:val="Tabletext"/>
              <w:jc w:val="right"/>
              <w:rPr>
                <w:rFonts w:cs="Calibri Light"/>
              </w:rPr>
            </w:pPr>
            <w:r w:rsidRPr="007A0ABD">
              <w:rPr>
                <w:rFonts w:cs="Calibri Light"/>
              </w:rPr>
              <w:t>N/A</w:t>
            </w:r>
          </w:p>
        </w:tc>
        <w:tc>
          <w:tcPr>
            <w:tcW w:w="1136" w:type="dxa"/>
            <w:tcBorders>
              <w:top w:val="single" w:sz="4" w:space="0" w:color="148A5D" w:themeColor="accent2"/>
              <w:bottom w:val="single" w:sz="4" w:space="0" w:color="148A5D"/>
            </w:tcBorders>
          </w:tcPr>
          <w:p w14:paraId="1622F5F8" w14:textId="77777777" w:rsidR="005649FB" w:rsidRPr="007A0ABD" w:rsidRDefault="005649FB" w:rsidP="00183CD1">
            <w:pPr>
              <w:pStyle w:val="Tabletext"/>
              <w:jc w:val="right"/>
              <w:rPr>
                <w:rFonts w:cs="Calibri Light"/>
              </w:rPr>
            </w:pPr>
            <w:r w:rsidRPr="007A0ABD">
              <w:rPr>
                <w:rFonts w:cs="Calibri Light"/>
              </w:rPr>
              <w:t>4.5</w:t>
            </w:r>
          </w:p>
        </w:tc>
        <w:tc>
          <w:tcPr>
            <w:tcW w:w="1136" w:type="dxa"/>
            <w:tcBorders>
              <w:top w:val="single" w:sz="4" w:space="0" w:color="148A5D" w:themeColor="accent2"/>
              <w:bottom w:val="single" w:sz="4" w:space="0" w:color="148A5D"/>
            </w:tcBorders>
          </w:tcPr>
          <w:p w14:paraId="5642E95C" w14:textId="77777777" w:rsidR="005649FB" w:rsidRPr="007A0ABD" w:rsidRDefault="005649FB" w:rsidP="00183CD1">
            <w:pPr>
              <w:pStyle w:val="Tabletext"/>
              <w:jc w:val="right"/>
              <w:rPr>
                <w:rFonts w:cs="Calibri Light"/>
              </w:rPr>
            </w:pPr>
            <w:r w:rsidRPr="007A0ABD">
              <w:rPr>
                <w:rFonts w:cs="Calibri Light"/>
              </w:rPr>
              <w:t>N/A</w:t>
            </w:r>
          </w:p>
        </w:tc>
        <w:tc>
          <w:tcPr>
            <w:tcW w:w="1137" w:type="dxa"/>
            <w:tcBorders>
              <w:top w:val="single" w:sz="4" w:space="0" w:color="148A5D" w:themeColor="accent2"/>
              <w:bottom w:val="single" w:sz="4" w:space="0" w:color="148A5D"/>
            </w:tcBorders>
          </w:tcPr>
          <w:p w14:paraId="5FFF4616" w14:textId="77777777" w:rsidR="005649FB" w:rsidRPr="007A0ABD" w:rsidRDefault="005649FB" w:rsidP="00183CD1">
            <w:pPr>
              <w:pStyle w:val="Tabletext"/>
              <w:jc w:val="right"/>
              <w:rPr>
                <w:rFonts w:cs="Calibri Light"/>
              </w:rPr>
            </w:pPr>
            <w:r w:rsidRPr="007A0ABD">
              <w:rPr>
                <w:rFonts w:cs="Calibri Light"/>
              </w:rPr>
              <w:t>4.5</w:t>
            </w:r>
          </w:p>
        </w:tc>
      </w:tr>
      <w:tr w:rsidR="005649FB" w:rsidRPr="007A0ABD" w14:paraId="562BCA36" w14:textId="77777777" w:rsidTr="00183CD1">
        <w:tc>
          <w:tcPr>
            <w:tcW w:w="1831" w:type="dxa"/>
            <w:vMerge w:val="restart"/>
            <w:shd w:val="clear" w:color="auto" w:fill="D1F5EB" w:themeFill="accent5" w:themeFillTint="33"/>
          </w:tcPr>
          <w:p w14:paraId="68A0C1A6" w14:textId="2F2B54F5" w:rsidR="005649FB" w:rsidRPr="007A0ABD" w:rsidRDefault="005649FB" w:rsidP="00183CD1">
            <w:pPr>
              <w:pStyle w:val="Tabletext"/>
              <w:rPr>
                <w:rFonts w:cs="Calibri Light"/>
              </w:rPr>
            </w:pPr>
            <w:r w:rsidRPr="007A0ABD">
              <w:rPr>
                <w:rFonts w:cs="Calibri Light"/>
              </w:rPr>
              <w:t>WPI</w:t>
            </w:r>
            <w:r w:rsidRPr="007A0ABD">
              <w:rPr>
                <w:rFonts w:cs="Calibri Light"/>
                <w:vertAlign w:val="superscript"/>
              </w:rPr>
              <w:t>(</w:t>
            </w:r>
            <w:r w:rsidR="00172E84">
              <w:rPr>
                <w:rFonts w:cs="Calibri Light"/>
                <w:vertAlign w:val="superscript"/>
              </w:rPr>
              <w:t>b</w:t>
            </w:r>
            <w:r w:rsidRPr="007A0ABD">
              <w:rPr>
                <w:rFonts w:cs="Calibri Light"/>
                <w:vertAlign w:val="superscript"/>
              </w:rPr>
              <w:t>)</w:t>
            </w:r>
          </w:p>
        </w:tc>
        <w:tc>
          <w:tcPr>
            <w:tcW w:w="993" w:type="dxa"/>
            <w:tcBorders>
              <w:bottom w:val="single" w:sz="4" w:space="0" w:color="148A5D" w:themeColor="accent2"/>
            </w:tcBorders>
            <w:shd w:val="clear" w:color="auto" w:fill="D1F5EB" w:themeFill="accent5" w:themeFillTint="33"/>
          </w:tcPr>
          <w:p w14:paraId="7A31E706" w14:textId="77777777" w:rsidR="005649FB" w:rsidRPr="007A0ABD" w:rsidRDefault="005649FB" w:rsidP="00183CD1">
            <w:pPr>
              <w:pStyle w:val="Tabletext"/>
              <w:rPr>
                <w:rFonts w:cs="Calibri Light"/>
              </w:rPr>
            </w:pPr>
            <w:r w:rsidRPr="007A0ABD">
              <w:rPr>
                <w:rFonts w:cs="Calibri Light"/>
              </w:rPr>
              <w:t>RBA</w:t>
            </w:r>
          </w:p>
        </w:tc>
        <w:tc>
          <w:tcPr>
            <w:tcW w:w="1136" w:type="dxa"/>
            <w:tcBorders>
              <w:bottom w:val="single" w:sz="4" w:space="0" w:color="148A5D" w:themeColor="accent2"/>
            </w:tcBorders>
            <w:shd w:val="clear" w:color="auto" w:fill="D1F5EB" w:themeFill="accent5" w:themeFillTint="33"/>
          </w:tcPr>
          <w:p w14:paraId="6778DCB2" w14:textId="77777777" w:rsidR="005649FB" w:rsidRPr="007A0ABD" w:rsidRDefault="005649FB" w:rsidP="00183CD1">
            <w:pPr>
              <w:pStyle w:val="Tabletext"/>
              <w:jc w:val="right"/>
              <w:rPr>
                <w:rFonts w:cs="Calibri Light"/>
              </w:rPr>
            </w:pPr>
            <w:r w:rsidRPr="007A0ABD">
              <w:rPr>
                <w:rFonts w:cs="Calibri Light"/>
              </w:rPr>
              <w:t>4.2</w:t>
            </w:r>
          </w:p>
        </w:tc>
        <w:tc>
          <w:tcPr>
            <w:tcW w:w="1136" w:type="dxa"/>
            <w:tcBorders>
              <w:bottom w:val="single" w:sz="4" w:space="0" w:color="148A5D" w:themeColor="accent2"/>
            </w:tcBorders>
            <w:shd w:val="clear" w:color="auto" w:fill="D1F5EB" w:themeFill="accent5" w:themeFillTint="33"/>
          </w:tcPr>
          <w:p w14:paraId="22B77AE6" w14:textId="77777777" w:rsidR="005649FB" w:rsidRPr="007A0ABD" w:rsidRDefault="005649FB" w:rsidP="00183CD1">
            <w:pPr>
              <w:pStyle w:val="Tabletext"/>
              <w:jc w:val="right"/>
              <w:rPr>
                <w:rFonts w:cs="Calibri Light"/>
              </w:rPr>
            </w:pPr>
            <w:r w:rsidRPr="007A0ABD">
              <w:rPr>
                <w:rFonts w:cs="Calibri Light"/>
              </w:rPr>
              <w:t>3.8</w:t>
            </w:r>
          </w:p>
        </w:tc>
        <w:tc>
          <w:tcPr>
            <w:tcW w:w="1136" w:type="dxa"/>
            <w:tcBorders>
              <w:bottom w:val="single" w:sz="4" w:space="0" w:color="148A5D" w:themeColor="accent2"/>
            </w:tcBorders>
            <w:shd w:val="clear" w:color="auto" w:fill="D1F5EB" w:themeFill="accent5" w:themeFillTint="33"/>
          </w:tcPr>
          <w:p w14:paraId="73F2820C" w14:textId="77777777" w:rsidR="005649FB" w:rsidRPr="007A0ABD" w:rsidRDefault="005649FB" w:rsidP="00183CD1">
            <w:pPr>
              <w:pStyle w:val="Tabletext"/>
              <w:jc w:val="right"/>
              <w:rPr>
                <w:rFonts w:cs="Calibri Light"/>
              </w:rPr>
            </w:pPr>
            <w:r w:rsidRPr="007A0ABD">
              <w:rPr>
                <w:rFonts w:cs="Calibri Light"/>
              </w:rPr>
              <w:t>3.6</w:t>
            </w:r>
          </w:p>
        </w:tc>
        <w:tc>
          <w:tcPr>
            <w:tcW w:w="1136" w:type="dxa"/>
            <w:tcBorders>
              <w:bottom w:val="single" w:sz="4" w:space="0" w:color="148A5D" w:themeColor="accent2"/>
            </w:tcBorders>
            <w:shd w:val="clear" w:color="auto" w:fill="D1F5EB" w:themeFill="accent5" w:themeFillTint="33"/>
          </w:tcPr>
          <w:p w14:paraId="397404EA" w14:textId="77777777" w:rsidR="005649FB" w:rsidRPr="007A0ABD" w:rsidRDefault="005649FB" w:rsidP="00183CD1">
            <w:pPr>
              <w:pStyle w:val="Tabletext"/>
              <w:jc w:val="right"/>
              <w:rPr>
                <w:rFonts w:cs="Calibri Light"/>
              </w:rPr>
            </w:pPr>
            <w:r w:rsidRPr="007A0ABD">
              <w:rPr>
                <w:rFonts w:cs="Calibri Light"/>
              </w:rPr>
              <w:t>3.4</w:t>
            </w:r>
          </w:p>
        </w:tc>
        <w:tc>
          <w:tcPr>
            <w:tcW w:w="1137" w:type="dxa"/>
            <w:tcBorders>
              <w:bottom w:val="single" w:sz="4" w:space="0" w:color="148A5D" w:themeColor="accent2"/>
            </w:tcBorders>
            <w:shd w:val="clear" w:color="auto" w:fill="D1F5EB" w:themeFill="accent5" w:themeFillTint="33"/>
          </w:tcPr>
          <w:p w14:paraId="32ED56E8" w14:textId="77777777" w:rsidR="005649FB" w:rsidRPr="007A0ABD" w:rsidRDefault="005649FB" w:rsidP="00183CD1">
            <w:pPr>
              <w:pStyle w:val="Tabletext"/>
              <w:jc w:val="right"/>
              <w:rPr>
                <w:rFonts w:cs="Calibri Light"/>
              </w:rPr>
            </w:pPr>
            <w:r w:rsidRPr="007A0ABD">
              <w:rPr>
                <w:rFonts w:cs="Calibri Light"/>
              </w:rPr>
              <w:t>3.3</w:t>
            </w:r>
          </w:p>
        </w:tc>
      </w:tr>
      <w:tr w:rsidR="005649FB" w:rsidRPr="007A0ABD" w14:paraId="18AD3C22" w14:textId="77777777" w:rsidTr="00183CD1">
        <w:tc>
          <w:tcPr>
            <w:tcW w:w="1831" w:type="dxa"/>
            <w:vMerge/>
            <w:shd w:val="clear" w:color="auto" w:fill="D1F5EB" w:themeFill="accent5" w:themeFillTint="33"/>
            <w:vAlign w:val="center"/>
          </w:tcPr>
          <w:p w14:paraId="68F961D7" w14:textId="77777777" w:rsidR="005649FB" w:rsidRPr="007A0ABD" w:rsidRDefault="005649FB" w:rsidP="00183CD1">
            <w:pPr>
              <w:pStyle w:val="Tabletext"/>
              <w:rPr>
                <w:rFonts w:cs="Calibri Light"/>
              </w:rPr>
            </w:pPr>
          </w:p>
        </w:tc>
        <w:tc>
          <w:tcPr>
            <w:tcW w:w="993" w:type="dxa"/>
            <w:tcBorders>
              <w:top w:val="single" w:sz="4" w:space="0" w:color="148A5D" w:themeColor="accent2"/>
            </w:tcBorders>
            <w:shd w:val="clear" w:color="auto" w:fill="D1F5EB" w:themeFill="accent5" w:themeFillTint="33"/>
          </w:tcPr>
          <w:p w14:paraId="422B6858" w14:textId="77777777" w:rsidR="005649FB" w:rsidRPr="007A0ABD" w:rsidRDefault="005649FB" w:rsidP="00183CD1">
            <w:pPr>
              <w:pStyle w:val="Tabletext"/>
              <w:rPr>
                <w:rFonts w:cs="Calibri Light"/>
              </w:rPr>
            </w:pPr>
            <w:r w:rsidRPr="007A0ABD">
              <w:rPr>
                <w:rFonts w:cs="Calibri Light"/>
              </w:rPr>
              <w:t>Treasury</w:t>
            </w:r>
          </w:p>
        </w:tc>
        <w:tc>
          <w:tcPr>
            <w:tcW w:w="1136" w:type="dxa"/>
            <w:tcBorders>
              <w:top w:val="single" w:sz="4" w:space="0" w:color="148A5D" w:themeColor="accent2"/>
            </w:tcBorders>
            <w:shd w:val="clear" w:color="auto" w:fill="D1F5EB" w:themeFill="accent5" w:themeFillTint="33"/>
          </w:tcPr>
          <w:p w14:paraId="164EDFBF" w14:textId="77777777" w:rsidR="005649FB" w:rsidRPr="007A0ABD" w:rsidRDefault="005649FB" w:rsidP="00183CD1">
            <w:pPr>
              <w:pStyle w:val="Tabletext"/>
              <w:jc w:val="right"/>
              <w:rPr>
                <w:rFonts w:cs="Calibri Light"/>
              </w:rPr>
            </w:pPr>
            <w:r w:rsidRPr="007A0ABD">
              <w:rPr>
                <w:rFonts w:cs="Calibri Light"/>
              </w:rPr>
              <w:t>4.0</w:t>
            </w:r>
          </w:p>
        </w:tc>
        <w:tc>
          <w:tcPr>
            <w:tcW w:w="1136" w:type="dxa"/>
            <w:tcBorders>
              <w:top w:val="single" w:sz="4" w:space="0" w:color="148A5D" w:themeColor="accent2"/>
            </w:tcBorders>
            <w:shd w:val="clear" w:color="auto" w:fill="D1F5EB" w:themeFill="accent5" w:themeFillTint="33"/>
          </w:tcPr>
          <w:p w14:paraId="6AEA6BD0" w14:textId="77777777" w:rsidR="005649FB" w:rsidRPr="007A0ABD" w:rsidRDefault="005649FB" w:rsidP="00183CD1">
            <w:pPr>
              <w:pStyle w:val="Tabletext"/>
              <w:jc w:val="right"/>
              <w:rPr>
                <w:rFonts w:cs="Calibri Light"/>
              </w:rPr>
            </w:pPr>
            <w:r w:rsidRPr="007A0ABD">
              <w:rPr>
                <w:rFonts w:cs="Calibri Light"/>
              </w:rPr>
              <w:t>N/A</w:t>
            </w:r>
          </w:p>
        </w:tc>
        <w:tc>
          <w:tcPr>
            <w:tcW w:w="1136" w:type="dxa"/>
            <w:tcBorders>
              <w:top w:val="single" w:sz="4" w:space="0" w:color="148A5D" w:themeColor="accent2"/>
            </w:tcBorders>
            <w:shd w:val="clear" w:color="auto" w:fill="D1F5EB" w:themeFill="accent5" w:themeFillTint="33"/>
          </w:tcPr>
          <w:p w14:paraId="3E370B11" w14:textId="77777777" w:rsidR="005649FB" w:rsidRPr="007A0ABD" w:rsidRDefault="005649FB" w:rsidP="00183CD1">
            <w:pPr>
              <w:pStyle w:val="Tabletext"/>
              <w:jc w:val="right"/>
              <w:rPr>
                <w:rFonts w:cs="Calibri Light"/>
              </w:rPr>
            </w:pPr>
            <w:r w:rsidRPr="007A0ABD">
              <w:rPr>
                <w:rFonts w:cs="Calibri Light"/>
              </w:rPr>
              <w:t>3.3</w:t>
            </w:r>
          </w:p>
        </w:tc>
        <w:tc>
          <w:tcPr>
            <w:tcW w:w="1136" w:type="dxa"/>
            <w:tcBorders>
              <w:top w:val="single" w:sz="4" w:space="0" w:color="148A5D" w:themeColor="accent2"/>
            </w:tcBorders>
            <w:shd w:val="clear" w:color="auto" w:fill="D1F5EB" w:themeFill="accent5" w:themeFillTint="33"/>
          </w:tcPr>
          <w:p w14:paraId="60B0526E" w14:textId="77777777" w:rsidR="005649FB" w:rsidRPr="007A0ABD" w:rsidRDefault="005649FB" w:rsidP="00183CD1">
            <w:pPr>
              <w:pStyle w:val="Tabletext"/>
              <w:jc w:val="right"/>
              <w:rPr>
                <w:rFonts w:cs="Calibri Light"/>
              </w:rPr>
            </w:pPr>
            <w:r w:rsidRPr="007A0ABD">
              <w:rPr>
                <w:rFonts w:cs="Calibri Light"/>
              </w:rPr>
              <w:t>N/A</w:t>
            </w:r>
          </w:p>
        </w:tc>
        <w:tc>
          <w:tcPr>
            <w:tcW w:w="1137" w:type="dxa"/>
            <w:tcBorders>
              <w:top w:val="single" w:sz="4" w:space="0" w:color="148A5D" w:themeColor="accent2"/>
            </w:tcBorders>
            <w:shd w:val="clear" w:color="auto" w:fill="D1F5EB" w:themeFill="accent5" w:themeFillTint="33"/>
          </w:tcPr>
          <w:p w14:paraId="67573C32" w14:textId="77777777" w:rsidR="005649FB" w:rsidRPr="007A0ABD" w:rsidRDefault="005649FB" w:rsidP="00183CD1">
            <w:pPr>
              <w:pStyle w:val="Tabletext"/>
              <w:jc w:val="right"/>
              <w:rPr>
                <w:rFonts w:cs="Calibri Light"/>
              </w:rPr>
            </w:pPr>
            <w:r w:rsidRPr="007A0ABD">
              <w:rPr>
                <w:rFonts w:cs="Calibri Light"/>
              </w:rPr>
              <w:t>3.3</w:t>
            </w:r>
          </w:p>
        </w:tc>
      </w:tr>
      <w:tr w:rsidR="005649FB" w:rsidRPr="007A0ABD" w14:paraId="54CD9C28" w14:textId="77777777" w:rsidTr="00183CD1">
        <w:tc>
          <w:tcPr>
            <w:tcW w:w="1831" w:type="dxa"/>
            <w:vAlign w:val="center"/>
          </w:tcPr>
          <w:p w14:paraId="48E8A264" w14:textId="1ECB5DF6" w:rsidR="005649FB" w:rsidRPr="007A0ABD" w:rsidRDefault="005649FB" w:rsidP="00183CD1">
            <w:pPr>
              <w:pStyle w:val="Tabletext"/>
              <w:rPr>
                <w:rFonts w:cs="Calibri Light"/>
              </w:rPr>
            </w:pPr>
            <w:r w:rsidRPr="007A0ABD">
              <w:rPr>
                <w:rFonts w:cs="Calibri Light"/>
              </w:rPr>
              <w:t>Labour productivity</w:t>
            </w:r>
            <w:r w:rsidRPr="007A0ABD">
              <w:rPr>
                <w:rFonts w:cs="Calibri Light"/>
                <w:vertAlign w:val="superscript"/>
              </w:rPr>
              <w:t>(</w:t>
            </w:r>
            <w:r w:rsidR="009D16CC">
              <w:rPr>
                <w:rFonts w:cs="Calibri Light"/>
                <w:vertAlign w:val="superscript"/>
              </w:rPr>
              <w:t>b</w:t>
            </w:r>
            <w:r w:rsidRPr="007A0ABD">
              <w:rPr>
                <w:rFonts w:cs="Calibri Light"/>
                <w:vertAlign w:val="superscript"/>
              </w:rPr>
              <w:t>)</w:t>
            </w:r>
          </w:p>
        </w:tc>
        <w:tc>
          <w:tcPr>
            <w:tcW w:w="993" w:type="dxa"/>
          </w:tcPr>
          <w:p w14:paraId="1FAABF74" w14:textId="77777777" w:rsidR="005649FB" w:rsidRPr="007A0ABD" w:rsidRDefault="005649FB" w:rsidP="00183CD1">
            <w:pPr>
              <w:pStyle w:val="Tabletext"/>
              <w:rPr>
                <w:rFonts w:cs="Calibri Light"/>
              </w:rPr>
            </w:pPr>
            <w:r w:rsidRPr="007A0ABD">
              <w:rPr>
                <w:rFonts w:cs="Calibri Light"/>
              </w:rPr>
              <w:t>RBA</w:t>
            </w:r>
          </w:p>
        </w:tc>
        <w:tc>
          <w:tcPr>
            <w:tcW w:w="1136" w:type="dxa"/>
          </w:tcPr>
          <w:p w14:paraId="747F98E8" w14:textId="77777777" w:rsidR="005649FB" w:rsidRPr="007A0ABD" w:rsidRDefault="005649FB" w:rsidP="00183CD1">
            <w:pPr>
              <w:pStyle w:val="Tabletext"/>
              <w:jc w:val="right"/>
              <w:rPr>
                <w:rFonts w:cs="Calibri Light"/>
              </w:rPr>
            </w:pPr>
            <w:r w:rsidRPr="007A0ABD">
              <w:rPr>
                <w:rFonts w:cs="Calibri Light"/>
              </w:rPr>
              <w:t>1.8</w:t>
            </w:r>
          </w:p>
        </w:tc>
        <w:tc>
          <w:tcPr>
            <w:tcW w:w="1136" w:type="dxa"/>
          </w:tcPr>
          <w:p w14:paraId="5E19FF54" w14:textId="77777777" w:rsidR="005649FB" w:rsidRPr="007A0ABD" w:rsidRDefault="005649FB" w:rsidP="00183CD1">
            <w:pPr>
              <w:pStyle w:val="Tabletext"/>
              <w:jc w:val="right"/>
              <w:rPr>
                <w:rFonts w:cs="Calibri Light"/>
              </w:rPr>
            </w:pPr>
            <w:r w:rsidRPr="007A0ABD">
              <w:rPr>
                <w:rFonts w:cs="Calibri Light"/>
              </w:rPr>
              <w:t>0.8</w:t>
            </w:r>
          </w:p>
        </w:tc>
        <w:tc>
          <w:tcPr>
            <w:tcW w:w="1136" w:type="dxa"/>
          </w:tcPr>
          <w:p w14:paraId="26652DE2" w14:textId="77777777" w:rsidR="005649FB" w:rsidRPr="007A0ABD" w:rsidRDefault="005649FB" w:rsidP="00183CD1">
            <w:pPr>
              <w:pStyle w:val="Tabletext"/>
              <w:jc w:val="right"/>
              <w:rPr>
                <w:rFonts w:cs="Calibri Light"/>
              </w:rPr>
            </w:pPr>
            <w:r w:rsidRPr="007A0ABD">
              <w:rPr>
                <w:rFonts w:cs="Calibri Light"/>
              </w:rPr>
              <w:t>1.3</w:t>
            </w:r>
          </w:p>
        </w:tc>
        <w:tc>
          <w:tcPr>
            <w:tcW w:w="1136" w:type="dxa"/>
          </w:tcPr>
          <w:p w14:paraId="129DEDF4" w14:textId="77777777" w:rsidR="005649FB" w:rsidRPr="007A0ABD" w:rsidRDefault="005649FB" w:rsidP="00183CD1">
            <w:pPr>
              <w:pStyle w:val="Tabletext"/>
              <w:jc w:val="right"/>
              <w:rPr>
                <w:rFonts w:cs="Calibri Light"/>
              </w:rPr>
            </w:pPr>
            <w:r w:rsidRPr="007A0ABD">
              <w:rPr>
                <w:rFonts w:cs="Calibri Light"/>
              </w:rPr>
              <w:t>1.2</w:t>
            </w:r>
          </w:p>
        </w:tc>
        <w:tc>
          <w:tcPr>
            <w:tcW w:w="1137" w:type="dxa"/>
          </w:tcPr>
          <w:p w14:paraId="4FBE5B9E" w14:textId="77777777" w:rsidR="005649FB" w:rsidRPr="007A0ABD" w:rsidRDefault="005649FB" w:rsidP="00183CD1">
            <w:pPr>
              <w:pStyle w:val="Tabletext"/>
              <w:jc w:val="right"/>
              <w:rPr>
                <w:rFonts w:cs="Calibri Light"/>
              </w:rPr>
            </w:pPr>
            <w:r w:rsidRPr="007A0ABD">
              <w:rPr>
                <w:rFonts w:cs="Calibri Light"/>
              </w:rPr>
              <w:t>1.1</w:t>
            </w:r>
          </w:p>
        </w:tc>
      </w:tr>
    </w:tbl>
    <w:p w14:paraId="6EEC899D" w14:textId="1233CEE3" w:rsidR="005649FB" w:rsidRDefault="005649FB" w:rsidP="005649FB">
      <w:pPr>
        <w:pStyle w:val="09Sourcesandnotesfortablesfiguresboxes"/>
      </w:pPr>
      <w:r>
        <w:t xml:space="preserve">Notes: </w:t>
      </w:r>
      <w:r w:rsidRPr="00186666">
        <w:t>(</w:t>
      </w:r>
      <w:r>
        <w:t>a</w:t>
      </w:r>
      <w:r w:rsidRPr="00186666">
        <w:t xml:space="preserve">) </w:t>
      </w:r>
      <w:r w:rsidR="00CA7D15" w:rsidRPr="00C12B1B">
        <w:rPr>
          <w:rFonts w:eastAsia="Rockwell" w:cs="Times New Roman"/>
          <w:color w:val="000000"/>
        </w:rPr>
        <w:t xml:space="preserve">Commonwealth Treasury forecasts are presented to one quarter of one per cent and have been rounded up to one decimal place. (b) </w:t>
      </w:r>
      <w:r w:rsidRPr="00186666">
        <w:t>Percentage change through the year. (</w:t>
      </w:r>
      <w:r w:rsidR="00CA7D15">
        <w:t>c</w:t>
      </w:r>
      <w:r w:rsidRPr="00186666">
        <w:t>) Average rate in the quarter.</w:t>
      </w:r>
    </w:p>
    <w:p w14:paraId="03683923" w14:textId="26822941" w:rsidR="005649FB" w:rsidRDefault="005649FB" w:rsidP="005649FB">
      <w:pPr>
        <w:pStyle w:val="09Sourcesandnotesfortablesfiguresboxes"/>
      </w:pPr>
      <w:r>
        <w:t xml:space="preserve">Sources: </w:t>
      </w:r>
      <w:r w:rsidRPr="008478FE">
        <w:t>RBA (</w:t>
      </w:r>
      <w:r w:rsidR="00686C61" w:rsidRPr="003A7786">
        <w:t>2024</w:t>
      </w:r>
      <w:r w:rsidR="00001953">
        <w:t>)</w:t>
      </w:r>
      <w:r>
        <w:t>, p</w:t>
      </w:r>
      <w:r w:rsidR="00001953">
        <w:t>.</w:t>
      </w:r>
      <w:r>
        <w:t xml:space="preserve"> 51</w:t>
      </w:r>
      <w:r w:rsidRPr="008478FE">
        <w:t xml:space="preserve">; Commonwealth </w:t>
      </w:r>
      <w:r w:rsidRPr="0073644B">
        <w:t>of Australia</w:t>
      </w:r>
      <w:r w:rsidRPr="008478FE">
        <w:t xml:space="preserve"> (2024</w:t>
      </w:r>
      <w:r w:rsidRPr="0073644B">
        <w:t>)</w:t>
      </w:r>
      <w:r>
        <w:t>, p</w:t>
      </w:r>
      <w:r w:rsidR="00001953">
        <w:t>.</w:t>
      </w:r>
      <w:r>
        <w:t xml:space="preserve"> 53</w:t>
      </w:r>
      <w:r w:rsidRPr="008478FE">
        <w:t>.</w:t>
      </w:r>
    </w:p>
    <w:p w14:paraId="506492CF" w14:textId="77777777" w:rsidR="005649FB" w:rsidRDefault="005649FB" w:rsidP="005649FB">
      <w:pPr>
        <w:pStyle w:val="08Figuretableboxheading"/>
      </w:pPr>
      <w:r>
        <w:t>Table A.2: Victorian Budget forecasts for the Victorian economy</w:t>
      </w:r>
    </w:p>
    <w:tbl>
      <w:tblPr>
        <w:tblStyle w:val="Glossary"/>
        <w:tblW w:w="8505" w:type="dxa"/>
        <w:tblLook w:val="04A0" w:firstRow="1" w:lastRow="0" w:firstColumn="1" w:lastColumn="0" w:noHBand="0" w:noVBand="1"/>
      </w:tblPr>
      <w:tblGrid>
        <w:gridCol w:w="2694"/>
        <w:gridCol w:w="1162"/>
        <w:gridCol w:w="1162"/>
        <w:gridCol w:w="1162"/>
        <w:gridCol w:w="1162"/>
        <w:gridCol w:w="1163"/>
      </w:tblGrid>
      <w:tr w:rsidR="005649FB" w:rsidRPr="007A0ABD" w14:paraId="32A24858" w14:textId="77777777" w:rsidTr="00183CD1">
        <w:trPr>
          <w:cnfStyle w:val="100000000000" w:firstRow="1" w:lastRow="0" w:firstColumn="0" w:lastColumn="0" w:oddVBand="0" w:evenVBand="0" w:oddHBand="0" w:evenHBand="0" w:firstRowFirstColumn="0" w:firstRowLastColumn="0" w:lastRowFirstColumn="0" w:lastRowLastColumn="0"/>
        </w:trPr>
        <w:tc>
          <w:tcPr>
            <w:tcW w:w="2694" w:type="dxa"/>
          </w:tcPr>
          <w:p w14:paraId="3D60F7A6" w14:textId="77777777" w:rsidR="005649FB" w:rsidRPr="007A0ABD" w:rsidRDefault="005649FB" w:rsidP="00183CD1">
            <w:pPr>
              <w:pStyle w:val="Tabletext"/>
              <w:rPr>
                <w:rFonts w:cs="Calibri Light"/>
                <w:color w:val="FFFFFF" w:themeColor="background1"/>
              </w:rPr>
            </w:pPr>
            <w:r w:rsidRPr="007A0ABD">
              <w:rPr>
                <w:rFonts w:cs="Calibri Light"/>
                <w:color w:val="FFFFFF" w:themeColor="background1"/>
              </w:rPr>
              <w:t>Indicator</w:t>
            </w:r>
          </w:p>
        </w:tc>
        <w:tc>
          <w:tcPr>
            <w:tcW w:w="1162" w:type="dxa"/>
          </w:tcPr>
          <w:p w14:paraId="4C097D16" w14:textId="77777777" w:rsidR="005649FB" w:rsidRPr="007A0ABD" w:rsidRDefault="005649FB" w:rsidP="00183CD1">
            <w:pPr>
              <w:pStyle w:val="Tabletext"/>
              <w:jc w:val="right"/>
              <w:rPr>
                <w:rFonts w:cs="Calibri Light"/>
                <w:color w:val="FFFFFF" w:themeColor="background1"/>
              </w:rPr>
            </w:pPr>
            <w:r w:rsidRPr="007A0ABD">
              <w:rPr>
                <w:rFonts w:cs="Calibri Light"/>
                <w:color w:val="FFFFFF" w:themeColor="background1"/>
              </w:rPr>
              <w:t>2023-24</w:t>
            </w:r>
          </w:p>
        </w:tc>
        <w:tc>
          <w:tcPr>
            <w:tcW w:w="1162" w:type="dxa"/>
          </w:tcPr>
          <w:p w14:paraId="23109068" w14:textId="77777777" w:rsidR="005649FB" w:rsidRPr="007A0ABD" w:rsidRDefault="005649FB" w:rsidP="00183CD1">
            <w:pPr>
              <w:pStyle w:val="Tabletext"/>
              <w:jc w:val="right"/>
              <w:rPr>
                <w:rFonts w:cs="Calibri Light"/>
                <w:color w:val="FFFFFF" w:themeColor="background1"/>
              </w:rPr>
            </w:pPr>
            <w:r w:rsidRPr="007A0ABD">
              <w:rPr>
                <w:rFonts w:cs="Calibri Light"/>
                <w:color w:val="FFFFFF" w:themeColor="background1"/>
              </w:rPr>
              <w:t>2024-25</w:t>
            </w:r>
          </w:p>
        </w:tc>
        <w:tc>
          <w:tcPr>
            <w:tcW w:w="1162" w:type="dxa"/>
          </w:tcPr>
          <w:p w14:paraId="4D80B056" w14:textId="77777777" w:rsidR="005649FB" w:rsidRPr="007A0ABD" w:rsidRDefault="005649FB" w:rsidP="00183CD1">
            <w:pPr>
              <w:pStyle w:val="Tabletext"/>
              <w:jc w:val="right"/>
              <w:rPr>
                <w:rFonts w:cs="Calibri Light"/>
                <w:color w:val="FFFFFF" w:themeColor="background1"/>
              </w:rPr>
            </w:pPr>
            <w:r w:rsidRPr="007A0ABD">
              <w:rPr>
                <w:rFonts w:cs="Calibri Light"/>
                <w:color w:val="FFFFFF" w:themeColor="background1"/>
              </w:rPr>
              <w:t>2025-26</w:t>
            </w:r>
          </w:p>
        </w:tc>
        <w:tc>
          <w:tcPr>
            <w:tcW w:w="1162" w:type="dxa"/>
          </w:tcPr>
          <w:p w14:paraId="5CF9A2D1" w14:textId="77777777" w:rsidR="005649FB" w:rsidRPr="007A0ABD" w:rsidRDefault="005649FB" w:rsidP="00183CD1">
            <w:pPr>
              <w:pStyle w:val="Tabletext"/>
              <w:jc w:val="right"/>
              <w:rPr>
                <w:rFonts w:cs="Calibri Light"/>
                <w:color w:val="FFFFFF" w:themeColor="background1"/>
              </w:rPr>
            </w:pPr>
            <w:r w:rsidRPr="007A0ABD">
              <w:rPr>
                <w:rFonts w:cs="Calibri Light"/>
                <w:color w:val="FFFFFF" w:themeColor="background1"/>
              </w:rPr>
              <w:t>2026-27</w:t>
            </w:r>
          </w:p>
        </w:tc>
        <w:tc>
          <w:tcPr>
            <w:tcW w:w="1163" w:type="dxa"/>
          </w:tcPr>
          <w:p w14:paraId="6FE80204" w14:textId="77777777" w:rsidR="005649FB" w:rsidRPr="007A0ABD" w:rsidRDefault="005649FB" w:rsidP="00183CD1">
            <w:pPr>
              <w:pStyle w:val="Tabletext"/>
              <w:jc w:val="right"/>
              <w:rPr>
                <w:rFonts w:cs="Calibri Light"/>
                <w:color w:val="FFFFFF" w:themeColor="background1"/>
              </w:rPr>
            </w:pPr>
            <w:r w:rsidRPr="007A0ABD">
              <w:rPr>
                <w:rFonts w:cs="Calibri Light"/>
                <w:color w:val="FFFFFF" w:themeColor="background1"/>
              </w:rPr>
              <w:t>2027-28</w:t>
            </w:r>
          </w:p>
        </w:tc>
      </w:tr>
      <w:tr w:rsidR="005649FB" w:rsidRPr="007A0ABD" w14:paraId="0ED2E2CD" w14:textId="77777777" w:rsidTr="00183CD1">
        <w:tc>
          <w:tcPr>
            <w:tcW w:w="2694" w:type="dxa"/>
          </w:tcPr>
          <w:p w14:paraId="16BE193C" w14:textId="77777777" w:rsidR="005649FB" w:rsidRPr="007A0ABD" w:rsidRDefault="005649FB" w:rsidP="00183CD1">
            <w:pPr>
              <w:pStyle w:val="Tabletext"/>
              <w:rPr>
                <w:rFonts w:cs="Calibri Light"/>
                <w:vertAlign w:val="superscript"/>
              </w:rPr>
            </w:pPr>
            <w:r w:rsidRPr="007A0ABD">
              <w:rPr>
                <w:rFonts w:cs="Calibri Light"/>
              </w:rPr>
              <w:t>Real Gross State Product</w:t>
            </w:r>
            <w:r w:rsidRPr="007A0ABD">
              <w:rPr>
                <w:rFonts w:cs="Calibri Light"/>
                <w:vertAlign w:val="superscript"/>
              </w:rPr>
              <w:t>(a)</w:t>
            </w:r>
          </w:p>
        </w:tc>
        <w:tc>
          <w:tcPr>
            <w:tcW w:w="1162" w:type="dxa"/>
          </w:tcPr>
          <w:p w14:paraId="15DACE4B" w14:textId="77777777" w:rsidR="005649FB" w:rsidRPr="007A0ABD" w:rsidRDefault="005649FB" w:rsidP="00183CD1">
            <w:pPr>
              <w:pStyle w:val="Tabletext"/>
              <w:jc w:val="right"/>
              <w:rPr>
                <w:rFonts w:cs="Calibri Light"/>
              </w:rPr>
            </w:pPr>
            <w:r w:rsidRPr="007A0ABD">
              <w:rPr>
                <w:rFonts w:cs="Calibri Light"/>
                <w:color w:val="000000"/>
              </w:rPr>
              <w:t>2.00</w:t>
            </w:r>
          </w:p>
        </w:tc>
        <w:tc>
          <w:tcPr>
            <w:tcW w:w="1162" w:type="dxa"/>
          </w:tcPr>
          <w:p w14:paraId="0628CF44" w14:textId="77777777" w:rsidR="005649FB" w:rsidRPr="007A0ABD" w:rsidRDefault="005649FB" w:rsidP="00183CD1">
            <w:pPr>
              <w:pStyle w:val="Tabletext"/>
              <w:jc w:val="right"/>
              <w:rPr>
                <w:rFonts w:cs="Calibri Light"/>
              </w:rPr>
            </w:pPr>
            <w:r w:rsidRPr="007A0ABD">
              <w:rPr>
                <w:rFonts w:cs="Calibri Light"/>
                <w:color w:val="000000"/>
              </w:rPr>
              <w:t>2.50</w:t>
            </w:r>
          </w:p>
        </w:tc>
        <w:tc>
          <w:tcPr>
            <w:tcW w:w="1162" w:type="dxa"/>
          </w:tcPr>
          <w:p w14:paraId="66A42A22" w14:textId="77777777" w:rsidR="005649FB" w:rsidRPr="007A0ABD" w:rsidRDefault="005649FB" w:rsidP="00183CD1">
            <w:pPr>
              <w:pStyle w:val="Tabletext"/>
              <w:jc w:val="right"/>
              <w:rPr>
                <w:rFonts w:cs="Calibri Light"/>
              </w:rPr>
            </w:pPr>
            <w:r w:rsidRPr="007A0ABD">
              <w:rPr>
                <w:rFonts w:cs="Calibri Light"/>
                <w:color w:val="000000"/>
              </w:rPr>
              <w:t>2.75</w:t>
            </w:r>
          </w:p>
        </w:tc>
        <w:tc>
          <w:tcPr>
            <w:tcW w:w="1162" w:type="dxa"/>
          </w:tcPr>
          <w:p w14:paraId="42F150AA" w14:textId="77777777" w:rsidR="005649FB" w:rsidRPr="007A0ABD" w:rsidRDefault="005649FB" w:rsidP="00183CD1">
            <w:pPr>
              <w:pStyle w:val="Tabletext"/>
              <w:jc w:val="right"/>
              <w:rPr>
                <w:rFonts w:cs="Calibri Light"/>
              </w:rPr>
            </w:pPr>
            <w:r w:rsidRPr="007A0ABD">
              <w:rPr>
                <w:rFonts w:cs="Calibri Light"/>
                <w:color w:val="000000"/>
              </w:rPr>
              <w:t>2.75</w:t>
            </w:r>
          </w:p>
        </w:tc>
        <w:tc>
          <w:tcPr>
            <w:tcW w:w="1163" w:type="dxa"/>
          </w:tcPr>
          <w:p w14:paraId="3EB05C54" w14:textId="77777777" w:rsidR="005649FB" w:rsidRPr="007A0ABD" w:rsidRDefault="005649FB" w:rsidP="00183CD1">
            <w:pPr>
              <w:pStyle w:val="Tabletext"/>
              <w:jc w:val="right"/>
              <w:rPr>
                <w:rFonts w:cs="Calibri Light"/>
              </w:rPr>
            </w:pPr>
            <w:r w:rsidRPr="007A0ABD">
              <w:rPr>
                <w:rFonts w:cs="Calibri Light"/>
                <w:color w:val="000000"/>
              </w:rPr>
              <w:t>2.75</w:t>
            </w:r>
          </w:p>
        </w:tc>
      </w:tr>
      <w:tr w:rsidR="005649FB" w:rsidRPr="007A0ABD" w14:paraId="1B006D43" w14:textId="77777777" w:rsidTr="00183CD1">
        <w:tc>
          <w:tcPr>
            <w:tcW w:w="2694" w:type="dxa"/>
          </w:tcPr>
          <w:p w14:paraId="4B53959C" w14:textId="77777777" w:rsidR="005649FB" w:rsidRPr="007A0ABD" w:rsidRDefault="005649FB" w:rsidP="00183CD1">
            <w:pPr>
              <w:pStyle w:val="Tabletext"/>
              <w:rPr>
                <w:rFonts w:cs="Calibri Light"/>
              </w:rPr>
            </w:pPr>
            <w:r w:rsidRPr="007A0ABD">
              <w:rPr>
                <w:rFonts w:cs="Calibri Light"/>
              </w:rPr>
              <w:t>Population</w:t>
            </w:r>
            <w:r w:rsidRPr="007A0ABD">
              <w:rPr>
                <w:rFonts w:cs="Calibri Light"/>
                <w:vertAlign w:val="superscript"/>
              </w:rPr>
              <w:t>(b)</w:t>
            </w:r>
          </w:p>
        </w:tc>
        <w:tc>
          <w:tcPr>
            <w:tcW w:w="1162" w:type="dxa"/>
            <w:vAlign w:val="bottom"/>
          </w:tcPr>
          <w:p w14:paraId="609F51EB" w14:textId="77777777" w:rsidR="005649FB" w:rsidRPr="007A0ABD" w:rsidRDefault="005649FB" w:rsidP="00183CD1">
            <w:pPr>
              <w:pStyle w:val="Tabletext"/>
              <w:jc w:val="right"/>
              <w:rPr>
                <w:rFonts w:cs="Calibri Light"/>
                <w:color w:val="000000"/>
              </w:rPr>
            </w:pPr>
            <w:r w:rsidRPr="007A0ABD">
              <w:rPr>
                <w:rFonts w:cs="Calibri Light"/>
                <w:color w:val="000000"/>
              </w:rPr>
              <w:t>2.30</w:t>
            </w:r>
          </w:p>
        </w:tc>
        <w:tc>
          <w:tcPr>
            <w:tcW w:w="1162" w:type="dxa"/>
            <w:vAlign w:val="bottom"/>
          </w:tcPr>
          <w:p w14:paraId="5B1692D0" w14:textId="77777777" w:rsidR="005649FB" w:rsidRPr="007A0ABD" w:rsidRDefault="005649FB" w:rsidP="00183CD1">
            <w:pPr>
              <w:pStyle w:val="Tabletext"/>
              <w:jc w:val="right"/>
              <w:rPr>
                <w:rFonts w:cs="Calibri Light"/>
                <w:color w:val="000000"/>
              </w:rPr>
            </w:pPr>
            <w:r w:rsidRPr="007A0ABD">
              <w:rPr>
                <w:rFonts w:cs="Calibri Light"/>
                <w:color w:val="000000"/>
              </w:rPr>
              <w:t>1.80</w:t>
            </w:r>
          </w:p>
        </w:tc>
        <w:tc>
          <w:tcPr>
            <w:tcW w:w="1162" w:type="dxa"/>
            <w:vAlign w:val="bottom"/>
          </w:tcPr>
          <w:p w14:paraId="0C0B2BBA" w14:textId="77777777" w:rsidR="005649FB" w:rsidRPr="007A0ABD" w:rsidRDefault="005649FB" w:rsidP="00183CD1">
            <w:pPr>
              <w:pStyle w:val="Tabletext"/>
              <w:jc w:val="right"/>
              <w:rPr>
                <w:rFonts w:cs="Calibri Light"/>
                <w:color w:val="000000"/>
              </w:rPr>
            </w:pPr>
            <w:r w:rsidRPr="007A0ABD">
              <w:rPr>
                <w:rFonts w:cs="Calibri Light"/>
                <w:color w:val="000000"/>
              </w:rPr>
              <w:t>1.70</w:t>
            </w:r>
          </w:p>
        </w:tc>
        <w:tc>
          <w:tcPr>
            <w:tcW w:w="1162" w:type="dxa"/>
            <w:vAlign w:val="bottom"/>
          </w:tcPr>
          <w:p w14:paraId="23994335" w14:textId="77777777" w:rsidR="005649FB" w:rsidRPr="007A0ABD" w:rsidRDefault="005649FB" w:rsidP="00183CD1">
            <w:pPr>
              <w:pStyle w:val="Tabletext"/>
              <w:jc w:val="right"/>
              <w:rPr>
                <w:rFonts w:cs="Calibri Light"/>
                <w:color w:val="000000"/>
              </w:rPr>
            </w:pPr>
            <w:r w:rsidRPr="007A0ABD">
              <w:rPr>
                <w:rFonts w:cs="Calibri Light"/>
                <w:color w:val="000000"/>
              </w:rPr>
              <w:t>1.70</w:t>
            </w:r>
          </w:p>
        </w:tc>
        <w:tc>
          <w:tcPr>
            <w:tcW w:w="1163" w:type="dxa"/>
            <w:vAlign w:val="bottom"/>
          </w:tcPr>
          <w:p w14:paraId="49B40A6A" w14:textId="77777777" w:rsidR="005649FB" w:rsidRPr="007A0ABD" w:rsidRDefault="005649FB" w:rsidP="00183CD1">
            <w:pPr>
              <w:pStyle w:val="Tabletext"/>
              <w:jc w:val="right"/>
              <w:rPr>
                <w:rFonts w:cs="Calibri Light"/>
                <w:color w:val="000000"/>
              </w:rPr>
            </w:pPr>
            <w:r w:rsidRPr="007A0ABD">
              <w:rPr>
                <w:rFonts w:cs="Calibri Light"/>
                <w:color w:val="000000"/>
              </w:rPr>
              <w:t>1.70</w:t>
            </w:r>
          </w:p>
        </w:tc>
      </w:tr>
      <w:tr w:rsidR="005649FB" w:rsidRPr="007A0ABD" w14:paraId="74C4CD67" w14:textId="77777777" w:rsidTr="00183CD1">
        <w:tc>
          <w:tcPr>
            <w:tcW w:w="2694" w:type="dxa"/>
          </w:tcPr>
          <w:p w14:paraId="7A6C5444" w14:textId="77777777" w:rsidR="005649FB" w:rsidRPr="007A0ABD" w:rsidRDefault="005649FB" w:rsidP="00183CD1">
            <w:pPr>
              <w:pStyle w:val="Tabletext"/>
              <w:rPr>
                <w:rFonts w:cs="Calibri Light"/>
                <w:vertAlign w:val="superscript"/>
              </w:rPr>
            </w:pPr>
            <w:r w:rsidRPr="007A0ABD">
              <w:rPr>
                <w:rFonts w:cs="Calibri Light"/>
              </w:rPr>
              <w:t>Melbourne CPI</w:t>
            </w:r>
            <w:r w:rsidRPr="007A0ABD">
              <w:rPr>
                <w:rFonts w:cs="Calibri Light"/>
                <w:vertAlign w:val="superscript"/>
              </w:rPr>
              <w:t>(a)</w:t>
            </w:r>
          </w:p>
        </w:tc>
        <w:tc>
          <w:tcPr>
            <w:tcW w:w="1162" w:type="dxa"/>
            <w:vAlign w:val="bottom"/>
          </w:tcPr>
          <w:p w14:paraId="28E9A5FF" w14:textId="77777777" w:rsidR="005649FB" w:rsidRPr="007A0ABD" w:rsidRDefault="005649FB" w:rsidP="00183CD1">
            <w:pPr>
              <w:pStyle w:val="Tabletext"/>
              <w:jc w:val="right"/>
              <w:rPr>
                <w:rFonts w:cs="Calibri Light"/>
              </w:rPr>
            </w:pPr>
            <w:r w:rsidRPr="007A0ABD">
              <w:rPr>
                <w:rFonts w:cs="Calibri Light"/>
                <w:color w:val="000000"/>
              </w:rPr>
              <w:t>4.00</w:t>
            </w:r>
          </w:p>
        </w:tc>
        <w:tc>
          <w:tcPr>
            <w:tcW w:w="1162" w:type="dxa"/>
            <w:vAlign w:val="bottom"/>
          </w:tcPr>
          <w:p w14:paraId="2691F3B1" w14:textId="77777777" w:rsidR="005649FB" w:rsidRPr="007A0ABD" w:rsidRDefault="005649FB" w:rsidP="00183CD1">
            <w:pPr>
              <w:pStyle w:val="Tabletext"/>
              <w:jc w:val="right"/>
              <w:rPr>
                <w:rFonts w:cs="Calibri Light"/>
              </w:rPr>
            </w:pPr>
            <w:r w:rsidRPr="007A0ABD">
              <w:rPr>
                <w:rFonts w:cs="Calibri Light"/>
                <w:color w:val="000000"/>
              </w:rPr>
              <w:t>2.75</w:t>
            </w:r>
          </w:p>
        </w:tc>
        <w:tc>
          <w:tcPr>
            <w:tcW w:w="1162" w:type="dxa"/>
            <w:vAlign w:val="bottom"/>
          </w:tcPr>
          <w:p w14:paraId="483E8ECA" w14:textId="77777777" w:rsidR="005649FB" w:rsidRPr="007A0ABD" w:rsidRDefault="005649FB" w:rsidP="00183CD1">
            <w:pPr>
              <w:pStyle w:val="Tabletext"/>
              <w:jc w:val="right"/>
              <w:rPr>
                <w:rFonts w:cs="Calibri Light"/>
              </w:rPr>
            </w:pPr>
            <w:r w:rsidRPr="007A0ABD">
              <w:rPr>
                <w:rFonts w:cs="Calibri Light"/>
                <w:color w:val="000000"/>
              </w:rPr>
              <w:t>2.50</w:t>
            </w:r>
          </w:p>
        </w:tc>
        <w:tc>
          <w:tcPr>
            <w:tcW w:w="1162" w:type="dxa"/>
            <w:vAlign w:val="bottom"/>
          </w:tcPr>
          <w:p w14:paraId="22F8ABC8" w14:textId="77777777" w:rsidR="005649FB" w:rsidRPr="007A0ABD" w:rsidRDefault="005649FB" w:rsidP="00183CD1">
            <w:pPr>
              <w:pStyle w:val="Tabletext"/>
              <w:jc w:val="right"/>
              <w:rPr>
                <w:rFonts w:cs="Calibri Light"/>
              </w:rPr>
            </w:pPr>
            <w:r w:rsidRPr="007A0ABD">
              <w:rPr>
                <w:rFonts w:cs="Calibri Light"/>
                <w:color w:val="000000"/>
              </w:rPr>
              <w:t>2.50</w:t>
            </w:r>
          </w:p>
        </w:tc>
        <w:tc>
          <w:tcPr>
            <w:tcW w:w="1163" w:type="dxa"/>
            <w:vAlign w:val="bottom"/>
          </w:tcPr>
          <w:p w14:paraId="38E2EDAD" w14:textId="77777777" w:rsidR="005649FB" w:rsidRPr="007A0ABD" w:rsidRDefault="005649FB" w:rsidP="00183CD1">
            <w:pPr>
              <w:pStyle w:val="Tabletext"/>
              <w:jc w:val="right"/>
              <w:rPr>
                <w:rFonts w:cs="Calibri Light"/>
              </w:rPr>
            </w:pPr>
            <w:r w:rsidRPr="007A0ABD">
              <w:rPr>
                <w:rFonts w:cs="Calibri Light"/>
                <w:color w:val="000000"/>
              </w:rPr>
              <w:t>2.50</w:t>
            </w:r>
          </w:p>
        </w:tc>
      </w:tr>
      <w:tr w:rsidR="005649FB" w:rsidRPr="007A0ABD" w14:paraId="3CF98B6B" w14:textId="77777777" w:rsidTr="00183CD1">
        <w:tc>
          <w:tcPr>
            <w:tcW w:w="2694" w:type="dxa"/>
          </w:tcPr>
          <w:p w14:paraId="3D08D42A" w14:textId="77777777" w:rsidR="005649FB" w:rsidRPr="007A0ABD" w:rsidRDefault="005649FB" w:rsidP="00183CD1">
            <w:pPr>
              <w:pStyle w:val="Tabletext"/>
              <w:rPr>
                <w:rFonts w:cs="Calibri Light"/>
              </w:rPr>
            </w:pPr>
            <w:r w:rsidRPr="007A0ABD">
              <w:rPr>
                <w:rFonts w:cs="Calibri Light"/>
              </w:rPr>
              <w:t>Employment</w:t>
            </w:r>
            <w:r w:rsidRPr="007A0ABD">
              <w:rPr>
                <w:rFonts w:cs="Calibri Light"/>
                <w:vertAlign w:val="superscript"/>
              </w:rPr>
              <w:t>(a)</w:t>
            </w:r>
          </w:p>
        </w:tc>
        <w:tc>
          <w:tcPr>
            <w:tcW w:w="1162" w:type="dxa"/>
            <w:vAlign w:val="bottom"/>
          </w:tcPr>
          <w:p w14:paraId="16C030E4" w14:textId="77777777" w:rsidR="005649FB" w:rsidRPr="007A0ABD" w:rsidRDefault="005649FB" w:rsidP="00183CD1">
            <w:pPr>
              <w:pStyle w:val="Tabletext"/>
              <w:jc w:val="right"/>
              <w:rPr>
                <w:rFonts w:cs="Calibri Light"/>
              </w:rPr>
            </w:pPr>
            <w:r w:rsidRPr="007A0ABD">
              <w:rPr>
                <w:rFonts w:cs="Calibri Light"/>
                <w:color w:val="000000"/>
              </w:rPr>
              <w:t>3.25</w:t>
            </w:r>
          </w:p>
        </w:tc>
        <w:tc>
          <w:tcPr>
            <w:tcW w:w="1162" w:type="dxa"/>
            <w:vAlign w:val="bottom"/>
          </w:tcPr>
          <w:p w14:paraId="6620684D" w14:textId="77777777" w:rsidR="005649FB" w:rsidRPr="007A0ABD" w:rsidRDefault="005649FB" w:rsidP="00183CD1">
            <w:pPr>
              <w:pStyle w:val="Tabletext"/>
              <w:jc w:val="right"/>
              <w:rPr>
                <w:rFonts w:cs="Calibri Light"/>
              </w:rPr>
            </w:pPr>
            <w:r w:rsidRPr="007A0ABD">
              <w:rPr>
                <w:rFonts w:cs="Calibri Light"/>
                <w:color w:val="000000"/>
              </w:rPr>
              <w:t>1.00</w:t>
            </w:r>
          </w:p>
        </w:tc>
        <w:tc>
          <w:tcPr>
            <w:tcW w:w="1162" w:type="dxa"/>
            <w:vAlign w:val="bottom"/>
          </w:tcPr>
          <w:p w14:paraId="044E4B23" w14:textId="77777777" w:rsidR="005649FB" w:rsidRPr="007A0ABD" w:rsidRDefault="005649FB" w:rsidP="00183CD1">
            <w:pPr>
              <w:pStyle w:val="Tabletext"/>
              <w:jc w:val="right"/>
              <w:rPr>
                <w:rFonts w:cs="Calibri Light"/>
              </w:rPr>
            </w:pPr>
            <w:r w:rsidRPr="007A0ABD">
              <w:rPr>
                <w:rFonts w:cs="Calibri Light"/>
                <w:color w:val="000000"/>
              </w:rPr>
              <w:t>1.75</w:t>
            </w:r>
          </w:p>
        </w:tc>
        <w:tc>
          <w:tcPr>
            <w:tcW w:w="1162" w:type="dxa"/>
            <w:vAlign w:val="bottom"/>
          </w:tcPr>
          <w:p w14:paraId="4AA5262D" w14:textId="77777777" w:rsidR="005649FB" w:rsidRPr="007A0ABD" w:rsidRDefault="005649FB" w:rsidP="00183CD1">
            <w:pPr>
              <w:pStyle w:val="Tabletext"/>
              <w:jc w:val="right"/>
              <w:rPr>
                <w:rFonts w:cs="Calibri Light"/>
              </w:rPr>
            </w:pPr>
            <w:r w:rsidRPr="007A0ABD">
              <w:rPr>
                <w:rFonts w:cs="Calibri Light"/>
                <w:color w:val="000000"/>
              </w:rPr>
              <w:t>1.75</w:t>
            </w:r>
          </w:p>
        </w:tc>
        <w:tc>
          <w:tcPr>
            <w:tcW w:w="1163" w:type="dxa"/>
            <w:vAlign w:val="bottom"/>
          </w:tcPr>
          <w:p w14:paraId="3CB6697C" w14:textId="77777777" w:rsidR="005649FB" w:rsidRPr="007A0ABD" w:rsidRDefault="005649FB" w:rsidP="00183CD1">
            <w:pPr>
              <w:pStyle w:val="Tabletext"/>
              <w:jc w:val="right"/>
              <w:rPr>
                <w:rFonts w:cs="Calibri Light"/>
              </w:rPr>
            </w:pPr>
            <w:r w:rsidRPr="007A0ABD">
              <w:rPr>
                <w:rFonts w:cs="Calibri Light"/>
                <w:color w:val="000000"/>
              </w:rPr>
              <w:t>1.75</w:t>
            </w:r>
          </w:p>
        </w:tc>
      </w:tr>
      <w:tr w:rsidR="005649FB" w:rsidRPr="007A0ABD" w14:paraId="09A107B8" w14:textId="77777777" w:rsidTr="00183CD1">
        <w:tc>
          <w:tcPr>
            <w:tcW w:w="2694" w:type="dxa"/>
          </w:tcPr>
          <w:p w14:paraId="4C666BC0" w14:textId="66ED957F" w:rsidR="005649FB" w:rsidRPr="007A0ABD" w:rsidRDefault="005649FB" w:rsidP="00183CD1">
            <w:pPr>
              <w:pStyle w:val="Tabletext"/>
              <w:rPr>
                <w:rFonts w:cs="Calibri Light"/>
                <w:vertAlign w:val="superscript"/>
              </w:rPr>
            </w:pPr>
            <w:r w:rsidRPr="007A0ABD">
              <w:rPr>
                <w:rFonts w:cs="Calibri Light"/>
              </w:rPr>
              <w:t>Unemployment rate</w:t>
            </w:r>
            <w:r w:rsidRPr="007A0ABD">
              <w:rPr>
                <w:rFonts w:cs="Calibri Light"/>
                <w:vertAlign w:val="superscript"/>
              </w:rPr>
              <w:t>(</w:t>
            </w:r>
            <w:r w:rsidR="007D1B89">
              <w:rPr>
                <w:rFonts w:cs="Calibri Light"/>
                <w:vertAlign w:val="superscript"/>
              </w:rPr>
              <w:t>c</w:t>
            </w:r>
            <w:r w:rsidRPr="007A0ABD">
              <w:rPr>
                <w:rFonts w:cs="Calibri Light"/>
                <w:vertAlign w:val="superscript"/>
              </w:rPr>
              <w:t>)</w:t>
            </w:r>
          </w:p>
        </w:tc>
        <w:tc>
          <w:tcPr>
            <w:tcW w:w="1162" w:type="dxa"/>
          </w:tcPr>
          <w:p w14:paraId="10408376" w14:textId="77777777" w:rsidR="005649FB" w:rsidRPr="007A0ABD" w:rsidRDefault="005649FB" w:rsidP="00183CD1">
            <w:pPr>
              <w:pStyle w:val="Tabletext"/>
              <w:jc w:val="right"/>
              <w:rPr>
                <w:rFonts w:cs="Calibri Light"/>
              </w:rPr>
            </w:pPr>
            <w:r w:rsidRPr="007A0ABD">
              <w:rPr>
                <w:rFonts w:cs="Calibri Light"/>
                <w:color w:val="000000"/>
              </w:rPr>
              <w:t>4.00</w:t>
            </w:r>
          </w:p>
        </w:tc>
        <w:tc>
          <w:tcPr>
            <w:tcW w:w="1162" w:type="dxa"/>
          </w:tcPr>
          <w:p w14:paraId="16001020" w14:textId="77777777" w:rsidR="005649FB" w:rsidRPr="007A0ABD" w:rsidRDefault="005649FB" w:rsidP="00183CD1">
            <w:pPr>
              <w:pStyle w:val="Tabletext"/>
              <w:jc w:val="right"/>
              <w:rPr>
                <w:rFonts w:cs="Calibri Light"/>
              </w:rPr>
            </w:pPr>
            <w:r w:rsidRPr="007A0ABD">
              <w:rPr>
                <w:rFonts w:cs="Calibri Light"/>
                <w:color w:val="000000"/>
              </w:rPr>
              <w:t>4.25</w:t>
            </w:r>
          </w:p>
        </w:tc>
        <w:tc>
          <w:tcPr>
            <w:tcW w:w="1162" w:type="dxa"/>
          </w:tcPr>
          <w:p w14:paraId="1B774F54" w14:textId="77777777" w:rsidR="005649FB" w:rsidRPr="007A0ABD" w:rsidRDefault="005649FB" w:rsidP="00183CD1">
            <w:pPr>
              <w:pStyle w:val="Tabletext"/>
              <w:jc w:val="right"/>
              <w:rPr>
                <w:rFonts w:cs="Calibri Light"/>
              </w:rPr>
            </w:pPr>
            <w:r w:rsidRPr="007A0ABD">
              <w:rPr>
                <w:rFonts w:cs="Calibri Light"/>
                <w:color w:val="000000"/>
              </w:rPr>
              <w:t>4.50</w:t>
            </w:r>
          </w:p>
        </w:tc>
        <w:tc>
          <w:tcPr>
            <w:tcW w:w="1162" w:type="dxa"/>
          </w:tcPr>
          <w:p w14:paraId="4B2B09BB" w14:textId="77777777" w:rsidR="005649FB" w:rsidRPr="007A0ABD" w:rsidRDefault="005649FB" w:rsidP="00183CD1">
            <w:pPr>
              <w:pStyle w:val="Tabletext"/>
              <w:jc w:val="right"/>
              <w:rPr>
                <w:rFonts w:cs="Calibri Light"/>
              </w:rPr>
            </w:pPr>
            <w:r w:rsidRPr="007A0ABD">
              <w:rPr>
                <w:rFonts w:cs="Calibri Light"/>
                <w:color w:val="000000"/>
              </w:rPr>
              <w:t>4.75</w:t>
            </w:r>
          </w:p>
        </w:tc>
        <w:tc>
          <w:tcPr>
            <w:tcW w:w="1163" w:type="dxa"/>
          </w:tcPr>
          <w:p w14:paraId="4D2117F6" w14:textId="77777777" w:rsidR="005649FB" w:rsidRPr="007A0ABD" w:rsidRDefault="005649FB" w:rsidP="00183CD1">
            <w:pPr>
              <w:pStyle w:val="Tabletext"/>
              <w:jc w:val="right"/>
              <w:rPr>
                <w:rFonts w:cs="Calibri Light"/>
              </w:rPr>
            </w:pPr>
            <w:r w:rsidRPr="007A0ABD">
              <w:rPr>
                <w:rFonts w:cs="Calibri Light"/>
                <w:color w:val="000000"/>
              </w:rPr>
              <w:t>4.75</w:t>
            </w:r>
          </w:p>
        </w:tc>
      </w:tr>
      <w:tr w:rsidR="005649FB" w:rsidRPr="007A0ABD" w14:paraId="5836A3C4" w14:textId="77777777" w:rsidTr="00183CD1">
        <w:tc>
          <w:tcPr>
            <w:tcW w:w="2694" w:type="dxa"/>
          </w:tcPr>
          <w:p w14:paraId="01B1DF09" w14:textId="77777777" w:rsidR="005649FB" w:rsidRPr="007A0ABD" w:rsidRDefault="005649FB" w:rsidP="00183CD1">
            <w:pPr>
              <w:pStyle w:val="Tabletext"/>
              <w:rPr>
                <w:rFonts w:cs="Calibri Light"/>
              </w:rPr>
            </w:pPr>
            <w:r w:rsidRPr="007A0ABD">
              <w:rPr>
                <w:rFonts w:cs="Calibri Light"/>
              </w:rPr>
              <w:t>Victorian WPI</w:t>
            </w:r>
            <w:r w:rsidRPr="007A0ABD">
              <w:rPr>
                <w:rFonts w:cs="Calibri Light"/>
                <w:vertAlign w:val="superscript"/>
              </w:rPr>
              <w:t>(a)</w:t>
            </w:r>
          </w:p>
        </w:tc>
        <w:tc>
          <w:tcPr>
            <w:tcW w:w="1162" w:type="dxa"/>
            <w:vAlign w:val="bottom"/>
          </w:tcPr>
          <w:p w14:paraId="1FC610CC" w14:textId="77777777" w:rsidR="005649FB" w:rsidRPr="007A0ABD" w:rsidRDefault="005649FB" w:rsidP="00183CD1">
            <w:pPr>
              <w:pStyle w:val="Tabletext"/>
              <w:jc w:val="right"/>
              <w:rPr>
                <w:rFonts w:cs="Calibri Light"/>
              </w:rPr>
            </w:pPr>
            <w:r w:rsidRPr="007A0ABD">
              <w:rPr>
                <w:rFonts w:cs="Calibri Light"/>
                <w:color w:val="000000"/>
              </w:rPr>
              <w:t>3.75</w:t>
            </w:r>
          </w:p>
        </w:tc>
        <w:tc>
          <w:tcPr>
            <w:tcW w:w="1162" w:type="dxa"/>
            <w:vAlign w:val="bottom"/>
          </w:tcPr>
          <w:p w14:paraId="0C7F2241" w14:textId="77777777" w:rsidR="005649FB" w:rsidRPr="007A0ABD" w:rsidRDefault="005649FB" w:rsidP="00183CD1">
            <w:pPr>
              <w:pStyle w:val="Tabletext"/>
              <w:jc w:val="right"/>
              <w:rPr>
                <w:rFonts w:cs="Calibri Light"/>
              </w:rPr>
            </w:pPr>
            <w:r w:rsidRPr="007A0ABD">
              <w:rPr>
                <w:rFonts w:cs="Calibri Light"/>
                <w:color w:val="000000"/>
              </w:rPr>
              <w:t>3.75</w:t>
            </w:r>
          </w:p>
        </w:tc>
        <w:tc>
          <w:tcPr>
            <w:tcW w:w="1162" w:type="dxa"/>
            <w:vAlign w:val="bottom"/>
          </w:tcPr>
          <w:p w14:paraId="0451CE51" w14:textId="77777777" w:rsidR="005649FB" w:rsidRPr="007A0ABD" w:rsidRDefault="005649FB" w:rsidP="00183CD1">
            <w:pPr>
              <w:pStyle w:val="Tabletext"/>
              <w:jc w:val="right"/>
              <w:rPr>
                <w:rFonts w:cs="Calibri Light"/>
              </w:rPr>
            </w:pPr>
            <w:r w:rsidRPr="007A0ABD">
              <w:rPr>
                <w:rFonts w:cs="Calibri Light"/>
                <w:color w:val="000000"/>
              </w:rPr>
              <w:t>3.25</w:t>
            </w:r>
          </w:p>
        </w:tc>
        <w:tc>
          <w:tcPr>
            <w:tcW w:w="1162" w:type="dxa"/>
            <w:vAlign w:val="bottom"/>
          </w:tcPr>
          <w:p w14:paraId="51649D77" w14:textId="77777777" w:rsidR="005649FB" w:rsidRPr="007A0ABD" w:rsidRDefault="005649FB" w:rsidP="00183CD1">
            <w:pPr>
              <w:pStyle w:val="Tabletext"/>
              <w:jc w:val="right"/>
              <w:rPr>
                <w:rFonts w:cs="Calibri Light"/>
              </w:rPr>
            </w:pPr>
            <w:r w:rsidRPr="007A0ABD">
              <w:rPr>
                <w:rFonts w:cs="Calibri Light"/>
                <w:color w:val="000000"/>
              </w:rPr>
              <w:t>3.25</w:t>
            </w:r>
          </w:p>
        </w:tc>
        <w:tc>
          <w:tcPr>
            <w:tcW w:w="1163" w:type="dxa"/>
            <w:vAlign w:val="bottom"/>
          </w:tcPr>
          <w:p w14:paraId="1BF9C63C" w14:textId="77777777" w:rsidR="005649FB" w:rsidRPr="007A0ABD" w:rsidRDefault="005649FB" w:rsidP="00183CD1">
            <w:pPr>
              <w:pStyle w:val="Tabletext"/>
              <w:jc w:val="right"/>
              <w:rPr>
                <w:rFonts w:cs="Calibri Light"/>
              </w:rPr>
            </w:pPr>
            <w:r w:rsidRPr="007A0ABD">
              <w:rPr>
                <w:rFonts w:cs="Calibri Light"/>
                <w:color w:val="000000"/>
              </w:rPr>
              <w:t>3.25</w:t>
            </w:r>
          </w:p>
        </w:tc>
      </w:tr>
    </w:tbl>
    <w:p w14:paraId="43358A58" w14:textId="76743E81" w:rsidR="005649FB" w:rsidRDefault="005649FB" w:rsidP="005649FB">
      <w:pPr>
        <w:pStyle w:val="09Sourcesandnotesfortablesfiguresboxes"/>
      </w:pPr>
      <w:r>
        <w:t xml:space="preserve">Notes: </w:t>
      </w:r>
      <w:r w:rsidRPr="007B43FC">
        <w:t>(a) Percentage change in year-average terms compared with the previous year. (</w:t>
      </w:r>
      <w:r>
        <w:t>b</w:t>
      </w:r>
      <w:r w:rsidRPr="007B43FC">
        <w:t xml:space="preserve">) </w:t>
      </w:r>
      <w:r w:rsidR="001F434A" w:rsidRPr="00606811">
        <w:rPr>
          <w:rFonts w:eastAsia="Rockwell" w:cs="Times New Roman"/>
          <w:color w:val="000000"/>
        </w:rPr>
        <w:t xml:space="preserve">Percentage </w:t>
      </w:r>
      <w:r w:rsidR="001F434A">
        <w:rPr>
          <w:rFonts w:eastAsia="Rockwell" w:cs="Times New Roman"/>
          <w:color w:val="000000"/>
        </w:rPr>
        <w:t xml:space="preserve">change </w:t>
      </w:r>
      <w:r w:rsidR="001F434A" w:rsidRPr="00606811">
        <w:rPr>
          <w:rFonts w:eastAsia="Rockwell" w:cs="Times New Roman"/>
          <w:color w:val="000000"/>
        </w:rPr>
        <w:t>over the year to 30 June.</w:t>
      </w:r>
      <w:r w:rsidR="001F434A">
        <w:rPr>
          <w:rFonts w:eastAsia="Rockwell" w:cs="Times New Roman"/>
          <w:color w:val="000000"/>
        </w:rPr>
        <w:t xml:space="preserve"> (c) </w:t>
      </w:r>
      <w:r w:rsidRPr="007B43FC">
        <w:t>Year average.</w:t>
      </w:r>
      <w:r>
        <w:t xml:space="preserve"> </w:t>
      </w:r>
    </w:p>
    <w:p w14:paraId="78091A45" w14:textId="1B7FD031" w:rsidR="005649FB" w:rsidRDefault="005649FB" w:rsidP="005649FB">
      <w:pPr>
        <w:pStyle w:val="09Sourcesandnotesfortablesfiguresboxes"/>
      </w:pPr>
      <w:r>
        <w:t xml:space="preserve">Source: </w:t>
      </w:r>
      <w:r>
        <w:rPr>
          <w:rFonts w:cs="Calibri Light"/>
        </w:rPr>
        <w:t>DTF</w:t>
      </w:r>
      <w:r w:rsidRPr="00182559">
        <w:rPr>
          <w:rFonts w:cs="Calibri Light"/>
        </w:rPr>
        <w:t xml:space="preserve"> (</w:t>
      </w:r>
      <w:r w:rsidR="00966B8A" w:rsidRPr="00182559">
        <w:rPr>
          <w:rFonts w:cs="Calibri Light"/>
        </w:rPr>
        <w:t>2024</w:t>
      </w:r>
      <w:r w:rsidR="001E0458">
        <w:rPr>
          <w:rFonts w:cs="Calibri Light"/>
        </w:rPr>
        <w:t>b</w:t>
      </w:r>
      <w:r w:rsidRPr="00182559">
        <w:rPr>
          <w:rFonts w:cs="Calibri Light"/>
        </w:rPr>
        <w:t>)</w:t>
      </w:r>
      <w:r>
        <w:t>, p</w:t>
      </w:r>
      <w:r w:rsidR="003B39EB">
        <w:t>.</w:t>
      </w:r>
      <w:r>
        <w:t xml:space="preserve"> 18.</w:t>
      </w:r>
    </w:p>
    <w:p w14:paraId="1041D423" w14:textId="77777777" w:rsidR="005649FB" w:rsidRDefault="005649FB" w:rsidP="005649FB">
      <w:pPr>
        <w:pStyle w:val="03VIRTHeading3"/>
      </w:pPr>
      <w:r>
        <w:t>Economic growth is forecast to pick up in coming years, driven by a recovery in household spending</w:t>
      </w:r>
    </w:p>
    <w:p w14:paraId="4873FAFC" w14:textId="77777777" w:rsidR="005649FB" w:rsidRDefault="005649FB" w:rsidP="005649FB">
      <w:pPr>
        <w:pStyle w:val="05Paragraph"/>
      </w:pPr>
      <w:r>
        <w:t>The RBA expects economic growth to remain subdued in the near-term, before picking up from late 2024 as the recovery in real incomes leads to a pick-up in household consumption. Annual growth in real GDP is forecast to be 1.2 per cent in June 2024, before increasing to 2.1 per cent in June 2025 and 2.4 per cent in June 2026.</w:t>
      </w:r>
      <w:r>
        <w:rPr>
          <w:rStyle w:val="FootnoteReference"/>
        </w:rPr>
        <w:footnoteReference w:id="70"/>
      </w:r>
      <w:r>
        <w:t xml:space="preserve"> Nonetheless, growth is expected to remain below the long</w:t>
      </w:r>
      <w:r>
        <w:noBreakHyphen/>
        <w:t>run (excluding the pandemic period) average of 2.9 per cent.</w:t>
      </w:r>
    </w:p>
    <w:p w14:paraId="24707F33" w14:textId="6D100E36" w:rsidR="005649FB" w:rsidRDefault="005649FB" w:rsidP="005649FB">
      <w:pPr>
        <w:pStyle w:val="05Paragraph"/>
      </w:pPr>
      <w:r>
        <w:t>The</w:t>
      </w:r>
      <w:r w:rsidRPr="00D230A2">
        <w:t xml:space="preserve"> Victorian Budget </w:t>
      </w:r>
      <w:r>
        <w:t>forecast Victoria’s real GSP to grow by 2 per cent in 2023</w:t>
      </w:r>
      <w:r w:rsidR="00422549">
        <w:t>-</w:t>
      </w:r>
      <w:r>
        <w:t>24, before picking up to 2.5 per cent in 2024</w:t>
      </w:r>
      <w:r w:rsidR="00422549">
        <w:t>-</w:t>
      </w:r>
      <w:r>
        <w:t>25. Similar to the national outlook, the pick-up in growth is expected to be driven by household consumption, which is forecast to contribute 1.5 percentage points to GSP growth in 2024</w:t>
      </w:r>
      <w:r w:rsidR="00422549">
        <w:t>-</w:t>
      </w:r>
      <w:r>
        <w:t xml:space="preserve">25. On the other hand, public demand </w:t>
      </w:r>
      <w:r w:rsidRPr="00764DD0">
        <w:t>—</w:t>
      </w:r>
      <w:r>
        <w:t xml:space="preserve"> which includes spending and capital expenditure by the Victorian Government </w:t>
      </w:r>
      <w:r w:rsidRPr="0096741E">
        <w:t>—</w:t>
      </w:r>
      <w:r>
        <w:t xml:space="preserve"> is expected to make a broadly flat contribution to growth, consistent with a moderating investment pipeline (see section A.3).</w:t>
      </w:r>
      <w:r>
        <w:rPr>
          <w:rStyle w:val="FootnoteReference"/>
        </w:rPr>
        <w:footnoteReference w:id="71"/>
      </w:r>
    </w:p>
    <w:p w14:paraId="0ACC7F5A" w14:textId="77777777" w:rsidR="005649FB" w:rsidRDefault="005649FB" w:rsidP="005649FB">
      <w:pPr>
        <w:pStyle w:val="05Paragraph"/>
      </w:pPr>
      <w:r>
        <w:t>The RBA is forecasting population growth to moderate over the next couple of years and return to its pre-pandemic average, and to grow more slowly than real GDP from late 2024 onwards.</w:t>
      </w:r>
      <w:r>
        <w:rPr>
          <w:rStyle w:val="FootnoteReference"/>
        </w:rPr>
        <w:footnoteReference w:id="72"/>
      </w:r>
      <w:r>
        <w:t xml:space="preserve"> Were this to eventuate, it would support a recovery in real GDP per capita.</w:t>
      </w:r>
    </w:p>
    <w:p w14:paraId="623E5F88" w14:textId="77777777" w:rsidR="005649FB" w:rsidRDefault="005649FB" w:rsidP="005649FB">
      <w:pPr>
        <w:pStyle w:val="05Paragraph"/>
      </w:pPr>
      <w:r>
        <w:t>In terms of productivity, the RBA expects growth to pick up further and stabilise around its long-run (excluding the pandemic) average, but notes that the outlook is highly uncertain. In particular, it observed that a return to the lower rates of business dynamism and competition that were associated with weak productivity outcomes in the 2010s would similarly weigh on growth going forward.</w:t>
      </w:r>
      <w:r>
        <w:rPr>
          <w:rStyle w:val="FootnoteReference"/>
        </w:rPr>
        <w:footnoteReference w:id="73"/>
      </w:r>
    </w:p>
    <w:p w14:paraId="0DE3DB52" w14:textId="77777777" w:rsidR="005649FB" w:rsidRDefault="005649FB" w:rsidP="005649FB">
      <w:pPr>
        <w:pStyle w:val="03VIRTHeading3"/>
      </w:pPr>
      <w:r>
        <w:t>Inflation is forecast to continue easing in the medium-term, with a return to target expected in the next 6–18 months</w:t>
      </w:r>
    </w:p>
    <w:p w14:paraId="79619660" w14:textId="6E549C8E" w:rsidR="005649FB" w:rsidRDefault="005649FB" w:rsidP="005649FB">
      <w:pPr>
        <w:pStyle w:val="05Paragraph"/>
      </w:pPr>
      <w:r>
        <w:t>The latest inflation forecasts published by the RBA, which preceded the federal budget, have national CPI growth rising in the near-term due to temporary factors such as rising petrol prices and the unwinding of energy rebates. Despite this, the RBA’s medium</w:t>
      </w:r>
      <w:r>
        <w:noBreakHyphen/>
        <w:t xml:space="preserve">term inflation outlook remains largely unchanged, with annual CPI growth expected to return to the 2 </w:t>
      </w:r>
      <w:r w:rsidR="004D00D3">
        <w:t>to</w:t>
      </w:r>
      <w:r>
        <w:t xml:space="preserve"> 3 per cent target band by late 2025.</w:t>
      </w:r>
      <w:r>
        <w:rPr>
          <w:rStyle w:val="FootnoteReference"/>
        </w:rPr>
        <w:footnoteReference w:id="74"/>
      </w:r>
    </w:p>
    <w:p w14:paraId="2FD2ECEB" w14:textId="43B1BF4A" w:rsidR="005649FB" w:rsidRDefault="005649FB" w:rsidP="00CA5823">
      <w:pPr>
        <w:pStyle w:val="05Paragraph"/>
      </w:pPr>
      <w:r>
        <w:t>By comparison, the federal budget expects headline inflation to return to target by mid</w:t>
      </w:r>
      <w:r>
        <w:noBreakHyphen/>
        <w:t>2025, and potentially by the end of 2024. Specifically, the Commonwealth Treasury forecast annual CPI growth to be 3.5 per cent in June 2024, before declining to 2.75 per cent in June 2025 (compared with 3.8 per cent and 3.2 per cent, respectively, by the RBA)</w:t>
      </w:r>
      <w:r w:rsidR="009C7840">
        <w:t>.</w:t>
      </w:r>
      <w:r w:rsidR="009C7840">
        <w:rPr>
          <w:rStyle w:val="FootnoteReference"/>
        </w:rPr>
        <w:footnoteReference w:id="75"/>
      </w:r>
    </w:p>
    <w:p w14:paraId="49D7B994" w14:textId="30C0B25A" w:rsidR="005649FB" w:rsidRDefault="005649FB" w:rsidP="005649FB">
      <w:pPr>
        <w:pStyle w:val="05Paragraph"/>
      </w:pPr>
      <w:r>
        <w:t>The</w:t>
      </w:r>
      <w:r w:rsidRPr="00D230A2">
        <w:t xml:space="preserve"> Victorian Budget</w:t>
      </w:r>
      <w:r w:rsidRPr="00D230A2" w:rsidDel="00D230A2">
        <w:t xml:space="preserve"> </w:t>
      </w:r>
      <w:r>
        <w:t xml:space="preserve">forecast annual growth in the Melbourne CPI to average 4 per cent in 2023-24, before easing to 2.75 per cent in 2024-25. </w:t>
      </w:r>
      <w:r w:rsidR="0019078A">
        <w:t xml:space="preserve">The Department of Treasury and Finance </w:t>
      </w:r>
      <w:r w:rsidR="0017119A">
        <w:t xml:space="preserve">(DTF) </w:t>
      </w:r>
      <w:r>
        <w:t>noted that the pace of easing will be determined largely by the outlook for services inflation, which is expected to continue to decline more slowly than goods inflation.</w:t>
      </w:r>
      <w:r>
        <w:rPr>
          <w:rStyle w:val="FootnoteReference"/>
        </w:rPr>
        <w:footnoteReference w:id="76"/>
      </w:r>
    </w:p>
    <w:p w14:paraId="73F7442B" w14:textId="77777777" w:rsidR="005649FB" w:rsidRDefault="005649FB" w:rsidP="005649FB">
      <w:pPr>
        <w:pStyle w:val="03VIRTHeading3"/>
      </w:pPr>
      <w:r>
        <w:t>Labour market conditions are expected to continue easing gradually</w:t>
      </w:r>
    </w:p>
    <w:p w14:paraId="6FFF2AEA" w14:textId="5BD0115B" w:rsidR="005649FB" w:rsidRDefault="005649FB" w:rsidP="005649FB">
      <w:pPr>
        <w:pStyle w:val="05Paragraph"/>
      </w:pPr>
      <w:r>
        <w:t xml:space="preserve">The easing in labour market conditions is expected to continue, with the RBA forecasting employment growth to slow and fall below growth in the working-age population for a time. This is expected to drive further easing in the national unemployment rate, which is forecast to rise to 4.2 per cent by the end of 2024, before stabilising around 4.3 per cent </w:t>
      </w:r>
      <w:r w:rsidRPr="00302E7B">
        <w:t>—</w:t>
      </w:r>
      <w:r>
        <w:t xml:space="preserve"> a level considered consistent with full employment </w:t>
      </w:r>
      <w:r w:rsidRPr="0096741E">
        <w:t>—</w:t>
      </w:r>
      <w:r>
        <w:t xml:space="preserve"> from mid</w:t>
      </w:r>
      <w:r w:rsidR="00350D80">
        <w:t>-</w:t>
      </w:r>
      <w:r>
        <w:t>2025. Labour force participation is expected to decline slightly due to cyclical factors, but to remain high by historical standards.</w:t>
      </w:r>
      <w:r>
        <w:rPr>
          <w:rStyle w:val="FootnoteReference"/>
        </w:rPr>
        <w:footnoteReference w:id="77"/>
      </w:r>
    </w:p>
    <w:p w14:paraId="2B1E589B" w14:textId="7989838F" w:rsidR="005649FB" w:rsidRDefault="005649FB" w:rsidP="005649FB">
      <w:pPr>
        <w:pStyle w:val="05Paragraph"/>
      </w:pPr>
      <w:r>
        <w:t>The Commonwealth Treasury’s outlook for the national labour market is broadly consistent with the RBA’s. Of note, Treasury is forecasting a sharper slowdown in employment growth, and consequently a larger increase in the unemployment rate, which it expects to reach 4.5 per cent by mid</w:t>
      </w:r>
      <w:r w:rsidR="00350D80">
        <w:t>-</w:t>
      </w:r>
      <w:r>
        <w:t>2025.</w:t>
      </w:r>
      <w:r>
        <w:rPr>
          <w:rStyle w:val="FootnoteReference"/>
        </w:rPr>
        <w:footnoteReference w:id="78"/>
      </w:r>
    </w:p>
    <w:p w14:paraId="463A070D" w14:textId="019B38D1" w:rsidR="005649FB" w:rsidRPr="00713359" w:rsidRDefault="005649FB" w:rsidP="005649FB">
      <w:pPr>
        <w:pStyle w:val="05Paragraph"/>
      </w:pPr>
      <w:r>
        <w:t>In relation to the Victorian labour market, the</w:t>
      </w:r>
      <w:r w:rsidRPr="00D230A2">
        <w:t xml:space="preserve"> Victorian Budget</w:t>
      </w:r>
      <w:r>
        <w:t xml:space="preserve"> similarly forecast employment growth to slow from an average of 3.25 per cent in 2023</w:t>
      </w:r>
      <w:r w:rsidR="003D2092">
        <w:t>-</w:t>
      </w:r>
      <w:r>
        <w:t>24 to 1</w:t>
      </w:r>
      <w:r w:rsidR="00ED4870">
        <w:t> </w:t>
      </w:r>
      <w:r>
        <w:t>per</w:t>
      </w:r>
      <w:r w:rsidR="00ED4870">
        <w:t> </w:t>
      </w:r>
      <w:r>
        <w:t>cent in 202</w:t>
      </w:r>
      <w:r w:rsidR="003D2092">
        <w:t>4-</w:t>
      </w:r>
      <w:r>
        <w:t>25. The unemployment rate is expected to average 4.25 per cent in 202</w:t>
      </w:r>
      <w:r w:rsidR="009D0F1B">
        <w:t>4-</w:t>
      </w:r>
      <w:r>
        <w:t>2</w:t>
      </w:r>
      <w:r w:rsidR="009D0F1B">
        <w:t>5</w:t>
      </w:r>
      <w:r>
        <w:t>, before increasing to 4.5 per cent in 202</w:t>
      </w:r>
      <w:r w:rsidR="002B32B4">
        <w:t>5</w:t>
      </w:r>
      <w:r w:rsidR="009D0F1B">
        <w:t>-</w:t>
      </w:r>
      <w:r>
        <w:t>2</w:t>
      </w:r>
      <w:r w:rsidR="006D61AA">
        <w:t>6</w:t>
      </w:r>
      <w:r>
        <w:t>.</w:t>
      </w:r>
      <w:r>
        <w:rPr>
          <w:rStyle w:val="FootnoteReference"/>
        </w:rPr>
        <w:footnoteReference w:id="79"/>
      </w:r>
    </w:p>
    <w:p w14:paraId="3B2D6845" w14:textId="77777777" w:rsidR="005649FB" w:rsidRDefault="005649FB" w:rsidP="005649FB">
      <w:pPr>
        <w:pStyle w:val="03VIRTHeading3"/>
      </w:pPr>
      <w:r>
        <w:t>Wages growth is expected to moderate as the labour market eases</w:t>
      </w:r>
    </w:p>
    <w:p w14:paraId="58060425" w14:textId="36368CA0" w:rsidR="005649FB" w:rsidRDefault="005649FB" w:rsidP="005649FB">
      <w:pPr>
        <w:pStyle w:val="05Paragraph"/>
      </w:pPr>
      <w:r>
        <w:t>The RBA has observed that nominal wages growth appears to have peaked for the current cycle, with growth forecast to moderate gradually over the coming years. In particular, annual growth in the Australian WPI is forecast to be 4.2 per cent in June 2024, before declining to</w:t>
      </w:r>
      <w:r w:rsidR="005B4A86">
        <w:t xml:space="preserve"> </w:t>
      </w:r>
      <w:r>
        <w:t>3.6</w:t>
      </w:r>
      <w:r w:rsidR="005B4A86">
        <w:t xml:space="preserve"> </w:t>
      </w:r>
      <w:r>
        <w:t>per cent by June 2025.</w:t>
      </w:r>
      <w:r>
        <w:rPr>
          <w:rStyle w:val="FootnoteReference"/>
        </w:rPr>
        <w:footnoteReference w:id="80"/>
      </w:r>
      <w:r>
        <w:t xml:space="preserve"> The federal budget forecast a slightly faster decline in wages growth, with national WPI growth expected to be 4 per cent in June 2024 and 3.3 per cent in June 2025.</w:t>
      </w:r>
      <w:r>
        <w:rPr>
          <w:rStyle w:val="FootnoteReference"/>
        </w:rPr>
        <w:footnoteReference w:id="81"/>
      </w:r>
    </w:p>
    <w:p w14:paraId="79D9DA8D" w14:textId="0CA7C653" w:rsidR="005649FB" w:rsidRDefault="005649FB" w:rsidP="005649FB">
      <w:pPr>
        <w:pStyle w:val="05Paragraph"/>
      </w:pPr>
      <w:r>
        <w:t>The</w:t>
      </w:r>
      <w:r w:rsidRPr="00217D64">
        <w:t xml:space="preserve"> Victorian Budget</w:t>
      </w:r>
      <w:r>
        <w:t xml:space="preserve"> forecast annual growth in the Victorian WPI to average 3.75 per cent in each of 2023</w:t>
      </w:r>
      <w:r w:rsidR="00873FB5">
        <w:t>-</w:t>
      </w:r>
      <w:r>
        <w:t>24 and 2024</w:t>
      </w:r>
      <w:r w:rsidR="00873FB5">
        <w:t>-</w:t>
      </w:r>
      <w:r>
        <w:t>25, before returning to 3.25 per cent from 2025</w:t>
      </w:r>
      <w:r w:rsidR="00873FB5">
        <w:t>-</w:t>
      </w:r>
      <w:r>
        <w:t>26.</w:t>
      </w:r>
      <w:r w:rsidR="009E108A">
        <w:rPr>
          <w:rStyle w:val="FootnoteReference"/>
        </w:rPr>
        <w:footnoteReference w:id="82"/>
      </w:r>
      <w:r>
        <w:t xml:space="preserve"> </w:t>
      </w:r>
      <w:r w:rsidRPr="00DA4B9A">
        <w:t xml:space="preserve">The Tribunal notes that, at the time of making this Determination, the Victorian Government was negotiating several major public sector </w:t>
      </w:r>
      <w:r w:rsidR="006D61AA">
        <w:t>EAs</w:t>
      </w:r>
      <w:r w:rsidRPr="00DA4B9A">
        <w:t xml:space="preserve"> under its revised wages policy, which provides for higher wage outcomes than previously (see </w:t>
      </w:r>
      <w:r>
        <w:t>section A</w:t>
      </w:r>
      <w:r w:rsidRPr="00DA4B9A">
        <w:t>.</w:t>
      </w:r>
      <w:r>
        <w:t>4</w:t>
      </w:r>
      <w:r w:rsidRPr="00DA4B9A">
        <w:t xml:space="preserve">). Consistent with the experience in other states, the commencement of those agreements is likely to </w:t>
      </w:r>
      <w:r>
        <w:t>boost</w:t>
      </w:r>
      <w:r w:rsidRPr="00DA4B9A">
        <w:t xml:space="preserve"> </w:t>
      </w:r>
      <w:r>
        <w:t>public sector wages growth, which has been relatively subdued compared with the private</w:t>
      </w:r>
      <w:r w:rsidR="0066628E">
        <w:t> </w:t>
      </w:r>
      <w:r>
        <w:t>sector.</w:t>
      </w:r>
    </w:p>
    <w:p w14:paraId="35A24EA1" w14:textId="77777777" w:rsidR="005649FB" w:rsidRDefault="005649FB" w:rsidP="005649FB">
      <w:pPr>
        <w:pStyle w:val="05Paragraph"/>
      </w:pPr>
      <w:r>
        <w:t>Real wages are expected to grow over the coming years in both Victoria and Australia, as nominal wages growth is forecast to moderate more slowly than inflation. For example, the RBA is forecasting real wages (in annual terms) to rise 0.4 per cent in June 2024, hold steady in December 2024, and then resume growing from June 2025.</w:t>
      </w:r>
      <w:r>
        <w:rPr>
          <w:rStyle w:val="FootnoteReference"/>
        </w:rPr>
        <w:footnoteReference w:id="83"/>
      </w:r>
    </w:p>
    <w:p w14:paraId="2EAF569F" w14:textId="77777777" w:rsidR="005649FB" w:rsidRDefault="005649FB" w:rsidP="005649FB">
      <w:pPr>
        <w:pStyle w:val="03VIRTHeading3"/>
      </w:pPr>
      <w:r>
        <w:t>There are risks to the economic outlook, particularly around inflation</w:t>
      </w:r>
    </w:p>
    <w:p w14:paraId="055AE3C3" w14:textId="77777777" w:rsidR="000E0D43" w:rsidRDefault="005649FB" w:rsidP="005649FB">
      <w:pPr>
        <w:pStyle w:val="05Paragraph"/>
      </w:pPr>
      <w:r>
        <w:t xml:space="preserve">In its May 2024 </w:t>
      </w:r>
      <w:r w:rsidRPr="000B0CF7">
        <w:rPr>
          <w:i/>
          <w:iCs/>
        </w:rPr>
        <w:t>Statement</w:t>
      </w:r>
      <w:r>
        <w:t xml:space="preserve">, the RBA concluded that the risk that inflation takes longer than expected to return to target had increased since February 2024. In particular, it noted that the stronger-than-expected inflation outcome in the March quarter 2024 could indicate that domestic inflationary pressures are ‘stickier’ than currently assumed. This could be the case, for example, if the assumed pick-up in productivity growth does not eventuate, leading to higher input costs for businesses that may then be passed on to consumers. </w:t>
      </w:r>
    </w:p>
    <w:p w14:paraId="179AED54" w14:textId="05255C84" w:rsidR="005649FB" w:rsidRDefault="005649FB" w:rsidP="005649FB">
      <w:pPr>
        <w:pStyle w:val="05Paragraph"/>
      </w:pPr>
      <w:r>
        <w:t>Geopolitical tensions have also increased the risk of further supply shocks, according to the RBA, which could lead to a rebound in goods inflation. The RBA observed that a prolonged period of high inflation would risk ‘de-anchoring’ inflation expectations, requiring further interest rate rises</w:t>
      </w:r>
      <w:r w:rsidRPr="00E01D52">
        <w:t xml:space="preserve"> and a period of higher unemployment </w:t>
      </w:r>
      <w:r>
        <w:t>to</w:t>
      </w:r>
      <w:r w:rsidRPr="00E01D52">
        <w:t xml:space="preserve"> return inflation to target</w:t>
      </w:r>
      <w:r>
        <w:t>.</w:t>
      </w:r>
      <w:r>
        <w:rPr>
          <w:rStyle w:val="FootnoteReference"/>
        </w:rPr>
        <w:footnoteReference w:id="84"/>
      </w:r>
    </w:p>
    <w:p w14:paraId="2D8F61A5" w14:textId="77777777" w:rsidR="005649FB" w:rsidRDefault="005649FB" w:rsidP="005649FB">
      <w:pPr>
        <w:pStyle w:val="05Paragraph"/>
      </w:pPr>
      <w:r>
        <w:t>On the other hand, the RBA noted that there is a risk that aggregate demand could be weaker than expected, such as if the recent weakness in household consumption were to persist. While noting that this could see inflation return to target more quickly than expected, the RBA also observed that it would likely come at the expense of its employment objective (i.e. it would lead to higher unemployment).</w:t>
      </w:r>
      <w:r>
        <w:rPr>
          <w:rStyle w:val="FootnoteReference"/>
        </w:rPr>
        <w:footnoteReference w:id="85"/>
      </w:r>
    </w:p>
    <w:p w14:paraId="70A1BE45" w14:textId="23CA49FC" w:rsidR="005649FB" w:rsidRDefault="005649FB" w:rsidP="005649FB">
      <w:pPr>
        <w:pStyle w:val="05Paragraph"/>
      </w:pPr>
      <w:r>
        <w:t>On the whole, while t</w:t>
      </w:r>
      <w:r w:rsidRPr="003E6A9A">
        <w:t xml:space="preserve">he RBA </w:t>
      </w:r>
      <w:r>
        <w:t>judged the risks to Australia’s economic outlook to be</w:t>
      </w:r>
      <w:r w:rsidRPr="003E6A9A">
        <w:t xml:space="preserve"> </w:t>
      </w:r>
      <w:r w:rsidR="003E0B4E">
        <w:t>‘</w:t>
      </w:r>
      <w:r w:rsidRPr="003E6A9A">
        <w:t>broadly balanced</w:t>
      </w:r>
      <w:r w:rsidR="000E0D43">
        <w:t>’</w:t>
      </w:r>
      <w:r>
        <w:t>, it assessed that the costs associated with the upside risks to inflation are greater than the costs associated with the downside risks.</w:t>
      </w:r>
      <w:r>
        <w:rPr>
          <w:rStyle w:val="FootnoteReference"/>
        </w:rPr>
        <w:footnoteReference w:id="86"/>
      </w:r>
    </w:p>
    <w:p w14:paraId="080D5A46" w14:textId="77777777" w:rsidR="005649FB" w:rsidRPr="00625BD0" w:rsidRDefault="005649FB" w:rsidP="005649FB">
      <w:pPr>
        <w:pStyle w:val="05Paragraph"/>
      </w:pPr>
      <w:r>
        <w:t xml:space="preserve">The </w:t>
      </w:r>
      <w:r w:rsidRPr="00217D64">
        <w:t xml:space="preserve">Victorian Budget </w:t>
      </w:r>
      <w:r>
        <w:t>cited similar risks in relation to the Victorian economy, including uncertainty around the outlooks for household consumption and inflation.</w:t>
      </w:r>
      <w:r>
        <w:rPr>
          <w:rStyle w:val="FootnoteReference"/>
        </w:rPr>
        <w:footnoteReference w:id="87"/>
      </w:r>
    </w:p>
    <w:p w14:paraId="034CF6FE" w14:textId="77777777" w:rsidR="005649FB" w:rsidRDefault="005649FB" w:rsidP="005649FB">
      <w:pPr>
        <w:pStyle w:val="02VIRTHeading2"/>
      </w:pPr>
      <w:bookmarkStart w:id="121" w:name="_Toc169513522"/>
      <w:bookmarkStart w:id="122" w:name="_Toc170383556"/>
      <w:r>
        <w:t>A.3</w:t>
      </w:r>
      <w:r w:rsidRPr="003763C2">
        <w:rPr>
          <w:sz w:val="28"/>
          <w:szCs w:val="30"/>
        </w:rPr>
        <w:tab/>
      </w:r>
      <w:r w:rsidRPr="007A0ABD">
        <w:t>Financial</w:t>
      </w:r>
      <w:r>
        <w:t xml:space="preserve"> position and fiscal strategy of the State of Victoria</w:t>
      </w:r>
      <w:bookmarkEnd w:id="121"/>
      <w:bookmarkEnd w:id="122"/>
    </w:p>
    <w:p w14:paraId="3AAC0D4B" w14:textId="335E9650" w:rsidR="005649FB" w:rsidRDefault="005649FB" w:rsidP="005649FB">
      <w:pPr>
        <w:pStyle w:val="05Paragraph"/>
      </w:pPr>
      <w:r>
        <w:t xml:space="preserve">The Tribunal’s understanding of the financial position and fiscal strategy of the State of Victoria has been informed by the </w:t>
      </w:r>
      <w:r w:rsidR="00283231">
        <w:t>2024</w:t>
      </w:r>
      <w:r w:rsidR="00873FB5">
        <w:t>-</w:t>
      </w:r>
      <w:r w:rsidR="00283231">
        <w:t>25</w:t>
      </w:r>
      <w:r w:rsidRPr="00217D64">
        <w:t xml:space="preserve"> Budget </w:t>
      </w:r>
      <w:r>
        <w:t xml:space="preserve">and the latest </w:t>
      </w:r>
      <w:r w:rsidRPr="00FA2B39">
        <w:rPr>
          <w:i/>
          <w:iCs/>
        </w:rPr>
        <w:t>Auditor</w:t>
      </w:r>
      <w:r>
        <w:rPr>
          <w:i/>
          <w:iCs/>
        </w:rPr>
        <w:noBreakHyphen/>
      </w:r>
      <w:r w:rsidRPr="00FA2B39">
        <w:rPr>
          <w:i/>
          <w:iCs/>
        </w:rPr>
        <w:t>General’s Report on the Annual Financial Report of the State of Victoria</w:t>
      </w:r>
      <w:r>
        <w:t xml:space="preserve"> (November 2023)</w:t>
      </w:r>
      <w:r w:rsidRPr="00D43192">
        <w:t>.</w:t>
      </w:r>
    </w:p>
    <w:p w14:paraId="7586D7BA" w14:textId="27D02D84" w:rsidR="005649FB" w:rsidRDefault="005649FB" w:rsidP="005649FB">
      <w:pPr>
        <w:pStyle w:val="03VIRTHeading3"/>
      </w:pPr>
      <w:r>
        <w:t>The 2024</w:t>
      </w:r>
      <w:r w:rsidR="00873FB5">
        <w:t>-</w:t>
      </w:r>
      <w:r>
        <w:t xml:space="preserve">25 Budget builds on previous savings and efficiency measures </w:t>
      </w:r>
    </w:p>
    <w:p w14:paraId="510EF77A" w14:textId="4DFBBACD" w:rsidR="005649FB" w:rsidRPr="00D67A43" w:rsidRDefault="005649FB" w:rsidP="005649FB">
      <w:pPr>
        <w:pStyle w:val="05Paragraph"/>
      </w:pPr>
      <w:r>
        <w:t>In the</w:t>
      </w:r>
      <w:r w:rsidDel="00715481">
        <w:t xml:space="preserve"> </w:t>
      </w:r>
      <w:r>
        <w:rPr>
          <w:i/>
          <w:iCs/>
        </w:rPr>
        <w:t xml:space="preserve">Victorian </w:t>
      </w:r>
      <w:r w:rsidRPr="00CC5195">
        <w:rPr>
          <w:i/>
          <w:iCs/>
        </w:rPr>
        <w:t>Budget</w:t>
      </w:r>
      <w:r>
        <w:rPr>
          <w:i/>
          <w:iCs/>
        </w:rPr>
        <w:t xml:space="preserve"> </w:t>
      </w:r>
      <w:r w:rsidRPr="00CC5195">
        <w:rPr>
          <w:i/>
          <w:iCs/>
        </w:rPr>
        <w:t>2023</w:t>
      </w:r>
      <w:r w:rsidR="00873FB5">
        <w:rPr>
          <w:i/>
          <w:iCs/>
        </w:rPr>
        <w:t>-</w:t>
      </w:r>
      <w:r w:rsidRPr="00CC5195">
        <w:rPr>
          <w:i/>
          <w:iCs/>
        </w:rPr>
        <w:t>24</w:t>
      </w:r>
      <w:r w:rsidRPr="00621AF7">
        <w:t>,</w:t>
      </w:r>
      <w:r>
        <w:t xml:space="preserve"> the Victorian Government announced a range of strategies to improve the State’s financial position and manage debt. These included the introduction of a temporary COVID-19 Debt Levy to offset the cost of measures introduced by the Victorian Government in response to the COVID</w:t>
      </w:r>
      <w:r>
        <w:noBreakHyphen/>
        <w:t>19 pandemic. The</w:t>
      </w:r>
      <w:r w:rsidDel="00621AF7">
        <w:t xml:space="preserve"> </w:t>
      </w:r>
      <w:r>
        <w:rPr>
          <w:i/>
          <w:iCs/>
        </w:rPr>
        <w:t xml:space="preserve">Victorian </w:t>
      </w:r>
      <w:r w:rsidRPr="00CC5195">
        <w:rPr>
          <w:i/>
          <w:iCs/>
        </w:rPr>
        <w:t>Budget</w:t>
      </w:r>
      <w:r>
        <w:rPr>
          <w:i/>
          <w:iCs/>
        </w:rPr>
        <w:t xml:space="preserve"> </w:t>
      </w:r>
      <w:r w:rsidRPr="00CC5195">
        <w:rPr>
          <w:i/>
          <w:iCs/>
        </w:rPr>
        <w:t>2023</w:t>
      </w:r>
      <w:r w:rsidR="00873FB5">
        <w:rPr>
          <w:i/>
          <w:iCs/>
        </w:rPr>
        <w:t>-</w:t>
      </w:r>
      <w:r w:rsidRPr="00CC5195">
        <w:rPr>
          <w:i/>
          <w:iCs/>
        </w:rPr>
        <w:t>24</w:t>
      </w:r>
      <w:r>
        <w:t xml:space="preserve"> also included a range of savings and efficiency measures to be implemented across the public sector, including targeted reductions in the number of </w:t>
      </w:r>
      <w:r w:rsidR="00CA798C">
        <w:t>Victorian Public Service</w:t>
      </w:r>
      <w:r>
        <w:t xml:space="preserve"> staff.</w:t>
      </w:r>
      <w:r>
        <w:rPr>
          <w:rStyle w:val="FootnoteReference"/>
        </w:rPr>
        <w:footnoteReference w:id="88"/>
      </w:r>
    </w:p>
    <w:p w14:paraId="4638D55E" w14:textId="50E9F361" w:rsidR="005649FB" w:rsidRDefault="005649FB" w:rsidP="005649FB">
      <w:pPr>
        <w:pStyle w:val="05Paragraph"/>
      </w:pPr>
      <w:r>
        <w:t xml:space="preserve">The Victorian Government has announced that it will </w:t>
      </w:r>
      <w:r w:rsidR="00047EEF">
        <w:t>‘</w:t>
      </w:r>
      <w:r>
        <w:t>progressively return its capital program towards pre-pandemic levels</w:t>
      </w:r>
      <w:r w:rsidR="004E1B8C">
        <w:t>’</w:t>
      </w:r>
      <w:r>
        <w:t xml:space="preserve"> by the end of 2027</w:t>
      </w:r>
      <w:r w:rsidR="00873FB5">
        <w:t>-</w:t>
      </w:r>
      <w:r>
        <w:t>28.</w:t>
      </w:r>
      <w:r>
        <w:rPr>
          <w:rStyle w:val="FootnoteReference"/>
        </w:rPr>
        <w:footnoteReference w:id="89"/>
      </w:r>
      <w:r>
        <w:t xml:space="preserve"> Government infrastructure investment is forecast to peak at $24 billion in 2023</w:t>
      </w:r>
      <w:r w:rsidR="00354590">
        <w:noBreakHyphen/>
      </w:r>
      <w:r>
        <w:t>24, before declining to around $16 billion in 2027</w:t>
      </w:r>
      <w:r w:rsidR="00873FB5">
        <w:t>-</w:t>
      </w:r>
      <w:r>
        <w:t>28</w:t>
      </w:r>
      <w:r w:rsidR="009755DA">
        <w:t xml:space="preserve"> </w:t>
      </w:r>
      <w:r w:rsidR="009755DA" w:rsidRPr="00777453">
        <w:t>(Figure A.</w:t>
      </w:r>
      <w:r w:rsidR="005647BA">
        <w:t>6</w:t>
      </w:r>
      <w:r w:rsidR="009755DA" w:rsidRPr="00777453">
        <w:t>)</w:t>
      </w:r>
      <w:r w:rsidRPr="00777453">
        <w:t>.</w:t>
      </w:r>
      <w:r>
        <w:t xml:space="preserve"> Overall, government infrastructure investment is expected to average $19.3 billion per annum over the forward estimates, compared to an average of $21.3 billion per annum reported in the </w:t>
      </w:r>
      <w:r w:rsidRPr="008C288D">
        <w:rPr>
          <w:i/>
          <w:iCs/>
        </w:rPr>
        <w:t>2023</w:t>
      </w:r>
      <w:r w:rsidR="00873FB5">
        <w:rPr>
          <w:i/>
          <w:iCs/>
        </w:rPr>
        <w:t>-</w:t>
      </w:r>
      <w:r w:rsidRPr="008C288D">
        <w:rPr>
          <w:i/>
          <w:iCs/>
        </w:rPr>
        <w:t>24 Budget Update</w:t>
      </w:r>
      <w:r>
        <w:t>.</w:t>
      </w:r>
      <w:r>
        <w:rPr>
          <w:rStyle w:val="FootnoteReference"/>
        </w:rPr>
        <w:footnoteReference w:id="90"/>
      </w:r>
    </w:p>
    <w:p w14:paraId="1D9CBFFB" w14:textId="202DDB60" w:rsidR="006F409D" w:rsidRPr="00777453" w:rsidRDefault="006F409D" w:rsidP="006F409D">
      <w:pPr>
        <w:pStyle w:val="08Figuretableboxheading"/>
      </w:pPr>
      <w:r w:rsidRPr="00777453">
        <w:t>Figure A.</w:t>
      </w:r>
      <w:r w:rsidR="005647BA">
        <w:t>6</w:t>
      </w:r>
      <w:r w:rsidRPr="00777453">
        <w:t>: 2024-25 Budget forecasts</w:t>
      </w:r>
      <w:r w:rsidR="008507E6">
        <w:rPr>
          <w:vertAlign w:val="superscript"/>
        </w:rPr>
        <w:t>(a)</w:t>
      </w:r>
      <w:r w:rsidRPr="00777453">
        <w:t xml:space="preserve"> for government infrastructure investment</w:t>
      </w:r>
    </w:p>
    <w:p w14:paraId="217DCF63" w14:textId="77777777" w:rsidR="006F409D" w:rsidRPr="006F409D" w:rsidRDefault="006F409D" w:rsidP="006F409D">
      <w:pPr>
        <w:pStyle w:val="05Paragraph"/>
        <w:rPr>
          <w:highlight w:val="green"/>
        </w:rPr>
      </w:pPr>
      <w:r w:rsidRPr="006F409D">
        <w:rPr>
          <w:noProof/>
          <w:highlight w:val="green"/>
        </w:rPr>
        <w:drawing>
          <wp:inline distT="0" distB="0" distL="0" distR="0" wp14:anchorId="7694B0FF" wp14:editId="3D207A32">
            <wp:extent cx="5400040" cy="2202180"/>
            <wp:effectExtent l="0" t="0" r="10160" b="7620"/>
            <wp:docPr id="779743780" name="Chart 1">
              <a:extLst xmlns:a="http://schemas.openxmlformats.org/drawingml/2006/main">
                <a:ext uri="{FF2B5EF4-FFF2-40B4-BE49-F238E27FC236}">
                  <a16:creationId xmlns:a16="http://schemas.microsoft.com/office/drawing/2014/main" id="{AAC713F3-4317-4B36-A830-D1086E3522E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134AE04D" w14:textId="162E62C4" w:rsidR="00A200C2" w:rsidRDefault="00A200C2" w:rsidP="00A200C2">
      <w:pPr>
        <w:pStyle w:val="09Sourcesandnotesfortablesfiguresboxes"/>
      </w:pPr>
      <w:r w:rsidRPr="00777453">
        <w:t xml:space="preserve">Note: </w:t>
      </w:r>
      <w:r w:rsidR="008507E6">
        <w:t xml:space="preserve">(a) </w:t>
      </w:r>
      <w:r w:rsidRPr="00777453">
        <w:t>2022</w:t>
      </w:r>
      <w:r w:rsidR="00873FB5">
        <w:t>-</w:t>
      </w:r>
      <w:r w:rsidRPr="00777453">
        <w:t>23 value is actual.</w:t>
      </w:r>
    </w:p>
    <w:p w14:paraId="7289BC37" w14:textId="582E50C3" w:rsidR="006F409D" w:rsidRPr="00777453" w:rsidRDefault="006F409D" w:rsidP="006F409D">
      <w:pPr>
        <w:pStyle w:val="09Sourcesandnotesfortablesfiguresboxes"/>
      </w:pPr>
      <w:r w:rsidRPr="00777453">
        <w:t xml:space="preserve">Source: </w:t>
      </w:r>
      <w:r w:rsidR="00AC405B" w:rsidRPr="00EC2F07">
        <w:rPr>
          <w:rFonts w:cs="Calibri Light"/>
        </w:rPr>
        <w:t>DTF (</w:t>
      </w:r>
      <w:r w:rsidR="00A200C2" w:rsidRPr="00182559">
        <w:rPr>
          <w:rFonts w:cs="Calibri Light"/>
        </w:rPr>
        <w:t>2024</w:t>
      </w:r>
      <w:r w:rsidR="001E0458">
        <w:rPr>
          <w:rFonts w:cs="Calibri Light"/>
        </w:rPr>
        <w:t>b</w:t>
      </w:r>
      <w:r w:rsidR="00AC405B" w:rsidRPr="00EC2F07">
        <w:rPr>
          <w:rFonts w:cs="Calibri Light"/>
        </w:rPr>
        <w:t>)</w:t>
      </w:r>
      <w:r w:rsidR="00AC405B">
        <w:rPr>
          <w:rFonts w:cs="Calibri Light"/>
        </w:rPr>
        <w:t>, p</w:t>
      </w:r>
      <w:r w:rsidR="002F7926">
        <w:rPr>
          <w:rFonts w:cs="Calibri Light"/>
        </w:rPr>
        <w:t>.</w:t>
      </w:r>
      <w:r w:rsidR="00AC405B">
        <w:rPr>
          <w:rFonts w:cs="Calibri Light"/>
        </w:rPr>
        <w:t xml:space="preserve"> 53.</w:t>
      </w:r>
    </w:p>
    <w:p w14:paraId="0D5E4D05" w14:textId="638E0B09" w:rsidR="005649FB" w:rsidRDefault="005649FB" w:rsidP="005649FB">
      <w:pPr>
        <w:pStyle w:val="05Paragraph"/>
        <w:keepNext/>
      </w:pPr>
      <w:r>
        <w:t xml:space="preserve">The </w:t>
      </w:r>
      <w:r w:rsidRPr="00410DBD">
        <w:t>Victorian Budget</w:t>
      </w:r>
      <w:r>
        <w:t xml:space="preserve"> also added a new step to the Victorian Government’s fiscal strategy, which was first outlined in the </w:t>
      </w:r>
      <w:r w:rsidRPr="00410DBD">
        <w:rPr>
          <w:i/>
          <w:iCs/>
        </w:rPr>
        <w:t>Victorian Budget 2</w:t>
      </w:r>
      <w:r w:rsidRPr="00945C32">
        <w:rPr>
          <w:i/>
          <w:iCs/>
        </w:rPr>
        <w:t>020</w:t>
      </w:r>
      <w:r w:rsidR="00873FB5">
        <w:rPr>
          <w:i/>
          <w:iCs/>
        </w:rPr>
        <w:t>-</w:t>
      </w:r>
      <w:r w:rsidRPr="00945C32">
        <w:rPr>
          <w:i/>
          <w:iCs/>
        </w:rPr>
        <w:t>21</w:t>
      </w:r>
      <w:r w:rsidDel="00410DBD">
        <w:t xml:space="preserve"> </w:t>
      </w:r>
      <w:r>
        <w:t>in response to the COVID-19 pandemic:</w:t>
      </w:r>
      <w:r>
        <w:rPr>
          <w:rStyle w:val="FootnoteReference"/>
        </w:rPr>
        <w:footnoteReference w:id="91"/>
      </w:r>
    </w:p>
    <w:p w14:paraId="75BD726F" w14:textId="77777777" w:rsidR="005649FB" w:rsidRPr="00777453" w:rsidRDefault="005649FB" w:rsidP="004E54FD">
      <w:pPr>
        <w:pStyle w:val="06VIRTBulletpoints"/>
        <w:rPr>
          <w:spacing w:val="-2"/>
        </w:rPr>
      </w:pPr>
      <w:r w:rsidRPr="00777453">
        <w:rPr>
          <w:spacing w:val="-2"/>
        </w:rPr>
        <w:t>Step 1 – Creating jobs, reducing unemployment and restoring economic growth</w:t>
      </w:r>
    </w:p>
    <w:p w14:paraId="7FDC004F" w14:textId="77777777" w:rsidR="005649FB" w:rsidRPr="004E54FD" w:rsidRDefault="005649FB" w:rsidP="004E54FD">
      <w:pPr>
        <w:pStyle w:val="06VIRTBulletpoints"/>
      </w:pPr>
      <w:r w:rsidRPr="004E54FD">
        <w:t>Step 2 – Returning to an operating cash surplus</w:t>
      </w:r>
    </w:p>
    <w:p w14:paraId="3604DDCC" w14:textId="77777777" w:rsidR="005649FB" w:rsidRPr="004E54FD" w:rsidRDefault="005649FB" w:rsidP="004E54FD">
      <w:pPr>
        <w:pStyle w:val="06VIRTBulletpoints"/>
      </w:pPr>
      <w:r w:rsidRPr="004E54FD">
        <w:t>Step 3 – Returning to operating surpluses</w:t>
      </w:r>
    </w:p>
    <w:p w14:paraId="73BDA1C4" w14:textId="77777777" w:rsidR="005649FB" w:rsidRPr="004E54FD" w:rsidRDefault="005649FB" w:rsidP="004E54FD">
      <w:pPr>
        <w:pStyle w:val="06VIRTBulletpoints"/>
      </w:pPr>
      <w:r w:rsidRPr="004E54FD">
        <w:t>Step 4 – Stabilising debt levels</w:t>
      </w:r>
    </w:p>
    <w:p w14:paraId="4CF3C10E" w14:textId="77777777" w:rsidR="005649FB" w:rsidRPr="004E54FD" w:rsidRDefault="005649FB" w:rsidP="004E54FD">
      <w:pPr>
        <w:pStyle w:val="06VIRTBulletpoints"/>
      </w:pPr>
      <w:r w:rsidRPr="004E54FD">
        <w:t>Step 5 (new) – Reducing net debt as a proportion of GSP.</w:t>
      </w:r>
    </w:p>
    <w:p w14:paraId="3E4222CF" w14:textId="4D7EB3A6" w:rsidR="005649FB" w:rsidRDefault="005649FB" w:rsidP="005649FB">
      <w:pPr>
        <w:pStyle w:val="03VIRTHeading3"/>
      </w:pPr>
      <w:r>
        <w:t>A return to an operating surplus is expected in 2025</w:t>
      </w:r>
      <w:r w:rsidR="00873FB5">
        <w:t>-</w:t>
      </w:r>
      <w:r>
        <w:t>26, but net debt is forecast to continue rising</w:t>
      </w:r>
    </w:p>
    <w:p w14:paraId="0A3E282F" w14:textId="4CA284E6" w:rsidR="005649FB" w:rsidRDefault="005649FB" w:rsidP="005649FB">
      <w:pPr>
        <w:pStyle w:val="05Paragraph"/>
      </w:pPr>
      <w:r>
        <w:t>The Victorian Government achieved step 2 of its fiscal strategy in 2022</w:t>
      </w:r>
      <w:r w:rsidR="00873FB5">
        <w:t>-</w:t>
      </w:r>
      <w:r>
        <w:t>23, with the general government sector (GGS) recording an operating cash surplus of $4.2 billion. A smaller cash surplus of $0.4 billion is forecast for 2023</w:t>
      </w:r>
      <w:r w:rsidR="00873FB5">
        <w:t>-</w:t>
      </w:r>
      <w:r>
        <w:t xml:space="preserve">24, followed by larger surpluses in future </w:t>
      </w:r>
      <w:r w:rsidRPr="00E5106D">
        <w:t>years</w:t>
      </w:r>
      <w:r w:rsidR="00917131" w:rsidRPr="00E5106D">
        <w:t xml:space="preserve"> (Figure A.</w:t>
      </w:r>
      <w:r w:rsidR="005647BA" w:rsidRPr="00E5106D">
        <w:t>7</w:t>
      </w:r>
      <w:r w:rsidR="00917131" w:rsidRPr="00E5106D">
        <w:t>).</w:t>
      </w:r>
      <w:r w:rsidRPr="00E5106D">
        <w:rPr>
          <w:rStyle w:val="FootnoteReference"/>
        </w:rPr>
        <w:footnoteReference w:id="92"/>
      </w:r>
    </w:p>
    <w:p w14:paraId="0EA0916D" w14:textId="731D5F2D" w:rsidR="001F6A35" w:rsidRPr="00953715" w:rsidRDefault="001F6A35" w:rsidP="001F6A35">
      <w:pPr>
        <w:pStyle w:val="08Figuretableboxheading"/>
        <w:spacing w:before="120" w:after="0"/>
      </w:pPr>
      <w:r w:rsidRPr="00953715">
        <w:t>Figure A.</w:t>
      </w:r>
      <w:r>
        <w:t>7</w:t>
      </w:r>
      <w:r w:rsidRPr="00953715">
        <w:t>: 2024-25 Victorian Budget forecasts</w:t>
      </w:r>
      <w:r w:rsidR="001867AE">
        <w:rPr>
          <w:vertAlign w:val="superscript"/>
        </w:rPr>
        <w:t>(a)</w:t>
      </w:r>
      <w:r w:rsidRPr="00953715">
        <w:t xml:space="preserve"> for operating result and operating cash</w:t>
      </w:r>
      <w:r>
        <w:t> </w:t>
      </w:r>
      <w:r w:rsidRPr="00953715">
        <w:t>result</w:t>
      </w:r>
    </w:p>
    <w:p w14:paraId="40F7ACDC" w14:textId="77777777" w:rsidR="001F6A35" w:rsidRPr="00953715" w:rsidRDefault="001F6A35" w:rsidP="001F6A35">
      <w:pPr>
        <w:pStyle w:val="05Paragraph"/>
      </w:pPr>
      <w:r w:rsidRPr="00953715">
        <w:rPr>
          <w:noProof/>
        </w:rPr>
        <w:drawing>
          <wp:inline distT="0" distB="0" distL="0" distR="0" wp14:anchorId="0141192F" wp14:editId="42914014">
            <wp:extent cx="5410200" cy="2240280"/>
            <wp:effectExtent l="0" t="0" r="0" b="7620"/>
            <wp:docPr id="1103067563" name="Chart 1">
              <a:extLst xmlns:a="http://schemas.openxmlformats.org/drawingml/2006/main">
                <a:ext uri="{FF2B5EF4-FFF2-40B4-BE49-F238E27FC236}">
                  <a16:creationId xmlns:a16="http://schemas.microsoft.com/office/drawing/2014/main" id="{FADCB69D-12B9-413C-B75A-9F30CD417C4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78AF387A" w14:textId="26514EFE" w:rsidR="001F6A35" w:rsidRPr="00953715" w:rsidRDefault="001F6A35" w:rsidP="001F6A35">
      <w:pPr>
        <w:pStyle w:val="09Sourcesandnotesfortablesfiguresboxes"/>
      </w:pPr>
      <w:r w:rsidRPr="00953715">
        <w:t xml:space="preserve">Note: </w:t>
      </w:r>
      <w:r w:rsidR="001867AE">
        <w:t xml:space="preserve">(a) </w:t>
      </w:r>
      <w:r w:rsidRPr="00953715">
        <w:t>2022</w:t>
      </w:r>
      <w:r w:rsidR="00873FB5">
        <w:t>-</w:t>
      </w:r>
      <w:r w:rsidRPr="00953715">
        <w:t>23 values are actual.</w:t>
      </w:r>
    </w:p>
    <w:p w14:paraId="7516A83D" w14:textId="4291707B" w:rsidR="001F6A35" w:rsidRPr="00953715" w:rsidRDefault="001F6A35" w:rsidP="001F6A35">
      <w:pPr>
        <w:pStyle w:val="09Sourcesandnotesfortablesfiguresboxes"/>
        <w:spacing w:after="120"/>
        <w:ind w:right="-147"/>
      </w:pPr>
      <w:r w:rsidRPr="00953715">
        <w:t>Source</w:t>
      </w:r>
      <w:r>
        <w:t>:</w:t>
      </w:r>
      <w:r w:rsidRPr="00853F7F">
        <w:rPr>
          <w:rFonts w:cs="Calibri Light"/>
        </w:rPr>
        <w:t xml:space="preserve"> </w:t>
      </w:r>
      <w:r w:rsidRPr="00EC2F07">
        <w:rPr>
          <w:rFonts w:cs="Calibri Light"/>
        </w:rPr>
        <w:t>DTF (</w:t>
      </w:r>
      <w:r w:rsidRPr="00182559">
        <w:rPr>
          <w:rFonts w:cs="Calibri Light"/>
        </w:rPr>
        <w:t>2024</w:t>
      </w:r>
      <w:r w:rsidR="001E0458">
        <w:rPr>
          <w:rFonts w:cs="Calibri Light"/>
        </w:rPr>
        <w:t>b</w:t>
      </w:r>
      <w:r w:rsidRPr="00EC2F07">
        <w:rPr>
          <w:rFonts w:cs="Calibri Light"/>
        </w:rPr>
        <w:t>)</w:t>
      </w:r>
      <w:r>
        <w:rPr>
          <w:rFonts w:cs="Calibri Light"/>
        </w:rPr>
        <w:t>, p</w:t>
      </w:r>
      <w:r w:rsidR="002F7926">
        <w:rPr>
          <w:rFonts w:cs="Calibri Light"/>
        </w:rPr>
        <w:t>.</w:t>
      </w:r>
      <w:r>
        <w:rPr>
          <w:rFonts w:cs="Calibri Light"/>
        </w:rPr>
        <w:t xml:space="preserve"> 53.</w:t>
      </w:r>
    </w:p>
    <w:p w14:paraId="0D984368" w14:textId="20D1F5AD" w:rsidR="005649FB" w:rsidRDefault="005649FB" w:rsidP="005649FB">
      <w:pPr>
        <w:pStyle w:val="05Paragraph"/>
      </w:pPr>
      <w:r>
        <w:t>Operating deficits of $4.6 billion and $2.2 billion are forecast for the GGS in 2023</w:t>
      </w:r>
      <w:r w:rsidR="00354590">
        <w:noBreakHyphen/>
      </w:r>
      <w:r>
        <w:t>24 and 2024</w:t>
      </w:r>
      <w:r w:rsidR="00873FB5">
        <w:t>-</w:t>
      </w:r>
      <w:r>
        <w:t>25, respectively, before an expected return to surplus in 2025</w:t>
      </w:r>
      <w:r w:rsidR="00354590">
        <w:noBreakHyphen/>
      </w:r>
      <w:r>
        <w:t>26. This would be the first surplus since 2018</w:t>
      </w:r>
      <w:r w:rsidR="00873FB5">
        <w:t>-</w:t>
      </w:r>
      <w:r>
        <w:t>19, with larger surpluses forecast for 2026</w:t>
      </w:r>
      <w:r w:rsidR="00873FB5">
        <w:t>-</w:t>
      </w:r>
      <w:r>
        <w:t>27 and 2027</w:t>
      </w:r>
      <w:r w:rsidR="00873FB5">
        <w:t>-</w:t>
      </w:r>
      <w:r>
        <w:t>28.</w:t>
      </w:r>
      <w:r>
        <w:rPr>
          <w:rStyle w:val="FootnoteReference"/>
        </w:rPr>
        <w:footnoteReference w:id="93"/>
      </w:r>
      <w:r>
        <w:t xml:space="preserve"> The </w:t>
      </w:r>
      <w:r w:rsidRPr="005E331A">
        <w:t>Victorian Budget</w:t>
      </w:r>
      <w:r>
        <w:t xml:space="preserve"> noted that these surpluses will fund an increasing share of the Victorian Government’s capital program, reducing the amount of new borrowing required and helping to stabilise and reduce net debt.</w:t>
      </w:r>
      <w:r>
        <w:rPr>
          <w:rStyle w:val="FootnoteReference"/>
        </w:rPr>
        <w:footnoteReference w:id="94"/>
      </w:r>
    </w:p>
    <w:p w14:paraId="255EA654" w14:textId="0892E3B7" w:rsidR="005649FB" w:rsidRPr="003448FB" w:rsidRDefault="005649FB" w:rsidP="005649FB">
      <w:pPr>
        <w:pStyle w:val="05Paragraph"/>
      </w:pPr>
      <w:r>
        <w:t>Net debt for the GGS was $115 billion (20.2 per cent of GSP) at 30 June 2023, and is forecast to be around $136 billion (22.3 per cent of GSP) at 30 June 2024. Net debt as a proportion of GSP is expected to stabilise at around 25 per cent from June 2026, consistent with achieving steps 4 and 5 of the fiscal strategy. However, debt is forecast to continue rising in nominal terms, and is expected to be around $188 billion by 30 June 2027</w:t>
      </w:r>
      <w:r w:rsidR="00066184">
        <w:t xml:space="preserve"> </w:t>
      </w:r>
      <w:r w:rsidR="00066184" w:rsidRPr="003448FB">
        <w:t>(Figure A.</w:t>
      </w:r>
      <w:r w:rsidR="005647BA">
        <w:t>8</w:t>
      </w:r>
      <w:r w:rsidR="00066184" w:rsidRPr="003448FB">
        <w:t>)</w:t>
      </w:r>
      <w:r w:rsidRPr="003448FB">
        <w:t>.</w:t>
      </w:r>
      <w:r w:rsidRPr="003448FB">
        <w:rPr>
          <w:rStyle w:val="FootnoteReference"/>
        </w:rPr>
        <w:footnoteReference w:id="95"/>
      </w:r>
    </w:p>
    <w:p w14:paraId="39F5B06B" w14:textId="2349CF86" w:rsidR="00F23F88" w:rsidRPr="00953715" w:rsidRDefault="00F23F88" w:rsidP="003C32F7">
      <w:pPr>
        <w:pStyle w:val="08Figuretableboxheading"/>
        <w:spacing w:before="120" w:after="0"/>
      </w:pPr>
      <w:r w:rsidRPr="00953715">
        <w:t>Figure A</w:t>
      </w:r>
      <w:r w:rsidR="004221F0">
        <w:t>.</w:t>
      </w:r>
      <w:r w:rsidR="005647BA">
        <w:t>8</w:t>
      </w:r>
      <w:r w:rsidRPr="00953715">
        <w:t>: 2024-25 Budget forecasts</w:t>
      </w:r>
      <w:r w:rsidR="000A509F">
        <w:rPr>
          <w:vertAlign w:val="superscript"/>
        </w:rPr>
        <w:t>(a)</w:t>
      </w:r>
      <w:r w:rsidRPr="00953715">
        <w:t xml:space="preserve"> for net debt and net debt to GSP</w:t>
      </w:r>
    </w:p>
    <w:p w14:paraId="217DDB2E" w14:textId="77777777" w:rsidR="00F23F88" w:rsidRPr="00953715" w:rsidRDefault="00F23F88" w:rsidP="00F23F88">
      <w:pPr>
        <w:pStyle w:val="05Paragraph"/>
      </w:pPr>
      <w:r w:rsidRPr="00953715">
        <w:rPr>
          <w:noProof/>
        </w:rPr>
        <w:drawing>
          <wp:inline distT="0" distB="0" distL="0" distR="0" wp14:anchorId="04FCEBA8" wp14:editId="7C403F09">
            <wp:extent cx="5425440" cy="2232000"/>
            <wp:effectExtent l="0" t="0" r="3810" b="16510"/>
            <wp:docPr id="773197086" name="Chart 1">
              <a:extLst xmlns:a="http://schemas.openxmlformats.org/drawingml/2006/main">
                <a:ext uri="{FF2B5EF4-FFF2-40B4-BE49-F238E27FC236}">
                  <a16:creationId xmlns:a16="http://schemas.microsoft.com/office/drawing/2014/main" id="{56499936-9D16-43E2-9574-B38FEF197DC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744E332C" w14:textId="3179D5FF" w:rsidR="00F23F88" w:rsidRPr="003448FB" w:rsidRDefault="00F23F88" w:rsidP="003C32F7">
      <w:pPr>
        <w:pStyle w:val="09Sourcesandnotesfortablesfiguresboxes"/>
        <w:keepNext/>
        <w:ind w:right="-147"/>
      </w:pPr>
      <w:r w:rsidRPr="00953715">
        <w:t xml:space="preserve">Note: </w:t>
      </w:r>
      <w:r w:rsidR="000A509F">
        <w:t xml:space="preserve">(a) </w:t>
      </w:r>
      <w:r w:rsidRPr="00953715">
        <w:t>2022</w:t>
      </w:r>
      <w:r w:rsidR="00873FB5">
        <w:t>-</w:t>
      </w:r>
      <w:r w:rsidRPr="00953715">
        <w:t>23 values are actual.</w:t>
      </w:r>
    </w:p>
    <w:p w14:paraId="09156B3C" w14:textId="09410BBE" w:rsidR="00AC405B" w:rsidRPr="00853F7F" w:rsidRDefault="00F23F88" w:rsidP="00AC405B">
      <w:pPr>
        <w:pStyle w:val="09Sourcesandnotesfortablesfiguresboxes"/>
      </w:pPr>
      <w:r w:rsidRPr="003448FB">
        <w:t xml:space="preserve">Source: </w:t>
      </w:r>
      <w:r w:rsidR="00AC405B" w:rsidRPr="00EC2F07">
        <w:rPr>
          <w:rFonts w:cs="Calibri Light"/>
        </w:rPr>
        <w:t>DTF (</w:t>
      </w:r>
      <w:r w:rsidR="003C32F7" w:rsidRPr="00182559">
        <w:rPr>
          <w:rFonts w:cs="Calibri Light"/>
        </w:rPr>
        <w:t>2024</w:t>
      </w:r>
      <w:r w:rsidR="001E0458">
        <w:rPr>
          <w:rFonts w:cs="Calibri Light"/>
        </w:rPr>
        <w:t>b</w:t>
      </w:r>
      <w:r w:rsidR="00AC405B" w:rsidRPr="00EC2F07">
        <w:rPr>
          <w:rFonts w:cs="Calibri Light"/>
        </w:rPr>
        <w:t>)</w:t>
      </w:r>
      <w:r w:rsidR="00AC405B">
        <w:rPr>
          <w:rFonts w:cs="Calibri Light"/>
        </w:rPr>
        <w:t>, p</w:t>
      </w:r>
      <w:r w:rsidR="002F7926">
        <w:rPr>
          <w:rFonts w:cs="Calibri Light"/>
        </w:rPr>
        <w:t>.</w:t>
      </w:r>
      <w:r w:rsidR="00AC405B">
        <w:rPr>
          <w:rFonts w:cs="Calibri Light"/>
        </w:rPr>
        <w:t xml:space="preserve"> 53.</w:t>
      </w:r>
    </w:p>
    <w:p w14:paraId="3B1FAB2C" w14:textId="77777777" w:rsidR="005649FB" w:rsidRDefault="005649FB" w:rsidP="005649FB">
      <w:pPr>
        <w:pStyle w:val="03VIRTHeading3"/>
      </w:pPr>
      <w:r>
        <w:t>VAGO has identified risks to Victoria’s fiscal outlook</w:t>
      </w:r>
    </w:p>
    <w:p w14:paraId="48F69BD6" w14:textId="07C78FAB" w:rsidR="005649FB" w:rsidRDefault="005649FB" w:rsidP="005649FB">
      <w:pPr>
        <w:pStyle w:val="05Paragraph"/>
      </w:pPr>
      <w:r>
        <w:t xml:space="preserve">Each year, </w:t>
      </w:r>
      <w:r w:rsidR="000D0149">
        <w:t>the Victorian Auditor-General’s Office (</w:t>
      </w:r>
      <w:r>
        <w:t>VAGO</w:t>
      </w:r>
      <w:r w:rsidR="000D0149">
        <w:t>)</w:t>
      </w:r>
      <w:r>
        <w:t xml:space="preserve"> issues a report on the Annual Financial Report of the State of Victoria. The most recent such report, released in November 2023, examined Victoria’s </w:t>
      </w:r>
      <w:r w:rsidRPr="000E3511">
        <w:rPr>
          <w:i/>
          <w:iCs/>
        </w:rPr>
        <w:t>2022-23 Annual Financial Report</w:t>
      </w:r>
      <w:r>
        <w:t>.</w:t>
      </w:r>
    </w:p>
    <w:p w14:paraId="37C54D50" w14:textId="7A5F1D60" w:rsidR="005649FB" w:rsidRDefault="005649FB" w:rsidP="005649FB">
      <w:pPr>
        <w:pStyle w:val="05Paragraph"/>
      </w:pPr>
      <w:r>
        <w:t xml:space="preserve">The report identified emerging risks to Victoria’s fiscal outlook. Three of these </w:t>
      </w:r>
      <w:r w:rsidRPr="00B752C7">
        <w:t>—</w:t>
      </w:r>
      <w:r>
        <w:t xml:space="preserve"> employee expenses, interest expenses and infrastructure spending </w:t>
      </w:r>
      <w:r w:rsidRPr="00487500">
        <w:t>—</w:t>
      </w:r>
      <w:r>
        <w:t xml:space="preserve"> are set out in Box A.1.</w:t>
      </w:r>
    </w:p>
    <w:p w14:paraId="2733D779" w14:textId="77777777" w:rsidR="005649FB" w:rsidRPr="007460D0" w:rsidRDefault="005649FB" w:rsidP="005649FB">
      <w:pPr>
        <w:keepNext/>
        <w:spacing w:before="180" w:after="60"/>
        <w:rPr>
          <w:rFonts w:ascii="Calibri Light" w:hAnsi="Calibri Light" w:cs="Arial"/>
          <w:b/>
          <w:color w:val="26664E" w:themeColor="accent1"/>
          <w:spacing w:val="-2"/>
          <w:sz w:val="24"/>
          <w:szCs w:val="20"/>
        </w:rPr>
      </w:pPr>
      <w:r w:rsidRPr="007460D0">
        <w:rPr>
          <w:rFonts w:ascii="Calibri Light" w:hAnsi="Calibri Light" w:cs="Arial"/>
          <w:b/>
          <w:color w:val="26664E" w:themeColor="accent1"/>
          <w:spacing w:val="-2"/>
          <w:sz w:val="24"/>
          <w:szCs w:val="20"/>
        </w:rPr>
        <w:t>Box A.1: Emerging risks to Victoria’s fiscal outlook as identified by VAGO, November 2023</w:t>
      </w:r>
    </w:p>
    <w:p w14:paraId="0ADDF588" w14:textId="3EB9B9D5" w:rsidR="005649FB" w:rsidRPr="00FC6EA6" w:rsidRDefault="005649FB" w:rsidP="005649FB">
      <w:pPr>
        <w:spacing w:after="0"/>
        <w:rPr>
          <w:rFonts w:ascii="Calibri Light" w:hAnsi="Calibri Light"/>
          <w:color w:val="000000" w:themeColor="text1"/>
          <w:sz w:val="18"/>
          <w:szCs w:val="20"/>
        </w:rPr>
      </w:pPr>
      <w:r w:rsidRPr="00FC6EA6">
        <w:rPr>
          <w:rFonts w:ascii="Calibri Light" w:hAnsi="Calibri Light"/>
          <w:noProof/>
          <w:color w:val="000000" w:themeColor="text1"/>
          <w:sz w:val="18"/>
          <w:szCs w:val="20"/>
        </w:rPr>
        <mc:AlternateContent>
          <mc:Choice Requires="wps">
            <w:drawing>
              <wp:inline distT="0" distB="0" distL="0" distR="0" wp14:anchorId="52384AA3" wp14:editId="3E8973D0">
                <wp:extent cx="5429250" cy="5164532"/>
                <wp:effectExtent l="0" t="0" r="19050" b="17145"/>
                <wp:docPr id="2005384007" name="Text Box 2005384007"/>
                <wp:cNvGraphicFramePr/>
                <a:graphic xmlns:a="http://schemas.openxmlformats.org/drawingml/2006/main">
                  <a:graphicData uri="http://schemas.microsoft.com/office/word/2010/wordprocessingShape">
                    <wps:wsp>
                      <wps:cNvSpPr txBox="1"/>
                      <wps:spPr>
                        <a:xfrm>
                          <a:off x="0" y="0"/>
                          <a:ext cx="5429250" cy="5164532"/>
                        </a:xfrm>
                        <a:prstGeom prst="rect">
                          <a:avLst/>
                        </a:prstGeom>
                        <a:solidFill>
                          <a:schemeClr val="bg1"/>
                        </a:solidFill>
                        <a:ln w="19050">
                          <a:solidFill>
                            <a:srgbClr val="148A5D"/>
                          </a:solidFill>
                        </a:ln>
                      </wps:spPr>
                      <wps:txbx>
                        <w:txbxContent>
                          <w:p w14:paraId="0BDE7EC5" w14:textId="77777777" w:rsidR="005649FB" w:rsidRPr="007A0ABD" w:rsidRDefault="005649FB" w:rsidP="005649FB">
                            <w:pPr>
                              <w:pStyle w:val="Bulletsinatable"/>
                              <w:numPr>
                                <w:ilvl w:val="0"/>
                                <w:numId w:val="0"/>
                              </w:numPr>
                              <w:spacing w:before="120" w:after="120"/>
                              <w:rPr>
                                <w:rFonts w:cs="Calibri Light"/>
                                <w:b/>
                                <w:bCs w:val="0"/>
                              </w:rPr>
                            </w:pPr>
                            <w:r w:rsidRPr="007A0ABD">
                              <w:rPr>
                                <w:rFonts w:cs="Calibri Light"/>
                                <w:noProof/>
                              </w:rPr>
                              <w:drawing>
                                <wp:inline distT="0" distB="0" distL="0" distR="0" wp14:anchorId="5A1DFA83" wp14:editId="4B206555">
                                  <wp:extent cx="323385" cy="323385"/>
                                  <wp:effectExtent l="0" t="0" r="635" b="0"/>
                                  <wp:docPr id="843622105" name="Graphic 15" descr="Users with solid fill">
                                    <a:extLst xmlns:a="http://schemas.openxmlformats.org/drawingml/2006/main">
                                      <a:ext uri="{FF2B5EF4-FFF2-40B4-BE49-F238E27FC236}">
                                        <a16:creationId xmlns:a16="http://schemas.microsoft.com/office/drawing/2014/main" id="{486FBEAE-7D1F-DCBA-9B2A-C8525A8F028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c 15" descr="Users with solid fill">
                                            <a:extLst>
                                              <a:ext uri="{FF2B5EF4-FFF2-40B4-BE49-F238E27FC236}">
                                                <a16:creationId xmlns:a16="http://schemas.microsoft.com/office/drawing/2014/main" id="{486FBEAE-7D1F-DCBA-9B2A-C8525A8F028A}"/>
                                              </a:ext>
                                            </a:extLst>
                                          </pic:cNvPr>
                                          <pic:cNvPicPr>
                                            <a:picLocks noChangeAspect="1"/>
                                          </pic:cNvPicPr>
                                        </pic:nvPicPr>
                                        <pic:blipFill>
                                          <a:blip r:embed="rId38">
                                            <a:extLst>
                                              <a:ext uri="{96DAC541-7B7A-43D3-8B79-37D633B846F1}">
                                                <asvg:svgBlip xmlns:asvg="http://schemas.microsoft.com/office/drawing/2016/SVG/main" r:embed="rId39"/>
                                              </a:ext>
                                            </a:extLst>
                                          </a:blip>
                                          <a:stretch>
                                            <a:fillRect/>
                                          </a:stretch>
                                        </pic:blipFill>
                                        <pic:spPr>
                                          <a:xfrm>
                                            <a:off x="0" y="0"/>
                                            <a:ext cx="323385" cy="323385"/>
                                          </a:xfrm>
                                          <a:prstGeom prst="rect">
                                            <a:avLst/>
                                          </a:prstGeom>
                                        </pic:spPr>
                                      </pic:pic>
                                    </a:graphicData>
                                  </a:graphic>
                                </wp:inline>
                              </w:drawing>
                            </w:r>
                            <w:r w:rsidRPr="007A0ABD">
                              <w:rPr>
                                <w:rFonts w:cs="Calibri Light"/>
                                <w:b/>
                                <w:bCs w:val="0"/>
                              </w:rPr>
                              <w:t xml:space="preserve">  </w:t>
                            </w:r>
                            <w:r w:rsidRPr="007A0ABD">
                              <w:rPr>
                                <w:rFonts w:cs="Calibri Light"/>
                                <w:b/>
                                <w:bCs w:val="0"/>
                                <w:color w:val="26664E" w:themeColor="accent1"/>
                              </w:rPr>
                              <w:t>Employee expenses</w:t>
                            </w:r>
                          </w:p>
                          <w:p w14:paraId="71B1F0CE" w14:textId="0800DCDC" w:rsidR="005649FB" w:rsidRPr="007A0ABD" w:rsidRDefault="005649FB" w:rsidP="005649FB">
                            <w:pPr>
                              <w:pStyle w:val="Bulletsinatable"/>
                              <w:rPr>
                                <w:rFonts w:cs="Calibri Light"/>
                              </w:rPr>
                            </w:pPr>
                            <w:r w:rsidRPr="007A0ABD">
                              <w:rPr>
                                <w:rFonts w:cs="Calibri Light"/>
                              </w:rPr>
                              <w:t xml:space="preserve">Employee costs are the </w:t>
                            </w:r>
                            <w:r w:rsidR="0078361C">
                              <w:rPr>
                                <w:rFonts w:cs="Calibri Light"/>
                              </w:rPr>
                              <w:t>S</w:t>
                            </w:r>
                            <w:r w:rsidRPr="007A0ABD">
                              <w:rPr>
                                <w:rFonts w:cs="Calibri Light"/>
                              </w:rPr>
                              <w:t>tate’s single largest operating expense, accounting for around 36</w:t>
                            </w:r>
                            <w:r w:rsidR="004F53A7">
                              <w:rPr>
                                <w:rFonts w:cs="Calibri Light"/>
                              </w:rPr>
                              <w:t xml:space="preserve"> per cent</w:t>
                            </w:r>
                            <w:r w:rsidRPr="007A0ABD">
                              <w:rPr>
                                <w:rFonts w:cs="Calibri Light"/>
                              </w:rPr>
                              <w:t xml:space="preserve"> of general government sector expenditure in 2022-23.</w:t>
                            </w:r>
                          </w:p>
                          <w:p w14:paraId="526FF33D" w14:textId="5C1B9CFF" w:rsidR="005649FB" w:rsidRPr="007A0ABD" w:rsidRDefault="005649FB" w:rsidP="005649FB">
                            <w:pPr>
                              <w:pStyle w:val="Bulletsinatable"/>
                              <w:rPr>
                                <w:rFonts w:cs="Calibri Light"/>
                              </w:rPr>
                            </w:pPr>
                            <w:r w:rsidRPr="007A0ABD">
                              <w:rPr>
                                <w:rFonts w:cs="Calibri Light"/>
                              </w:rPr>
                              <w:t>Employee costs increased by 45</w:t>
                            </w:r>
                            <w:r w:rsidR="00BE3E6F">
                              <w:rPr>
                                <w:rFonts w:cs="Calibri Light"/>
                              </w:rPr>
                              <w:t xml:space="preserve"> per cent</w:t>
                            </w:r>
                            <w:r w:rsidRPr="007A0ABD">
                              <w:rPr>
                                <w:rFonts w:cs="Calibri Light"/>
                              </w:rPr>
                              <w:t xml:space="preserve"> between 2017</w:t>
                            </w:r>
                            <w:r w:rsidR="00272E51">
                              <w:rPr>
                                <w:rFonts w:cs="Calibri Light"/>
                              </w:rPr>
                              <w:t>-</w:t>
                            </w:r>
                            <w:r w:rsidRPr="007A0ABD">
                              <w:rPr>
                                <w:rFonts w:cs="Calibri Light"/>
                              </w:rPr>
                              <w:t>18 and 2022</w:t>
                            </w:r>
                            <w:r w:rsidR="00272E51">
                              <w:rPr>
                                <w:rFonts w:cs="Calibri Light"/>
                              </w:rPr>
                              <w:t>-</w:t>
                            </w:r>
                            <w:r w:rsidRPr="007A0ABD">
                              <w:rPr>
                                <w:rFonts w:cs="Calibri Light"/>
                              </w:rPr>
                              <w:t>23.</w:t>
                            </w:r>
                          </w:p>
                          <w:p w14:paraId="2BD35449" w14:textId="77777777" w:rsidR="005649FB" w:rsidRPr="007A0ABD" w:rsidRDefault="005649FB" w:rsidP="005649FB">
                            <w:pPr>
                              <w:pStyle w:val="Bulletsinatable"/>
                              <w:rPr>
                                <w:rFonts w:cs="Calibri Light"/>
                              </w:rPr>
                            </w:pPr>
                            <w:r w:rsidRPr="007A0ABD">
                              <w:rPr>
                                <w:rFonts w:cs="Calibri Light"/>
                              </w:rPr>
                              <w:t>The government determined that workforce transition, including staff reductions, is required to achieve its targeted cost reductions. If these initiatives are not implemented and realised as planned, future employee expenses may be greater than estimated.</w:t>
                            </w:r>
                          </w:p>
                          <w:p w14:paraId="6555484A" w14:textId="77777777" w:rsidR="005649FB" w:rsidRPr="007A0ABD" w:rsidRDefault="005649FB" w:rsidP="005649FB">
                            <w:pPr>
                              <w:pStyle w:val="Bulletsinatable"/>
                              <w:rPr>
                                <w:rFonts w:cs="Calibri Light"/>
                              </w:rPr>
                            </w:pPr>
                            <w:r w:rsidRPr="007A0ABD">
                              <w:rPr>
                                <w:rFonts w:cs="Calibri Light"/>
                              </w:rPr>
                              <w:t>The prevailing economic environment of high inflation, a tight labour market and high wages growth may compound the challenge.</w:t>
                            </w:r>
                          </w:p>
                          <w:p w14:paraId="13C31B92" w14:textId="77777777" w:rsidR="005649FB" w:rsidRPr="007A0ABD" w:rsidRDefault="005649FB" w:rsidP="005649FB">
                            <w:pPr>
                              <w:pStyle w:val="Bulletsinatable"/>
                              <w:numPr>
                                <w:ilvl w:val="0"/>
                                <w:numId w:val="0"/>
                              </w:numPr>
                              <w:spacing w:before="120" w:after="120"/>
                              <w:ind w:left="357" w:hanging="357"/>
                              <w:rPr>
                                <w:rFonts w:cs="Calibri Light"/>
                                <w:b/>
                                <w:bCs w:val="0"/>
                              </w:rPr>
                            </w:pPr>
                            <w:r w:rsidRPr="007A0ABD">
                              <w:rPr>
                                <w:rFonts w:cs="Calibri Light"/>
                                <w:b/>
                                <w:bCs w:val="0"/>
                                <w:noProof/>
                              </w:rPr>
                              <w:drawing>
                                <wp:inline distT="0" distB="0" distL="0" distR="0" wp14:anchorId="34DC3D61" wp14:editId="002B815E">
                                  <wp:extent cx="308517" cy="308517"/>
                                  <wp:effectExtent l="0" t="0" r="0" b="0"/>
                                  <wp:docPr id="1921229686" name="Graphic 20" descr="Loan with solid fill">
                                    <a:extLst xmlns:a="http://schemas.openxmlformats.org/drawingml/2006/main">
                                      <a:ext uri="{FF2B5EF4-FFF2-40B4-BE49-F238E27FC236}">
                                        <a16:creationId xmlns:a16="http://schemas.microsoft.com/office/drawing/2014/main" id="{22AF83E2-CCFE-C05B-5078-6BEF502E201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raphic 20" descr="Loan with solid fill">
                                            <a:extLst>
                                              <a:ext uri="{FF2B5EF4-FFF2-40B4-BE49-F238E27FC236}">
                                                <a16:creationId xmlns:a16="http://schemas.microsoft.com/office/drawing/2014/main" id="{22AF83E2-CCFE-C05B-5078-6BEF502E2015}"/>
                                              </a:ext>
                                            </a:extLst>
                                          </pic:cNvPr>
                                          <pic:cNvPicPr>
                                            <a:picLocks noChangeAspect="1"/>
                                          </pic:cNvPicPr>
                                        </pic:nvPicPr>
                                        <pic:blipFill>
                                          <a:blip r:embed="rId40">
                                            <a:extLst>
                                              <a:ext uri="{96DAC541-7B7A-43D3-8B79-37D633B846F1}">
                                                <asvg:svgBlip xmlns:asvg="http://schemas.microsoft.com/office/drawing/2016/SVG/main" r:embed="rId41"/>
                                              </a:ext>
                                            </a:extLst>
                                          </a:blip>
                                          <a:stretch>
                                            <a:fillRect/>
                                          </a:stretch>
                                        </pic:blipFill>
                                        <pic:spPr>
                                          <a:xfrm>
                                            <a:off x="0" y="0"/>
                                            <a:ext cx="308517" cy="308517"/>
                                          </a:xfrm>
                                          <a:prstGeom prst="rect">
                                            <a:avLst/>
                                          </a:prstGeom>
                                        </pic:spPr>
                                      </pic:pic>
                                    </a:graphicData>
                                  </a:graphic>
                                </wp:inline>
                              </w:drawing>
                            </w:r>
                            <w:r w:rsidRPr="007A0ABD">
                              <w:rPr>
                                <w:rFonts w:cs="Calibri Light"/>
                                <w:b/>
                                <w:bCs w:val="0"/>
                                <w:color w:val="26664E" w:themeColor="accent1"/>
                              </w:rPr>
                              <w:t xml:space="preserve">  Interest expenses</w:t>
                            </w:r>
                          </w:p>
                          <w:p w14:paraId="3F057DF7" w14:textId="77777777" w:rsidR="005649FB" w:rsidRPr="007A0ABD" w:rsidRDefault="005649FB" w:rsidP="005649FB">
                            <w:pPr>
                              <w:pStyle w:val="Bulletsinatable"/>
                              <w:rPr>
                                <w:rFonts w:cs="Calibri Light"/>
                              </w:rPr>
                            </w:pPr>
                            <w:r w:rsidRPr="007A0ABD">
                              <w:rPr>
                                <w:rFonts w:cs="Calibri Light"/>
                              </w:rPr>
                              <w:t>Most of Victoria’s debt is fixed-rate debt issued at a low interest rate.</w:t>
                            </w:r>
                          </w:p>
                          <w:p w14:paraId="50BE42F9" w14:textId="77777777" w:rsidR="005649FB" w:rsidRPr="007A0ABD" w:rsidRDefault="005649FB" w:rsidP="005649FB">
                            <w:pPr>
                              <w:pStyle w:val="Bulletsinatable"/>
                              <w:rPr>
                                <w:rFonts w:cs="Calibri Light"/>
                              </w:rPr>
                            </w:pPr>
                            <w:r w:rsidRPr="007A0ABD">
                              <w:rPr>
                                <w:rFonts w:cs="Calibri Light"/>
                              </w:rPr>
                              <w:t>$39 billion of debt needs to be refinanced by June 2027, which will likely be at a significantly higher interest rate.</w:t>
                            </w:r>
                          </w:p>
                          <w:p w14:paraId="2E1C26EC" w14:textId="77777777" w:rsidR="005649FB" w:rsidRPr="007A0ABD" w:rsidRDefault="005649FB" w:rsidP="005649FB">
                            <w:pPr>
                              <w:pStyle w:val="Bulletsinatable"/>
                              <w:rPr>
                                <w:rFonts w:cs="Calibri Light"/>
                              </w:rPr>
                            </w:pPr>
                            <w:r w:rsidRPr="007A0ABD">
                              <w:rPr>
                                <w:rFonts w:cs="Calibri Light"/>
                              </w:rPr>
                              <w:t>Interest expenses on new and refinanced debt are expected to increase significantly over the coming years, from $1.6 billion in 2023-24 to $5.5 billion in 2026-27.</w:t>
                            </w:r>
                          </w:p>
                          <w:p w14:paraId="090DE4C2" w14:textId="77777777" w:rsidR="005649FB" w:rsidRPr="007A0ABD" w:rsidRDefault="005649FB" w:rsidP="005649FB">
                            <w:pPr>
                              <w:pStyle w:val="Bulletsinatable"/>
                              <w:numPr>
                                <w:ilvl w:val="0"/>
                                <w:numId w:val="0"/>
                              </w:numPr>
                              <w:spacing w:before="120" w:after="120"/>
                              <w:ind w:left="357" w:hanging="357"/>
                              <w:rPr>
                                <w:rFonts w:cs="Calibri Light"/>
                                <w:b/>
                                <w:bCs w:val="0"/>
                              </w:rPr>
                            </w:pPr>
                            <w:r w:rsidRPr="007A0ABD">
                              <w:rPr>
                                <w:rFonts w:cs="Calibri Light"/>
                                <w:b/>
                                <w:bCs w:val="0"/>
                                <w:noProof/>
                              </w:rPr>
                              <w:drawing>
                                <wp:inline distT="0" distB="0" distL="0" distR="0" wp14:anchorId="200E9F6F" wp14:editId="6C072636">
                                  <wp:extent cx="292380" cy="343413"/>
                                  <wp:effectExtent l="0" t="0" r="0" b="0"/>
                                  <wp:docPr id="1074920549" name="Graphic 29" descr="Cement truck with solid fill">
                                    <a:extLst xmlns:a="http://schemas.openxmlformats.org/drawingml/2006/main">
                                      <a:ext uri="{FF2B5EF4-FFF2-40B4-BE49-F238E27FC236}">
                                        <a16:creationId xmlns:a16="http://schemas.microsoft.com/office/drawing/2014/main" id="{AA3D20AD-35B3-A817-6690-E31415888F9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Graphic 29" descr="Cement truck with solid fill">
                                            <a:extLst>
                                              <a:ext uri="{FF2B5EF4-FFF2-40B4-BE49-F238E27FC236}">
                                                <a16:creationId xmlns:a16="http://schemas.microsoft.com/office/drawing/2014/main" id="{AA3D20AD-35B3-A817-6690-E31415888F9C}"/>
                                              </a:ext>
                                            </a:extLst>
                                          </pic:cNvPr>
                                          <pic:cNvPicPr>
                                            <a:picLocks noChangeAspect="1"/>
                                          </pic:cNvPicPr>
                                        </pic:nvPicPr>
                                        <pic:blipFill>
                                          <a:blip r:embed="rId42">
                                            <a:extLst>
                                              <a:ext uri="{96DAC541-7B7A-43D3-8B79-37D633B846F1}">
                                                <asvg:svgBlip xmlns:asvg="http://schemas.microsoft.com/office/drawing/2016/SVG/main" r:embed="rId43"/>
                                              </a:ext>
                                            </a:extLst>
                                          </a:blip>
                                          <a:stretch>
                                            <a:fillRect/>
                                          </a:stretch>
                                        </pic:blipFill>
                                        <pic:spPr>
                                          <a:xfrm>
                                            <a:off x="0" y="0"/>
                                            <a:ext cx="292380" cy="343413"/>
                                          </a:xfrm>
                                          <a:prstGeom prst="rect">
                                            <a:avLst/>
                                          </a:prstGeom>
                                        </pic:spPr>
                                      </pic:pic>
                                    </a:graphicData>
                                  </a:graphic>
                                </wp:inline>
                              </w:drawing>
                            </w:r>
                            <w:r w:rsidRPr="007A0ABD">
                              <w:rPr>
                                <w:rFonts w:cs="Calibri Light"/>
                                <w:b/>
                                <w:bCs w:val="0"/>
                                <w:color w:val="26664E" w:themeColor="accent1"/>
                              </w:rPr>
                              <w:t xml:space="preserve">  Infrastructure spending</w:t>
                            </w:r>
                          </w:p>
                          <w:p w14:paraId="750DA2B7" w14:textId="7D7F573C" w:rsidR="005649FB" w:rsidRPr="007A0ABD" w:rsidRDefault="005649FB" w:rsidP="005649FB">
                            <w:pPr>
                              <w:pStyle w:val="Bulletsinatable"/>
                              <w:rPr>
                                <w:rFonts w:cs="Calibri Light"/>
                              </w:rPr>
                            </w:pPr>
                            <w:r w:rsidRPr="007A0ABD">
                              <w:rPr>
                                <w:rFonts w:cs="Calibri Light"/>
                              </w:rPr>
                              <w:t>As at November 2023, the total estimated investment (TEI) of 89 existing and completed major capital projects had increased by $11 billion (11</w:t>
                            </w:r>
                            <w:r w:rsidR="004F53A7">
                              <w:rPr>
                                <w:rFonts w:cs="Calibri Light"/>
                              </w:rPr>
                              <w:t xml:space="preserve"> per cent</w:t>
                            </w:r>
                            <w:r w:rsidRPr="007A0ABD">
                              <w:rPr>
                                <w:rFonts w:cs="Calibri Light"/>
                              </w:rPr>
                              <w:t>).</w:t>
                            </w:r>
                          </w:p>
                          <w:p w14:paraId="2728482F" w14:textId="77777777" w:rsidR="005649FB" w:rsidRPr="007A0ABD" w:rsidRDefault="005649FB" w:rsidP="005649FB">
                            <w:pPr>
                              <w:pStyle w:val="Bulletsinatable"/>
                              <w:rPr>
                                <w:rFonts w:cs="Calibri Light"/>
                              </w:rPr>
                            </w:pPr>
                            <w:r w:rsidRPr="007A0ABD">
                              <w:rPr>
                                <w:rFonts w:cs="Calibri Light"/>
                              </w:rPr>
                              <w:t>Of the 101 new, existing or completed projects analysed by VAGO:</w:t>
                            </w:r>
                          </w:p>
                          <w:p w14:paraId="4F65F6BC" w14:textId="0711CF07" w:rsidR="005649FB" w:rsidRPr="007A0ABD" w:rsidRDefault="005649FB" w:rsidP="005649FB">
                            <w:pPr>
                              <w:pStyle w:val="Bulletsinatable"/>
                              <w:numPr>
                                <w:ilvl w:val="1"/>
                                <w:numId w:val="1"/>
                              </w:numPr>
                              <w:rPr>
                                <w:rFonts w:cs="Calibri Light"/>
                              </w:rPr>
                            </w:pPr>
                            <w:r w:rsidRPr="007A0ABD">
                              <w:rPr>
                                <w:rFonts w:cs="Calibri Light"/>
                              </w:rPr>
                              <w:t>28 projects had a TEI increase of more than 10</w:t>
                            </w:r>
                            <w:r w:rsidR="004F53A7">
                              <w:rPr>
                                <w:rFonts w:cs="Calibri Light"/>
                              </w:rPr>
                              <w:t xml:space="preserve"> per cent</w:t>
                            </w:r>
                          </w:p>
                          <w:p w14:paraId="15B764F7" w14:textId="621E5F29" w:rsidR="005649FB" w:rsidRPr="007A0ABD" w:rsidRDefault="005649FB" w:rsidP="005649FB">
                            <w:pPr>
                              <w:pStyle w:val="Bulletsinatable"/>
                              <w:numPr>
                                <w:ilvl w:val="1"/>
                                <w:numId w:val="1"/>
                              </w:numPr>
                              <w:rPr>
                                <w:rFonts w:cs="Calibri Light"/>
                              </w:rPr>
                            </w:pPr>
                            <w:r w:rsidRPr="007A0ABD">
                              <w:rPr>
                                <w:rFonts w:cs="Calibri Light"/>
                              </w:rPr>
                              <w:t>12 projects had a TEI increase of more than 50</w:t>
                            </w:r>
                            <w:r w:rsidR="004F53A7">
                              <w:rPr>
                                <w:rFonts w:cs="Calibri Light"/>
                              </w:rPr>
                              <w:t xml:space="preserve"> per cent</w:t>
                            </w:r>
                            <w:r w:rsidRPr="007A0ABD">
                              <w:rPr>
                                <w:rFonts w:cs="Calibri Light"/>
                              </w:rPr>
                              <w:t>.</w:t>
                            </w:r>
                          </w:p>
                          <w:p w14:paraId="37A902F7" w14:textId="77777777" w:rsidR="005649FB" w:rsidRPr="007A0ABD" w:rsidRDefault="005649FB" w:rsidP="005649FB">
                            <w:pPr>
                              <w:pStyle w:val="Bulletsinatable"/>
                              <w:rPr>
                                <w:rFonts w:cs="Calibri Light"/>
                              </w:rPr>
                            </w:pPr>
                            <w:r w:rsidRPr="007A0ABD">
                              <w:rPr>
                                <w:rFonts w:cs="Calibri Light"/>
                              </w:rPr>
                              <w:t>VAGO noted that further TEI increases would lead to more unplanned debt unless the government’s capital program was curtailed.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2384AA3" id="Text Box 2005384007" o:spid="_x0000_s1028" type="#_x0000_t202" style="width:427.5pt;height:40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" fillcolor="white [3212]" strokecolor="#148a5d" strokeweight="1.5pt">
                <v:textbox>
                  <w:txbxContent>
                    <w:p w14:paraId="0BDE7EC5" w14:textId="77777777" w:rsidR="005649FB" w:rsidRPr="007A0ABD" w:rsidRDefault="005649FB" w:rsidP="005649FB">
                      <w:pPr>
                        <w:pStyle w:val="Bulletsinatable"/>
                        <w:numPr>
                          <w:ilvl w:val="0"/>
                          <w:numId w:val="0"/>
                        </w:numPr>
                        <w:spacing w:before="120" w:after="120"/>
                        <w:rPr>
                          <w:rFonts w:cs="Calibri Light"/>
                          <w:b/>
                          <w:bCs w:val="0"/>
                        </w:rPr>
                      </w:pPr>
                      <w:r w:rsidRPr="007A0ABD">
                        <w:rPr>
                          <w:rFonts w:cs="Calibri Light"/>
                          <w:noProof/>
                        </w:rPr>
                        <w:drawing>
                          <wp:inline distT="0" distB="0" distL="0" distR="0" wp14:anchorId="5A1DFA83" wp14:editId="4B206555">
                            <wp:extent cx="323385" cy="323385"/>
                            <wp:effectExtent l="0" t="0" r="635" b="0"/>
                            <wp:docPr id="843622105" name="Graphic 15" descr="Users with solid fill">
                              <a:extLst xmlns:a="http://schemas.openxmlformats.org/drawingml/2006/main">
                                <a:ext uri="{FF2B5EF4-FFF2-40B4-BE49-F238E27FC236}">
                                  <a16:creationId xmlns:a16="http://schemas.microsoft.com/office/drawing/2014/main" id="{486FBEAE-7D1F-DCBA-9B2A-C8525A8F028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c 15" descr="Users with solid fill">
                                      <a:extLst>
                                        <a:ext uri="{FF2B5EF4-FFF2-40B4-BE49-F238E27FC236}">
                                          <a16:creationId xmlns:a16="http://schemas.microsoft.com/office/drawing/2014/main" id="{486FBEAE-7D1F-DCBA-9B2A-C8525A8F028A}"/>
                                        </a:ext>
                                      </a:extLst>
                                    </pic:cNvPr>
                                    <pic:cNvPicPr>
                                      <a:picLocks noChangeAspect="1"/>
                                    </pic:cNvPicPr>
                                  </pic:nvPicPr>
                                  <pic:blipFill>
                                    <a:blip r:embed="rId44">
                                      <a:extLst>
                                        <a:ext uri="{96DAC541-7B7A-43D3-8B79-37D633B846F1}">
                                          <asvg:svgBlip xmlns:asvg="http://schemas.microsoft.com/office/drawing/2016/SVG/main" r:embed="rId45"/>
                                        </a:ext>
                                      </a:extLst>
                                    </a:blip>
                                    <a:stretch>
                                      <a:fillRect/>
                                    </a:stretch>
                                  </pic:blipFill>
                                  <pic:spPr>
                                    <a:xfrm>
                                      <a:off x="0" y="0"/>
                                      <a:ext cx="323385" cy="323385"/>
                                    </a:xfrm>
                                    <a:prstGeom prst="rect">
                                      <a:avLst/>
                                    </a:prstGeom>
                                  </pic:spPr>
                                </pic:pic>
                              </a:graphicData>
                            </a:graphic>
                          </wp:inline>
                        </w:drawing>
                      </w:r>
                      <w:r w:rsidRPr="007A0ABD">
                        <w:rPr>
                          <w:rFonts w:cs="Calibri Light"/>
                          <w:b/>
                          <w:bCs w:val="0"/>
                        </w:rPr>
                        <w:t xml:space="preserve">  </w:t>
                      </w:r>
                      <w:r w:rsidRPr="007A0ABD">
                        <w:rPr>
                          <w:rFonts w:cs="Calibri Light"/>
                          <w:b/>
                          <w:bCs w:val="0"/>
                          <w:color w:val="26664E" w:themeColor="accent1"/>
                        </w:rPr>
                        <w:t>Employee expenses</w:t>
                      </w:r>
                    </w:p>
                    <w:p w14:paraId="71B1F0CE" w14:textId="0800DCDC" w:rsidR="005649FB" w:rsidRPr="007A0ABD" w:rsidRDefault="005649FB" w:rsidP="005649FB">
                      <w:pPr>
                        <w:pStyle w:val="Bulletsinatable"/>
                        <w:rPr>
                          <w:rFonts w:cs="Calibri Light"/>
                        </w:rPr>
                      </w:pPr>
                      <w:r w:rsidRPr="007A0ABD">
                        <w:rPr>
                          <w:rFonts w:cs="Calibri Light"/>
                        </w:rPr>
                        <w:t xml:space="preserve">Employee costs are the </w:t>
                      </w:r>
                      <w:r w:rsidR="0078361C">
                        <w:rPr>
                          <w:rFonts w:cs="Calibri Light"/>
                        </w:rPr>
                        <w:t>S</w:t>
                      </w:r>
                      <w:r w:rsidRPr="007A0ABD">
                        <w:rPr>
                          <w:rFonts w:cs="Calibri Light"/>
                        </w:rPr>
                        <w:t>tate’s single largest operating expense, accounting for around 36</w:t>
                      </w:r>
                      <w:r w:rsidR="004F53A7">
                        <w:rPr>
                          <w:rFonts w:cs="Calibri Light"/>
                        </w:rPr>
                        <w:t xml:space="preserve"> per cent</w:t>
                      </w:r>
                      <w:r w:rsidRPr="007A0ABD">
                        <w:rPr>
                          <w:rFonts w:cs="Calibri Light"/>
                        </w:rPr>
                        <w:t xml:space="preserve"> of general government sector expenditure in 2022-23.</w:t>
                      </w:r>
                    </w:p>
                    <w:p w14:paraId="526FF33D" w14:textId="5C1B9CFF" w:rsidR="005649FB" w:rsidRPr="007A0ABD" w:rsidRDefault="005649FB" w:rsidP="005649FB">
                      <w:pPr>
                        <w:pStyle w:val="Bulletsinatable"/>
                        <w:rPr>
                          <w:rFonts w:cs="Calibri Light"/>
                        </w:rPr>
                      </w:pPr>
                      <w:r w:rsidRPr="007A0ABD">
                        <w:rPr>
                          <w:rFonts w:cs="Calibri Light"/>
                        </w:rPr>
                        <w:t>Employee costs increased by 45</w:t>
                      </w:r>
                      <w:r w:rsidR="00BE3E6F">
                        <w:rPr>
                          <w:rFonts w:cs="Calibri Light"/>
                        </w:rPr>
                        <w:t xml:space="preserve"> per cent</w:t>
                      </w:r>
                      <w:r w:rsidRPr="007A0ABD">
                        <w:rPr>
                          <w:rFonts w:cs="Calibri Light"/>
                        </w:rPr>
                        <w:t xml:space="preserve"> between 2017</w:t>
                      </w:r>
                      <w:r w:rsidR="00272E51">
                        <w:rPr>
                          <w:rFonts w:cs="Calibri Light"/>
                        </w:rPr>
                        <w:t>-</w:t>
                      </w:r>
                      <w:r w:rsidRPr="007A0ABD">
                        <w:rPr>
                          <w:rFonts w:cs="Calibri Light"/>
                        </w:rPr>
                        <w:t>18 and 2022</w:t>
                      </w:r>
                      <w:r w:rsidR="00272E51">
                        <w:rPr>
                          <w:rFonts w:cs="Calibri Light"/>
                        </w:rPr>
                        <w:t>-</w:t>
                      </w:r>
                      <w:r w:rsidRPr="007A0ABD">
                        <w:rPr>
                          <w:rFonts w:cs="Calibri Light"/>
                        </w:rPr>
                        <w:t>23.</w:t>
                      </w:r>
                    </w:p>
                    <w:p w14:paraId="2BD35449" w14:textId="77777777" w:rsidR="005649FB" w:rsidRPr="007A0ABD" w:rsidRDefault="005649FB" w:rsidP="005649FB">
                      <w:pPr>
                        <w:pStyle w:val="Bulletsinatable"/>
                        <w:rPr>
                          <w:rFonts w:cs="Calibri Light"/>
                        </w:rPr>
                      </w:pPr>
                      <w:r w:rsidRPr="007A0ABD">
                        <w:rPr>
                          <w:rFonts w:cs="Calibri Light"/>
                        </w:rPr>
                        <w:t>The government determined that workforce transition, including staff reductions, is required to achieve its targeted cost reductions. If these initiatives are not implemented and realised as planned, future employee expenses may be greater than estimated.</w:t>
                      </w:r>
                    </w:p>
                    <w:p w14:paraId="6555484A" w14:textId="77777777" w:rsidR="005649FB" w:rsidRPr="007A0ABD" w:rsidRDefault="005649FB" w:rsidP="005649FB">
                      <w:pPr>
                        <w:pStyle w:val="Bulletsinatable"/>
                        <w:rPr>
                          <w:rFonts w:cs="Calibri Light"/>
                        </w:rPr>
                      </w:pPr>
                      <w:r w:rsidRPr="007A0ABD">
                        <w:rPr>
                          <w:rFonts w:cs="Calibri Light"/>
                        </w:rPr>
                        <w:t>The prevailing economic environment of high inflation, a tight labour market and high wages growth may compound the challenge.</w:t>
                      </w:r>
                    </w:p>
                    <w:p w14:paraId="13C31B92" w14:textId="77777777" w:rsidR="005649FB" w:rsidRPr="007A0ABD" w:rsidRDefault="005649FB" w:rsidP="005649FB">
                      <w:pPr>
                        <w:pStyle w:val="Bulletsinatable"/>
                        <w:numPr>
                          <w:ilvl w:val="0"/>
                          <w:numId w:val="0"/>
                        </w:numPr>
                        <w:spacing w:before="120" w:after="120"/>
                        <w:ind w:left="357" w:hanging="357"/>
                        <w:rPr>
                          <w:rFonts w:cs="Calibri Light"/>
                          <w:b/>
                          <w:bCs w:val="0"/>
                        </w:rPr>
                      </w:pPr>
                      <w:r w:rsidRPr="007A0ABD">
                        <w:rPr>
                          <w:rFonts w:cs="Calibri Light"/>
                          <w:b/>
                          <w:bCs w:val="0"/>
                          <w:noProof/>
                        </w:rPr>
                        <w:drawing>
                          <wp:inline distT="0" distB="0" distL="0" distR="0" wp14:anchorId="34DC3D61" wp14:editId="002B815E">
                            <wp:extent cx="308517" cy="308517"/>
                            <wp:effectExtent l="0" t="0" r="0" b="0"/>
                            <wp:docPr id="1921229686" name="Graphic 20" descr="Loan with solid fill">
                              <a:extLst xmlns:a="http://schemas.openxmlformats.org/drawingml/2006/main">
                                <a:ext uri="{FF2B5EF4-FFF2-40B4-BE49-F238E27FC236}">
                                  <a16:creationId xmlns:a16="http://schemas.microsoft.com/office/drawing/2014/main" id="{22AF83E2-CCFE-C05B-5078-6BEF502E201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raphic 20" descr="Loan with solid fill">
                                      <a:extLst>
                                        <a:ext uri="{FF2B5EF4-FFF2-40B4-BE49-F238E27FC236}">
                                          <a16:creationId xmlns:a16="http://schemas.microsoft.com/office/drawing/2014/main" id="{22AF83E2-CCFE-C05B-5078-6BEF502E2015}"/>
                                        </a:ext>
                                      </a:extLst>
                                    </pic:cNvPr>
                                    <pic:cNvPicPr>
                                      <a:picLocks noChangeAspect="1"/>
                                    </pic:cNvPicPr>
                                  </pic:nvPicPr>
                                  <pic:blipFill>
                                    <a:blip r:embed="rId46">
                                      <a:extLst>
                                        <a:ext uri="{96DAC541-7B7A-43D3-8B79-37D633B846F1}">
                                          <asvg:svgBlip xmlns:asvg="http://schemas.microsoft.com/office/drawing/2016/SVG/main" r:embed="rId47"/>
                                        </a:ext>
                                      </a:extLst>
                                    </a:blip>
                                    <a:stretch>
                                      <a:fillRect/>
                                    </a:stretch>
                                  </pic:blipFill>
                                  <pic:spPr>
                                    <a:xfrm>
                                      <a:off x="0" y="0"/>
                                      <a:ext cx="308517" cy="308517"/>
                                    </a:xfrm>
                                    <a:prstGeom prst="rect">
                                      <a:avLst/>
                                    </a:prstGeom>
                                  </pic:spPr>
                                </pic:pic>
                              </a:graphicData>
                            </a:graphic>
                          </wp:inline>
                        </w:drawing>
                      </w:r>
                      <w:r w:rsidRPr="007A0ABD">
                        <w:rPr>
                          <w:rFonts w:cs="Calibri Light"/>
                          <w:b/>
                          <w:bCs w:val="0"/>
                          <w:color w:val="26664E" w:themeColor="accent1"/>
                        </w:rPr>
                        <w:t xml:space="preserve">  Interest expenses</w:t>
                      </w:r>
                    </w:p>
                    <w:p w14:paraId="3F057DF7" w14:textId="77777777" w:rsidR="005649FB" w:rsidRPr="007A0ABD" w:rsidRDefault="005649FB" w:rsidP="005649FB">
                      <w:pPr>
                        <w:pStyle w:val="Bulletsinatable"/>
                        <w:rPr>
                          <w:rFonts w:cs="Calibri Light"/>
                        </w:rPr>
                      </w:pPr>
                      <w:r w:rsidRPr="007A0ABD">
                        <w:rPr>
                          <w:rFonts w:cs="Calibri Light"/>
                        </w:rPr>
                        <w:t>Most of Victoria’s debt is fixed-rate debt issued at a low interest rate.</w:t>
                      </w:r>
                    </w:p>
                    <w:p w14:paraId="50BE42F9" w14:textId="77777777" w:rsidR="005649FB" w:rsidRPr="007A0ABD" w:rsidRDefault="005649FB" w:rsidP="005649FB">
                      <w:pPr>
                        <w:pStyle w:val="Bulletsinatable"/>
                        <w:rPr>
                          <w:rFonts w:cs="Calibri Light"/>
                        </w:rPr>
                      </w:pPr>
                      <w:r w:rsidRPr="007A0ABD">
                        <w:rPr>
                          <w:rFonts w:cs="Calibri Light"/>
                        </w:rPr>
                        <w:t>$39 billion of debt needs to be refinanced by June 2027, which will likely be at a significantly higher interest rate.</w:t>
                      </w:r>
                    </w:p>
                    <w:p w14:paraId="2E1C26EC" w14:textId="77777777" w:rsidR="005649FB" w:rsidRPr="007A0ABD" w:rsidRDefault="005649FB" w:rsidP="005649FB">
                      <w:pPr>
                        <w:pStyle w:val="Bulletsinatable"/>
                        <w:rPr>
                          <w:rFonts w:cs="Calibri Light"/>
                        </w:rPr>
                      </w:pPr>
                      <w:r w:rsidRPr="007A0ABD">
                        <w:rPr>
                          <w:rFonts w:cs="Calibri Light"/>
                        </w:rPr>
                        <w:t>Interest expenses on new and refinanced debt are expected to increase significantly over the coming years, from $1.6 billion in 2023-24 to $5.5 billion in 2026-27.</w:t>
                      </w:r>
                    </w:p>
                    <w:p w14:paraId="090DE4C2" w14:textId="77777777" w:rsidR="005649FB" w:rsidRPr="007A0ABD" w:rsidRDefault="005649FB" w:rsidP="005649FB">
                      <w:pPr>
                        <w:pStyle w:val="Bulletsinatable"/>
                        <w:numPr>
                          <w:ilvl w:val="0"/>
                          <w:numId w:val="0"/>
                        </w:numPr>
                        <w:spacing w:before="120" w:after="120"/>
                        <w:ind w:left="357" w:hanging="357"/>
                        <w:rPr>
                          <w:rFonts w:cs="Calibri Light"/>
                          <w:b/>
                          <w:bCs w:val="0"/>
                        </w:rPr>
                      </w:pPr>
                      <w:r w:rsidRPr="007A0ABD">
                        <w:rPr>
                          <w:rFonts w:cs="Calibri Light"/>
                          <w:b/>
                          <w:bCs w:val="0"/>
                          <w:noProof/>
                        </w:rPr>
                        <w:drawing>
                          <wp:inline distT="0" distB="0" distL="0" distR="0" wp14:anchorId="200E9F6F" wp14:editId="6C072636">
                            <wp:extent cx="292380" cy="343413"/>
                            <wp:effectExtent l="0" t="0" r="0" b="0"/>
                            <wp:docPr id="1074920549" name="Graphic 29" descr="Cement truck with solid fill">
                              <a:extLst xmlns:a="http://schemas.openxmlformats.org/drawingml/2006/main">
                                <a:ext uri="{FF2B5EF4-FFF2-40B4-BE49-F238E27FC236}">
                                  <a16:creationId xmlns:a16="http://schemas.microsoft.com/office/drawing/2014/main" id="{AA3D20AD-35B3-A817-6690-E31415888F9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Graphic 29" descr="Cement truck with solid fill">
                                      <a:extLst>
                                        <a:ext uri="{FF2B5EF4-FFF2-40B4-BE49-F238E27FC236}">
                                          <a16:creationId xmlns:a16="http://schemas.microsoft.com/office/drawing/2014/main" id="{AA3D20AD-35B3-A817-6690-E31415888F9C}"/>
                                        </a:ext>
                                      </a:extLst>
                                    </pic:cNvPr>
                                    <pic:cNvPicPr>
                                      <a:picLocks noChangeAspect="1"/>
                                    </pic:cNvPicPr>
                                  </pic:nvPicPr>
                                  <pic:blipFill>
                                    <a:blip r:embed="rId48">
                                      <a:extLst>
                                        <a:ext uri="{96DAC541-7B7A-43D3-8B79-37D633B846F1}">
                                          <asvg:svgBlip xmlns:asvg="http://schemas.microsoft.com/office/drawing/2016/SVG/main" r:embed="rId49"/>
                                        </a:ext>
                                      </a:extLst>
                                    </a:blip>
                                    <a:stretch>
                                      <a:fillRect/>
                                    </a:stretch>
                                  </pic:blipFill>
                                  <pic:spPr>
                                    <a:xfrm>
                                      <a:off x="0" y="0"/>
                                      <a:ext cx="292380" cy="343413"/>
                                    </a:xfrm>
                                    <a:prstGeom prst="rect">
                                      <a:avLst/>
                                    </a:prstGeom>
                                  </pic:spPr>
                                </pic:pic>
                              </a:graphicData>
                            </a:graphic>
                          </wp:inline>
                        </w:drawing>
                      </w:r>
                      <w:r w:rsidRPr="007A0ABD">
                        <w:rPr>
                          <w:rFonts w:cs="Calibri Light"/>
                          <w:b/>
                          <w:bCs w:val="0"/>
                          <w:color w:val="26664E" w:themeColor="accent1"/>
                        </w:rPr>
                        <w:t xml:space="preserve">  Infrastructure spending</w:t>
                      </w:r>
                    </w:p>
                    <w:p w14:paraId="750DA2B7" w14:textId="7D7F573C" w:rsidR="005649FB" w:rsidRPr="007A0ABD" w:rsidRDefault="005649FB" w:rsidP="005649FB">
                      <w:pPr>
                        <w:pStyle w:val="Bulletsinatable"/>
                        <w:rPr>
                          <w:rFonts w:cs="Calibri Light"/>
                        </w:rPr>
                      </w:pPr>
                      <w:r w:rsidRPr="007A0ABD">
                        <w:rPr>
                          <w:rFonts w:cs="Calibri Light"/>
                        </w:rPr>
                        <w:t>As at November 2023, the total estimated investment (TEI) of 89 existing and completed major capital projects had increased by $11 billion (11</w:t>
                      </w:r>
                      <w:r w:rsidR="004F53A7">
                        <w:rPr>
                          <w:rFonts w:cs="Calibri Light"/>
                        </w:rPr>
                        <w:t xml:space="preserve"> per cent</w:t>
                      </w:r>
                      <w:r w:rsidRPr="007A0ABD">
                        <w:rPr>
                          <w:rFonts w:cs="Calibri Light"/>
                        </w:rPr>
                        <w:t>).</w:t>
                      </w:r>
                    </w:p>
                    <w:p w14:paraId="2728482F" w14:textId="77777777" w:rsidR="005649FB" w:rsidRPr="007A0ABD" w:rsidRDefault="005649FB" w:rsidP="005649FB">
                      <w:pPr>
                        <w:pStyle w:val="Bulletsinatable"/>
                        <w:rPr>
                          <w:rFonts w:cs="Calibri Light"/>
                        </w:rPr>
                      </w:pPr>
                      <w:r w:rsidRPr="007A0ABD">
                        <w:rPr>
                          <w:rFonts w:cs="Calibri Light"/>
                        </w:rPr>
                        <w:t>Of the 101 new, existing or completed projects analysed by VAGO:</w:t>
                      </w:r>
                    </w:p>
                    <w:p w14:paraId="4F65F6BC" w14:textId="0711CF07" w:rsidR="005649FB" w:rsidRPr="007A0ABD" w:rsidRDefault="005649FB" w:rsidP="005649FB">
                      <w:pPr>
                        <w:pStyle w:val="Bulletsinatable"/>
                        <w:numPr>
                          <w:ilvl w:val="1"/>
                          <w:numId w:val="1"/>
                        </w:numPr>
                        <w:rPr>
                          <w:rFonts w:cs="Calibri Light"/>
                        </w:rPr>
                      </w:pPr>
                      <w:r w:rsidRPr="007A0ABD">
                        <w:rPr>
                          <w:rFonts w:cs="Calibri Light"/>
                        </w:rPr>
                        <w:t>28 projects had a TEI increase of more than 10</w:t>
                      </w:r>
                      <w:r w:rsidR="004F53A7">
                        <w:rPr>
                          <w:rFonts w:cs="Calibri Light"/>
                        </w:rPr>
                        <w:t xml:space="preserve"> per cent</w:t>
                      </w:r>
                    </w:p>
                    <w:p w14:paraId="15B764F7" w14:textId="621E5F29" w:rsidR="005649FB" w:rsidRPr="007A0ABD" w:rsidRDefault="005649FB" w:rsidP="005649FB">
                      <w:pPr>
                        <w:pStyle w:val="Bulletsinatable"/>
                        <w:numPr>
                          <w:ilvl w:val="1"/>
                          <w:numId w:val="1"/>
                        </w:numPr>
                        <w:rPr>
                          <w:rFonts w:cs="Calibri Light"/>
                        </w:rPr>
                      </w:pPr>
                      <w:r w:rsidRPr="007A0ABD">
                        <w:rPr>
                          <w:rFonts w:cs="Calibri Light"/>
                        </w:rPr>
                        <w:t>12 projects had a TEI increase of more than 50</w:t>
                      </w:r>
                      <w:r w:rsidR="004F53A7">
                        <w:rPr>
                          <w:rFonts w:cs="Calibri Light"/>
                        </w:rPr>
                        <w:t xml:space="preserve"> per cent</w:t>
                      </w:r>
                      <w:r w:rsidRPr="007A0ABD">
                        <w:rPr>
                          <w:rFonts w:cs="Calibri Light"/>
                        </w:rPr>
                        <w:t>.</w:t>
                      </w:r>
                    </w:p>
                    <w:p w14:paraId="37A902F7" w14:textId="77777777" w:rsidR="005649FB" w:rsidRPr="007A0ABD" w:rsidRDefault="005649FB" w:rsidP="005649FB">
                      <w:pPr>
                        <w:pStyle w:val="Bulletsinatable"/>
                        <w:rPr>
                          <w:rFonts w:cs="Calibri Light"/>
                        </w:rPr>
                      </w:pPr>
                      <w:r w:rsidRPr="007A0ABD">
                        <w:rPr>
                          <w:rFonts w:cs="Calibri Light"/>
                        </w:rPr>
                        <w:t>VAGO noted that further TEI increases would lead to more unplanned debt unless the government’s capital program was curtailed.</w:t>
                      </w:r>
                    </w:p>
                  </w:txbxContent>
                </v:textbox>
                <w10:anchorlock/>
              </v:shape>
            </w:pict>
          </mc:Fallback>
        </mc:AlternateContent>
      </w:r>
      <w:r w:rsidRPr="002A25C6">
        <w:rPr>
          <w:rStyle w:val="09SourcesandnotesfortablesfiguresboxesChar"/>
        </w:rPr>
        <w:t>Source</w:t>
      </w:r>
      <w:r w:rsidR="000319D5">
        <w:rPr>
          <w:rStyle w:val="09SourcesandnotesfortablesfiguresboxesChar"/>
        </w:rPr>
        <w:t>s</w:t>
      </w:r>
      <w:r w:rsidRPr="002A25C6">
        <w:rPr>
          <w:rStyle w:val="09SourcesandnotesfortablesfiguresboxesChar"/>
        </w:rPr>
        <w:t>: VAGO (2023</w:t>
      </w:r>
      <w:r w:rsidR="00220489">
        <w:rPr>
          <w:rStyle w:val="09SourcesandnotesfortablesfiguresboxesChar"/>
        </w:rPr>
        <w:t>a</w:t>
      </w:r>
      <w:r w:rsidRPr="002A25C6">
        <w:rPr>
          <w:rStyle w:val="09SourcesandnotesfortablesfiguresboxesChar"/>
        </w:rPr>
        <w:t>)</w:t>
      </w:r>
      <w:hyperlink r:id="rId50" w:history="1"/>
      <w:r w:rsidRPr="002A25C6">
        <w:rPr>
          <w:rStyle w:val="09SourcesandnotesfortablesfiguresboxesChar"/>
        </w:rPr>
        <w:t>, pp</w:t>
      </w:r>
      <w:r w:rsidR="002F7926">
        <w:rPr>
          <w:rStyle w:val="09SourcesandnotesfortablesfiguresboxesChar"/>
        </w:rPr>
        <w:t>.</w:t>
      </w:r>
      <w:r w:rsidRPr="002A25C6">
        <w:rPr>
          <w:rStyle w:val="09SourcesandnotesfortablesfiguresboxesChar"/>
        </w:rPr>
        <w:t> 20-25</w:t>
      </w:r>
      <w:r w:rsidR="00F24B8B">
        <w:rPr>
          <w:rStyle w:val="09SourcesandnotesfortablesfiguresboxesChar"/>
        </w:rPr>
        <w:t xml:space="preserve">; </w:t>
      </w:r>
      <w:r w:rsidR="00275AB6">
        <w:rPr>
          <w:rStyle w:val="09SourcesandnotesfortablesfiguresboxesChar"/>
        </w:rPr>
        <w:t>VAGO (2023b)</w:t>
      </w:r>
      <w:r w:rsidR="00275AB6">
        <w:rPr>
          <w:rStyle w:val="09SourcesandnotesfortablesfiguresboxesChar"/>
          <w:i/>
          <w:iCs/>
        </w:rPr>
        <w:t xml:space="preserve">, </w:t>
      </w:r>
      <w:r w:rsidR="00275AB6" w:rsidRPr="00ED11A2">
        <w:rPr>
          <w:rStyle w:val="09SourcesandnotesfortablesfiguresboxesChar"/>
        </w:rPr>
        <w:t>pp. 8-9.</w:t>
      </w:r>
    </w:p>
    <w:p w14:paraId="00211B35" w14:textId="094F64B0" w:rsidR="005649FB" w:rsidRDefault="005649FB" w:rsidP="005649FB">
      <w:pPr>
        <w:pStyle w:val="02VIRTHeading2"/>
      </w:pPr>
      <w:bookmarkStart w:id="123" w:name="_Toc169513523"/>
      <w:bookmarkStart w:id="124" w:name="_Toc170383557"/>
      <w:r>
        <w:t>A.4</w:t>
      </w:r>
      <w:r w:rsidRPr="003763C2">
        <w:rPr>
          <w:sz w:val="28"/>
          <w:szCs w:val="30"/>
        </w:rPr>
        <w:tab/>
      </w:r>
      <w:r>
        <w:t>Wages Policy</w:t>
      </w:r>
      <w:bookmarkEnd w:id="123"/>
      <w:bookmarkEnd w:id="124"/>
    </w:p>
    <w:p w14:paraId="111D6798" w14:textId="4B2DB213" w:rsidR="005649FB" w:rsidRDefault="005649FB" w:rsidP="005649FB">
      <w:pPr>
        <w:pStyle w:val="05Paragraph"/>
      </w:pPr>
      <w:r>
        <w:t xml:space="preserve">The </w:t>
      </w:r>
      <w:r w:rsidR="006903CA" w:rsidRPr="00F560CC">
        <w:rPr>
          <w:rFonts w:eastAsia="Rockwell"/>
          <w:i/>
          <w:iCs/>
          <w:color w:val="000000"/>
        </w:rPr>
        <w:t>Wages Policy and the Enterprise Bargaining</w:t>
      </w:r>
      <w:r w:rsidR="006903CA" w:rsidRPr="006309B5">
        <w:rPr>
          <w:rFonts w:eastAsia="Rockwell"/>
          <w:color w:val="000000"/>
        </w:rPr>
        <w:t xml:space="preserve"> </w:t>
      </w:r>
      <w:r w:rsidR="006903CA" w:rsidRPr="006C0E23">
        <w:rPr>
          <w:rFonts w:eastAsia="Rockwell"/>
          <w:i/>
          <w:iCs/>
          <w:color w:val="000000"/>
        </w:rPr>
        <w:t>Framework</w:t>
      </w:r>
      <w:r w:rsidR="006903CA">
        <w:rPr>
          <w:rFonts w:eastAsia="Rockwell"/>
          <w:color w:val="000000"/>
        </w:rPr>
        <w:t xml:space="preserve"> (Wages Policy) </w:t>
      </w:r>
      <w:r>
        <w:t xml:space="preserve">sets out the parameters within which Victorian public sector employers are required to bargain and make </w:t>
      </w:r>
      <w:r w:rsidR="006903CA">
        <w:t>EA</w:t>
      </w:r>
      <w:r w:rsidR="001B2310">
        <w:t>s</w:t>
      </w:r>
      <w:r>
        <w:t>. Box A.2 outlines the key features of the current Wages Policy, which was introduced by the Victorian Government in April 2023.</w:t>
      </w:r>
    </w:p>
    <w:p w14:paraId="301BF38F" w14:textId="77777777" w:rsidR="005649FB" w:rsidRPr="007460D0" w:rsidRDefault="005649FB" w:rsidP="005649FB">
      <w:pPr>
        <w:pStyle w:val="08Figuretableboxheading"/>
      </w:pPr>
      <w:r w:rsidRPr="007460D0">
        <w:t>Box A.2: Victorian Public Sector Wages Policy — key features</w:t>
      </w:r>
    </w:p>
    <w:p w14:paraId="330FA08C" w14:textId="77777777" w:rsidR="009542F8" w:rsidRPr="007C05D7" w:rsidRDefault="005649FB" w:rsidP="009542F8">
      <w:pPr>
        <w:spacing w:after="0"/>
        <w:rPr>
          <w:rFonts w:ascii="Calibri Light" w:hAnsi="Calibri Light"/>
          <w:color w:val="000000" w:themeColor="text1"/>
          <w:sz w:val="18"/>
          <w:szCs w:val="20"/>
        </w:rPr>
      </w:pPr>
      <w:r w:rsidRPr="007C05D7">
        <w:rPr>
          <w:rFonts w:ascii="Calibri Light" w:hAnsi="Calibri Light"/>
          <w:noProof/>
          <w:color w:val="000000" w:themeColor="text1"/>
          <w:sz w:val="18"/>
          <w:szCs w:val="20"/>
        </w:rPr>
        <mc:AlternateContent>
          <mc:Choice Requires="wps">
            <w:drawing>
              <wp:inline distT="0" distB="0" distL="0" distR="0" wp14:anchorId="569B25DB" wp14:editId="6FE7D761">
                <wp:extent cx="5429250" cy="4000500"/>
                <wp:effectExtent l="0" t="0" r="19050" b="19050"/>
                <wp:docPr id="1658491530" name="Text Box 1658491530"/>
                <wp:cNvGraphicFramePr/>
                <a:graphic xmlns:a="http://schemas.openxmlformats.org/drawingml/2006/main">
                  <a:graphicData uri="http://schemas.microsoft.com/office/word/2010/wordprocessingShape">
                    <wps:wsp>
                      <wps:cNvSpPr txBox="1"/>
                      <wps:spPr>
                        <a:xfrm>
                          <a:off x="0" y="0"/>
                          <a:ext cx="5429250" cy="4000500"/>
                        </a:xfrm>
                        <a:prstGeom prst="rect">
                          <a:avLst/>
                        </a:prstGeom>
                        <a:solidFill>
                          <a:schemeClr val="bg1"/>
                        </a:solidFill>
                        <a:ln w="19050">
                          <a:solidFill>
                            <a:srgbClr val="148A5D"/>
                          </a:solidFill>
                        </a:ln>
                      </wps:spPr>
                      <wps:txbx>
                        <w:txbxContent>
                          <w:p w14:paraId="6951D961" w14:textId="77777777" w:rsidR="005649FB" w:rsidRPr="007A0ABD" w:rsidRDefault="005649FB" w:rsidP="005649FB">
                            <w:pPr>
                              <w:pStyle w:val="12BoxText"/>
                              <w:spacing w:after="120"/>
                              <w:rPr>
                                <w:rFonts w:cs="Calibri Light"/>
                              </w:rPr>
                            </w:pPr>
                            <w:r w:rsidRPr="007A0ABD">
                              <w:rPr>
                                <w:rFonts w:cs="Calibri Light"/>
                              </w:rPr>
                              <w:t>The Victorian Public Sector Wages Policy has three pillars:</w:t>
                            </w:r>
                          </w:p>
                          <w:p w14:paraId="040D5082" w14:textId="77777777" w:rsidR="005649FB" w:rsidRPr="007A0ABD" w:rsidRDefault="005649FB" w:rsidP="005649FB">
                            <w:pPr>
                              <w:pStyle w:val="Bulletsinatable"/>
                              <w:numPr>
                                <w:ilvl w:val="0"/>
                                <w:numId w:val="0"/>
                              </w:numPr>
                              <w:spacing w:before="120" w:after="40"/>
                              <w:ind w:left="357" w:hanging="357"/>
                              <w:rPr>
                                <w:rFonts w:cs="Calibri Light"/>
                                <w:b/>
                                <w:bCs w:val="0"/>
                                <w:color w:val="26664E" w:themeColor="accent1"/>
                              </w:rPr>
                            </w:pPr>
                            <w:r w:rsidRPr="007A0ABD">
                              <w:rPr>
                                <w:rFonts w:cs="Calibri Light"/>
                                <w:b/>
                                <w:bCs w:val="0"/>
                                <w:color w:val="26664E" w:themeColor="accent1"/>
                              </w:rPr>
                              <w:t>Pillar 1: Wages</w:t>
                            </w:r>
                          </w:p>
                          <w:p w14:paraId="0DD63EC8" w14:textId="69CEFBFB" w:rsidR="005649FB" w:rsidRPr="007A0ABD" w:rsidRDefault="005649FB" w:rsidP="005649FB">
                            <w:pPr>
                              <w:pStyle w:val="Bulletsinatable"/>
                              <w:rPr>
                                <w:rFonts w:cs="Calibri Light"/>
                              </w:rPr>
                            </w:pPr>
                            <w:r w:rsidRPr="007A0ABD">
                              <w:rPr>
                                <w:rFonts w:cs="Calibri Light"/>
                              </w:rPr>
                              <w:t>Increases in wages and conditions will be funded at a rate of growth of 3 per cent per annum over the life of the agreement. In practice, this means that employee wages and conditions will be allowed to grow at this rate.</w:t>
                            </w:r>
                          </w:p>
                          <w:p w14:paraId="6F3330EE" w14:textId="77777777" w:rsidR="005649FB" w:rsidRPr="007A0ABD" w:rsidRDefault="005649FB" w:rsidP="005649FB">
                            <w:pPr>
                              <w:pStyle w:val="Bulletsinatable"/>
                              <w:rPr>
                                <w:rFonts w:cs="Calibri Light"/>
                              </w:rPr>
                            </w:pPr>
                            <w:r w:rsidRPr="007A0ABD">
                              <w:rPr>
                                <w:rFonts w:cs="Calibri Light"/>
                              </w:rPr>
                              <w:t>In addition to annual wage increases, a separate lump sum, cash payment will be available equivalent to an additional 0.5 per cent of overall agreement costs which for the purposes of this policy means a per annum amount calculated on wages and wage</w:t>
                            </w:r>
                            <w:r w:rsidRPr="007A0ABD">
                              <w:rPr>
                                <w:rFonts w:cs="Calibri Light"/>
                              </w:rPr>
                              <w:noBreakHyphen/>
                              <w:t>related conditions.</w:t>
                            </w:r>
                          </w:p>
                          <w:p w14:paraId="19E91618" w14:textId="77777777" w:rsidR="005649FB" w:rsidRPr="007A0ABD" w:rsidRDefault="005649FB" w:rsidP="005649FB">
                            <w:pPr>
                              <w:pStyle w:val="Bulletsinatable"/>
                              <w:numPr>
                                <w:ilvl w:val="0"/>
                                <w:numId w:val="0"/>
                              </w:numPr>
                              <w:spacing w:before="120" w:after="40"/>
                              <w:ind w:left="357" w:hanging="357"/>
                              <w:rPr>
                                <w:rFonts w:cs="Calibri Light"/>
                                <w:b/>
                                <w:bCs w:val="0"/>
                                <w:color w:val="26664E" w:themeColor="accent1"/>
                              </w:rPr>
                            </w:pPr>
                            <w:r w:rsidRPr="007A0ABD">
                              <w:rPr>
                                <w:rFonts w:cs="Calibri Light"/>
                                <w:b/>
                                <w:bCs w:val="0"/>
                                <w:color w:val="26664E" w:themeColor="accent1"/>
                              </w:rPr>
                              <w:t>Pillar 2: Best Practice Employment Commitment</w:t>
                            </w:r>
                          </w:p>
                          <w:p w14:paraId="1E016579" w14:textId="77777777" w:rsidR="005649FB" w:rsidRPr="007A0ABD" w:rsidRDefault="005649FB" w:rsidP="005649FB">
                            <w:pPr>
                              <w:pStyle w:val="Bulletsinatable"/>
                              <w:rPr>
                                <w:rFonts w:cs="Calibri Light"/>
                              </w:rPr>
                            </w:pPr>
                            <w:r w:rsidRPr="007A0ABD">
                              <w:rPr>
                                <w:rFonts w:cs="Calibri Light"/>
                              </w:rPr>
                              <w:t>Public sector agencies may make a Best Practice Employment Commitment which outlines measures to operationalise elements of the Government’s Public Sector Priorities</w:t>
                            </w:r>
                            <w:r w:rsidRPr="007A0ABD">
                              <w:rPr>
                                <w:rFonts w:cs="Calibri Light"/>
                                <w:vertAlign w:val="superscript"/>
                              </w:rPr>
                              <w:t>(a)</w:t>
                            </w:r>
                            <w:r w:rsidRPr="007A0ABD">
                              <w:rPr>
                                <w:rFonts w:cs="Calibri Light"/>
                              </w:rPr>
                              <w:t xml:space="preserve"> that reflect good practice within Government and can be implemented operationally or without significant costs.</w:t>
                            </w:r>
                          </w:p>
                          <w:p w14:paraId="369E82C3" w14:textId="77777777" w:rsidR="005649FB" w:rsidRPr="007A0ABD" w:rsidRDefault="005649FB" w:rsidP="005649FB">
                            <w:pPr>
                              <w:pStyle w:val="Bulletsinatable"/>
                              <w:numPr>
                                <w:ilvl w:val="0"/>
                                <w:numId w:val="0"/>
                              </w:numPr>
                              <w:spacing w:before="120" w:after="40"/>
                              <w:ind w:left="357" w:hanging="357"/>
                              <w:rPr>
                                <w:rFonts w:cs="Calibri Light"/>
                                <w:b/>
                                <w:bCs w:val="0"/>
                                <w:color w:val="26664E" w:themeColor="accent1"/>
                              </w:rPr>
                            </w:pPr>
                            <w:r w:rsidRPr="007A0ABD">
                              <w:rPr>
                                <w:rFonts w:cs="Calibri Light"/>
                                <w:b/>
                                <w:bCs w:val="0"/>
                                <w:color w:val="26664E" w:themeColor="accent1"/>
                              </w:rPr>
                              <w:t>Pillar 3: Additional strategic changes</w:t>
                            </w:r>
                          </w:p>
                          <w:p w14:paraId="7A0B4854" w14:textId="77777777" w:rsidR="005649FB" w:rsidRPr="007A0ABD" w:rsidRDefault="005649FB" w:rsidP="005649FB">
                            <w:pPr>
                              <w:pStyle w:val="Bulletsinatable"/>
                              <w:rPr>
                                <w:rFonts w:cs="Calibri Light"/>
                              </w:rPr>
                            </w:pPr>
                            <w:r w:rsidRPr="007A0ABD">
                              <w:rPr>
                                <w:rFonts w:cs="Calibri Light"/>
                              </w:rPr>
                              <w:t>Additional changes to allowances and other conditions (not general wages) will only be allowed if Government agrees that the changes will address key operational or strategic priorities for the agency, and/or one or more of the Public Sector Priorities and provided the associated costs are funded through appropriate cash offsets or a government approved funding strategy.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69B25DB" id="Text Box 1658491530" o:spid="_x0000_s1029" type="#_x0000_t202" style="width:427.5pt;height: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" fillcolor="white [3212]" strokecolor="#148a5d" strokeweight="1.5pt">
                <v:textbox>
                  <w:txbxContent>
                    <w:p w14:paraId="6951D961" w14:textId="77777777" w:rsidR="005649FB" w:rsidRPr="007A0ABD" w:rsidRDefault="005649FB" w:rsidP="005649FB">
                      <w:pPr>
                        <w:pStyle w:val="12BoxText"/>
                        <w:spacing w:after="120"/>
                        <w:rPr>
                          <w:rFonts w:cs="Calibri Light"/>
                        </w:rPr>
                      </w:pPr>
                      <w:r w:rsidRPr="007A0ABD">
                        <w:rPr>
                          <w:rFonts w:cs="Calibri Light"/>
                        </w:rPr>
                        <w:t>The Victorian Public Sector Wages Policy has three pillars:</w:t>
                      </w:r>
                    </w:p>
                    <w:p w14:paraId="040D5082" w14:textId="77777777" w:rsidR="005649FB" w:rsidRPr="007A0ABD" w:rsidRDefault="005649FB" w:rsidP="005649FB">
                      <w:pPr>
                        <w:pStyle w:val="Bulletsinatable"/>
                        <w:numPr>
                          <w:ilvl w:val="0"/>
                          <w:numId w:val="0"/>
                        </w:numPr>
                        <w:spacing w:before="120" w:after="40"/>
                        <w:ind w:left="357" w:hanging="357"/>
                        <w:rPr>
                          <w:rFonts w:cs="Calibri Light"/>
                          <w:b/>
                          <w:bCs w:val="0"/>
                          <w:color w:val="26664E" w:themeColor="accent1"/>
                        </w:rPr>
                      </w:pPr>
                      <w:r w:rsidRPr="007A0ABD">
                        <w:rPr>
                          <w:rFonts w:cs="Calibri Light"/>
                          <w:b/>
                          <w:bCs w:val="0"/>
                          <w:color w:val="26664E" w:themeColor="accent1"/>
                        </w:rPr>
                        <w:t>Pillar 1: Wages</w:t>
                      </w:r>
                    </w:p>
                    <w:p w14:paraId="0DD63EC8" w14:textId="69CEFBFB" w:rsidR="005649FB" w:rsidRPr="007A0ABD" w:rsidRDefault="005649FB" w:rsidP="005649FB">
                      <w:pPr>
                        <w:pStyle w:val="Bulletsinatable"/>
                        <w:rPr>
                          <w:rFonts w:cs="Calibri Light"/>
                        </w:rPr>
                      </w:pPr>
                      <w:r w:rsidRPr="007A0ABD">
                        <w:rPr>
                          <w:rFonts w:cs="Calibri Light"/>
                        </w:rPr>
                        <w:t>Increases in wages and conditions will be funded at a rate of growth of 3 per cent per annum over the life of the agreement. In practice, this means that employee wages and conditions will be allowed to grow at this rate.</w:t>
                      </w:r>
                    </w:p>
                    <w:p w14:paraId="6F3330EE" w14:textId="77777777" w:rsidR="005649FB" w:rsidRPr="007A0ABD" w:rsidRDefault="005649FB" w:rsidP="005649FB">
                      <w:pPr>
                        <w:pStyle w:val="Bulletsinatable"/>
                        <w:rPr>
                          <w:rFonts w:cs="Calibri Light"/>
                        </w:rPr>
                      </w:pPr>
                      <w:r w:rsidRPr="007A0ABD">
                        <w:rPr>
                          <w:rFonts w:cs="Calibri Light"/>
                        </w:rPr>
                        <w:t>In addition to annual wage increases, a separate lump sum, cash payment will be available equivalent to an additional 0.5 per cent of overall agreement costs which for the purposes of this policy means a per annum amount calculated on wages and wage</w:t>
                      </w:r>
                      <w:r w:rsidRPr="007A0ABD">
                        <w:rPr>
                          <w:rFonts w:cs="Calibri Light"/>
                        </w:rPr>
                        <w:noBreakHyphen/>
                        <w:t>related conditions.</w:t>
                      </w:r>
                    </w:p>
                    <w:p w14:paraId="19E91618" w14:textId="77777777" w:rsidR="005649FB" w:rsidRPr="007A0ABD" w:rsidRDefault="005649FB" w:rsidP="005649FB">
                      <w:pPr>
                        <w:pStyle w:val="Bulletsinatable"/>
                        <w:numPr>
                          <w:ilvl w:val="0"/>
                          <w:numId w:val="0"/>
                        </w:numPr>
                        <w:spacing w:before="120" w:after="40"/>
                        <w:ind w:left="357" w:hanging="357"/>
                        <w:rPr>
                          <w:rFonts w:cs="Calibri Light"/>
                          <w:b/>
                          <w:bCs w:val="0"/>
                          <w:color w:val="26664E" w:themeColor="accent1"/>
                        </w:rPr>
                      </w:pPr>
                      <w:r w:rsidRPr="007A0ABD">
                        <w:rPr>
                          <w:rFonts w:cs="Calibri Light"/>
                          <w:b/>
                          <w:bCs w:val="0"/>
                          <w:color w:val="26664E" w:themeColor="accent1"/>
                        </w:rPr>
                        <w:t>Pillar 2: Best Practice Employment Commitment</w:t>
                      </w:r>
                    </w:p>
                    <w:p w14:paraId="1E016579" w14:textId="77777777" w:rsidR="005649FB" w:rsidRPr="007A0ABD" w:rsidRDefault="005649FB" w:rsidP="005649FB">
                      <w:pPr>
                        <w:pStyle w:val="Bulletsinatable"/>
                        <w:rPr>
                          <w:rFonts w:cs="Calibri Light"/>
                        </w:rPr>
                      </w:pPr>
                      <w:r w:rsidRPr="007A0ABD">
                        <w:rPr>
                          <w:rFonts w:cs="Calibri Light"/>
                        </w:rPr>
                        <w:t>Public sector agencies may make a Best Practice Employment Commitment which outlines measures to operationalise elements of the Government’s Public Sector Priorities</w:t>
                      </w:r>
                      <w:r w:rsidRPr="007A0ABD">
                        <w:rPr>
                          <w:rFonts w:cs="Calibri Light"/>
                          <w:vertAlign w:val="superscript"/>
                        </w:rPr>
                        <w:t>(a)</w:t>
                      </w:r>
                      <w:r w:rsidRPr="007A0ABD">
                        <w:rPr>
                          <w:rFonts w:cs="Calibri Light"/>
                        </w:rPr>
                        <w:t xml:space="preserve"> that reflect good practice within Government and can be implemented operationally or without significant costs.</w:t>
                      </w:r>
                    </w:p>
                    <w:p w14:paraId="369E82C3" w14:textId="77777777" w:rsidR="005649FB" w:rsidRPr="007A0ABD" w:rsidRDefault="005649FB" w:rsidP="005649FB">
                      <w:pPr>
                        <w:pStyle w:val="Bulletsinatable"/>
                        <w:numPr>
                          <w:ilvl w:val="0"/>
                          <w:numId w:val="0"/>
                        </w:numPr>
                        <w:spacing w:before="120" w:after="40"/>
                        <w:ind w:left="357" w:hanging="357"/>
                        <w:rPr>
                          <w:rFonts w:cs="Calibri Light"/>
                          <w:b/>
                          <w:bCs w:val="0"/>
                          <w:color w:val="26664E" w:themeColor="accent1"/>
                        </w:rPr>
                      </w:pPr>
                      <w:r w:rsidRPr="007A0ABD">
                        <w:rPr>
                          <w:rFonts w:cs="Calibri Light"/>
                          <w:b/>
                          <w:bCs w:val="0"/>
                          <w:color w:val="26664E" w:themeColor="accent1"/>
                        </w:rPr>
                        <w:t>Pillar 3: Additional strategic changes</w:t>
                      </w:r>
                    </w:p>
                    <w:p w14:paraId="7A0B4854" w14:textId="77777777" w:rsidR="005649FB" w:rsidRPr="007A0ABD" w:rsidRDefault="005649FB" w:rsidP="005649FB">
                      <w:pPr>
                        <w:pStyle w:val="Bulletsinatable"/>
                        <w:rPr>
                          <w:rFonts w:cs="Calibri Light"/>
                        </w:rPr>
                      </w:pPr>
                      <w:r w:rsidRPr="007A0ABD">
                        <w:rPr>
                          <w:rFonts w:cs="Calibri Light"/>
                        </w:rPr>
                        <w:t>Additional changes to allowances and other conditions (not general wages) will only be allowed if Government agrees that the changes will address key operational or strategic priorities for the agency, and/or one or more of the Public Sector Priorities and provided the associated costs are funded through appropriate cash offsets or a government approved funding strategy.</w:t>
                      </w:r>
                    </w:p>
                  </w:txbxContent>
                </v:textbox>
                <w10:anchorlock/>
              </v:shape>
            </w:pict>
          </mc:Fallback>
        </mc:AlternateContent>
      </w:r>
    </w:p>
    <w:p w14:paraId="40BFB3B0" w14:textId="0D3561BF" w:rsidR="009542F8" w:rsidRPr="007C05D7" w:rsidRDefault="009542F8" w:rsidP="009542F8">
      <w:pPr>
        <w:spacing w:after="0"/>
        <w:rPr>
          <w:rFonts w:ascii="Calibri Light" w:hAnsi="Calibri Light"/>
          <w:color w:val="000000" w:themeColor="text1"/>
          <w:sz w:val="18"/>
          <w:szCs w:val="20"/>
        </w:rPr>
      </w:pPr>
      <w:r w:rsidRPr="007C05D7">
        <w:rPr>
          <w:rFonts w:ascii="Calibri Light" w:hAnsi="Calibri Light"/>
          <w:color w:val="000000" w:themeColor="text1"/>
          <w:sz w:val="18"/>
          <w:szCs w:val="20"/>
        </w:rPr>
        <w:t xml:space="preserve">Note: (a) The Public Sector Priorities are: </w:t>
      </w:r>
      <w:r w:rsidR="000F4382">
        <w:rPr>
          <w:rFonts w:ascii="Calibri Light" w:hAnsi="Calibri Light"/>
          <w:color w:val="000000" w:themeColor="text1"/>
          <w:sz w:val="18"/>
          <w:szCs w:val="20"/>
        </w:rPr>
        <w:t>‘</w:t>
      </w:r>
      <w:r>
        <w:rPr>
          <w:rFonts w:ascii="Calibri Light" w:hAnsi="Calibri Light"/>
          <w:color w:val="000000" w:themeColor="text1"/>
          <w:sz w:val="18"/>
          <w:szCs w:val="20"/>
        </w:rPr>
        <w:t xml:space="preserve">deliver </w:t>
      </w:r>
      <w:r w:rsidRPr="007C05D7">
        <w:rPr>
          <w:rFonts w:ascii="Calibri Light" w:hAnsi="Calibri Light"/>
          <w:color w:val="000000" w:themeColor="text1"/>
          <w:sz w:val="18"/>
          <w:szCs w:val="20"/>
        </w:rPr>
        <w:t>exceptional services and value for Victorians</w:t>
      </w:r>
      <w:r>
        <w:rPr>
          <w:rFonts w:ascii="Calibri Light" w:hAnsi="Calibri Light"/>
          <w:color w:val="000000" w:themeColor="text1"/>
          <w:sz w:val="18"/>
          <w:szCs w:val="20"/>
        </w:rPr>
        <w:t xml:space="preserve">’, </w:t>
      </w:r>
      <w:r w:rsidR="0091112D">
        <w:rPr>
          <w:rFonts w:ascii="Calibri Light" w:hAnsi="Calibri Light"/>
          <w:color w:val="000000" w:themeColor="text1"/>
          <w:sz w:val="18"/>
          <w:szCs w:val="20"/>
        </w:rPr>
        <w:t>‘</w:t>
      </w:r>
      <w:r w:rsidRPr="007C05D7">
        <w:rPr>
          <w:rFonts w:ascii="Calibri Light" w:hAnsi="Calibri Light"/>
          <w:color w:val="000000" w:themeColor="text1"/>
          <w:sz w:val="18"/>
          <w:szCs w:val="20"/>
        </w:rPr>
        <w:t>a professional and responsive public sector</w:t>
      </w:r>
      <w:r>
        <w:rPr>
          <w:rFonts w:ascii="Calibri Light" w:hAnsi="Calibri Light"/>
          <w:color w:val="000000" w:themeColor="text1"/>
          <w:sz w:val="18"/>
          <w:szCs w:val="20"/>
        </w:rPr>
        <w:t>’,</w:t>
      </w:r>
      <w:r w:rsidRPr="007C05D7">
        <w:rPr>
          <w:rFonts w:ascii="Calibri Light" w:hAnsi="Calibri Light"/>
          <w:color w:val="000000" w:themeColor="text1"/>
          <w:sz w:val="18"/>
          <w:szCs w:val="20"/>
        </w:rPr>
        <w:t xml:space="preserve"> </w:t>
      </w:r>
      <w:r>
        <w:rPr>
          <w:rFonts w:ascii="Calibri Light" w:hAnsi="Calibri Light"/>
          <w:color w:val="000000" w:themeColor="text1"/>
          <w:sz w:val="18"/>
          <w:szCs w:val="20"/>
        </w:rPr>
        <w:t>‘</w:t>
      </w:r>
      <w:r w:rsidRPr="007C05D7">
        <w:rPr>
          <w:rFonts w:ascii="Calibri Light" w:hAnsi="Calibri Light"/>
          <w:color w:val="000000" w:themeColor="text1"/>
          <w:sz w:val="18"/>
          <w:szCs w:val="20"/>
        </w:rPr>
        <w:t>government as a fair and best practice employer</w:t>
      </w:r>
      <w:r>
        <w:rPr>
          <w:rFonts w:ascii="Calibri Light" w:hAnsi="Calibri Light"/>
          <w:color w:val="000000" w:themeColor="text1"/>
          <w:sz w:val="18"/>
          <w:szCs w:val="20"/>
        </w:rPr>
        <w:t>’</w:t>
      </w:r>
      <w:r w:rsidRPr="007C05D7">
        <w:rPr>
          <w:rFonts w:ascii="Calibri Light" w:hAnsi="Calibri Light"/>
          <w:color w:val="000000" w:themeColor="text1"/>
          <w:sz w:val="18"/>
          <w:szCs w:val="20"/>
        </w:rPr>
        <w:t>.</w:t>
      </w:r>
      <w:r>
        <w:rPr>
          <w:rFonts w:ascii="Calibri Light" w:hAnsi="Calibri Light"/>
          <w:color w:val="000000" w:themeColor="text1"/>
          <w:sz w:val="18"/>
          <w:szCs w:val="20"/>
        </w:rPr>
        <w:t xml:space="preserve"> </w:t>
      </w:r>
    </w:p>
    <w:p w14:paraId="412804A0" w14:textId="055D56DE" w:rsidR="005649FB" w:rsidRDefault="005649FB" w:rsidP="005649FB">
      <w:pPr>
        <w:spacing w:after="0"/>
        <w:rPr>
          <w:rFonts w:ascii="Calibri Light" w:hAnsi="Calibri Light"/>
          <w:color w:val="000000" w:themeColor="text1"/>
          <w:sz w:val="18"/>
          <w:szCs w:val="20"/>
        </w:rPr>
      </w:pPr>
      <w:r w:rsidRPr="007C05D7">
        <w:rPr>
          <w:rFonts w:ascii="Calibri Light" w:hAnsi="Calibri Light"/>
          <w:color w:val="000000" w:themeColor="text1"/>
          <w:sz w:val="18"/>
          <w:szCs w:val="20"/>
        </w:rPr>
        <w:t xml:space="preserve">Source: </w:t>
      </w:r>
      <w:r w:rsidR="001A72C4">
        <w:rPr>
          <w:rFonts w:ascii="Calibri Light" w:hAnsi="Calibri Light"/>
          <w:color w:val="000000" w:themeColor="text1"/>
          <w:sz w:val="18"/>
          <w:szCs w:val="20"/>
        </w:rPr>
        <w:t>Industrial Relations Victoria</w:t>
      </w:r>
      <w:r w:rsidR="007114A9" w:rsidRPr="007114A9">
        <w:rPr>
          <w:rFonts w:ascii="Calibri Light" w:hAnsi="Calibri Light"/>
          <w:color w:val="000000" w:themeColor="text1"/>
          <w:sz w:val="18"/>
          <w:szCs w:val="20"/>
        </w:rPr>
        <w:t xml:space="preserve"> (2024)</w:t>
      </w:r>
      <w:r w:rsidRPr="007C05D7">
        <w:rPr>
          <w:rFonts w:ascii="Calibri Light" w:hAnsi="Calibri Light"/>
          <w:color w:val="000000" w:themeColor="text1"/>
          <w:sz w:val="18"/>
          <w:szCs w:val="20"/>
        </w:rPr>
        <w:t>.</w:t>
      </w:r>
    </w:p>
    <w:p w14:paraId="37464617" w14:textId="250D3F45" w:rsidR="005649FB" w:rsidRDefault="005649FB" w:rsidP="005649FB">
      <w:pPr>
        <w:pStyle w:val="03VIRTHeading3"/>
      </w:pPr>
      <w:r>
        <w:t xml:space="preserve">There is in-principle agreement on a new </w:t>
      </w:r>
      <w:r w:rsidR="00CA798C">
        <w:t>Victorian Public Service</w:t>
      </w:r>
      <w:r>
        <w:t xml:space="preserve"> EA</w:t>
      </w:r>
    </w:p>
    <w:p w14:paraId="1DFBC3A3" w14:textId="0BC3563C" w:rsidR="005649FB" w:rsidRDefault="005649FB" w:rsidP="005649FB">
      <w:pPr>
        <w:pStyle w:val="05Paragraph"/>
      </w:pPr>
      <w:r>
        <w:t>Non-executive V</w:t>
      </w:r>
      <w:r w:rsidR="00CA798C">
        <w:t>ictorian Public Service</w:t>
      </w:r>
      <w:r>
        <w:t xml:space="preserve"> </w:t>
      </w:r>
      <w:r w:rsidR="00A37B92">
        <w:t xml:space="preserve">(VPS) </w:t>
      </w:r>
      <w:r>
        <w:t xml:space="preserve">employees are covered by an </w:t>
      </w:r>
      <w:r w:rsidR="00E974AF">
        <w:t>EA</w:t>
      </w:r>
      <w:r>
        <w:t xml:space="preserve">. The current </w:t>
      </w:r>
      <w:r w:rsidR="00E974AF">
        <w:t>EA</w:t>
      </w:r>
      <w:r>
        <w:t xml:space="preserve">, the </w:t>
      </w:r>
      <w:r w:rsidRPr="00A97E2C">
        <w:rPr>
          <w:i/>
        </w:rPr>
        <w:t>Victorian Public Service Enterprise Agreement 2020</w:t>
      </w:r>
      <w:r w:rsidRPr="004726E3">
        <w:t xml:space="preserve">, </w:t>
      </w:r>
      <w:r>
        <w:t>nominally expired in March 2024, but remained in operation while a new agreement was being negotiated.</w:t>
      </w:r>
    </w:p>
    <w:p w14:paraId="5E8D118A" w14:textId="35B524FD" w:rsidR="005649FB" w:rsidRDefault="005649FB" w:rsidP="005649FB">
      <w:pPr>
        <w:pStyle w:val="05Paragraph"/>
      </w:pPr>
      <w:r>
        <w:t>Prior to the making</w:t>
      </w:r>
      <w:r w:rsidR="00A253D8">
        <w:t xml:space="preserve"> of</w:t>
      </w:r>
      <w:r>
        <w:t xml:space="preserve"> this Determination, the Secretary of </w:t>
      </w:r>
      <w:r w:rsidR="00CD48D2">
        <w:t>the Department of Premier and Cabinet</w:t>
      </w:r>
      <w:r>
        <w:t xml:space="preserve"> announced that the Victorian Government and the Community and Public Sector Union had reached in</w:t>
      </w:r>
      <w:r>
        <w:noBreakHyphen/>
        <w:t xml:space="preserve">principle agreement on the core terms and conditions that will form part of a new </w:t>
      </w:r>
      <w:r w:rsidR="00A37B92">
        <w:t>VPS</w:t>
      </w:r>
      <w:r>
        <w:t xml:space="preserve"> </w:t>
      </w:r>
      <w:r w:rsidR="00E974AF">
        <w:t>EA</w:t>
      </w:r>
      <w:r>
        <w:t>.</w:t>
      </w:r>
      <w:r w:rsidR="00EC3AEA">
        <w:rPr>
          <w:rStyle w:val="FootnoteReference"/>
        </w:rPr>
        <w:footnoteReference w:id="96"/>
      </w:r>
      <w:r>
        <w:t xml:space="preserve"> However, at the time of making this Determination, </w:t>
      </w:r>
      <w:r w:rsidR="00A37B92">
        <w:t>VPS</w:t>
      </w:r>
      <w:r>
        <w:t xml:space="preserve"> staff had yet to vote on the agreement. If approved, the agreement will also need to be lodged with the FWC for approval.</w:t>
      </w:r>
    </w:p>
    <w:p w14:paraId="64E6C65A" w14:textId="77777777" w:rsidR="005649FB" w:rsidRDefault="005649FB" w:rsidP="005649FB">
      <w:pPr>
        <w:pStyle w:val="05Paragraph"/>
        <w:keepNext/>
      </w:pPr>
      <w:r>
        <w:t>The draft agreement provides for:</w:t>
      </w:r>
    </w:p>
    <w:p w14:paraId="04546821" w14:textId="77777777" w:rsidR="005649FB" w:rsidRPr="004E54FD" w:rsidRDefault="005649FB" w:rsidP="00D13EE0">
      <w:pPr>
        <w:pStyle w:val="06VIRTBulletpoints"/>
      </w:pPr>
      <w:r w:rsidRPr="004E54FD">
        <w:t xml:space="preserve">annual salary </w:t>
      </w:r>
      <w:r w:rsidRPr="00D13EE0">
        <w:t>increases</w:t>
      </w:r>
      <w:r w:rsidRPr="004E54FD">
        <w:t xml:space="preserve"> of 3 per cent over the life of the agreement, effective from 1 May each year</w:t>
      </w:r>
    </w:p>
    <w:p w14:paraId="352B7003" w14:textId="77777777" w:rsidR="005649FB" w:rsidRPr="004E54FD" w:rsidRDefault="005649FB" w:rsidP="004E54FD">
      <w:pPr>
        <w:pStyle w:val="06VIRTBulletpoints"/>
      </w:pPr>
      <w:r w:rsidRPr="004E54FD">
        <w:t>a once-off lump sum payment of $5,600 (pro-rata for part-time and eligible casual employees) for all non-executive employees, regardless of classification, who are employed on 28 June 2024</w:t>
      </w:r>
    </w:p>
    <w:p w14:paraId="5E74FB81" w14:textId="77777777" w:rsidR="005649FB" w:rsidRPr="004E54FD" w:rsidRDefault="005649FB" w:rsidP="00A4159F">
      <w:pPr>
        <w:pStyle w:val="06VIRTBulletpoints"/>
      </w:pPr>
      <w:r w:rsidRPr="004E54FD">
        <w:t>an additional once-off payment of $1,000 (also calculated on a pro</w:t>
      </w:r>
      <w:r w:rsidRPr="004E54FD">
        <w:noBreakHyphen/>
        <w:t>rata basis) will also be payable to eligible shift workers employed on 1 October 2024</w:t>
      </w:r>
    </w:p>
    <w:p w14:paraId="48E16A97" w14:textId="77777777" w:rsidR="005649FB" w:rsidRPr="004E54FD" w:rsidRDefault="005649FB" w:rsidP="00D13EE0">
      <w:pPr>
        <w:pStyle w:val="06VIRTBulletpoints"/>
      </w:pPr>
      <w:r w:rsidRPr="004E54FD">
        <w:t xml:space="preserve">an increase to the lump sum payment (from 1 per cent to 1.5 per cent of base salary) paid to employees at the top of their grade or value range who are assessed as having met </w:t>
      </w:r>
      <w:r w:rsidRPr="00D13EE0">
        <w:t>their</w:t>
      </w:r>
      <w:r w:rsidRPr="004E54FD">
        <w:t xml:space="preserve"> progression criteria.</w:t>
      </w:r>
    </w:p>
    <w:p w14:paraId="0AC2FDD2" w14:textId="05E445D6" w:rsidR="005649FB" w:rsidRPr="007664DF" w:rsidRDefault="005649FB" w:rsidP="005649FB">
      <w:pPr>
        <w:pStyle w:val="05Paragraph"/>
      </w:pPr>
      <w:r>
        <w:t xml:space="preserve">Under the draft agreement, </w:t>
      </w:r>
      <w:r w:rsidR="00A37B92">
        <w:t>VPS</w:t>
      </w:r>
      <w:r>
        <w:t xml:space="preserve"> staff would also retain access to annual progression payments and the mobility payment.</w:t>
      </w:r>
    </w:p>
    <w:p w14:paraId="12B354FB" w14:textId="77777777" w:rsidR="00B55C76" w:rsidRDefault="00B55C76" w:rsidP="00051414">
      <w:pPr>
        <w:pStyle w:val="Chapterheading"/>
      </w:pPr>
      <w:r>
        <w:br w:type="page"/>
      </w:r>
    </w:p>
    <w:p w14:paraId="4F65CB86" w14:textId="71E6FCFB" w:rsidR="003C36C9" w:rsidRDefault="00051414" w:rsidP="005E34AD">
      <w:pPr>
        <w:pStyle w:val="01Chapterheading"/>
        <w:rPr>
          <w:color w:val="auto"/>
        </w:rPr>
      </w:pPr>
      <w:bookmarkStart w:id="125" w:name="_Toc170383558"/>
      <w:r w:rsidRPr="005E34AD">
        <w:t>References</w:t>
      </w:r>
      <w:bookmarkEnd w:id="125"/>
    </w:p>
    <w:p w14:paraId="7224F1EA" w14:textId="4C771A10" w:rsidR="002B0FCC" w:rsidRDefault="00124FD6" w:rsidP="00DC59EF">
      <w:pPr>
        <w:pStyle w:val="05Paragraph"/>
        <w:ind w:left="720" w:hanging="720"/>
        <w:jc w:val="left"/>
        <w:rPr>
          <w:rFonts w:cs="Calibri Light"/>
        </w:rPr>
      </w:pPr>
      <w:r>
        <w:rPr>
          <w:rFonts w:cs="Calibri Light"/>
        </w:rPr>
        <w:t>ABS (</w:t>
      </w:r>
      <w:r w:rsidR="00DC59EF" w:rsidRPr="00E24CDB">
        <w:rPr>
          <w:rFonts w:cs="Calibri Light"/>
        </w:rPr>
        <w:t>Australian Bureau of Statistics</w:t>
      </w:r>
      <w:r>
        <w:rPr>
          <w:rFonts w:cs="Calibri Light"/>
        </w:rPr>
        <w:t>)</w:t>
      </w:r>
      <w:r w:rsidR="002B0FCC">
        <w:rPr>
          <w:rFonts w:cs="Calibri Light"/>
        </w:rPr>
        <w:t xml:space="preserve"> (2023</w:t>
      </w:r>
      <w:r w:rsidR="00BD3113">
        <w:rPr>
          <w:rFonts w:cs="Calibri Light"/>
        </w:rPr>
        <w:t xml:space="preserve">), </w:t>
      </w:r>
      <w:r w:rsidR="00BD3113">
        <w:rPr>
          <w:rFonts w:cs="Calibri Light"/>
          <w:i/>
          <w:iCs/>
        </w:rPr>
        <w:t>National, state and territory population</w:t>
      </w:r>
      <w:r w:rsidR="00AC1AE4">
        <w:rPr>
          <w:rFonts w:cs="Calibri Light"/>
          <w:i/>
          <w:iCs/>
        </w:rPr>
        <w:t xml:space="preserve">, </w:t>
      </w:r>
      <w:r w:rsidR="00AC1AE4">
        <w:rPr>
          <w:rFonts w:cs="Calibri Light"/>
        </w:rPr>
        <w:t>December 2023</w:t>
      </w:r>
      <w:r w:rsidR="000416CA">
        <w:rPr>
          <w:rFonts w:cs="Calibri Light"/>
        </w:rPr>
        <w:t>.</w:t>
      </w:r>
    </w:p>
    <w:p w14:paraId="3E6FCBBB" w14:textId="1026CC33" w:rsidR="00DC59EF" w:rsidRPr="00E24CDB" w:rsidRDefault="002B0FCC" w:rsidP="00DC59EF">
      <w:pPr>
        <w:pStyle w:val="05Paragraph"/>
        <w:ind w:left="720" w:hanging="720"/>
        <w:jc w:val="left"/>
        <w:rPr>
          <w:rFonts w:cs="Calibri Light"/>
        </w:rPr>
      </w:pPr>
      <w:r w:rsidRPr="00267298">
        <w:rPr>
          <w:rFonts w:cs="Calibri Light"/>
          <w:lang w:eastAsia="en-AU"/>
        </w:rPr>
        <w:t>———</w:t>
      </w:r>
      <w:r w:rsidRPr="00E24CDB">
        <w:rPr>
          <w:rFonts w:cs="Calibri Light"/>
        </w:rPr>
        <w:t xml:space="preserve"> </w:t>
      </w:r>
      <w:r w:rsidR="00DC59EF" w:rsidRPr="00E24CDB">
        <w:rPr>
          <w:rFonts w:cs="Calibri Light"/>
        </w:rPr>
        <w:t xml:space="preserve">(2024a), </w:t>
      </w:r>
      <w:r w:rsidR="00DC59EF" w:rsidRPr="00E24CDB">
        <w:rPr>
          <w:rFonts w:cs="Calibri Light"/>
          <w:i/>
          <w:iCs/>
        </w:rPr>
        <w:t>Australian National Accounts: National Income, Expenditure and Product</w:t>
      </w:r>
      <w:r w:rsidR="00DC59EF" w:rsidRPr="00E24CDB">
        <w:rPr>
          <w:rFonts w:cs="Calibri Light"/>
        </w:rPr>
        <w:t>, March 2024</w:t>
      </w:r>
      <w:r w:rsidR="000416CA">
        <w:rPr>
          <w:rFonts w:cs="Calibri Light"/>
        </w:rPr>
        <w:t>.</w:t>
      </w:r>
    </w:p>
    <w:p w14:paraId="61E78D3D" w14:textId="7BBE911D" w:rsidR="00DC59EF" w:rsidRPr="00267298" w:rsidRDefault="00DC59EF" w:rsidP="00DC59EF">
      <w:pPr>
        <w:pStyle w:val="05Paragraph"/>
        <w:ind w:left="720" w:hanging="720"/>
        <w:jc w:val="left"/>
        <w:rPr>
          <w:rFonts w:cs="Calibri Light"/>
          <w:lang w:eastAsia="en-AU"/>
        </w:rPr>
      </w:pPr>
      <w:r w:rsidRPr="00267298">
        <w:rPr>
          <w:rFonts w:cs="Calibri Light"/>
          <w:lang w:eastAsia="en-AU"/>
        </w:rPr>
        <w:t xml:space="preserve">——— (2024b), </w:t>
      </w:r>
      <w:r w:rsidRPr="00267298">
        <w:rPr>
          <w:rFonts w:cs="Calibri Light"/>
          <w:i/>
          <w:iCs/>
          <w:lang w:eastAsia="en-AU"/>
        </w:rPr>
        <w:t>Average Weekly Earnings, Australia</w:t>
      </w:r>
      <w:r w:rsidRPr="00267298">
        <w:rPr>
          <w:rFonts w:cs="Calibri Light"/>
          <w:lang w:eastAsia="en-AU"/>
        </w:rPr>
        <w:t>, November 2023</w:t>
      </w:r>
      <w:r w:rsidR="000416CA">
        <w:rPr>
          <w:rFonts w:cs="Calibri Light"/>
        </w:rPr>
        <w:t>.</w:t>
      </w:r>
    </w:p>
    <w:p w14:paraId="0B2241DE" w14:textId="095036B9" w:rsidR="00DC59EF" w:rsidRPr="00BC7216" w:rsidRDefault="00DC59EF" w:rsidP="00DC59EF">
      <w:pPr>
        <w:pStyle w:val="05Paragraph"/>
        <w:ind w:left="720" w:hanging="720"/>
        <w:jc w:val="left"/>
        <w:rPr>
          <w:rFonts w:cs="Calibri Light"/>
        </w:rPr>
      </w:pPr>
      <w:r w:rsidRPr="00BC7216">
        <w:rPr>
          <w:rFonts w:cs="Calibri Light"/>
          <w:lang w:eastAsia="en-AU"/>
        </w:rPr>
        <w:t xml:space="preserve">——— (2024c), </w:t>
      </w:r>
      <w:r w:rsidRPr="00BC7216">
        <w:rPr>
          <w:rFonts w:cs="Calibri Light"/>
          <w:i/>
          <w:iCs/>
          <w:lang w:eastAsia="en-AU"/>
        </w:rPr>
        <w:t xml:space="preserve">Consumer Price Index, Australia, </w:t>
      </w:r>
      <w:r w:rsidRPr="00BC7216">
        <w:rPr>
          <w:rFonts w:cs="Calibri Light"/>
          <w:lang w:eastAsia="en-AU"/>
        </w:rPr>
        <w:t>March quarter 2024</w:t>
      </w:r>
      <w:r w:rsidR="000416CA">
        <w:rPr>
          <w:rFonts w:cs="Calibri Light"/>
        </w:rPr>
        <w:t>.</w:t>
      </w:r>
    </w:p>
    <w:p w14:paraId="3C4599EC" w14:textId="4A7A4FF6" w:rsidR="00DC59EF" w:rsidRPr="00681F4D" w:rsidRDefault="00DC59EF" w:rsidP="00DC59EF">
      <w:pPr>
        <w:pStyle w:val="05Paragraph"/>
        <w:ind w:left="720" w:hanging="720"/>
        <w:jc w:val="left"/>
        <w:rPr>
          <w:rFonts w:cs="Calibri Light"/>
        </w:rPr>
      </w:pPr>
      <w:r w:rsidRPr="00681F4D">
        <w:rPr>
          <w:rFonts w:cs="Calibri Light"/>
          <w:lang w:eastAsia="en-AU"/>
        </w:rPr>
        <w:t xml:space="preserve">——— (2024d), </w:t>
      </w:r>
      <w:r w:rsidRPr="00681F4D">
        <w:rPr>
          <w:rFonts w:cs="Calibri Light"/>
          <w:i/>
          <w:iCs/>
          <w:lang w:eastAsia="en-AU"/>
        </w:rPr>
        <w:t>Labour Force, Australia</w:t>
      </w:r>
      <w:r w:rsidRPr="00681F4D">
        <w:rPr>
          <w:rFonts w:cs="Calibri Light"/>
          <w:lang w:eastAsia="en-AU"/>
        </w:rPr>
        <w:t xml:space="preserve">, </w:t>
      </w:r>
      <w:r w:rsidR="008462F8">
        <w:rPr>
          <w:rFonts w:cs="Calibri Light"/>
          <w:lang w:eastAsia="en-AU"/>
        </w:rPr>
        <w:t>May</w:t>
      </w:r>
      <w:r w:rsidR="008462F8" w:rsidRPr="00681F4D">
        <w:rPr>
          <w:rFonts w:cs="Calibri Light"/>
          <w:lang w:eastAsia="en-AU"/>
        </w:rPr>
        <w:t xml:space="preserve"> </w:t>
      </w:r>
      <w:r w:rsidRPr="00681F4D">
        <w:rPr>
          <w:rFonts w:cs="Calibri Light"/>
          <w:lang w:eastAsia="en-AU"/>
        </w:rPr>
        <w:t>2024</w:t>
      </w:r>
      <w:r w:rsidR="000416CA">
        <w:rPr>
          <w:rFonts w:cs="Calibri Light"/>
        </w:rPr>
        <w:t>.</w:t>
      </w:r>
    </w:p>
    <w:p w14:paraId="552EB605" w14:textId="161094C3" w:rsidR="00DC59EF" w:rsidRPr="00CD3E03" w:rsidRDefault="00DC59EF" w:rsidP="00DC59EF">
      <w:pPr>
        <w:pStyle w:val="05Paragraph"/>
        <w:ind w:left="720" w:hanging="720"/>
        <w:jc w:val="left"/>
        <w:rPr>
          <w:rFonts w:cs="Calibri Light"/>
          <w:lang w:eastAsia="en-AU"/>
        </w:rPr>
      </w:pPr>
      <w:r w:rsidRPr="00CD3E03">
        <w:rPr>
          <w:rFonts w:cs="Calibri Light"/>
          <w:lang w:eastAsia="en-AU"/>
        </w:rPr>
        <w:t xml:space="preserve">——— (2024e), </w:t>
      </w:r>
      <w:r w:rsidRPr="00CD3E03">
        <w:rPr>
          <w:rFonts w:cs="Calibri Light"/>
          <w:i/>
          <w:iCs/>
          <w:lang w:eastAsia="en-AU"/>
        </w:rPr>
        <w:t xml:space="preserve">Monthly Consumer Price index Indicator, </w:t>
      </w:r>
      <w:r w:rsidRPr="00CD3E03">
        <w:rPr>
          <w:rFonts w:cs="Calibri Light"/>
          <w:lang w:eastAsia="en-AU"/>
        </w:rPr>
        <w:t>April 2024</w:t>
      </w:r>
      <w:r w:rsidR="000416CA">
        <w:rPr>
          <w:rFonts w:cs="Calibri Light"/>
        </w:rPr>
        <w:t>.</w:t>
      </w:r>
    </w:p>
    <w:p w14:paraId="7C09BBFF" w14:textId="6D5E2796" w:rsidR="00DC59EF" w:rsidRPr="00053ECD" w:rsidRDefault="00DC59EF" w:rsidP="00DC59EF">
      <w:pPr>
        <w:pStyle w:val="05Paragraph"/>
        <w:ind w:left="720" w:hanging="720"/>
        <w:jc w:val="left"/>
        <w:rPr>
          <w:rFonts w:cs="Calibri Light"/>
          <w:lang w:eastAsia="en-AU"/>
        </w:rPr>
      </w:pPr>
      <w:r w:rsidRPr="00053ECD">
        <w:rPr>
          <w:rFonts w:cs="Calibri Light"/>
          <w:lang w:eastAsia="en-AU"/>
        </w:rPr>
        <w:t xml:space="preserve">——— (2024f), </w:t>
      </w:r>
      <w:r w:rsidRPr="00053ECD">
        <w:rPr>
          <w:rFonts w:cs="Calibri Light"/>
          <w:i/>
          <w:iCs/>
          <w:lang w:eastAsia="en-AU"/>
        </w:rPr>
        <w:t>Wage Price Index, Australia</w:t>
      </w:r>
      <w:r w:rsidRPr="00053ECD">
        <w:rPr>
          <w:rFonts w:cs="Calibri Light"/>
          <w:lang w:eastAsia="en-AU"/>
        </w:rPr>
        <w:t>, March quarter 2024</w:t>
      </w:r>
      <w:r w:rsidR="000416CA">
        <w:rPr>
          <w:rFonts w:cs="Calibri Light"/>
        </w:rPr>
        <w:t>.</w:t>
      </w:r>
    </w:p>
    <w:p w14:paraId="1C7E3234" w14:textId="5021A34C" w:rsidR="00DC59EF" w:rsidRPr="00267298" w:rsidRDefault="00DC59EF" w:rsidP="00DC59EF">
      <w:pPr>
        <w:pStyle w:val="05Paragraph"/>
        <w:ind w:left="720" w:hanging="720"/>
        <w:jc w:val="left"/>
        <w:rPr>
          <w:rFonts w:cs="Calibri Light"/>
        </w:rPr>
      </w:pPr>
      <w:r w:rsidRPr="00267298">
        <w:rPr>
          <w:rFonts w:cs="Calibri Light"/>
          <w:lang w:eastAsia="en-AU"/>
        </w:rPr>
        <w:t xml:space="preserve">——— (2024g), </w:t>
      </w:r>
      <w:r w:rsidRPr="00267298">
        <w:rPr>
          <w:rFonts w:cs="Calibri Light"/>
          <w:i/>
          <w:iCs/>
          <w:lang w:eastAsia="en-AU"/>
        </w:rPr>
        <w:t xml:space="preserve">Wage </w:t>
      </w:r>
      <w:r w:rsidRPr="00267298">
        <w:rPr>
          <w:rFonts w:cs="Calibri Light"/>
          <w:i/>
          <w:iCs/>
          <w:color w:val="auto"/>
          <w:lang w:eastAsia="en-AU"/>
        </w:rPr>
        <w:t>Price Index, Australia</w:t>
      </w:r>
      <w:r w:rsidRPr="00267298">
        <w:rPr>
          <w:rFonts w:cs="Calibri Light"/>
          <w:color w:val="auto"/>
          <w:lang w:eastAsia="en-AU"/>
        </w:rPr>
        <w:t xml:space="preserve">, methodology, March quarter 2024, </w:t>
      </w:r>
      <w:hyperlink r:id="rId51" w:anchor="glossary" w:history="1">
        <w:r w:rsidRPr="00267298">
          <w:rPr>
            <w:rStyle w:val="Hyperlink"/>
            <w:color w:val="auto"/>
          </w:rPr>
          <w:t>https://www.abs.gov.au/methodologies/wage-price-index-australia-methodology/mar-2024#glossary</w:t>
        </w:r>
      </w:hyperlink>
      <w:r w:rsidR="00E038A6">
        <w:rPr>
          <w:color w:val="auto"/>
        </w:rPr>
        <w:t>, updated 15 May 2024.</w:t>
      </w:r>
    </w:p>
    <w:p w14:paraId="3058C571" w14:textId="1AC66D62" w:rsidR="00DC59EF" w:rsidRPr="00263897" w:rsidRDefault="002A54BE" w:rsidP="00DC59EF">
      <w:pPr>
        <w:pStyle w:val="05Paragraph"/>
        <w:ind w:left="720" w:hanging="720"/>
        <w:jc w:val="left"/>
        <w:rPr>
          <w:rFonts w:cs="Calibri Light"/>
        </w:rPr>
      </w:pPr>
      <w:r>
        <w:rPr>
          <w:rFonts w:cs="Calibri Light"/>
        </w:rPr>
        <w:t xml:space="preserve">Remuneration Tribunal (Commonwealth) </w:t>
      </w:r>
      <w:r w:rsidR="00DC59EF">
        <w:rPr>
          <w:rFonts w:cs="Calibri Light"/>
        </w:rPr>
        <w:t xml:space="preserve">(2024), </w:t>
      </w:r>
      <w:r w:rsidR="00DC59EF">
        <w:rPr>
          <w:rFonts w:cs="Calibri Light"/>
          <w:i/>
          <w:iCs/>
        </w:rPr>
        <w:t>2024 Review of Remuneration for Holders of Public Office Statement</w:t>
      </w:r>
      <w:r w:rsidR="00DC59EF">
        <w:rPr>
          <w:rFonts w:cs="Calibri Light"/>
        </w:rPr>
        <w:t>.</w:t>
      </w:r>
    </w:p>
    <w:p w14:paraId="589B3DA4" w14:textId="77777777" w:rsidR="00DC59EF" w:rsidRDefault="00DC59EF" w:rsidP="00DC59EF">
      <w:pPr>
        <w:pStyle w:val="05Paragraph"/>
        <w:ind w:left="720" w:hanging="720"/>
        <w:jc w:val="left"/>
        <w:rPr>
          <w:rFonts w:cs="Calibri Light"/>
        </w:rPr>
      </w:pPr>
      <w:r w:rsidRPr="00647C77">
        <w:rPr>
          <w:rFonts w:cs="Calibri Light"/>
        </w:rPr>
        <w:t xml:space="preserve">Commonwealth of Australia (2024), </w:t>
      </w:r>
      <w:r w:rsidRPr="00647C77">
        <w:rPr>
          <w:rFonts w:cs="Calibri Light"/>
          <w:i/>
          <w:iCs/>
        </w:rPr>
        <w:t>Budget 2024-25 – Budget Paper No. 1: Budget Strategy and Outlook</w:t>
      </w:r>
      <w:r w:rsidRPr="00647C77">
        <w:rPr>
          <w:rFonts w:cs="Calibri Light"/>
        </w:rPr>
        <w:t>.</w:t>
      </w:r>
    </w:p>
    <w:p w14:paraId="3895841C" w14:textId="7F7C2441" w:rsidR="00DC59EF" w:rsidRPr="00505DC1" w:rsidRDefault="00DC59EF" w:rsidP="00DC59EF">
      <w:pPr>
        <w:pStyle w:val="05Paragraph"/>
        <w:ind w:left="720" w:hanging="720"/>
        <w:jc w:val="left"/>
        <w:rPr>
          <w:rFonts w:cs="Calibri Light"/>
        </w:rPr>
      </w:pPr>
      <w:r w:rsidRPr="00505DC1">
        <w:rPr>
          <w:rFonts w:cs="Calibri Light"/>
        </w:rPr>
        <w:t>Department of Employment and Workplace Relations (</w:t>
      </w:r>
      <w:r w:rsidR="00EB1D2D">
        <w:rPr>
          <w:rFonts w:cs="Calibri Light"/>
        </w:rPr>
        <w:t>Commonwealth</w:t>
      </w:r>
      <w:r w:rsidRPr="00505DC1">
        <w:rPr>
          <w:rFonts w:cs="Calibri Light"/>
        </w:rPr>
        <w:t xml:space="preserve">) (2024), </w:t>
      </w:r>
      <w:r w:rsidRPr="00505DC1">
        <w:rPr>
          <w:rFonts w:cs="Calibri Light"/>
          <w:i/>
          <w:iCs/>
        </w:rPr>
        <w:t>Trends in Federal Bargaining</w:t>
      </w:r>
      <w:r w:rsidRPr="00505DC1">
        <w:rPr>
          <w:rFonts w:cs="Calibri Light"/>
        </w:rPr>
        <w:t xml:space="preserve">, </w:t>
      </w:r>
      <w:r w:rsidRPr="00505DC1">
        <w:rPr>
          <w:rFonts w:cs="Calibri Light"/>
          <w:i/>
          <w:iCs/>
        </w:rPr>
        <w:t>December quarter 2023</w:t>
      </w:r>
      <w:r w:rsidR="000E26AF">
        <w:rPr>
          <w:rFonts w:cs="Calibri Light"/>
        </w:rPr>
        <w:t>, accessed</w:t>
      </w:r>
      <w:r w:rsidR="00F03F0D">
        <w:rPr>
          <w:rFonts w:cs="Calibri Light"/>
        </w:rPr>
        <w:t xml:space="preserve"> </w:t>
      </w:r>
      <w:r w:rsidR="000E26AF">
        <w:rPr>
          <w:rFonts w:cs="Calibri Light"/>
        </w:rPr>
        <w:t>21</w:t>
      </w:r>
      <w:r w:rsidR="00332A15">
        <w:rPr>
          <w:rFonts w:cs="Calibri Light"/>
        </w:rPr>
        <w:t> </w:t>
      </w:r>
      <w:r w:rsidR="000E26AF">
        <w:rPr>
          <w:rFonts w:cs="Calibri Light"/>
        </w:rPr>
        <w:t>June</w:t>
      </w:r>
      <w:r w:rsidR="00332A15">
        <w:rPr>
          <w:rFonts w:cs="Calibri Light"/>
        </w:rPr>
        <w:t> </w:t>
      </w:r>
      <w:r w:rsidR="000E26AF">
        <w:rPr>
          <w:rFonts w:cs="Calibri Light"/>
        </w:rPr>
        <w:t>2024.</w:t>
      </w:r>
    </w:p>
    <w:p w14:paraId="5991155A" w14:textId="3CBE79B3" w:rsidR="00DC59EF" w:rsidRDefault="00124FD6" w:rsidP="00DC59EF">
      <w:pPr>
        <w:pStyle w:val="05Paragraph"/>
        <w:ind w:left="720" w:hanging="720"/>
        <w:jc w:val="left"/>
        <w:rPr>
          <w:rFonts w:cs="Calibri Light"/>
          <w:i/>
          <w:iCs/>
          <w:lang w:eastAsia="en-AU"/>
        </w:rPr>
      </w:pPr>
      <w:r>
        <w:rPr>
          <w:rFonts w:cs="Calibri Light"/>
        </w:rPr>
        <w:t>DTF (</w:t>
      </w:r>
      <w:r w:rsidR="00DC59EF" w:rsidRPr="0047310F">
        <w:rPr>
          <w:rFonts w:cs="Calibri Light"/>
        </w:rPr>
        <w:t xml:space="preserve">Department of Treasury and Finance) (2023a), </w:t>
      </w:r>
      <w:r w:rsidR="00DC59EF" w:rsidRPr="0047310F">
        <w:rPr>
          <w:rFonts w:cs="Calibri Light"/>
          <w:i/>
          <w:iCs/>
          <w:lang w:eastAsia="en-AU"/>
        </w:rPr>
        <w:t>Victorian Budget 2023-24 – Budget Paper No. 3: Service Delivery.</w:t>
      </w:r>
    </w:p>
    <w:p w14:paraId="28A6204A" w14:textId="77777777" w:rsidR="00E41214" w:rsidRDefault="00994687" w:rsidP="00E41214">
      <w:pPr>
        <w:pStyle w:val="05Paragraph"/>
        <w:ind w:left="720" w:hanging="720"/>
        <w:jc w:val="left"/>
        <w:rPr>
          <w:rFonts w:cs="Calibri Light"/>
          <w:lang w:eastAsia="en-AU"/>
        </w:rPr>
      </w:pPr>
      <w:r w:rsidRPr="009A735C">
        <w:rPr>
          <w:rFonts w:cs="Calibri Light"/>
          <w:lang w:eastAsia="en-AU"/>
        </w:rPr>
        <w:t>——— (</w:t>
      </w:r>
      <w:r w:rsidRPr="009A735C">
        <w:rPr>
          <w:rFonts w:cs="Calibri Light"/>
        </w:rPr>
        <w:t>2024</w:t>
      </w:r>
      <w:r w:rsidR="00ED34E3">
        <w:rPr>
          <w:rFonts w:cs="Calibri Light"/>
        </w:rPr>
        <w:t>b)</w:t>
      </w:r>
      <w:r w:rsidR="00E41214">
        <w:rPr>
          <w:rFonts w:cs="Calibri Light"/>
        </w:rPr>
        <w:t xml:space="preserve">, </w:t>
      </w:r>
      <w:r w:rsidR="00E41214">
        <w:rPr>
          <w:rFonts w:cs="Calibri Light"/>
          <w:i/>
          <w:iCs/>
          <w:lang w:eastAsia="en-AU"/>
        </w:rPr>
        <w:t>Victorian Budget 2023-24 – Budget Update</w:t>
      </w:r>
      <w:r w:rsidR="00E41214">
        <w:rPr>
          <w:rFonts w:cs="Calibri Light"/>
          <w:lang w:eastAsia="en-AU"/>
        </w:rPr>
        <w:t>.</w:t>
      </w:r>
    </w:p>
    <w:p w14:paraId="2BD4A0A8" w14:textId="11B8EE29" w:rsidR="00994687" w:rsidRPr="0047310F" w:rsidRDefault="00994687" w:rsidP="005F5B53">
      <w:pPr>
        <w:pStyle w:val="05Paragraph"/>
        <w:ind w:left="720" w:hanging="720"/>
        <w:jc w:val="left"/>
        <w:rPr>
          <w:rFonts w:cs="Calibri Light"/>
          <w:lang w:eastAsia="en-AU"/>
        </w:rPr>
      </w:pPr>
      <w:r w:rsidRPr="009A735C">
        <w:rPr>
          <w:rFonts w:cs="Calibri Light"/>
          <w:lang w:eastAsia="en-AU"/>
        </w:rPr>
        <w:t>——— (</w:t>
      </w:r>
      <w:r w:rsidRPr="009A735C">
        <w:rPr>
          <w:rFonts w:cs="Calibri Light"/>
        </w:rPr>
        <w:t>2024</w:t>
      </w:r>
      <w:r>
        <w:rPr>
          <w:rFonts w:cs="Calibri Light"/>
        </w:rPr>
        <w:t>c</w:t>
      </w:r>
      <w:r w:rsidR="00E41214">
        <w:rPr>
          <w:rFonts w:cs="Calibri Light"/>
        </w:rPr>
        <w:t xml:space="preserve">), </w:t>
      </w:r>
      <w:r w:rsidR="005F5B53">
        <w:rPr>
          <w:rFonts w:cs="Calibri Light"/>
          <w:i/>
          <w:iCs/>
          <w:lang w:eastAsia="en-AU"/>
        </w:rPr>
        <w:t>Victorian Budget 2023-24 – Covid Debt Repayment Plan</w:t>
      </w:r>
      <w:r w:rsidR="005F5B53">
        <w:rPr>
          <w:rFonts w:cs="Calibri Light"/>
          <w:lang w:eastAsia="en-AU"/>
        </w:rPr>
        <w:t>.</w:t>
      </w:r>
    </w:p>
    <w:p w14:paraId="6855065D" w14:textId="00DA222B" w:rsidR="0054053A" w:rsidRDefault="00DC59EF" w:rsidP="00DC59EF">
      <w:pPr>
        <w:pStyle w:val="05Paragraph"/>
        <w:ind w:left="720" w:hanging="720"/>
        <w:jc w:val="left"/>
        <w:rPr>
          <w:rFonts w:cs="Calibri Light"/>
          <w:lang w:eastAsia="en-AU"/>
        </w:rPr>
      </w:pPr>
      <w:r w:rsidRPr="009A735C">
        <w:rPr>
          <w:rFonts w:cs="Calibri Light"/>
          <w:lang w:eastAsia="en-AU"/>
        </w:rPr>
        <w:t xml:space="preserve">——— </w:t>
      </w:r>
      <w:r w:rsidR="0054053A">
        <w:rPr>
          <w:rFonts w:cs="Calibri Light"/>
          <w:lang w:eastAsia="en-AU"/>
        </w:rPr>
        <w:t>(</w:t>
      </w:r>
      <w:r w:rsidR="004D6B7D">
        <w:rPr>
          <w:rFonts w:cs="Calibri Light"/>
          <w:lang w:eastAsia="en-AU"/>
        </w:rPr>
        <w:t>2024</w:t>
      </w:r>
      <w:r w:rsidR="001E0458">
        <w:rPr>
          <w:rFonts w:cs="Calibri Light"/>
          <w:lang w:eastAsia="en-AU"/>
        </w:rPr>
        <w:t>a</w:t>
      </w:r>
      <w:r w:rsidR="004D6B7D">
        <w:rPr>
          <w:rFonts w:cs="Calibri Light"/>
          <w:lang w:eastAsia="en-AU"/>
        </w:rPr>
        <w:t xml:space="preserve">), </w:t>
      </w:r>
      <w:r w:rsidR="00DA145B">
        <w:rPr>
          <w:rFonts w:cs="Calibri Light"/>
          <w:i/>
          <w:iCs/>
          <w:lang w:eastAsia="en-AU"/>
        </w:rPr>
        <w:t xml:space="preserve">Other financial </w:t>
      </w:r>
      <w:r w:rsidR="00DA145B" w:rsidRPr="00C35AEE">
        <w:rPr>
          <w:rFonts w:cs="Calibri Light"/>
          <w:i/>
          <w:iCs/>
          <w:color w:val="auto"/>
          <w:lang w:eastAsia="en-AU"/>
        </w:rPr>
        <w:t xml:space="preserve">aggregates, </w:t>
      </w:r>
      <w:hyperlink r:id="rId52" w:history="1">
        <w:r w:rsidR="00DA145B" w:rsidRPr="00C35AEE">
          <w:rPr>
            <w:rStyle w:val="Hyperlink"/>
            <w:rFonts w:cs="Calibri Light"/>
            <w:color w:val="auto"/>
            <w:lang w:eastAsia="en-AU"/>
          </w:rPr>
          <w:t>https://www.dtf.vic.gov.au/state-financial-data-sets/other-financial-aggregates</w:t>
        </w:r>
      </w:hyperlink>
      <w:r w:rsidR="00DA145B" w:rsidRPr="00C35AEE">
        <w:rPr>
          <w:rFonts w:cs="Calibri Light"/>
          <w:i/>
          <w:iCs/>
          <w:color w:val="auto"/>
          <w:lang w:eastAsia="en-AU"/>
        </w:rPr>
        <w:t xml:space="preserve">, </w:t>
      </w:r>
      <w:r w:rsidR="00DA145B" w:rsidRPr="00C35AEE">
        <w:rPr>
          <w:rFonts w:cs="Calibri Light"/>
          <w:color w:val="auto"/>
          <w:lang w:eastAsia="en-AU"/>
        </w:rPr>
        <w:t xml:space="preserve">reviewed </w:t>
      </w:r>
      <w:r w:rsidR="00DA145B">
        <w:rPr>
          <w:rFonts w:cs="Calibri Light"/>
          <w:lang w:eastAsia="en-AU"/>
        </w:rPr>
        <w:t>7 May 2024.</w:t>
      </w:r>
    </w:p>
    <w:p w14:paraId="2DED1548" w14:textId="5AED8A42" w:rsidR="00DC59EF" w:rsidRPr="009A735C" w:rsidRDefault="0054053A" w:rsidP="00DC59EF">
      <w:pPr>
        <w:pStyle w:val="05Paragraph"/>
        <w:ind w:left="720" w:hanging="720"/>
        <w:jc w:val="left"/>
        <w:rPr>
          <w:rFonts w:cs="Calibri Light"/>
          <w:lang w:eastAsia="en-AU"/>
        </w:rPr>
      </w:pPr>
      <w:r w:rsidRPr="009A735C">
        <w:rPr>
          <w:rFonts w:cs="Calibri Light"/>
          <w:lang w:eastAsia="en-AU"/>
        </w:rPr>
        <w:t>———</w:t>
      </w:r>
      <w:r>
        <w:rPr>
          <w:rFonts w:cs="Calibri Light"/>
          <w:lang w:eastAsia="en-AU"/>
        </w:rPr>
        <w:t xml:space="preserve"> </w:t>
      </w:r>
      <w:r w:rsidR="00DC59EF" w:rsidRPr="009A735C">
        <w:rPr>
          <w:rFonts w:cs="Calibri Light"/>
          <w:lang w:eastAsia="en-AU"/>
        </w:rPr>
        <w:t>(</w:t>
      </w:r>
      <w:r w:rsidR="00DC59EF" w:rsidRPr="009A735C">
        <w:rPr>
          <w:rFonts w:cs="Calibri Light"/>
        </w:rPr>
        <w:t>2024</w:t>
      </w:r>
      <w:r w:rsidR="001E0458">
        <w:rPr>
          <w:rFonts w:cs="Calibri Light"/>
        </w:rPr>
        <w:t>b</w:t>
      </w:r>
      <w:r w:rsidR="00DC59EF" w:rsidRPr="009A735C">
        <w:rPr>
          <w:rFonts w:cs="Calibri Light"/>
        </w:rPr>
        <w:t xml:space="preserve">), </w:t>
      </w:r>
      <w:r w:rsidR="00DC59EF" w:rsidRPr="009A735C">
        <w:rPr>
          <w:rFonts w:cs="Calibri Light"/>
          <w:i/>
          <w:iCs/>
        </w:rPr>
        <w:t>Victorian Budget</w:t>
      </w:r>
      <w:r w:rsidR="00DC59EF" w:rsidRPr="009A735C">
        <w:rPr>
          <w:rFonts w:cs="Calibri Light"/>
        </w:rPr>
        <w:t xml:space="preserve"> </w:t>
      </w:r>
      <w:r w:rsidR="00DC59EF" w:rsidRPr="009A735C">
        <w:rPr>
          <w:rFonts w:cs="Calibri Light"/>
          <w:i/>
          <w:iCs/>
        </w:rPr>
        <w:t>2024-25 – Budget Paper No. 2: Strategy and Outlook</w:t>
      </w:r>
      <w:r w:rsidR="00DC59EF" w:rsidRPr="009A735C">
        <w:rPr>
          <w:rFonts w:cs="Calibri Light"/>
        </w:rPr>
        <w:t>.</w:t>
      </w:r>
    </w:p>
    <w:p w14:paraId="7B564119" w14:textId="0BC08806" w:rsidR="00DC59EF" w:rsidRPr="002F7D68" w:rsidRDefault="00DC59EF" w:rsidP="00DC59EF">
      <w:pPr>
        <w:pStyle w:val="05Paragraph"/>
        <w:ind w:left="720" w:hanging="720"/>
        <w:jc w:val="left"/>
        <w:rPr>
          <w:rFonts w:cs="Calibri Light"/>
          <w:lang w:eastAsia="en-AU"/>
        </w:rPr>
      </w:pPr>
      <w:r w:rsidRPr="002F7D68">
        <w:rPr>
          <w:rFonts w:cs="Calibri Light"/>
          <w:lang w:eastAsia="en-AU"/>
        </w:rPr>
        <w:t>——— (2024</w:t>
      </w:r>
      <w:r w:rsidR="001E0458">
        <w:rPr>
          <w:rFonts w:cs="Calibri Light"/>
          <w:lang w:eastAsia="en-AU"/>
        </w:rPr>
        <w:t>c</w:t>
      </w:r>
      <w:r w:rsidRPr="002F7D68">
        <w:rPr>
          <w:rFonts w:cs="Calibri Light"/>
          <w:lang w:eastAsia="en-AU"/>
        </w:rPr>
        <w:t>),</w:t>
      </w:r>
      <w:r w:rsidR="0054053A">
        <w:rPr>
          <w:rFonts w:cs="Calibri Light"/>
          <w:lang w:eastAsia="en-AU"/>
        </w:rPr>
        <w:t xml:space="preserve"> </w:t>
      </w:r>
      <w:r w:rsidRPr="002F7D68">
        <w:rPr>
          <w:rFonts w:cs="Calibri Light"/>
          <w:i/>
          <w:iCs/>
          <w:lang w:eastAsia="en-AU"/>
        </w:rPr>
        <w:t>Victorian Government submission to the Annual Wage Review 2023-24</w:t>
      </w:r>
      <w:r w:rsidRPr="002F7D68">
        <w:rPr>
          <w:rFonts w:cs="Calibri Light"/>
          <w:lang w:eastAsia="en-AU"/>
        </w:rPr>
        <w:t>.</w:t>
      </w:r>
    </w:p>
    <w:p w14:paraId="370C4309" w14:textId="01EB1624" w:rsidR="00DC59EF" w:rsidRDefault="004D7CEB" w:rsidP="00DC59EF">
      <w:pPr>
        <w:pStyle w:val="05Paragraph"/>
        <w:ind w:left="720" w:hanging="720"/>
        <w:jc w:val="left"/>
        <w:rPr>
          <w:rFonts w:cs="Calibri Light"/>
        </w:rPr>
      </w:pPr>
      <w:r>
        <w:rPr>
          <w:rFonts w:cs="Calibri Light"/>
        </w:rPr>
        <w:t>FWC (</w:t>
      </w:r>
      <w:r w:rsidR="00DC59EF" w:rsidRPr="00CB2ED7">
        <w:rPr>
          <w:rFonts w:cs="Calibri Light"/>
        </w:rPr>
        <w:t>Fair Work Commission</w:t>
      </w:r>
      <w:r>
        <w:rPr>
          <w:rFonts w:cs="Calibri Light"/>
        </w:rPr>
        <w:t>)</w:t>
      </w:r>
      <w:r w:rsidR="00DC59EF" w:rsidRPr="00CB2ED7">
        <w:rPr>
          <w:rFonts w:cs="Calibri Light"/>
        </w:rPr>
        <w:t xml:space="preserve"> (2024), </w:t>
      </w:r>
      <w:r w:rsidR="00DC59EF" w:rsidRPr="00CB2ED7">
        <w:rPr>
          <w:rFonts w:cs="Calibri Light"/>
          <w:i/>
          <w:iCs/>
        </w:rPr>
        <w:t>Decision — Annual Wage Review 2023-24</w:t>
      </w:r>
      <w:r w:rsidR="00DC59EF" w:rsidRPr="00CB2ED7">
        <w:rPr>
          <w:rFonts w:cs="Calibri Light"/>
        </w:rPr>
        <w:t>.</w:t>
      </w:r>
    </w:p>
    <w:p w14:paraId="33C65F69" w14:textId="3168B227" w:rsidR="001A72C4" w:rsidRPr="000E26AF" w:rsidRDefault="001A72C4" w:rsidP="001A72C4">
      <w:pPr>
        <w:pStyle w:val="05Paragraph"/>
        <w:ind w:left="709" w:hanging="709"/>
        <w:rPr>
          <w:rFonts w:cs="Calibri Light"/>
        </w:rPr>
      </w:pPr>
      <w:r>
        <w:rPr>
          <w:rFonts w:cs="Calibri Light"/>
        </w:rPr>
        <w:t xml:space="preserve">Industrial Relations Victoria (2024), </w:t>
      </w:r>
      <w:r w:rsidRPr="00FD1177">
        <w:rPr>
          <w:rFonts w:cs="Calibri Light"/>
          <w:i/>
        </w:rPr>
        <w:t>Wages Policy and the Enterprise Bargaining Framework</w:t>
      </w:r>
      <w:r w:rsidR="000E26AF">
        <w:rPr>
          <w:rFonts w:cs="Calibri Light"/>
          <w:i/>
          <w:iCs/>
        </w:rPr>
        <w:t xml:space="preserve">, </w:t>
      </w:r>
      <w:r w:rsidR="000E26AF">
        <w:rPr>
          <w:rFonts w:cs="Calibri Light"/>
        </w:rPr>
        <w:t>accessed 21 June 2024.</w:t>
      </w:r>
    </w:p>
    <w:p w14:paraId="6C7479EC" w14:textId="77777777" w:rsidR="00DC59EF" w:rsidRPr="00CB2ED7" w:rsidRDefault="00DC59EF" w:rsidP="00DC59EF">
      <w:pPr>
        <w:pStyle w:val="05Paragraph"/>
        <w:ind w:left="720" w:hanging="720"/>
        <w:rPr>
          <w:rFonts w:cs="Calibri Light"/>
        </w:rPr>
      </w:pPr>
      <w:r w:rsidRPr="00263897">
        <w:rPr>
          <w:rFonts w:cs="Calibri Light"/>
        </w:rPr>
        <w:t>Parliamentary</w:t>
      </w:r>
      <w:r>
        <w:rPr>
          <w:rFonts w:cs="Calibri Light"/>
        </w:rPr>
        <w:t xml:space="preserve"> Remuneration Tribunal (NSW) (2023), </w:t>
      </w:r>
      <w:r>
        <w:rPr>
          <w:rFonts w:cs="Calibri Light"/>
          <w:i/>
          <w:iCs/>
        </w:rPr>
        <w:t>Annual Determination: Report and determination of salary and additional entitlements for the MPs of NSW pursuant to the Parliamentary Remuneration Act 1989</w:t>
      </w:r>
      <w:r>
        <w:rPr>
          <w:rFonts w:cs="Calibri Light"/>
        </w:rPr>
        <w:t>.</w:t>
      </w:r>
    </w:p>
    <w:p w14:paraId="4B7641C7" w14:textId="77777777" w:rsidR="00DC59EF" w:rsidRPr="00256624" w:rsidRDefault="00DC59EF" w:rsidP="00DC59EF">
      <w:pPr>
        <w:pStyle w:val="05Paragraph"/>
        <w:ind w:left="720" w:hanging="720"/>
        <w:rPr>
          <w:rFonts w:cs="Calibri Light"/>
        </w:rPr>
      </w:pPr>
      <w:r w:rsidRPr="00256624">
        <w:rPr>
          <w:rFonts w:cs="Calibri Light"/>
        </w:rPr>
        <w:t xml:space="preserve">Queensland Independent Remuneration Tribunal (2023), </w:t>
      </w:r>
      <w:r w:rsidRPr="00256624">
        <w:rPr>
          <w:rFonts w:cs="Calibri Light"/>
          <w:i/>
          <w:iCs/>
        </w:rPr>
        <w:t>Review of Annual and Additional Salary – Members of the Queensland Legislative Assembly</w:t>
      </w:r>
      <w:r>
        <w:rPr>
          <w:rFonts w:cs="Calibri Light"/>
          <w:i/>
          <w:iCs/>
        </w:rPr>
        <w:t>: Determination 29/2023.</w:t>
      </w:r>
    </w:p>
    <w:p w14:paraId="12C650A1" w14:textId="263A4908" w:rsidR="00DC59EF" w:rsidRPr="003F10BF" w:rsidRDefault="00124FD6" w:rsidP="00DC59EF">
      <w:pPr>
        <w:pStyle w:val="05Paragraph"/>
        <w:ind w:left="720" w:hanging="720"/>
        <w:rPr>
          <w:rFonts w:eastAsia="+mn-ea" w:cs="Calibri Light"/>
          <w:color w:val="auto"/>
          <w:kern w:val="24"/>
          <w:szCs w:val="18"/>
          <w:lang w:eastAsia="en-AU"/>
        </w:rPr>
      </w:pPr>
      <w:r>
        <w:rPr>
          <w:rStyle w:val="Hyperlink"/>
          <w:rFonts w:eastAsia="+mn-ea" w:cs="Calibri Light"/>
          <w:color w:val="auto"/>
          <w:kern w:val="24"/>
          <w:szCs w:val="18"/>
          <w:u w:val="none"/>
          <w:lang w:eastAsia="en-AU"/>
        </w:rPr>
        <w:t>RBA (</w:t>
      </w:r>
      <w:r w:rsidR="00DC59EF" w:rsidRPr="009A735C">
        <w:rPr>
          <w:rStyle w:val="Hyperlink"/>
          <w:rFonts w:eastAsia="+mn-ea" w:cs="Calibri Light"/>
          <w:color w:val="auto"/>
          <w:kern w:val="24"/>
          <w:szCs w:val="18"/>
          <w:u w:val="none"/>
          <w:lang w:eastAsia="en-AU"/>
        </w:rPr>
        <w:t xml:space="preserve">Reserve Bank of Australia) </w:t>
      </w:r>
      <w:r w:rsidR="00DC59EF" w:rsidRPr="009A735C">
        <w:rPr>
          <w:rFonts w:cs="Calibri Light"/>
          <w:lang w:eastAsia="en-AU"/>
        </w:rPr>
        <w:t xml:space="preserve">(2024), </w:t>
      </w:r>
      <w:r w:rsidR="00DC59EF" w:rsidRPr="009A735C">
        <w:rPr>
          <w:rFonts w:cs="Calibri Light"/>
          <w:i/>
          <w:iCs/>
          <w:lang w:eastAsia="en-AU"/>
        </w:rPr>
        <w:t>Statement on Monetary Policy – May 2024</w:t>
      </w:r>
      <w:r w:rsidR="003F10BF">
        <w:rPr>
          <w:rFonts w:cs="Calibri Light"/>
          <w:i/>
          <w:iCs/>
          <w:lang w:eastAsia="en-AU"/>
        </w:rPr>
        <w:t xml:space="preserve">, </w:t>
      </w:r>
      <w:r w:rsidR="003F10BF">
        <w:rPr>
          <w:rFonts w:cs="Calibri Light"/>
          <w:lang w:eastAsia="en-AU"/>
        </w:rPr>
        <w:t>accessed 21 June 2024.</w:t>
      </w:r>
    </w:p>
    <w:p w14:paraId="5D0FE217" w14:textId="653DD7EE" w:rsidR="00DC59EF" w:rsidRDefault="00124FD6" w:rsidP="00DC59EF">
      <w:pPr>
        <w:pStyle w:val="05Paragraph"/>
        <w:ind w:left="720" w:hanging="720"/>
        <w:rPr>
          <w:rFonts w:cs="Calibri Light"/>
          <w:lang w:eastAsia="en-AU"/>
        </w:rPr>
      </w:pPr>
      <w:r>
        <w:rPr>
          <w:rFonts w:cs="Calibri Light"/>
          <w:lang w:eastAsia="en-AU"/>
        </w:rPr>
        <w:t>VAGO (</w:t>
      </w:r>
      <w:r w:rsidR="00DC59EF">
        <w:rPr>
          <w:rFonts w:cs="Calibri Light"/>
          <w:lang w:eastAsia="en-AU"/>
        </w:rPr>
        <w:t>Victorian Auditor-Generals Office) (2023</w:t>
      </w:r>
      <w:r w:rsidR="0060252A">
        <w:rPr>
          <w:rFonts w:cs="Calibri Light"/>
          <w:lang w:eastAsia="en-AU"/>
        </w:rPr>
        <w:t>a</w:t>
      </w:r>
      <w:r w:rsidR="00DC59EF">
        <w:rPr>
          <w:rFonts w:cs="Calibri Light"/>
          <w:lang w:eastAsia="en-AU"/>
        </w:rPr>
        <w:t xml:space="preserve">), </w:t>
      </w:r>
      <w:r w:rsidR="00DC59EF">
        <w:rPr>
          <w:rFonts w:cs="Calibri Light"/>
          <w:i/>
          <w:iCs/>
          <w:lang w:eastAsia="en-AU"/>
        </w:rPr>
        <w:t>Auditor-General’s Report on the Annual Financial Report of the State of Victoria: 2022-23</w:t>
      </w:r>
      <w:r w:rsidR="00DC59EF">
        <w:rPr>
          <w:rFonts w:cs="Calibri Light"/>
          <w:lang w:eastAsia="en-AU"/>
        </w:rPr>
        <w:t>.</w:t>
      </w:r>
    </w:p>
    <w:p w14:paraId="62E4D81F" w14:textId="30396958" w:rsidR="0060252A" w:rsidRPr="00DA6F2B" w:rsidRDefault="0060252A" w:rsidP="00220489">
      <w:pPr>
        <w:pStyle w:val="05Paragraph"/>
        <w:ind w:left="720" w:hanging="720"/>
        <w:rPr>
          <w:rFonts w:cs="Calibri Light"/>
          <w:lang w:eastAsia="en-AU"/>
        </w:rPr>
      </w:pPr>
      <w:r w:rsidRPr="002F7D68">
        <w:rPr>
          <w:rFonts w:cs="Calibri Light"/>
          <w:lang w:eastAsia="en-AU"/>
        </w:rPr>
        <w:t>———</w:t>
      </w:r>
      <w:r>
        <w:rPr>
          <w:rFonts w:cs="Calibri Light"/>
          <w:lang w:eastAsia="en-AU"/>
        </w:rPr>
        <w:t xml:space="preserve"> (2023b), </w:t>
      </w:r>
      <w:r w:rsidR="00220489">
        <w:rPr>
          <w:rFonts w:cs="Calibri Light"/>
          <w:i/>
          <w:iCs/>
          <w:lang w:eastAsia="en-AU"/>
        </w:rPr>
        <w:t>Major Projects Performance Reporting 2023</w:t>
      </w:r>
      <w:r w:rsidR="00220489">
        <w:rPr>
          <w:rFonts w:cs="Calibri Light"/>
          <w:lang w:eastAsia="en-AU"/>
        </w:rPr>
        <w:t>.</w:t>
      </w:r>
    </w:p>
    <w:p w14:paraId="45616FA3" w14:textId="195C0F12" w:rsidR="00DC59EF" w:rsidRPr="00FD37B7" w:rsidRDefault="00DC59EF" w:rsidP="00DC59EF">
      <w:pPr>
        <w:pStyle w:val="05Paragraph"/>
        <w:ind w:left="720" w:hanging="720"/>
        <w:rPr>
          <w:rFonts w:cs="Calibri Light"/>
          <w:lang w:eastAsia="en-AU"/>
        </w:rPr>
      </w:pPr>
      <w:r w:rsidRPr="00FD37B7">
        <w:rPr>
          <w:rFonts w:cs="Calibri Light"/>
          <w:lang w:eastAsia="en-AU"/>
        </w:rPr>
        <w:t>Victorian Independent Remuneration Tribunal (202</w:t>
      </w:r>
      <w:r>
        <w:rPr>
          <w:rFonts w:cs="Calibri Light"/>
          <w:lang w:eastAsia="en-AU"/>
        </w:rPr>
        <w:t>3</w:t>
      </w:r>
      <w:r w:rsidR="0045140E">
        <w:rPr>
          <w:rFonts w:cs="Calibri Light"/>
          <w:lang w:eastAsia="en-AU"/>
        </w:rPr>
        <w:t>a</w:t>
      </w:r>
      <w:r w:rsidRPr="00FD37B7">
        <w:rPr>
          <w:rFonts w:cs="Calibri Light"/>
          <w:lang w:eastAsia="en-AU"/>
        </w:rPr>
        <w:t xml:space="preserve">), </w:t>
      </w:r>
      <w:r>
        <w:rPr>
          <w:rFonts w:cs="Calibri Light"/>
          <w:i/>
          <w:lang w:eastAsia="en-AU"/>
        </w:rPr>
        <w:t>Members of Parliament</w:t>
      </w:r>
      <w:r w:rsidRPr="00FD37B7">
        <w:rPr>
          <w:rFonts w:cs="Calibri Light"/>
          <w:i/>
          <w:lang w:eastAsia="en-AU"/>
        </w:rPr>
        <w:t xml:space="preserve"> (Victoria) Determination No. 01/202</w:t>
      </w:r>
      <w:r>
        <w:rPr>
          <w:rFonts w:cs="Calibri Light"/>
          <w:i/>
          <w:lang w:eastAsia="en-AU"/>
        </w:rPr>
        <w:t>3</w:t>
      </w:r>
      <w:r w:rsidRPr="00FD37B7">
        <w:rPr>
          <w:rFonts w:cs="Calibri Light"/>
          <w:lang w:eastAsia="en-AU"/>
        </w:rPr>
        <w:t>.</w:t>
      </w:r>
    </w:p>
    <w:p w14:paraId="46048D8A" w14:textId="4B7490FE" w:rsidR="00DC59EF" w:rsidRPr="00B60425" w:rsidRDefault="00DC59EF" w:rsidP="00DC59EF">
      <w:pPr>
        <w:pStyle w:val="05Paragraph"/>
        <w:ind w:left="720" w:hanging="720"/>
        <w:rPr>
          <w:rFonts w:cs="Calibri Light"/>
          <w:noProof/>
          <w:lang w:eastAsia="en-AU"/>
        </w:rPr>
      </w:pPr>
      <w:r w:rsidRPr="00012469">
        <w:rPr>
          <w:rFonts w:cs="Calibri Light"/>
          <w:lang w:eastAsia="en-AU"/>
        </w:rPr>
        <w:t>——— (2023</w:t>
      </w:r>
      <w:r w:rsidR="0045140E">
        <w:rPr>
          <w:rFonts w:cs="Calibri Light"/>
          <w:lang w:eastAsia="en-AU"/>
        </w:rPr>
        <w:t>b</w:t>
      </w:r>
      <w:r w:rsidRPr="00012469">
        <w:rPr>
          <w:rFonts w:cs="Calibri Light"/>
          <w:lang w:eastAsia="en-AU"/>
        </w:rPr>
        <w:t xml:space="preserve">), </w:t>
      </w:r>
      <w:r>
        <w:rPr>
          <w:rFonts w:cs="Calibri Light"/>
          <w:i/>
          <w:iCs/>
          <w:lang w:eastAsia="en-AU"/>
        </w:rPr>
        <w:t>Members of Parliament (Victoria) Guidelines No. 01/2023</w:t>
      </w:r>
      <w:r>
        <w:rPr>
          <w:rFonts w:cs="Calibri Light"/>
          <w:lang w:eastAsia="en-AU"/>
        </w:rPr>
        <w:t>.</w:t>
      </w:r>
    </w:p>
    <w:p w14:paraId="194E1702" w14:textId="0A61805E" w:rsidR="00051414" w:rsidRPr="00D43074" w:rsidRDefault="00051414" w:rsidP="00E00BD0">
      <w:pPr>
        <w:pStyle w:val="05Paragraph"/>
        <w:jc w:val="left"/>
        <w:rPr>
          <w:color w:val="auto"/>
        </w:rPr>
      </w:pPr>
    </w:p>
    <w:sectPr w:rsidR="00051414" w:rsidRPr="00D43074" w:rsidSect="00D43074">
      <w:headerReference w:type="even" r:id="rId53"/>
      <w:headerReference w:type="default" r:id="rId54"/>
      <w:footerReference w:type="default" r:id="rId55"/>
      <w:headerReference w:type="first" r:id="rId56"/>
      <w:type w:val="continuous"/>
      <w:pgSz w:w="11906" w:h="16838"/>
      <w:pgMar w:top="1701" w:right="1701" w:bottom="1559"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7B3484" w14:textId="77777777" w:rsidR="00B156B3" w:rsidRPr="00333B58" w:rsidRDefault="00B156B3" w:rsidP="00333B58">
      <w:r>
        <w:separator/>
      </w:r>
    </w:p>
  </w:endnote>
  <w:endnote w:type="continuationSeparator" w:id="0">
    <w:p w14:paraId="67B962BC" w14:textId="77777777" w:rsidR="00B156B3" w:rsidRPr="00333B58" w:rsidRDefault="00B156B3" w:rsidP="00333B58">
      <w:r>
        <w:continuationSeparator/>
      </w:r>
    </w:p>
  </w:endnote>
  <w:endnote w:type="continuationNotice" w:id="1">
    <w:p w14:paraId="01AD2C5E" w14:textId="77777777" w:rsidR="00B156B3" w:rsidRDefault="00B156B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w:panose1 w:val="02060603020205020403"/>
    <w:charset w:val="00"/>
    <w:family w:val="roman"/>
    <w:pitch w:val="variable"/>
    <w:sig w:usb0="00000007" w:usb1="00000000" w:usb2="00000000" w:usb3="00000000" w:csb0="00000003"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Times New Roman (Headings CS)">
    <w:altName w:val="Times New Roman"/>
    <w:charset w:val="00"/>
    <w:family w:val="roman"/>
    <w:pitch w:val="variable"/>
    <w:sig w:usb0="E0002AEF" w:usb1="C0007841" w:usb2="00000009" w:usb3="00000000" w:csb0="000001FF" w:csb1="00000000"/>
  </w:font>
  <w:font w:name="Tw Cen MT">
    <w:panose1 w:val="020B0602020104020603"/>
    <w:charset w:val="00"/>
    <w:family w:val="swiss"/>
    <w:pitch w:val="variable"/>
    <w:sig w:usb0="00000007" w:usb1="00000000" w:usb2="00000000" w:usb3="00000000" w:csb0="00000003" w:csb1="00000000"/>
  </w:font>
  <w:font w:name="Times New Roman (Body CS)">
    <w:altName w:val="Times New Roman"/>
    <w:charset w:val="00"/>
    <w:family w:val="roman"/>
    <w:pitch w:val="variable"/>
    <w:sig w:usb0="E0002AEF" w:usb1="C0007841" w:usb2="00000009" w:usb3="00000000" w:csb0="000001FF" w:csb1="00000000"/>
  </w:font>
  <w:font w:name="@MS PMincho">
    <w:altName w:val="@Yu Gothic"/>
    <w:charset w:val="80"/>
    <w:family w:val="roman"/>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HGMinchoB">
    <w:altName w:val="HG明朝B"/>
    <w:panose1 w:val="00000000000000000000"/>
    <w:charset w:val="80"/>
    <w:family w:val="roman"/>
    <w:notTrueType/>
    <w:pitch w:val="default"/>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5FE845" w14:textId="77777777" w:rsidR="00B03893" w:rsidRDefault="00B03893">
    <w:pPr>
      <w:pStyle w:val="Footer"/>
    </w:pPr>
  </w:p>
  <w:p w14:paraId="2D3C654C" w14:textId="77777777" w:rsidR="000C52C1" w:rsidRDefault="000C52C1">
    <w:pPr>
      <w:rPr>
        <w:color w:val="auto"/>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F89366" w14:textId="56E8F843" w:rsidR="00FF6EB1" w:rsidRDefault="00323A45" w:rsidP="00FF6EB1">
    <w:pPr>
      <w:pStyle w:val="Footer"/>
      <w:jc w:val="center"/>
    </w:pPr>
    <w:sdt>
      <w:sdtPr>
        <w:id w:val="1900857742"/>
        <w:docPartObj>
          <w:docPartGallery w:val="Page Numbers (Bottom of Page)"/>
          <w:docPartUnique/>
        </w:docPartObj>
      </w:sdtPr>
      <w:sdtEndPr>
        <w:rPr>
          <w:noProof/>
        </w:rPr>
      </w:sdtEndPr>
      <w:sdtContent/>
    </w:sdt>
  </w:p>
  <w:p w14:paraId="4B94A478" w14:textId="36043B1D" w:rsidR="00B1131E" w:rsidRDefault="00B113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ADECC7" w14:textId="35301D66" w:rsidR="00EB51D2" w:rsidRDefault="00FD3FD8">
    <w:pPr>
      <w:pStyle w:val="Footer"/>
    </w:pPr>
    <w:r>
      <w:rPr>
        <w:noProof/>
      </w:rPr>
      <mc:AlternateContent>
        <mc:Choice Requires="wps">
          <w:drawing>
            <wp:anchor distT="0" distB="0" distL="114300" distR="114300" simplePos="0" relativeHeight="251658240" behindDoc="0" locked="0" layoutInCell="0" allowOverlap="1" wp14:anchorId="11E4B44A" wp14:editId="4247AED1">
              <wp:simplePos x="0" y="0"/>
              <wp:positionH relativeFrom="page">
                <wp:posOffset>0</wp:posOffset>
              </wp:positionH>
              <wp:positionV relativeFrom="page">
                <wp:posOffset>10228183</wp:posOffset>
              </wp:positionV>
              <wp:extent cx="7560310" cy="273050"/>
              <wp:effectExtent l="0" t="0" r="0" b="12700"/>
              <wp:wrapNone/>
              <wp:docPr id="2" name="MSIPCMf12a49728a5a6c117fdd2713" descr="{&quot;HashCode&quot;:1505299096,&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11195C9" w14:textId="2C071B74" w:rsidR="00FD3FD8" w:rsidRPr="00FD3FD8" w:rsidRDefault="00FD3FD8" w:rsidP="00FD3FD8">
                          <w:pPr>
                            <w:spacing w:after="0"/>
                            <w:rPr>
                              <w:rFonts w:ascii="Calibri" w:hAnsi="Calibri" w:cs="Calibri"/>
                              <w:color w:val="000000"/>
                              <w:sz w:val="22"/>
                            </w:rPr>
                          </w:pPr>
                          <w:r w:rsidRPr="00FD3FD8">
                            <w:rPr>
                              <w:rFonts w:ascii="Calibri" w:hAnsi="Calibri" w:cs="Calibri"/>
                              <w:color w:val="000000"/>
                              <w:sz w:val="22"/>
                            </w:rPr>
                            <w:t>OFFICIAL: Sensitive</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1E4B44A" id="_x0000_t202" coordsize="21600,21600" o:spt="202" path="m,l,21600r21600,l21600,xe">
              <v:stroke joinstyle="miter"/>
              <v:path gradientshapeok="t" o:connecttype="rect"/>
            </v:shapetype>
            <v:shape id="MSIPCMf12a49728a5a6c117fdd2713" o:spid="_x0000_s1030" type="#_x0000_t202" alt="{&quot;HashCode&quot;:1505299096,&quot;Height&quot;:841.0,&quot;Width&quot;:595.0,&quot;Placement&quot;:&quot;Footer&quot;,&quot;Index&quot;:&quot;FirstPage&quot;,&quot;Section&quot;:1,&quot;Top&quot;:0.0,&quot;Left&quot;:0.0}" style="position:absolute;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311195C9" w14:textId="2C071B74" w:rsidR="00FD3FD8" w:rsidRPr="00FD3FD8" w:rsidRDefault="00FD3FD8" w:rsidP="00FD3FD8">
                    <w:pPr>
                      <w:spacing w:after="0"/>
                      <w:rPr>
                        <w:rFonts w:ascii="Calibri" w:hAnsi="Calibri" w:cs="Calibri"/>
                        <w:color w:val="000000"/>
                        <w:sz w:val="22"/>
                      </w:rPr>
                    </w:pPr>
                    <w:r w:rsidRPr="00FD3FD8">
                      <w:rPr>
                        <w:rFonts w:ascii="Calibri" w:hAnsi="Calibri" w:cs="Calibri"/>
                        <w:color w:val="000000"/>
                        <w:sz w:val="22"/>
                      </w:rPr>
                      <w:t>OFFICIAL: Sensitive</w:t>
                    </w:r>
                  </w:p>
                </w:txbxContent>
              </v:textbox>
              <w10:wrap anchorx="page" anchory="page"/>
            </v:shape>
          </w:pict>
        </mc:Fallback>
      </mc:AlternateContent>
    </w:r>
  </w:p>
  <w:p w14:paraId="122A27DF" w14:textId="76484C8E" w:rsidR="000C52C1" w:rsidRDefault="000C52C1"/>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5223D6" w14:textId="0787643E" w:rsidR="00C3360F" w:rsidRDefault="00323A45" w:rsidP="00FF6EB1">
    <w:pPr>
      <w:pStyle w:val="Footer"/>
      <w:jc w:val="center"/>
    </w:pPr>
    <w:sdt>
      <w:sdtPr>
        <w:id w:val="-1742943516"/>
        <w:docPartObj>
          <w:docPartGallery w:val="Page Numbers (Bottom of Page)"/>
          <w:docPartUnique/>
        </w:docPartObj>
      </w:sdtPr>
      <w:sdtEndPr>
        <w:rPr>
          <w:noProof/>
        </w:rPr>
      </w:sdtEndPr>
      <w:sdtContent>
        <w:r w:rsidR="00C3360F" w:rsidRPr="00C930CF">
          <w:rPr>
            <w:rFonts w:ascii="Calibri Light" w:hAnsi="Calibri Light" w:cs="Calibri Light"/>
          </w:rPr>
          <w:fldChar w:fldCharType="begin"/>
        </w:r>
        <w:r w:rsidR="00C3360F" w:rsidRPr="00C930CF">
          <w:rPr>
            <w:rFonts w:ascii="Calibri Light" w:hAnsi="Calibri Light" w:cs="Calibri Light"/>
          </w:rPr>
          <w:instrText xml:space="preserve"> PAGE   \* MERGEFORMAT </w:instrText>
        </w:r>
        <w:r w:rsidR="00C3360F" w:rsidRPr="00C930CF">
          <w:rPr>
            <w:rFonts w:ascii="Calibri Light" w:hAnsi="Calibri Light" w:cs="Calibri Light"/>
          </w:rPr>
          <w:fldChar w:fldCharType="separate"/>
        </w:r>
        <w:r w:rsidR="00C3360F">
          <w:rPr>
            <w:rFonts w:ascii="Calibri Light" w:hAnsi="Calibri Light" w:cs="Calibri Light"/>
          </w:rPr>
          <w:t>25</w:t>
        </w:r>
        <w:r w:rsidR="00C3360F" w:rsidRPr="00C930CF">
          <w:rPr>
            <w:rFonts w:ascii="Calibri Light" w:hAnsi="Calibri Light" w:cs="Calibri Light"/>
            <w:noProof/>
          </w:rPr>
          <w:fldChar w:fldCharType="end"/>
        </w:r>
      </w:sdtContent>
    </w:sdt>
  </w:p>
  <w:p w14:paraId="5935A9C6" w14:textId="0A35CAEB" w:rsidR="00C3360F" w:rsidRDefault="00C3360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89C56C" w14:textId="73E0F274" w:rsidR="003515D8" w:rsidRDefault="00837B99" w:rsidP="00735993">
    <w:pPr>
      <w:pStyle w:val="Footer"/>
      <w:jc w:val="center"/>
    </w:pPr>
    <w:r>
      <w:rPr>
        <w:noProof/>
      </w:rPr>
      <mc:AlternateContent>
        <mc:Choice Requires="wps">
          <w:drawing>
            <wp:anchor distT="0" distB="0" distL="114300" distR="114300" simplePos="0" relativeHeight="251658250" behindDoc="0" locked="0" layoutInCell="0" allowOverlap="1" wp14:anchorId="43D8C9B3" wp14:editId="1E101E4E">
              <wp:simplePos x="0" y="0"/>
              <wp:positionH relativeFrom="page">
                <wp:posOffset>0</wp:posOffset>
              </wp:positionH>
              <wp:positionV relativeFrom="page">
                <wp:posOffset>10227945</wp:posOffset>
              </wp:positionV>
              <wp:extent cx="7560310" cy="273050"/>
              <wp:effectExtent l="0" t="0" r="0" b="12700"/>
              <wp:wrapNone/>
              <wp:docPr id="23" name="MSIPCMa33948c88b1f2b4cb02738e9" descr="{&quot;HashCode&quot;:1505299096,&quot;Height&quot;:841.0,&quot;Width&quot;:595.0,&quot;Placement&quot;:&quot;Footer&quot;,&quot;Index&quot;:&quot;Primary&quot;,&quot;Section&quot;:5,&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AA6C415" w14:textId="33AA9717" w:rsidR="00837B99" w:rsidRPr="00837B99" w:rsidRDefault="00837B99" w:rsidP="00837B99">
                          <w:pPr>
                            <w:spacing w:after="0"/>
                            <w:rPr>
                              <w:rFonts w:ascii="Calibri" w:hAnsi="Calibri" w:cs="Calibri"/>
                              <w:color w:val="000000"/>
                              <w:sz w:val="22"/>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3D8C9B3" id="_x0000_t202" coordsize="21600,21600" o:spt="202" path="m,l,21600r21600,l21600,xe">
              <v:stroke joinstyle="miter"/>
              <v:path gradientshapeok="t" o:connecttype="rect"/>
            </v:shapetype>
            <v:shape id="MSIPCMa33948c88b1f2b4cb02738e9" o:spid="_x0000_s1031" type="#_x0000_t202" alt="{&quot;HashCode&quot;:1505299096,&quot;Height&quot;:841.0,&quot;Width&quot;:595.0,&quot;Placement&quot;:&quot;Footer&quot;,&quot;Index&quot;:&quot;Primary&quot;,&quot;Section&quot;:5,&quot;Top&quot;:0.0,&quot;Left&quot;:0.0}" style="position:absolute;left:0;text-align:left;margin-left:0;margin-top:805.35pt;width:595.3pt;height:21.5pt;z-index:25165825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" o:allowincell="f" filled="f" stroked="f" strokeweight=".5pt">
              <v:textbox inset="20pt,0,,0">
                <w:txbxContent>
                  <w:p w14:paraId="5AA6C415" w14:textId="33AA9717" w:rsidR="00837B99" w:rsidRPr="00837B99" w:rsidRDefault="00837B99" w:rsidP="00837B99">
                    <w:pPr>
                      <w:spacing w:after="0"/>
                      <w:rPr>
                        <w:rFonts w:ascii="Calibri" w:hAnsi="Calibri" w:cs="Calibri"/>
                        <w:color w:val="000000"/>
                        <w:sz w:val="22"/>
                      </w:rPr>
                    </w:pPr>
                  </w:p>
                </w:txbxContent>
              </v:textbox>
              <w10:wrap anchorx="page" anchory="page"/>
            </v:shape>
          </w:pict>
        </mc:Fallback>
      </mc:AlternateContent>
    </w:r>
    <w:sdt>
      <w:sdtPr>
        <w:id w:val="-830684218"/>
        <w:docPartObj>
          <w:docPartGallery w:val="Page Numbers (Bottom of Page)"/>
          <w:docPartUnique/>
        </w:docPartObj>
      </w:sdtPr>
      <w:sdtEndPr>
        <w:rPr>
          <w:noProof/>
        </w:rPr>
      </w:sdtEndPr>
      <w:sdtContent>
        <w:r w:rsidR="008448A9">
          <w:fldChar w:fldCharType="begin"/>
        </w:r>
        <w:r w:rsidR="008448A9">
          <w:instrText xml:space="preserve"> PAGE   \* MERGEFORMAT </w:instrText>
        </w:r>
        <w:r w:rsidR="008448A9">
          <w:fldChar w:fldCharType="separate"/>
        </w:r>
        <w:r w:rsidR="008448A9">
          <w:rPr>
            <w:noProof/>
          </w:rPr>
          <w:t>2</w:t>
        </w:r>
        <w:r w:rsidR="008448A9">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193A00" w14:textId="77777777" w:rsidR="00B156B3" w:rsidRPr="00333B58" w:rsidRDefault="00B156B3" w:rsidP="0014700E">
      <w:pPr>
        <w:spacing w:after="0"/>
      </w:pPr>
      <w:r>
        <w:separator/>
      </w:r>
    </w:p>
  </w:footnote>
  <w:footnote w:type="continuationSeparator" w:id="0">
    <w:p w14:paraId="212F9773" w14:textId="77777777" w:rsidR="00B156B3" w:rsidRPr="00FB39CD" w:rsidRDefault="00B156B3" w:rsidP="00FB39CD">
      <w:pPr>
        <w:spacing w:after="0"/>
        <w:rPr>
          <w:sz w:val="2"/>
          <w:szCs w:val="2"/>
        </w:rPr>
      </w:pPr>
      <w:r>
        <w:continuationSeparator/>
      </w:r>
    </w:p>
  </w:footnote>
  <w:footnote w:type="continuationNotice" w:id="1">
    <w:p w14:paraId="43B2C9F8" w14:textId="77777777" w:rsidR="00B156B3" w:rsidRPr="00FB39CD" w:rsidRDefault="00B156B3">
      <w:pPr>
        <w:spacing w:after="0"/>
        <w:rPr>
          <w:sz w:val="2"/>
          <w:szCs w:val="4"/>
        </w:rPr>
      </w:pPr>
    </w:p>
  </w:footnote>
  <w:footnote w:id="2">
    <w:p w14:paraId="4E5E7AC4" w14:textId="6E78083C" w:rsidR="003C41B6" w:rsidRPr="001F7240" w:rsidRDefault="003C41B6" w:rsidP="003C41B6">
      <w:pPr>
        <w:pStyle w:val="Footnotes"/>
      </w:pPr>
      <w:r w:rsidRPr="001F7240">
        <w:rPr>
          <w:rStyle w:val="FootnoteReference"/>
          <w:rFonts w:cs="Calibri"/>
        </w:rPr>
        <w:footnoteRef/>
      </w:r>
      <w:r w:rsidRPr="001F7240">
        <w:t xml:space="preserve"> </w:t>
      </w:r>
      <w:r>
        <w:tab/>
      </w:r>
      <w:r w:rsidRPr="001F7240">
        <w:t xml:space="preserve">VIRTIPS Act, s </w:t>
      </w:r>
      <w:r w:rsidR="00800B3B">
        <w:t>18</w:t>
      </w:r>
      <w:r w:rsidRPr="001F7240">
        <w:t>.</w:t>
      </w:r>
    </w:p>
  </w:footnote>
  <w:footnote w:id="3">
    <w:p w14:paraId="5CE60042" w14:textId="77777777" w:rsidR="00006B05" w:rsidRDefault="00006B05" w:rsidP="00006B05">
      <w:pPr>
        <w:pStyle w:val="Footnotes"/>
      </w:pPr>
      <w:r w:rsidRPr="0024419C">
        <w:rPr>
          <w:rStyle w:val="FootnoteReference"/>
          <w:rFonts w:cs="Calibri"/>
        </w:rPr>
        <w:footnoteRef/>
      </w:r>
      <w:r w:rsidRPr="0024419C">
        <w:rPr>
          <w:rFonts w:cs="Calibri"/>
        </w:rPr>
        <w:tab/>
        <w:t>VIRTIPS Act, s 5.</w:t>
      </w:r>
    </w:p>
  </w:footnote>
  <w:footnote w:id="4">
    <w:p w14:paraId="53D53AFC" w14:textId="01ADA9B2" w:rsidR="00A13A64" w:rsidRDefault="00A13A64">
      <w:pPr>
        <w:pStyle w:val="FootnoteText"/>
      </w:pPr>
      <w:r>
        <w:rPr>
          <w:rStyle w:val="FootnoteReference"/>
        </w:rPr>
        <w:footnoteRef/>
      </w:r>
      <w:r>
        <w:t xml:space="preserve"> </w:t>
      </w:r>
      <w:r w:rsidR="00BC23DE">
        <w:tab/>
      </w:r>
      <w:r w:rsidR="00D6366A">
        <w:t>Victorian Independent Remuneration Tribunal (2023</w:t>
      </w:r>
      <w:r w:rsidR="0045140E">
        <w:t>a</w:t>
      </w:r>
      <w:r w:rsidR="00D6366A">
        <w:t>)</w:t>
      </w:r>
      <w:r w:rsidR="00790C55">
        <w:t>.</w:t>
      </w:r>
    </w:p>
  </w:footnote>
  <w:footnote w:id="5">
    <w:p w14:paraId="446F4AB7" w14:textId="4032D1C0" w:rsidR="003C41B6" w:rsidRPr="001F7240" w:rsidRDefault="003C41B6" w:rsidP="003C41B6">
      <w:pPr>
        <w:pStyle w:val="Footnotes"/>
      </w:pPr>
      <w:r w:rsidRPr="001F7240">
        <w:rPr>
          <w:rStyle w:val="FootnoteReference"/>
          <w:rFonts w:cs="Calibri"/>
        </w:rPr>
        <w:footnoteRef/>
      </w:r>
      <w:r w:rsidRPr="001F7240">
        <w:t xml:space="preserve"> </w:t>
      </w:r>
      <w:r>
        <w:tab/>
      </w:r>
      <w:r w:rsidRPr="001F7240">
        <w:t>VIRTIPS Act, s 24(3).</w:t>
      </w:r>
    </w:p>
  </w:footnote>
  <w:footnote w:id="6">
    <w:p w14:paraId="33B47B51" w14:textId="72F172A5" w:rsidR="00564B34" w:rsidRDefault="00564B34" w:rsidP="00564B34">
      <w:pPr>
        <w:pStyle w:val="Footnotes"/>
      </w:pPr>
      <w:r w:rsidRPr="001F7240">
        <w:rPr>
          <w:rStyle w:val="FootnoteReference"/>
          <w:rFonts w:cs="Calibri"/>
        </w:rPr>
        <w:footnoteRef/>
      </w:r>
      <w:r w:rsidRPr="001F7240">
        <w:t xml:space="preserve"> </w:t>
      </w:r>
      <w:r>
        <w:tab/>
      </w:r>
      <w:r w:rsidRPr="001F7240">
        <w:t>VIRTIPS Act, s 24(1).</w:t>
      </w:r>
    </w:p>
  </w:footnote>
  <w:footnote w:id="7">
    <w:p w14:paraId="0D06B6B1" w14:textId="5D0C1A93" w:rsidR="009D4B64" w:rsidRPr="0024419C" w:rsidRDefault="009D4B64" w:rsidP="009D4B64">
      <w:pPr>
        <w:pStyle w:val="Footnotes"/>
      </w:pPr>
      <w:r w:rsidRPr="00911A44">
        <w:rPr>
          <w:rStyle w:val="FootnoteReference"/>
          <w:rFonts w:cs="Calibri Light"/>
        </w:rPr>
        <w:footnoteRef/>
      </w:r>
      <w:r w:rsidRPr="00911A44">
        <w:rPr>
          <w:rFonts w:cs="Calibri Light"/>
        </w:rPr>
        <w:tab/>
        <w:t>VIRTIPS Act, s 24(2).</w:t>
      </w:r>
    </w:p>
  </w:footnote>
  <w:footnote w:id="8">
    <w:p w14:paraId="4D55EAC6" w14:textId="5842E89C" w:rsidR="00121BA9" w:rsidRDefault="00121BA9" w:rsidP="00121BA9">
      <w:pPr>
        <w:pStyle w:val="FootnoteText"/>
      </w:pPr>
      <w:r>
        <w:rPr>
          <w:rStyle w:val="FootnoteReference"/>
        </w:rPr>
        <w:footnoteRef/>
      </w:r>
      <w:r>
        <w:t xml:space="preserve"> </w:t>
      </w:r>
      <w:r w:rsidRPr="005171F9">
        <w:tab/>
        <w:t>ABS (2024</w:t>
      </w:r>
      <w:r>
        <w:t>a</w:t>
      </w:r>
      <w:r w:rsidRPr="005171F9">
        <w:t>)</w:t>
      </w:r>
      <w:r>
        <w:rPr>
          <w:rStyle w:val="normaltextrun"/>
          <w:rFonts w:cs="Calibri Light"/>
          <w:color w:val="000000"/>
          <w:szCs w:val="18"/>
          <w:shd w:val="clear" w:color="auto" w:fill="FFFFFF"/>
        </w:rPr>
        <w:t>.</w:t>
      </w:r>
      <w:r>
        <w:rPr>
          <w:rStyle w:val="eop"/>
          <w:rFonts w:cs="Calibri Light"/>
          <w:color w:val="000000"/>
          <w:szCs w:val="18"/>
          <w:shd w:val="clear" w:color="auto" w:fill="FFFFFF"/>
        </w:rPr>
        <w:t> </w:t>
      </w:r>
    </w:p>
  </w:footnote>
  <w:footnote w:id="9">
    <w:p w14:paraId="741C8A17" w14:textId="50FE486D" w:rsidR="00121BA9" w:rsidRPr="00182559" w:rsidRDefault="00121BA9" w:rsidP="00121BA9">
      <w:pPr>
        <w:pStyle w:val="FootnoteText"/>
        <w:rPr>
          <w:rFonts w:cs="Calibri Light"/>
        </w:rPr>
      </w:pPr>
      <w:r w:rsidRPr="00182559">
        <w:rPr>
          <w:rStyle w:val="FootnoteReference"/>
          <w:rFonts w:cs="Calibri Light"/>
        </w:rPr>
        <w:footnoteRef/>
      </w:r>
      <w:r w:rsidRPr="00182559">
        <w:rPr>
          <w:rFonts w:cs="Calibri Light"/>
        </w:rPr>
        <w:t xml:space="preserve"> </w:t>
      </w:r>
      <w:r w:rsidRPr="00182559">
        <w:rPr>
          <w:rFonts w:cs="Calibri Light"/>
        </w:rPr>
        <w:tab/>
      </w:r>
      <w:r w:rsidR="001E0458">
        <w:rPr>
          <w:rFonts w:cs="Calibri Light"/>
        </w:rPr>
        <w:t>DTF (2024b</w:t>
      </w:r>
      <w:r w:rsidRPr="00182559">
        <w:rPr>
          <w:rFonts w:cs="Calibri Light"/>
        </w:rPr>
        <w:t>)</w:t>
      </w:r>
      <w:hyperlink r:id="rId1" w:anchor="budget-paper-2-strategy-and-outlook" w:history="1"/>
      <w:r w:rsidRPr="00FA130D">
        <w:rPr>
          <w:rStyle w:val="Hyperlink"/>
          <w:rFonts w:cs="Calibri Light"/>
          <w:iCs/>
          <w:u w:val="none"/>
        </w:rPr>
        <w:t>.</w:t>
      </w:r>
    </w:p>
  </w:footnote>
  <w:footnote w:id="10">
    <w:p w14:paraId="05EA7E3C" w14:textId="6DCA72BE" w:rsidR="00121BA9" w:rsidRDefault="00121BA9" w:rsidP="00121BA9">
      <w:pPr>
        <w:pStyle w:val="FootnoteText"/>
      </w:pPr>
      <w:r w:rsidRPr="003A7786">
        <w:rPr>
          <w:rStyle w:val="FootnoteReference"/>
        </w:rPr>
        <w:footnoteRef/>
      </w:r>
      <w:r w:rsidRPr="003A7786">
        <w:t xml:space="preserve"> </w:t>
      </w:r>
      <w:r w:rsidRPr="003A7786">
        <w:tab/>
        <w:t>RBA (2024)</w:t>
      </w:r>
      <w:r>
        <w:t>.</w:t>
      </w:r>
    </w:p>
  </w:footnote>
  <w:footnote w:id="11">
    <w:p w14:paraId="0FF96A3D" w14:textId="6F54C64E" w:rsidR="00121BA9" w:rsidRPr="00797D5D" w:rsidRDefault="00121BA9" w:rsidP="00121BA9">
      <w:pPr>
        <w:pStyle w:val="FootnoteText"/>
        <w:rPr>
          <w:rFonts w:cs="Calibri Light"/>
        </w:rPr>
      </w:pPr>
      <w:r w:rsidRPr="00797D5D">
        <w:rPr>
          <w:rStyle w:val="FootnoteReference"/>
          <w:rFonts w:cs="Calibri Light"/>
        </w:rPr>
        <w:footnoteRef/>
      </w:r>
      <w:r w:rsidRPr="00797D5D">
        <w:rPr>
          <w:rFonts w:cs="Calibri Light"/>
        </w:rPr>
        <w:t xml:space="preserve"> </w:t>
      </w:r>
      <w:r w:rsidRPr="00797D5D">
        <w:rPr>
          <w:rFonts w:cs="Calibri Light"/>
        </w:rPr>
        <w:tab/>
      </w:r>
      <w:r w:rsidR="001E0458">
        <w:rPr>
          <w:rFonts w:cs="Calibri Light"/>
        </w:rPr>
        <w:t>DTF (2024b</w:t>
      </w:r>
      <w:r w:rsidRPr="00182559">
        <w:rPr>
          <w:rFonts w:cs="Calibri Light"/>
        </w:rPr>
        <w:t>)</w:t>
      </w:r>
      <w:r w:rsidRPr="0025194C">
        <w:rPr>
          <w:rStyle w:val="Hyperlink"/>
          <w:rFonts w:cs="Calibri Light"/>
          <w:iCs/>
          <w:u w:val="none"/>
        </w:rPr>
        <w:t>.</w:t>
      </w:r>
    </w:p>
  </w:footnote>
  <w:footnote w:id="12">
    <w:p w14:paraId="2941D75D" w14:textId="5EBB4D84" w:rsidR="009A4377" w:rsidRPr="00DF2C34" w:rsidRDefault="009A4377" w:rsidP="009A4377">
      <w:pPr>
        <w:pStyle w:val="FootnoteText"/>
        <w:rPr>
          <w:rFonts w:cs="Calibri Light"/>
        </w:rPr>
      </w:pPr>
      <w:r w:rsidRPr="00797D5D">
        <w:rPr>
          <w:rStyle w:val="FootnoteReference"/>
          <w:rFonts w:cs="Calibri Light"/>
        </w:rPr>
        <w:footnoteRef/>
      </w:r>
      <w:r w:rsidRPr="00797D5D">
        <w:rPr>
          <w:rFonts w:cs="Calibri Light"/>
        </w:rPr>
        <w:t xml:space="preserve"> </w:t>
      </w:r>
      <w:r w:rsidRPr="00DF2C34">
        <w:rPr>
          <w:rFonts w:cs="Calibri Light"/>
        </w:rPr>
        <w:tab/>
        <w:t>ABS (2024</w:t>
      </w:r>
      <w:r>
        <w:rPr>
          <w:rFonts w:cs="Calibri Light"/>
        </w:rPr>
        <w:t>c</w:t>
      </w:r>
      <w:r w:rsidRPr="00DF2C34">
        <w:rPr>
          <w:rFonts w:cs="Calibri Light"/>
        </w:rPr>
        <w:t>)</w:t>
      </w:r>
      <w:r>
        <w:rPr>
          <w:rStyle w:val="normaltextrun"/>
          <w:rFonts w:cs="Calibri Light"/>
          <w:color w:val="000000"/>
          <w:szCs w:val="18"/>
          <w:shd w:val="clear" w:color="auto" w:fill="FFFFFF"/>
        </w:rPr>
        <w:t>.</w:t>
      </w:r>
    </w:p>
  </w:footnote>
  <w:footnote w:id="13">
    <w:p w14:paraId="5DEFD38A" w14:textId="4D22E738" w:rsidR="009A4377" w:rsidRDefault="009A4377" w:rsidP="009A4377">
      <w:pPr>
        <w:pStyle w:val="FootnoteText"/>
      </w:pPr>
      <w:r>
        <w:rPr>
          <w:rStyle w:val="FootnoteReference"/>
        </w:rPr>
        <w:footnoteRef/>
      </w:r>
      <w:r>
        <w:t xml:space="preserve"> </w:t>
      </w:r>
      <w:r>
        <w:tab/>
      </w:r>
      <w:r w:rsidRPr="003A7786">
        <w:t>RBA (2024)</w:t>
      </w:r>
      <w:r>
        <w:t>.</w:t>
      </w:r>
    </w:p>
  </w:footnote>
  <w:footnote w:id="14">
    <w:p w14:paraId="54933D48" w14:textId="45A170E1" w:rsidR="009A4377" w:rsidRPr="00DF2C34" w:rsidRDefault="009A4377" w:rsidP="009A4377">
      <w:pPr>
        <w:pStyle w:val="FootnoteText"/>
        <w:rPr>
          <w:rFonts w:cs="Calibri Light"/>
        </w:rPr>
      </w:pPr>
      <w:r w:rsidRPr="00DF2C34">
        <w:rPr>
          <w:rStyle w:val="FootnoteReference"/>
          <w:rFonts w:cs="Calibri Light"/>
        </w:rPr>
        <w:footnoteRef/>
      </w:r>
      <w:r w:rsidRPr="00DF2C34">
        <w:rPr>
          <w:rFonts w:cs="Calibri Light"/>
        </w:rPr>
        <w:t xml:space="preserve"> </w:t>
      </w:r>
      <w:r w:rsidRPr="00DF2C34">
        <w:rPr>
          <w:rFonts w:cs="Calibri Light"/>
        </w:rPr>
        <w:tab/>
      </w:r>
      <w:r w:rsidR="001E0458">
        <w:rPr>
          <w:rFonts w:cs="Calibri Light"/>
        </w:rPr>
        <w:t>DTF (2024b</w:t>
      </w:r>
      <w:r w:rsidRPr="00182559">
        <w:rPr>
          <w:rFonts w:cs="Calibri Light"/>
        </w:rPr>
        <w:t>)</w:t>
      </w:r>
      <w:r>
        <w:rPr>
          <w:rFonts w:cs="Calibri Light"/>
          <w:i/>
          <w:iCs/>
        </w:rPr>
        <w:t>.</w:t>
      </w:r>
    </w:p>
  </w:footnote>
  <w:footnote w:id="15">
    <w:p w14:paraId="6D8FCA92" w14:textId="57A3012E" w:rsidR="00494028" w:rsidRPr="00DF2C34" w:rsidRDefault="00494028" w:rsidP="00494028">
      <w:pPr>
        <w:pStyle w:val="FootnoteText"/>
        <w:rPr>
          <w:rFonts w:cs="Calibri Light"/>
        </w:rPr>
      </w:pPr>
      <w:r w:rsidRPr="00DF2C34">
        <w:rPr>
          <w:rStyle w:val="FootnoteReference"/>
          <w:rFonts w:cs="Calibri Light"/>
        </w:rPr>
        <w:footnoteRef/>
      </w:r>
      <w:r w:rsidRPr="00DF2C34">
        <w:rPr>
          <w:rFonts w:cs="Calibri Light"/>
        </w:rPr>
        <w:t xml:space="preserve"> </w:t>
      </w:r>
      <w:r w:rsidRPr="00DF2C34">
        <w:rPr>
          <w:rFonts w:cs="Calibri Light"/>
        </w:rPr>
        <w:tab/>
        <w:t>ABS (2024</w:t>
      </w:r>
      <w:r w:rsidR="006F29E9">
        <w:rPr>
          <w:rFonts w:cs="Calibri Light"/>
        </w:rPr>
        <w:t>f</w:t>
      </w:r>
      <w:r w:rsidRPr="00DF2C34">
        <w:rPr>
          <w:rFonts w:cs="Calibri Light"/>
        </w:rPr>
        <w:t>)</w:t>
      </w:r>
      <w:r>
        <w:rPr>
          <w:rStyle w:val="normaltextrun"/>
          <w:rFonts w:cs="Calibri Light"/>
          <w:color w:val="000000"/>
          <w:szCs w:val="18"/>
          <w:shd w:val="clear" w:color="auto" w:fill="FFFFFF"/>
        </w:rPr>
        <w:t>.</w:t>
      </w:r>
    </w:p>
  </w:footnote>
  <w:footnote w:id="16">
    <w:p w14:paraId="405B2B1D" w14:textId="5FF08B27" w:rsidR="00494028" w:rsidRDefault="00494028" w:rsidP="00494028">
      <w:pPr>
        <w:pStyle w:val="FootnoteText"/>
      </w:pPr>
      <w:r>
        <w:rPr>
          <w:rStyle w:val="FootnoteReference"/>
        </w:rPr>
        <w:footnoteRef/>
      </w:r>
      <w:r>
        <w:t xml:space="preserve"> </w:t>
      </w:r>
      <w:r>
        <w:tab/>
      </w:r>
      <w:r w:rsidRPr="00DF2C34">
        <w:rPr>
          <w:rFonts w:cs="Calibri Light"/>
        </w:rPr>
        <w:t>ABS (2024</w:t>
      </w:r>
      <w:r w:rsidR="006F29E9">
        <w:rPr>
          <w:rFonts w:cs="Calibri Light"/>
        </w:rPr>
        <w:t>f</w:t>
      </w:r>
      <w:r w:rsidRPr="00DF2C34">
        <w:rPr>
          <w:rFonts w:cs="Calibri Light"/>
        </w:rPr>
        <w:t>)</w:t>
      </w:r>
      <w:r>
        <w:rPr>
          <w:rStyle w:val="normaltextrun"/>
          <w:rFonts w:cs="Calibri Light"/>
          <w:color w:val="000000"/>
          <w:szCs w:val="18"/>
          <w:shd w:val="clear" w:color="auto" w:fill="FFFFFF"/>
        </w:rPr>
        <w:t>.</w:t>
      </w:r>
    </w:p>
  </w:footnote>
  <w:footnote w:id="17">
    <w:p w14:paraId="0491DCEB" w14:textId="193940E6" w:rsidR="00494028" w:rsidRPr="00DF2C34" w:rsidRDefault="00494028" w:rsidP="00494028">
      <w:pPr>
        <w:pStyle w:val="FootnoteText"/>
        <w:rPr>
          <w:rFonts w:cs="Calibri Light"/>
        </w:rPr>
      </w:pPr>
      <w:r w:rsidRPr="007B5380">
        <w:rPr>
          <w:rStyle w:val="FootnoteReference"/>
          <w:rFonts w:cs="Calibri Light"/>
        </w:rPr>
        <w:footnoteRef/>
      </w:r>
      <w:r w:rsidRPr="007B5380">
        <w:rPr>
          <w:rFonts w:cs="Calibri Light"/>
        </w:rPr>
        <w:t xml:space="preserve"> </w:t>
      </w:r>
      <w:r w:rsidRPr="007B5380">
        <w:rPr>
          <w:rFonts w:cs="Calibri Light"/>
        </w:rPr>
        <w:tab/>
      </w:r>
      <w:r w:rsidRPr="007B5380">
        <w:t>ABS (2024</w:t>
      </w:r>
      <w:r w:rsidR="00AC0A71" w:rsidRPr="007B5380">
        <w:t>g</w:t>
      </w:r>
      <w:r w:rsidRPr="007B5380">
        <w:t>)</w:t>
      </w:r>
      <w:r w:rsidRPr="007B5380">
        <w:rPr>
          <w:rStyle w:val="normaltextrun"/>
          <w:rFonts w:cs="Calibri Light"/>
          <w:color w:val="000000"/>
          <w:szCs w:val="18"/>
          <w:shd w:val="clear" w:color="auto" w:fill="FFFFFF"/>
        </w:rPr>
        <w:t>.</w:t>
      </w:r>
    </w:p>
  </w:footnote>
  <w:footnote w:id="18">
    <w:p w14:paraId="6AD4CDA1" w14:textId="64D9F1A2" w:rsidR="00494028" w:rsidRPr="00DF2C34" w:rsidRDefault="00494028" w:rsidP="00494028">
      <w:pPr>
        <w:pStyle w:val="FootnoteText"/>
        <w:rPr>
          <w:rFonts w:cs="Calibri Light"/>
        </w:rPr>
      </w:pPr>
      <w:r w:rsidRPr="00DF2C34">
        <w:rPr>
          <w:rStyle w:val="FootnoteReference"/>
          <w:rFonts w:cs="Calibri Light"/>
        </w:rPr>
        <w:footnoteRef/>
      </w:r>
      <w:r w:rsidRPr="00DF2C34">
        <w:rPr>
          <w:rFonts w:cs="Calibri Light"/>
        </w:rPr>
        <w:t xml:space="preserve"> </w:t>
      </w:r>
      <w:r w:rsidRPr="00DF2C34">
        <w:rPr>
          <w:rFonts w:cs="Calibri Light"/>
        </w:rPr>
        <w:tab/>
        <w:t>ABS (2024</w:t>
      </w:r>
      <w:r w:rsidR="006F29E9">
        <w:rPr>
          <w:rFonts w:cs="Calibri Light"/>
        </w:rPr>
        <w:t>f</w:t>
      </w:r>
      <w:r w:rsidRPr="00DF2C34">
        <w:rPr>
          <w:rFonts w:cs="Calibri Light"/>
        </w:rPr>
        <w:t>)</w:t>
      </w:r>
      <w:r>
        <w:rPr>
          <w:rFonts w:cs="Calibri Light"/>
        </w:rPr>
        <w:t xml:space="preserve">; </w:t>
      </w:r>
      <w:r w:rsidRPr="00DF2C34">
        <w:rPr>
          <w:rFonts w:cs="Calibri Light"/>
        </w:rPr>
        <w:t>ABS (2024</w:t>
      </w:r>
      <w:r>
        <w:rPr>
          <w:rFonts w:cs="Calibri Light"/>
        </w:rPr>
        <w:t>c</w:t>
      </w:r>
      <w:r w:rsidRPr="00DF2C34">
        <w:rPr>
          <w:rFonts w:cs="Calibri Light"/>
        </w:rPr>
        <w:t>)</w:t>
      </w:r>
      <w:r>
        <w:rPr>
          <w:rStyle w:val="normaltextrun"/>
          <w:rFonts w:cs="Calibri Light"/>
          <w:color w:val="000000"/>
          <w:szCs w:val="18"/>
          <w:shd w:val="clear" w:color="auto" w:fill="FFFFFF"/>
        </w:rPr>
        <w:t>.</w:t>
      </w:r>
    </w:p>
  </w:footnote>
  <w:footnote w:id="19">
    <w:p w14:paraId="00E1846A" w14:textId="1B1ACB65" w:rsidR="00494028" w:rsidRDefault="00494028" w:rsidP="00494028">
      <w:pPr>
        <w:pStyle w:val="FootnoteText"/>
      </w:pPr>
      <w:r w:rsidRPr="00DF2C34">
        <w:rPr>
          <w:rStyle w:val="FootnoteReference"/>
          <w:rFonts w:cs="Calibri Light"/>
        </w:rPr>
        <w:footnoteRef/>
      </w:r>
      <w:r w:rsidRPr="00DF2C34">
        <w:rPr>
          <w:rFonts w:cs="Calibri Light"/>
        </w:rPr>
        <w:t xml:space="preserve"> </w:t>
      </w:r>
      <w:r w:rsidRPr="00DF2C34">
        <w:rPr>
          <w:rFonts w:cs="Calibri Light"/>
        </w:rPr>
        <w:tab/>
      </w:r>
      <w:r w:rsidRPr="003A7786">
        <w:t>RBA (2024)</w:t>
      </w:r>
      <w:r>
        <w:rPr>
          <w:i/>
          <w:iCs/>
        </w:rPr>
        <w:t>.</w:t>
      </w:r>
    </w:p>
  </w:footnote>
  <w:footnote w:id="20">
    <w:p w14:paraId="348870F7" w14:textId="6DC74D9F" w:rsidR="00CE62F6" w:rsidRDefault="00CE62F6" w:rsidP="00CE62F6">
      <w:pPr>
        <w:pStyle w:val="FootnoteText"/>
      </w:pPr>
      <w:r>
        <w:rPr>
          <w:rStyle w:val="FootnoteReference"/>
        </w:rPr>
        <w:footnoteRef/>
      </w:r>
      <w:r>
        <w:t xml:space="preserve"> </w:t>
      </w:r>
      <w:r>
        <w:tab/>
      </w:r>
      <w:r w:rsidR="001E0458">
        <w:rPr>
          <w:rFonts w:cs="Calibri Light"/>
        </w:rPr>
        <w:t>DTF (2024b</w:t>
      </w:r>
      <w:r w:rsidR="002A4D8A" w:rsidRPr="00182559">
        <w:rPr>
          <w:rFonts w:cs="Calibri Light"/>
        </w:rPr>
        <w:t>)</w:t>
      </w:r>
      <w:r w:rsidR="00685F8B">
        <w:rPr>
          <w:rFonts w:cs="Calibri Light"/>
        </w:rPr>
        <w:t>, p</w:t>
      </w:r>
      <w:r w:rsidR="00EE4B2E">
        <w:rPr>
          <w:rFonts w:cs="Calibri Light"/>
        </w:rPr>
        <w:t>.</w:t>
      </w:r>
      <w:r w:rsidR="00685F8B">
        <w:rPr>
          <w:rFonts w:cs="Calibri Light"/>
        </w:rPr>
        <w:t xml:space="preserve"> 4.</w:t>
      </w:r>
    </w:p>
  </w:footnote>
  <w:footnote w:id="21">
    <w:p w14:paraId="716271C5" w14:textId="181BC2C6" w:rsidR="00CE62F6" w:rsidRDefault="00CE62F6" w:rsidP="00CE62F6">
      <w:pPr>
        <w:pStyle w:val="FootnoteText"/>
      </w:pPr>
      <w:r>
        <w:rPr>
          <w:rStyle w:val="FootnoteReference"/>
        </w:rPr>
        <w:footnoteRef/>
      </w:r>
      <w:r>
        <w:t xml:space="preserve"> </w:t>
      </w:r>
      <w:r>
        <w:tab/>
      </w:r>
      <w:r w:rsidR="001E0458">
        <w:rPr>
          <w:rFonts w:cs="Calibri Light"/>
        </w:rPr>
        <w:t>DTF (2024b</w:t>
      </w:r>
      <w:r w:rsidR="00924732" w:rsidRPr="00182559">
        <w:rPr>
          <w:rFonts w:cs="Calibri Light"/>
        </w:rPr>
        <w:t>)</w:t>
      </w:r>
      <w:r w:rsidR="00924732">
        <w:rPr>
          <w:rFonts w:cs="Calibri Light"/>
        </w:rPr>
        <w:t>, p</w:t>
      </w:r>
      <w:r w:rsidR="00EE4B2E">
        <w:rPr>
          <w:rFonts w:cs="Calibri Light"/>
        </w:rPr>
        <w:t>.</w:t>
      </w:r>
      <w:r w:rsidR="00924732">
        <w:rPr>
          <w:rFonts w:cs="Calibri Light"/>
        </w:rPr>
        <w:t xml:space="preserve"> 6.</w:t>
      </w:r>
      <w:r>
        <w:t xml:space="preserve"> </w:t>
      </w:r>
    </w:p>
  </w:footnote>
  <w:footnote w:id="22">
    <w:p w14:paraId="1DB28589" w14:textId="70E4B6D1" w:rsidR="0066283C" w:rsidRPr="002F0C3E" w:rsidRDefault="0066283C" w:rsidP="0066283C">
      <w:pPr>
        <w:pStyle w:val="FootnoteText"/>
        <w:rPr>
          <w:rFonts w:cs="Calibri Light"/>
        </w:rPr>
      </w:pPr>
      <w:r w:rsidRPr="00DF2C34">
        <w:rPr>
          <w:rStyle w:val="FootnoteReference"/>
          <w:rFonts w:cs="Calibri Light"/>
        </w:rPr>
        <w:footnoteRef/>
      </w:r>
      <w:r w:rsidRPr="00DF2C34">
        <w:rPr>
          <w:rFonts w:cs="Calibri Light"/>
        </w:rPr>
        <w:t xml:space="preserve"> </w:t>
      </w:r>
      <w:r w:rsidRPr="00DF2C34">
        <w:rPr>
          <w:rFonts w:cs="Calibri Light"/>
        </w:rPr>
        <w:tab/>
      </w:r>
      <w:r w:rsidR="001A72C4">
        <w:rPr>
          <w:rFonts w:cs="Calibri Light"/>
        </w:rPr>
        <w:t>Industrial Relations Victoria</w:t>
      </w:r>
      <w:r w:rsidRPr="005A60D9">
        <w:rPr>
          <w:rFonts w:cs="Calibri Light"/>
        </w:rPr>
        <w:t xml:space="preserve"> (202</w:t>
      </w:r>
      <w:r w:rsidR="005A60D9" w:rsidRPr="005A60D9">
        <w:rPr>
          <w:rFonts w:cs="Calibri Light"/>
        </w:rPr>
        <w:t>4</w:t>
      </w:r>
      <w:r w:rsidRPr="005A60D9">
        <w:rPr>
          <w:rFonts w:cs="Calibri Light"/>
        </w:rPr>
        <w:t>)</w:t>
      </w:r>
      <w:r w:rsidR="000E14A3">
        <w:rPr>
          <w:rFonts w:cs="Calibri Light"/>
        </w:rPr>
        <w:t>.</w:t>
      </w:r>
    </w:p>
  </w:footnote>
  <w:footnote w:id="23">
    <w:p w14:paraId="32362834" w14:textId="0B5BD0D1" w:rsidR="00DD09AD" w:rsidRPr="00D4027A" w:rsidRDefault="00DD09AD" w:rsidP="007519E3">
      <w:pPr>
        <w:pStyle w:val="FootnoteText"/>
        <w:rPr>
          <w:i/>
        </w:rPr>
      </w:pPr>
      <w:r>
        <w:rPr>
          <w:rStyle w:val="FootnoteReference"/>
        </w:rPr>
        <w:footnoteRef/>
      </w:r>
      <w:r>
        <w:t xml:space="preserve"> </w:t>
      </w:r>
      <w:r w:rsidR="006C5A09">
        <w:tab/>
      </w:r>
      <w:r w:rsidR="00765E81" w:rsidRPr="006C5A09">
        <w:rPr>
          <w:rStyle w:val="FootnotesChar"/>
        </w:rPr>
        <w:t>Remuneration Tribunal (</w:t>
      </w:r>
      <w:r w:rsidR="003F5EB0" w:rsidRPr="003F5EB0">
        <w:rPr>
          <w:rStyle w:val="FootnotesChar"/>
        </w:rPr>
        <w:t xml:space="preserve">Commonwealth) </w:t>
      </w:r>
      <w:r w:rsidR="00765E81" w:rsidRPr="006C5A09">
        <w:rPr>
          <w:rStyle w:val="FootnotesChar"/>
        </w:rPr>
        <w:t>(2024)</w:t>
      </w:r>
      <w:r w:rsidR="00765E81">
        <w:rPr>
          <w:rStyle w:val="FootnotesChar"/>
        </w:rPr>
        <w:t xml:space="preserve">; </w:t>
      </w:r>
      <w:r w:rsidR="00D4027A" w:rsidRPr="006C5A09">
        <w:rPr>
          <w:rStyle w:val="FootnotesChar"/>
        </w:rPr>
        <w:t>Queensland Independent Remuneration Tribunal (202</w:t>
      </w:r>
      <w:r w:rsidR="007519E3" w:rsidRPr="006C5A09">
        <w:rPr>
          <w:rStyle w:val="FootnotesChar"/>
        </w:rPr>
        <w:t>3</w:t>
      </w:r>
      <w:r w:rsidR="00D4027A" w:rsidRPr="006C5A09">
        <w:rPr>
          <w:rStyle w:val="FootnotesChar"/>
        </w:rPr>
        <w:t>)</w:t>
      </w:r>
      <w:r w:rsidR="007519E3" w:rsidRPr="006C5A09">
        <w:rPr>
          <w:rStyle w:val="FootnotesChar"/>
        </w:rPr>
        <w:t xml:space="preserve">, </w:t>
      </w:r>
      <w:r w:rsidR="006C5A09">
        <w:rPr>
          <w:rStyle w:val="FootnotesChar"/>
        </w:rPr>
        <w:t>p</w:t>
      </w:r>
      <w:r w:rsidR="00EE4B2E">
        <w:rPr>
          <w:rStyle w:val="FootnotesChar"/>
        </w:rPr>
        <w:t>.</w:t>
      </w:r>
      <w:r w:rsidR="006C5A09">
        <w:rPr>
          <w:rStyle w:val="FootnotesChar"/>
        </w:rPr>
        <w:t xml:space="preserve"> 7</w:t>
      </w:r>
      <w:r w:rsidR="00765E81">
        <w:rPr>
          <w:rStyle w:val="FootnotesChar"/>
        </w:rPr>
        <w:t>.</w:t>
      </w:r>
      <w:r w:rsidRPr="006C5A09">
        <w:rPr>
          <w:rStyle w:val="FootnotesChar"/>
        </w:rPr>
        <w:t xml:space="preserve"> </w:t>
      </w:r>
    </w:p>
  </w:footnote>
  <w:footnote w:id="24">
    <w:p w14:paraId="49BE6C30" w14:textId="03FFC94A" w:rsidR="00465263" w:rsidRDefault="00465263" w:rsidP="00465263">
      <w:pPr>
        <w:pStyle w:val="FootnoteText"/>
      </w:pPr>
      <w:r w:rsidRPr="00277325">
        <w:rPr>
          <w:rStyle w:val="FootnoteReference"/>
        </w:rPr>
        <w:footnoteRef/>
      </w:r>
      <w:r w:rsidRPr="00277325">
        <w:t xml:space="preserve"> </w:t>
      </w:r>
      <w:r w:rsidR="000F23E5">
        <w:tab/>
      </w:r>
      <w:r w:rsidRPr="00277325">
        <w:t>Parliamentary Remuneration Tribunal (NSW) (202</w:t>
      </w:r>
      <w:r>
        <w:t>3</w:t>
      </w:r>
      <w:r w:rsidRPr="00277325">
        <w:t>)</w:t>
      </w:r>
      <w:r w:rsidR="002B2569">
        <w:t>, p</w:t>
      </w:r>
      <w:r w:rsidR="00EE4B2E">
        <w:t>.</w:t>
      </w:r>
      <w:r w:rsidR="002B2569">
        <w:t xml:space="preserve"> 18.</w:t>
      </w:r>
    </w:p>
  </w:footnote>
  <w:footnote w:id="25">
    <w:p w14:paraId="21B6EB22" w14:textId="45E9EB66" w:rsidR="008F10DA" w:rsidRDefault="008F10DA" w:rsidP="008F10DA">
      <w:pPr>
        <w:pStyle w:val="FootnoteText"/>
      </w:pPr>
      <w:r w:rsidRPr="00C71CCB">
        <w:rPr>
          <w:rStyle w:val="FootnoteReference"/>
          <w:rFonts w:cs="Calibri"/>
        </w:rPr>
        <w:footnoteRef/>
      </w:r>
      <w:r w:rsidRPr="00C71CCB">
        <w:t xml:space="preserve"> </w:t>
      </w:r>
      <w:r>
        <w:tab/>
      </w:r>
      <w:r w:rsidR="004D7CEB">
        <w:t>FWC</w:t>
      </w:r>
      <w:r w:rsidRPr="00C71CCB">
        <w:t xml:space="preserve"> (202</w:t>
      </w:r>
      <w:r w:rsidR="002B2569">
        <w:t>4</w:t>
      </w:r>
      <w:r w:rsidRPr="00C71CCB">
        <w:t>)</w:t>
      </w:r>
      <w:hyperlink r:id="rId2" w:history="1"/>
      <w:r w:rsidR="002B2569">
        <w:t xml:space="preserve">, </w:t>
      </w:r>
      <w:r w:rsidRPr="00C71CCB">
        <w:t>p</w:t>
      </w:r>
      <w:r w:rsidR="00EE4B2E">
        <w:t>.</w:t>
      </w:r>
      <w:r w:rsidRPr="00C71CCB">
        <w:t xml:space="preserve"> 6</w:t>
      </w:r>
      <w:r w:rsidR="002B2569">
        <w:t>6</w:t>
      </w:r>
      <w:r w:rsidRPr="00C71CCB">
        <w:t>.</w:t>
      </w:r>
    </w:p>
  </w:footnote>
  <w:footnote w:id="26">
    <w:p w14:paraId="36F821C5" w14:textId="75D36FAB" w:rsidR="00EC089C" w:rsidRDefault="00EC089C">
      <w:pPr>
        <w:pStyle w:val="FootnoteText"/>
      </w:pPr>
      <w:r>
        <w:rPr>
          <w:rStyle w:val="FootnoteReference"/>
        </w:rPr>
        <w:footnoteRef/>
      </w:r>
      <w:r>
        <w:t xml:space="preserve"> </w:t>
      </w:r>
      <w:r>
        <w:tab/>
        <w:t>Victorian Independent Remuneration Tribunal (2023</w:t>
      </w:r>
      <w:r w:rsidR="000C1F49">
        <w:t>a</w:t>
      </w:r>
      <w:r>
        <w:t>)</w:t>
      </w:r>
      <w:r w:rsidR="00DC5F4D">
        <w:t xml:space="preserve">, </w:t>
      </w:r>
      <w:r w:rsidR="005A184A">
        <w:t>p</w:t>
      </w:r>
      <w:r w:rsidR="003F3365">
        <w:t>p</w:t>
      </w:r>
      <w:r w:rsidR="00EE4B2E">
        <w:t>.</w:t>
      </w:r>
      <w:r w:rsidR="00DC5F4D">
        <w:t> </w:t>
      </w:r>
      <w:r w:rsidR="003F3365">
        <w:t>49,</w:t>
      </w:r>
      <w:r w:rsidR="00DC5F4D">
        <w:t> </w:t>
      </w:r>
      <w:r w:rsidR="00A33035">
        <w:t>51</w:t>
      </w:r>
      <w:r w:rsidR="005A184A">
        <w:t>.</w:t>
      </w:r>
    </w:p>
  </w:footnote>
  <w:footnote w:id="27">
    <w:p w14:paraId="3C0E19CA" w14:textId="7717789C" w:rsidR="00D30419" w:rsidRDefault="00D30419" w:rsidP="00D30419">
      <w:pPr>
        <w:pStyle w:val="Footnotes"/>
      </w:pPr>
      <w:r>
        <w:rPr>
          <w:rStyle w:val="FootnoteReference"/>
        </w:rPr>
        <w:footnoteRef/>
      </w:r>
      <w:r>
        <w:t xml:space="preserve"> </w:t>
      </w:r>
      <w:r w:rsidR="00F41DBA">
        <w:tab/>
      </w:r>
      <w:r>
        <w:t xml:space="preserve">VIRTIPS Act, </w:t>
      </w:r>
      <w:r w:rsidR="00ED194A">
        <w:t>s</w:t>
      </w:r>
      <w:r>
        <w:t xml:space="preserve"> 17(3)(e).</w:t>
      </w:r>
    </w:p>
  </w:footnote>
  <w:footnote w:id="28">
    <w:p w14:paraId="040036A0" w14:textId="77C0EFF6" w:rsidR="00D30419" w:rsidRDefault="00D30419" w:rsidP="00D30419">
      <w:pPr>
        <w:pStyle w:val="Footnotes"/>
      </w:pPr>
      <w:r>
        <w:rPr>
          <w:rStyle w:val="FootnoteReference"/>
        </w:rPr>
        <w:footnoteRef/>
      </w:r>
      <w:r>
        <w:t xml:space="preserve"> </w:t>
      </w:r>
      <w:r w:rsidR="002E3358">
        <w:tab/>
      </w:r>
      <w:r w:rsidR="00C87345">
        <w:t>Victorian Independent Remuneration Tribunal (2023</w:t>
      </w:r>
      <w:r w:rsidR="00F1123D">
        <w:t>a</w:t>
      </w:r>
      <w:r w:rsidR="00C87345">
        <w:t>)</w:t>
      </w:r>
      <w:r w:rsidRPr="0094395E">
        <w:t>, p</w:t>
      </w:r>
      <w:r w:rsidR="005C1B9A">
        <w:t>p</w:t>
      </w:r>
      <w:r w:rsidR="00EE4B2E">
        <w:t>.</w:t>
      </w:r>
      <w:r w:rsidR="00C87345">
        <w:t> </w:t>
      </w:r>
      <w:r w:rsidR="00FC5477">
        <w:t>23</w:t>
      </w:r>
      <w:r w:rsidR="00CD50BF">
        <w:t>-</w:t>
      </w:r>
      <w:r w:rsidR="00FC5477">
        <w:t>24</w:t>
      </w:r>
      <w:r w:rsidRPr="0094395E">
        <w:t>.</w:t>
      </w:r>
    </w:p>
  </w:footnote>
  <w:footnote w:id="29">
    <w:p w14:paraId="3B83B25D" w14:textId="3909B7C2" w:rsidR="0008432B" w:rsidRDefault="0008432B">
      <w:pPr>
        <w:pStyle w:val="FootnoteText"/>
      </w:pPr>
      <w:r>
        <w:rPr>
          <w:rStyle w:val="FootnoteReference"/>
        </w:rPr>
        <w:footnoteRef/>
      </w:r>
      <w:r>
        <w:t xml:space="preserve"> </w:t>
      </w:r>
      <w:r w:rsidR="002E3358">
        <w:tab/>
      </w:r>
      <w:r w:rsidR="008A18DF" w:rsidRPr="008A18DF">
        <w:rPr>
          <w:i/>
          <w:iCs/>
        </w:rPr>
        <w:t>Parliamentary Salaries, Allowances and Superannuation Act 1968</w:t>
      </w:r>
      <w:r w:rsidR="008A18DF">
        <w:t xml:space="preserve"> (Vic)</w:t>
      </w:r>
      <w:r>
        <w:t>, s 7F.</w:t>
      </w:r>
    </w:p>
  </w:footnote>
  <w:footnote w:id="30">
    <w:p w14:paraId="5DEDC69F" w14:textId="7C72B0B2" w:rsidR="007F6C11" w:rsidRDefault="007F6C11" w:rsidP="00C5717E">
      <w:pPr>
        <w:pStyle w:val="FootnoteText"/>
      </w:pPr>
      <w:r w:rsidRPr="00C654C1">
        <w:rPr>
          <w:rStyle w:val="FootnoteReference"/>
        </w:rPr>
        <w:footnoteRef/>
      </w:r>
      <w:r w:rsidRPr="00C654C1">
        <w:t xml:space="preserve"> </w:t>
      </w:r>
      <w:r w:rsidR="00236294">
        <w:tab/>
      </w:r>
      <w:r w:rsidR="0099780A">
        <w:t>Victorian Independent Remuneration Tribunal (2023</w:t>
      </w:r>
      <w:r w:rsidR="00F1123D">
        <w:t>a</w:t>
      </w:r>
      <w:r w:rsidR="0099780A">
        <w:t>)</w:t>
      </w:r>
      <w:r w:rsidR="0099780A" w:rsidRPr="0094395E">
        <w:t>, p</w:t>
      </w:r>
      <w:r w:rsidR="003105FA">
        <w:t>.</w:t>
      </w:r>
      <w:r w:rsidR="0099780A">
        <w:t> 108</w:t>
      </w:r>
      <w:r w:rsidR="00DE6256">
        <w:t>.</w:t>
      </w:r>
    </w:p>
  </w:footnote>
  <w:footnote w:id="31">
    <w:p w14:paraId="61931DD6" w14:textId="636E6D20" w:rsidR="001B6612" w:rsidRDefault="001B6612" w:rsidP="001B6612">
      <w:pPr>
        <w:pStyle w:val="FootnoteText"/>
      </w:pPr>
      <w:r>
        <w:rPr>
          <w:rStyle w:val="FootnoteReference"/>
        </w:rPr>
        <w:footnoteRef/>
      </w:r>
      <w:r>
        <w:t xml:space="preserve"> </w:t>
      </w:r>
      <w:r>
        <w:tab/>
        <w:t>Victorian Independent Remuneration Tribunal (2023a)</w:t>
      </w:r>
      <w:r w:rsidRPr="0094395E">
        <w:t>, p</w:t>
      </w:r>
      <w:r w:rsidR="003105FA">
        <w:t>.</w:t>
      </w:r>
      <w:r>
        <w:t> 108.</w:t>
      </w:r>
    </w:p>
  </w:footnote>
  <w:footnote w:id="32">
    <w:p w14:paraId="05EF12B6" w14:textId="11739F28" w:rsidR="00993885" w:rsidRDefault="00993885">
      <w:pPr>
        <w:pStyle w:val="FootnoteText"/>
      </w:pPr>
      <w:r>
        <w:rPr>
          <w:rStyle w:val="FootnoteReference"/>
        </w:rPr>
        <w:footnoteRef/>
      </w:r>
      <w:r>
        <w:t xml:space="preserve"> </w:t>
      </w:r>
      <w:r w:rsidR="00236294">
        <w:tab/>
      </w:r>
      <w:r w:rsidR="0099780A">
        <w:t>Victorian Independent Remuneration Tribunal (2023</w:t>
      </w:r>
      <w:r w:rsidR="00F1123D">
        <w:t>a</w:t>
      </w:r>
      <w:r w:rsidR="0099780A">
        <w:t>)</w:t>
      </w:r>
      <w:r w:rsidR="0099780A" w:rsidRPr="0094395E">
        <w:t>, p</w:t>
      </w:r>
      <w:r w:rsidR="003105FA">
        <w:t>.</w:t>
      </w:r>
      <w:r w:rsidR="0099780A">
        <w:t> </w:t>
      </w:r>
      <w:r w:rsidR="000A7600">
        <w:t>6</w:t>
      </w:r>
      <w:r w:rsidR="0099780A">
        <w:t>4</w:t>
      </w:r>
      <w:r w:rsidR="00236294">
        <w:t>.</w:t>
      </w:r>
    </w:p>
  </w:footnote>
  <w:footnote w:id="33">
    <w:p w14:paraId="3CA4FE88" w14:textId="5E9A51AD" w:rsidR="006477DC" w:rsidRDefault="006477DC" w:rsidP="00221B88">
      <w:pPr>
        <w:pStyle w:val="FootnoteText"/>
      </w:pPr>
      <w:r>
        <w:rPr>
          <w:rStyle w:val="FootnoteReference"/>
        </w:rPr>
        <w:footnoteRef/>
      </w:r>
      <w:r>
        <w:t xml:space="preserve"> </w:t>
      </w:r>
      <w:r>
        <w:tab/>
      </w:r>
      <w:r w:rsidR="00A02AD7">
        <w:t xml:space="preserve">The Remuneration Tribunal </w:t>
      </w:r>
      <w:r w:rsidR="00CF5622" w:rsidRPr="00CF5622">
        <w:t xml:space="preserve">(Commonwealth) </w:t>
      </w:r>
      <w:r w:rsidR="00A02AD7">
        <w:t xml:space="preserve">Determination </w:t>
      </w:r>
      <w:r w:rsidR="00F757DF">
        <w:t>in force at the time of making th</w:t>
      </w:r>
      <w:r w:rsidR="00D50285">
        <w:t>is</w:t>
      </w:r>
      <w:r w:rsidR="00E2392A">
        <w:t xml:space="preserve"> Determination </w:t>
      </w:r>
      <w:r w:rsidR="00221B88">
        <w:t xml:space="preserve">was the </w:t>
      </w:r>
      <w:r w:rsidR="00221B88" w:rsidRPr="00221B88">
        <w:rPr>
          <w:i/>
          <w:iCs/>
        </w:rPr>
        <w:t>Remuneration Tribunal (Members of Parliament) Determination (No.2) 2023</w:t>
      </w:r>
      <w:r w:rsidR="00221B88">
        <w:t>.</w:t>
      </w:r>
    </w:p>
  </w:footnote>
  <w:footnote w:id="34">
    <w:p w14:paraId="2BC9CF0F" w14:textId="61F71D78" w:rsidR="007356B5" w:rsidRDefault="007356B5">
      <w:pPr>
        <w:pStyle w:val="FootnoteText"/>
      </w:pPr>
      <w:r>
        <w:rPr>
          <w:rStyle w:val="FootnoteReference"/>
        </w:rPr>
        <w:footnoteRef/>
      </w:r>
      <w:r>
        <w:t xml:space="preserve"> </w:t>
      </w:r>
      <w:r>
        <w:tab/>
      </w:r>
      <w:r w:rsidR="00D20FFC">
        <w:t>Victorian Independent Remuneration Tribunal (2023</w:t>
      </w:r>
      <w:r w:rsidR="00F1123D">
        <w:t>b</w:t>
      </w:r>
      <w:r w:rsidR="00D20FFC">
        <w:t>)</w:t>
      </w:r>
      <w:r w:rsidR="00F263FB">
        <w:t>,</w:t>
      </w:r>
      <w:r w:rsidR="00872C84">
        <w:t xml:space="preserve"> p</w:t>
      </w:r>
      <w:r w:rsidR="003105FA">
        <w:t>.</w:t>
      </w:r>
      <w:r w:rsidR="00F263FB">
        <w:t xml:space="preserve"> </w:t>
      </w:r>
      <w:r w:rsidR="00A369B4">
        <w:t>23</w:t>
      </w:r>
      <w:r w:rsidR="00F263FB">
        <w:t>.</w:t>
      </w:r>
    </w:p>
  </w:footnote>
  <w:footnote w:id="35">
    <w:p w14:paraId="2AA47161" w14:textId="5252E68D" w:rsidR="00CF0E20" w:rsidRDefault="00CF0E20">
      <w:pPr>
        <w:pStyle w:val="FootnoteText"/>
      </w:pPr>
      <w:r>
        <w:rPr>
          <w:rStyle w:val="FootnoteReference"/>
        </w:rPr>
        <w:footnoteRef/>
      </w:r>
      <w:r>
        <w:t xml:space="preserve"> </w:t>
      </w:r>
      <w:r>
        <w:tab/>
      </w:r>
      <w:r w:rsidR="00956B6C">
        <w:t>Victorian Independent Remuneration Tribunal (2023</w:t>
      </w:r>
      <w:r w:rsidR="00117B76">
        <w:t>a</w:t>
      </w:r>
      <w:r w:rsidR="00956B6C">
        <w:t>)</w:t>
      </w:r>
      <w:r w:rsidR="00956B6C" w:rsidRPr="0094395E">
        <w:t>, p</w:t>
      </w:r>
      <w:r w:rsidR="003105FA">
        <w:t>.</w:t>
      </w:r>
      <w:r w:rsidR="00956B6C">
        <w:t> 110</w:t>
      </w:r>
      <w:r w:rsidR="00943037">
        <w:t>.</w:t>
      </w:r>
    </w:p>
  </w:footnote>
  <w:footnote w:id="36">
    <w:p w14:paraId="0EDD71F8" w14:textId="35F9C10F" w:rsidR="004E4F0F" w:rsidRDefault="004E4F0F">
      <w:pPr>
        <w:pStyle w:val="FootnoteText"/>
      </w:pPr>
      <w:r>
        <w:rPr>
          <w:rStyle w:val="FootnoteReference"/>
        </w:rPr>
        <w:footnoteRef/>
      </w:r>
      <w:r>
        <w:t xml:space="preserve"> </w:t>
      </w:r>
      <w:r>
        <w:tab/>
      </w:r>
      <w:r w:rsidR="004A08FF">
        <w:t>Victorian Independent Remuneration Tribunal (2023</w:t>
      </w:r>
      <w:r w:rsidR="00117B76">
        <w:t>b</w:t>
      </w:r>
      <w:r w:rsidR="004A08FF">
        <w:t>)</w:t>
      </w:r>
      <w:r w:rsidR="003105FA">
        <w:t xml:space="preserve">, </w:t>
      </w:r>
      <w:r>
        <w:t>p</w:t>
      </w:r>
      <w:r w:rsidR="003105FA">
        <w:t>.</w:t>
      </w:r>
      <w:r w:rsidR="004A08FF">
        <w:t xml:space="preserve"> </w:t>
      </w:r>
      <w:r w:rsidR="00186B5A">
        <w:t>26</w:t>
      </w:r>
      <w:r w:rsidR="004A08FF">
        <w:t>.</w:t>
      </w:r>
    </w:p>
  </w:footnote>
  <w:footnote w:id="37">
    <w:p w14:paraId="7169D367" w14:textId="7618D8A6" w:rsidR="00F50DC7" w:rsidRDefault="00F50DC7">
      <w:pPr>
        <w:pStyle w:val="FootnoteText"/>
      </w:pPr>
      <w:r>
        <w:rPr>
          <w:rStyle w:val="FootnoteReference"/>
        </w:rPr>
        <w:footnoteRef/>
      </w:r>
      <w:r>
        <w:t xml:space="preserve"> </w:t>
      </w:r>
      <w:r>
        <w:tab/>
      </w:r>
      <w:r w:rsidR="004A08FF">
        <w:t>Victorian Independent Remuneration Tribunal (2023</w:t>
      </w:r>
      <w:r w:rsidR="00117B76">
        <w:t>b</w:t>
      </w:r>
      <w:r w:rsidR="004A08FF">
        <w:t xml:space="preserve">), </w:t>
      </w:r>
      <w:r>
        <w:t>p</w:t>
      </w:r>
      <w:r w:rsidR="003105FA">
        <w:t>.</w:t>
      </w:r>
      <w:r w:rsidR="004A08FF">
        <w:t xml:space="preserve"> </w:t>
      </w:r>
      <w:r>
        <w:t>27</w:t>
      </w:r>
      <w:r w:rsidR="004A08FF">
        <w:t>.</w:t>
      </w:r>
    </w:p>
  </w:footnote>
  <w:footnote w:id="38">
    <w:p w14:paraId="2A0B8993" w14:textId="3E85E1C8" w:rsidR="003B6758" w:rsidRDefault="003B6758">
      <w:pPr>
        <w:pStyle w:val="FootnoteText"/>
      </w:pPr>
      <w:r>
        <w:rPr>
          <w:rStyle w:val="FootnoteReference"/>
        </w:rPr>
        <w:footnoteRef/>
      </w:r>
      <w:r>
        <w:t xml:space="preserve"> </w:t>
      </w:r>
      <w:r>
        <w:tab/>
      </w:r>
      <w:r w:rsidR="004A08FF">
        <w:t>Victorian Independent Remuneration Tribunal (2023</w:t>
      </w:r>
      <w:r w:rsidR="00117B76">
        <w:t>a</w:t>
      </w:r>
      <w:r w:rsidR="004A08FF">
        <w:t>)</w:t>
      </w:r>
      <w:r w:rsidR="004A08FF" w:rsidRPr="0094395E">
        <w:t>, p</w:t>
      </w:r>
      <w:r w:rsidR="004A08FF">
        <w:t>p</w:t>
      </w:r>
      <w:r w:rsidR="003105FA">
        <w:t>.</w:t>
      </w:r>
      <w:r w:rsidR="004A08FF">
        <w:t> 109</w:t>
      </w:r>
      <w:r w:rsidR="009C2526">
        <w:t>-</w:t>
      </w:r>
      <w:r w:rsidR="004A08FF">
        <w:t>110</w:t>
      </w:r>
      <w:r>
        <w:t>.</w:t>
      </w:r>
    </w:p>
  </w:footnote>
  <w:footnote w:id="39">
    <w:p w14:paraId="7BFC1135" w14:textId="7ED6B552" w:rsidR="00E34809" w:rsidRDefault="00E34809" w:rsidP="00E34809">
      <w:pPr>
        <w:pStyle w:val="FootnoteText"/>
      </w:pPr>
      <w:r>
        <w:rPr>
          <w:rStyle w:val="FootnoteReference"/>
        </w:rPr>
        <w:footnoteRef/>
      </w:r>
      <w:r>
        <w:t xml:space="preserve"> </w:t>
      </w:r>
      <w:r w:rsidR="00680502">
        <w:tab/>
      </w:r>
      <w:r>
        <w:t>VIRTIPS Act, s 3.</w:t>
      </w:r>
    </w:p>
  </w:footnote>
  <w:footnote w:id="40">
    <w:p w14:paraId="7B02FD3B" w14:textId="73F7A873" w:rsidR="00E34809" w:rsidRDefault="00E34809" w:rsidP="00E34809">
      <w:pPr>
        <w:pStyle w:val="FootnoteText"/>
      </w:pPr>
      <w:r>
        <w:rPr>
          <w:rStyle w:val="FootnoteReference"/>
        </w:rPr>
        <w:footnoteRef/>
      </w:r>
      <w:r>
        <w:t xml:space="preserve"> </w:t>
      </w:r>
      <w:r w:rsidR="00680502">
        <w:tab/>
      </w:r>
      <w:r w:rsidR="00E92E37">
        <w:t>Victorian Independent Remuneration Tribunal (2023</w:t>
      </w:r>
      <w:r w:rsidR="00117B76">
        <w:t>a</w:t>
      </w:r>
      <w:r w:rsidR="00E92E37">
        <w:t>)</w:t>
      </w:r>
      <w:r w:rsidR="00E92E37" w:rsidRPr="0094395E">
        <w:t>,</w:t>
      </w:r>
      <w:r w:rsidR="00E92E37">
        <w:t xml:space="preserve"> </w:t>
      </w:r>
      <w:r>
        <w:t>p</w:t>
      </w:r>
      <w:r w:rsidR="00E13F46">
        <w:t>.</w:t>
      </w:r>
      <w:r>
        <w:t xml:space="preserve"> 106.</w:t>
      </w:r>
    </w:p>
  </w:footnote>
  <w:footnote w:id="41">
    <w:p w14:paraId="68447A91" w14:textId="4B5218FA" w:rsidR="005649FB" w:rsidRDefault="005649FB" w:rsidP="005649FB">
      <w:pPr>
        <w:pStyle w:val="FootnoteText"/>
      </w:pPr>
      <w:r>
        <w:rPr>
          <w:rStyle w:val="FootnoteReference"/>
        </w:rPr>
        <w:footnoteRef/>
      </w:r>
      <w:r>
        <w:t xml:space="preserve"> </w:t>
      </w:r>
      <w:r>
        <w:tab/>
        <w:t>ABS (</w:t>
      </w:r>
      <w:r w:rsidR="003D2ECC" w:rsidRPr="005171F9">
        <w:t>2024</w:t>
      </w:r>
      <w:r w:rsidR="004F6F1A">
        <w:t>a</w:t>
      </w:r>
      <w:r w:rsidR="003D2ECC" w:rsidRPr="005171F9">
        <w:t>)</w:t>
      </w:r>
      <w:r w:rsidR="00C51653">
        <w:t>.</w:t>
      </w:r>
      <w:r>
        <w:t xml:space="preserve"> Throughout this chapter, unless referring to an observation made by the RBA, long-run (excluding the pandemic) average refers to the average over the period from 2000 to 2019 (inclusive) as calculated by the Tribunal.</w:t>
      </w:r>
    </w:p>
  </w:footnote>
  <w:footnote w:id="42">
    <w:p w14:paraId="261F08AF" w14:textId="03223EBB" w:rsidR="005649FB" w:rsidRDefault="005649FB" w:rsidP="005649FB">
      <w:pPr>
        <w:pStyle w:val="FootnoteText"/>
      </w:pPr>
      <w:r>
        <w:rPr>
          <w:rStyle w:val="FootnoteReference"/>
        </w:rPr>
        <w:footnoteRef/>
      </w:r>
      <w:r>
        <w:t xml:space="preserve"> </w:t>
      </w:r>
      <w:r>
        <w:tab/>
      </w:r>
      <w:r w:rsidR="004E1433" w:rsidRPr="005171F9">
        <w:t>ABS (2024</w:t>
      </w:r>
      <w:r w:rsidR="004F6F1A">
        <w:t>a</w:t>
      </w:r>
      <w:r w:rsidR="004E1433" w:rsidRPr="005171F9">
        <w:t>)</w:t>
      </w:r>
      <w:r w:rsidRPr="00D40CF0">
        <w:t>.</w:t>
      </w:r>
    </w:p>
  </w:footnote>
  <w:footnote w:id="43">
    <w:p w14:paraId="0F9CECA8" w14:textId="431BC225" w:rsidR="005649FB" w:rsidRDefault="005649FB" w:rsidP="005649FB">
      <w:pPr>
        <w:pStyle w:val="FootnoteText"/>
      </w:pPr>
      <w:r>
        <w:rPr>
          <w:rStyle w:val="FootnoteReference"/>
        </w:rPr>
        <w:footnoteRef/>
      </w:r>
      <w:r>
        <w:t xml:space="preserve"> </w:t>
      </w:r>
      <w:r>
        <w:tab/>
      </w:r>
      <w:r w:rsidR="001E0458">
        <w:rPr>
          <w:rFonts w:cs="Calibri Light"/>
        </w:rPr>
        <w:t>DTF (2024b</w:t>
      </w:r>
      <w:r w:rsidR="00F73209" w:rsidRPr="00182559">
        <w:rPr>
          <w:rFonts w:cs="Calibri Light"/>
        </w:rPr>
        <w:t>)</w:t>
      </w:r>
      <w:r>
        <w:t>, p</w:t>
      </w:r>
      <w:r w:rsidR="003F10BF">
        <w:t>.</w:t>
      </w:r>
      <w:r>
        <w:t xml:space="preserve"> 18.</w:t>
      </w:r>
    </w:p>
  </w:footnote>
  <w:footnote w:id="44">
    <w:p w14:paraId="41174BF2" w14:textId="1A47EDA1" w:rsidR="00BB44E8" w:rsidRDefault="00BB44E8">
      <w:pPr>
        <w:pStyle w:val="FootnoteText"/>
      </w:pPr>
      <w:r>
        <w:rPr>
          <w:rStyle w:val="FootnoteReference"/>
        </w:rPr>
        <w:footnoteRef/>
      </w:r>
      <w:r>
        <w:t xml:space="preserve"> </w:t>
      </w:r>
      <w:r>
        <w:tab/>
      </w:r>
      <w:r w:rsidR="005B2645">
        <w:t>ABS (2023).</w:t>
      </w:r>
    </w:p>
  </w:footnote>
  <w:footnote w:id="45">
    <w:p w14:paraId="122F9CA9" w14:textId="53CD3658" w:rsidR="005649FB" w:rsidRDefault="005649FB" w:rsidP="005649FB">
      <w:pPr>
        <w:pStyle w:val="FootnoteText"/>
      </w:pPr>
      <w:r>
        <w:rPr>
          <w:rStyle w:val="FootnoteReference"/>
        </w:rPr>
        <w:footnoteRef/>
      </w:r>
      <w:r>
        <w:t xml:space="preserve"> </w:t>
      </w:r>
      <w:r>
        <w:tab/>
      </w:r>
      <w:r w:rsidR="00F73209" w:rsidRPr="005171F9">
        <w:t>ABS (2024</w:t>
      </w:r>
      <w:r w:rsidR="00DD41F7">
        <w:t>a</w:t>
      </w:r>
      <w:r w:rsidR="00F73209" w:rsidRPr="005171F9">
        <w:t>)</w:t>
      </w:r>
      <w:r w:rsidRPr="00D40CF0">
        <w:t>.</w:t>
      </w:r>
    </w:p>
  </w:footnote>
  <w:footnote w:id="46">
    <w:p w14:paraId="4799B8A4" w14:textId="02AAA079" w:rsidR="005649FB" w:rsidRDefault="005649FB" w:rsidP="005649FB">
      <w:pPr>
        <w:pStyle w:val="FootnoteText"/>
      </w:pPr>
      <w:r>
        <w:rPr>
          <w:rStyle w:val="FootnoteReference"/>
        </w:rPr>
        <w:footnoteRef/>
      </w:r>
      <w:r>
        <w:t xml:space="preserve"> </w:t>
      </w:r>
      <w:r>
        <w:tab/>
      </w:r>
      <w:r w:rsidR="00F73209" w:rsidRPr="005171F9">
        <w:t>ABS (2024</w:t>
      </w:r>
      <w:r w:rsidR="00DD41F7">
        <w:t>a</w:t>
      </w:r>
      <w:r w:rsidR="00F73209" w:rsidRPr="005171F9">
        <w:t>)</w:t>
      </w:r>
      <w:r w:rsidRPr="00D40CF0">
        <w:t>.</w:t>
      </w:r>
    </w:p>
  </w:footnote>
  <w:footnote w:id="47">
    <w:p w14:paraId="6F4D3CB9" w14:textId="7D935332" w:rsidR="005649FB" w:rsidRDefault="005649FB" w:rsidP="005649FB">
      <w:pPr>
        <w:pStyle w:val="FootnoteText"/>
      </w:pPr>
      <w:r>
        <w:rPr>
          <w:rStyle w:val="FootnoteReference"/>
        </w:rPr>
        <w:footnoteRef/>
      </w:r>
      <w:r>
        <w:t xml:space="preserve"> </w:t>
      </w:r>
      <w:r>
        <w:tab/>
      </w:r>
      <w:r w:rsidR="003377DA" w:rsidRPr="003A7786">
        <w:t>RBA (2024)</w:t>
      </w:r>
      <w:r w:rsidR="003377DA">
        <w:t xml:space="preserve">, </w:t>
      </w:r>
      <w:r w:rsidR="004E5609">
        <w:t>pp</w:t>
      </w:r>
      <w:r w:rsidR="001F017B">
        <w:t>.</w:t>
      </w:r>
      <w:r w:rsidR="004E5609">
        <w:t xml:space="preserve"> 29, 44</w:t>
      </w:r>
      <w:r>
        <w:t>.</w:t>
      </w:r>
    </w:p>
  </w:footnote>
  <w:footnote w:id="48">
    <w:p w14:paraId="2DC4833A" w14:textId="66DAE58C" w:rsidR="00BA7995" w:rsidRDefault="00BA7995">
      <w:pPr>
        <w:pStyle w:val="FootnoteText"/>
      </w:pPr>
      <w:r>
        <w:rPr>
          <w:rStyle w:val="FootnoteReference"/>
        </w:rPr>
        <w:footnoteRef/>
      </w:r>
      <w:r>
        <w:tab/>
      </w:r>
      <w:r w:rsidR="002D3127" w:rsidRPr="00DF2C34">
        <w:rPr>
          <w:rFonts w:cs="Calibri Light"/>
        </w:rPr>
        <w:t>ABS (2024</w:t>
      </w:r>
      <w:r w:rsidR="002D3127">
        <w:rPr>
          <w:rFonts w:cs="Calibri Light"/>
        </w:rPr>
        <w:t>c</w:t>
      </w:r>
      <w:r w:rsidR="002D3127" w:rsidRPr="00DF2C34">
        <w:rPr>
          <w:rFonts w:cs="Calibri Light"/>
        </w:rPr>
        <w:t>)</w:t>
      </w:r>
      <w:r>
        <w:t>.</w:t>
      </w:r>
    </w:p>
  </w:footnote>
  <w:footnote w:id="49">
    <w:p w14:paraId="57768294" w14:textId="668957CB" w:rsidR="008215A9" w:rsidRDefault="008215A9" w:rsidP="008215A9">
      <w:pPr>
        <w:pStyle w:val="FootnoteText"/>
      </w:pPr>
      <w:r>
        <w:rPr>
          <w:rStyle w:val="FootnoteReference"/>
        </w:rPr>
        <w:footnoteRef/>
      </w:r>
      <w:r>
        <w:t xml:space="preserve"> </w:t>
      </w:r>
      <w:r w:rsidR="003A28E6">
        <w:tab/>
      </w:r>
      <w:r>
        <w:t>The CPI measures changes in the price of a ‘basket’ of goods and services which account for a high proportion of expenditure by Australian households. It is composed of 11 groups (e.g. ‘</w:t>
      </w:r>
      <w:r w:rsidR="00B01891">
        <w:t>f</w:t>
      </w:r>
      <w:r>
        <w:t>ood and non-alcoholic beverages’, ‘</w:t>
      </w:r>
      <w:r w:rsidR="00B01891">
        <w:t>h</w:t>
      </w:r>
      <w:r>
        <w:t>ousing’, ‘</w:t>
      </w:r>
      <w:r w:rsidR="00B01891">
        <w:t>t</w:t>
      </w:r>
      <w:r>
        <w:t>ransport’) which can be further broken down into sub-groups and expenditure classes (of which there are 33 and 87 in total, respectively), which group similar goods and services.</w:t>
      </w:r>
    </w:p>
  </w:footnote>
  <w:footnote w:id="50">
    <w:p w14:paraId="787C4CEA" w14:textId="76A5106A" w:rsidR="008215A9" w:rsidRDefault="008215A9" w:rsidP="008215A9">
      <w:pPr>
        <w:pStyle w:val="FootnoteText"/>
      </w:pPr>
      <w:r>
        <w:rPr>
          <w:rStyle w:val="FootnoteReference"/>
        </w:rPr>
        <w:footnoteRef/>
      </w:r>
      <w:r>
        <w:t xml:space="preserve"> </w:t>
      </w:r>
      <w:r w:rsidR="003A28E6">
        <w:tab/>
      </w:r>
      <w:r w:rsidR="002D3127" w:rsidRPr="00DF2C34">
        <w:rPr>
          <w:rFonts w:cs="Calibri Light"/>
        </w:rPr>
        <w:t>ABS (2024</w:t>
      </w:r>
      <w:r w:rsidR="002D3127">
        <w:rPr>
          <w:rFonts w:cs="Calibri Light"/>
        </w:rPr>
        <w:t>c</w:t>
      </w:r>
      <w:r w:rsidR="002D3127" w:rsidRPr="00DF2C34">
        <w:rPr>
          <w:rFonts w:cs="Calibri Light"/>
        </w:rPr>
        <w:t>)</w:t>
      </w:r>
      <w:r w:rsidR="00405EE2">
        <w:t>.</w:t>
      </w:r>
    </w:p>
  </w:footnote>
  <w:footnote w:id="51">
    <w:p w14:paraId="011F7A8D" w14:textId="373430FF" w:rsidR="005649FB" w:rsidRDefault="005649FB" w:rsidP="005649FB">
      <w:pPr>
        <w:pStyle w:val="FootnoteText"/>
      </w:pPr>
      <w:r>
        <w:rPr>
          <w:rStyle w:val="FootnoteReference"/>
        </w:rPr>
        <w:footnoteRef/>
      </w:r>
      <w:r>
        <w:t xml:space="preserve"> </w:t>
      </w:r>
      <w:r>
        <w:tab/>
      </w:r>
      <w:r w:rsidR="000B4698" w:rsidRPr="00DF2C34">
        <w:rPr>
          <w:rFonts w:cs="Calibri Light"/>
        </w:rPr>
        <w:t>ABS (2024</w:t>
      </w:r>
      <w:r w:rsidR="000B4698">
        <w:rPr>
          <w:rFonts w:cs="Calibri Light"/>
        </w:rPr>
        <w:t>c</w:t>
      </w:r>
      <w:r w:rsidR="000B4698" w:rsidRPr="00DF2C34">
        <w:rPr>
          <w:rFonts w:cs="Calibri Light"/>
        </w:rPr>
        <w:t>)</w:t>
      </w:r>
      <w:r w:rsidRPr="000E3D79">
        <w:t>.</w:t>
      </w:r>
    </w:p>
  </w:footnote>
  <w:footnote w:id="52">
    <w:p w14:paraId="2FAD11B8" w14:textId="3BD32AE9" w:rsidR="005649FB" w:rsidRDefault="005649FB" w:rsidP="005649FB">
      <w:pPr>
        <w:pStyle w:val="FootnoteText"/>
      </w:pPr>
      <w:r>
        <w:rPr>
          <w:rStyle w:val="FootnoteReference"/>
        </w:rPr>
        <w:footnoteRef/>
      </w:r>
      <w:r>
        <w:t xml:space="preserve"> </w:t>
      </w:r>
      <w:r>
        <w:tab/>
      </w:r>
      <w:r w:rsidRPr="000E3D79">
        <w:t>ABS (2024</w:t>
      </w:r>
      <w:r w:rsidR="003F3C79">
        <w:t>e</w:t>
      </w:r>
      <w:r w:rsidRPr="000E3D79">
        <w:t>).</w:t>
      </w:r>
    </w:p>
  </w:footnote>
  <w:footnote w:id="53">
    <w:p w14:paraId="1D8D96EA" w14:textId="4703386E" w:rsidR="005649FB" w:rsidRDefault="005649FB" w:rsidP="005649FB">
      <w:pPr>
        <w:pStyle w:val="FootnoteText"/>
        <w:ind w:left="0" w:firstLine="0"/>
      </w:pPr>
      <w:r>
        <w:rPr>
          <w:rStyle w:val="FootnoteReference"/>
        </w:rPr>
        <w:footnoteRef/>
      </w:r>
      <w:r>
        <w:t xml:space="preserve">   </w:t>
      </w:r>
      <w:r w:rsidR="000B4698" w:rsidRPr="00DF2C34">
        <w:rPr>
          <w:rFonts w:cs="Calibri Light"/>
        </w:rPr>
        <w:t>ABS (2024</w:t>
      </w:r>
      <w:r w:rsidR="000B4698">
        <w:rPr>
          <w:rFonts w:cs="Calibri Light"/>
        </w:rPr>
        <w:t>c</w:t>
      </w:r>
      <w:r w:rsidR="000B4698" w:rsidRPr="00DF2C34">
        <w:rPr>
          <w:rFonts w:cs="Calibri Light"/>
        </w:rPr>
        <w:t>)</w:t>
      </w:r>
      <w:r w:rsidRPr="000E3D79">
        <w:t>.</w:t>
      </w:r>
    </w:p>
  </w:footnote>
  <w:footnote w:id="54">
    <w:p w14:paraId="5BE35088" w14:textId="5CA53B30" w:rsidR="005649FB" w:rsidRDefault="005649FB" w:rsidP="005649FB">
      <w:pPr>
        <w:pStyle w:val="FootnoteText"/>
      </w:pPr>
      <w:r>
        <w:rPr>
          <w:rStyle w:val="FootnoteReference"/>
        </w:rPr>
        <w:footnoteRef/>
      </w:r>
      <w:r>
        <w:t xml:space="preserve"> </w:t>
      </w:r>
      <w:r>
        <w:tab/>
      </w:r>
      <w:r w:rsidR="00B61FBC" w:rsidRPr="003A7786">
        <w:t>RBA (2024)</w:t>
      </w:r>
      <w:r w:rsidR="00B61FBC">
        <w:t>, p</w:t>
      </w:r>
      <w:r w:rsidR="00E415C5">
        <w:t>.</w:t>
      </w:r>
      <w:r w:rsidR="00B61FBC">
        <w:t xml:space="preserve"> 28</w:t>
      </w:r>
      <w:r>
        <w:t>.</w:t>
      </w:r>
    </w:p>
  </w:footnote>
  <w:footnote w:id="55">
    <w:p w14:paraId="3A14B12D" w14:textId="77777777" w:rsidR="00305E99" w:rsidRDefault="00305E99" w:rsidP="00305E99">
      <w:pPr>
        <w:pStyle w:val="FootnoteText"/>
      </w:pPr>
      <w:r>
        <w:rPr>
          <w:rStyle w:val="FootnoteReference"/>
        </w:rPr>
        <w:footnoteRef/>
      </w:r>
      <w:r>
        <w:t xml:space="preserve"> </w:t>
      </w:r>
      <w:r>
        <w:tab/>
      </w:r>
      <w:r w:rsidRPr="00C26E28">
        <w:t>ABS (2024</w:t>
      </w:r>
      <w:r>
        <w:t>d</w:t>
      </w:r>
      <w:r w:rsidRPr="00C26E28">
        <w:t>).</w:t>
      </w:r>
    </w:p>
  </w:footnote>
  <w:footnote w:id="56">
    <w:p w14:paraId="0A78CE8E" w14:textId="13796F75" w:rsidR="00D9250D" w:rsidRDefault="00D9250D" w:rsidP="00D9250D">
      <w:pPr>
        <w:pStyle w:val="FootnoteText"/>
      </w:pPr>
      <w:r>
        <w:rPr>
          <w:rStyle w:val="FootnoteReference"/>
        </w:rPr>
        <w:footnoteRef/>
      </w:r>
      <w:r>
        <w:t xml:space="preserve"> </w:t>
      </w:r>
      <w:r>
        <w:tab/>
      </w:r>
      <w:r w:rsidRPr="00C26E28">
        <w:t>ABS (2024</w:t>
      </w:r>
      <w:r>
        <w:t>d</w:t>
      </w:r>
      <w:r w:rsidRPr="00C26E28">
        <w:t>).</w:t>
      </w:r>
    </w:p>
  </w:footnote>
  <w:footnote w:id="57">
    <w:p w14:paraId="440FAE1F" w14:textId="075E7B50" w:rsidR="005649FB" w:rsidRDefault="005649FB" w:rsidP="005649FB">
      <w:pPr>
        <w:pStyle w:val="FootnoteText"/>
      </w:pPr>
      <w:r>
        <w:rPr>
          <w:rStyle w:val="FootnoteReference"/>
        </w:rPr>
        <w:footnoteRef/>
      </w:r>
      <w:r>
        <w:t xml:space="preserve"> </w:t>
      </w:r>
      <w:r>
        <w:tab/>
      </w:r>
      <w:r w:rsidR="001E0458">
        <w:rPr>
          <w:rFonts w:cs="Calibri Light"/>
        </w:rPr>
        <w:t>DTF (2024b</w:t>
      </w:r>
      <w:r w:rsidR="00D76547" w:rsidRPr="00182559">
        <w:rPr>
          <w:rFonts w:cs="Calibri Light"/>
        </w:rPr>
        <w:t>)</w:t>
      </w:r>
      <w:r w:rsidR="00D76547">
        <w:t>, p</w:t>
      </w:r>
      <w:r w:rsidR="00001953">
        <w:t>.</w:t>
      </w:r>
      <w:r w:rsidR="00D76547">
        <w:t xml:space="preserve"> </w:t>
      </w:r>
      <w:r>
        <w:t>27.</w:t>
      </w:r>
    </w:p>
  </w:footnote>
  <w:footnote w:id="58">
    <w:p w14:paraId="1FC1CB88" w14:textId="6575B313" w:rsidR="00C40BB3" w:rsidRDefault="00C40BB3" w:rsidP="00C40BB3">
      <w:pPr>
        <w:pStyle w:val="FootnoteText"/>
      </w:pPr>
      <w:r>
        <w:rPr>
          <w:rStyle w:val="FootnoteReference"/>
        </w:rPr>
        <w:footnoteRef/>
      </w:r>
      <w:r>
        <w:t xml:space="preserve"> </w:t>
      </w:r>
      <w:r>
        <w:tab/>
      </w:r>
      <w:r w:rsidRPr="00C26E28">
        <w:t>ABS (2024</w:t>
      </w:r>
      <w:r>
        <w:t>d</w:t>
      </w:r>
      <w:r w:rsidRPr="00C26E28">
        <w:t>).</w:t>
      </w:r>
    </w:p>
  </w:footnote>
  <w:footnote w:id="59">
    <w:p w14:paraId="65C802AC" w14:textId="64AC4D4E" w:rsidR="005649FB" w:rsidRDefault="005649FB" w:rsidP="005649FB">
      <w:pPr>
        <w:pStyle w:val="FootnoteText"/>
      </w:pPr>
      <w:r>
        <w:rPr>
          <w:rStyle w:val="FootnoteReference"/>
        </w:rPr>
        <w:footnoteRef/>
      </w:r>
      <w:r>
        <w:t xml:space="preserve"> </w:t>
      </w:r>
      <w:r>
        <w:tab/>
      </w:r>
      <w:r w:rsidR="00310A1B" w:rsidRPr="00DF2C34">
        <w:rPr>
          <w:rFonts w:cs="Calibri Light"/>
        </w:rPr>
        <w:t>ABS (2024</w:t>
      </w:r>
      <w:r w:rsidR="00021203">
        <w:rPr>
          <w:rFonts w:cs="Calibri Light"/>
        </w:rPr>
        <w:t>f</w:t>
      </w:r>
      <w:r w:rsidR="00310A1B" w:rsidRPr="00DF2C34">
        <w:rPr>
          <w:rFonts w:cs="Calibri Light"/>
        </w:rPr>
        <w:t>)</w:t>
      </w:r>
      <w:r w:rsidR="00310A1B">
        <w:rPr>
          <w:rFonts w:cs="Calibri Light"/>
        </w:rPr>
        <w:t>.</w:t>
      </w:r>
    </w:p>
  </w:footnote>
  <w:footnote w:id="60">
    <w:p w14:paraId="451B6ACF" w14:textId="59485340" w:rsidR="005649FB" w:rsidRDefault="005649FB" w:rsidP="005649FB">
      <w:pPr>
        <w:pStyle w:val="FootnoteText"/>
      </w:pPr>
      <w:r>
        <w:rPr>
          <w:rStyle w:val="FootnoteReference"/>
        </w:rPr>
        <w:footnoteRef/>
      </w:r>
      <w:r>
        <w:t xml:space="preserve"> </w:t>
      </w:r>
      <w:r>
        <w:tab/>
      </w:r>
      <w:r w:rsidR="00BB715D" w:rsidRPr="003A7786">
        <w:t>RBA (2024)</w:t>
      </w:r>
      <w:r w:rsidR="00BB715D">
        <w:t>, p</w:t>
      </w:r>
      <w:r w:rsidR="00001953">
        <w:t>.</w:t>
      </w:r>
      <w:r w:rsidR="00BB715D">
        <w:t xml:space="preserve"> 29</w:t>
      </w:r>
      <w:r>
        <w:t>.</w:t>
      </w:r>
    </w:p>
  </w:footnote>
  <w:footnote w:id="61">
    <w:p w14:paraId="47DD575F" w14:textId="15D64CAD" w:rsidR="005649FB" w:rsidRDefault="005649FB" w:rsidP="005649FB">
      <w:pPr>
        <w:pStyle w:val="FootnoteText"/>
      </w:pPr>
      <w:r>
        <w:rPr>
          <w:rStyle w:val="FootnoteReference"/>
        </w:rPr>
        <w:footnoteRef/>
      </w:r>
      <w:r>
        <w:t xml:space="preserve"> </w:t>
      </w:r>
      <w:r>
        <w:tab/>
      </w:r>
      <w:r w:rsidRPr="005D25DE">
        <w:t>Department of Employment and Workplace Relations (C</w:t>
      </w:r>
      <w:r w:rsidR="00001953">
        <w:t>ommonwealt</w:t>
      </w:r>
      <w:r w:rsidRPr="005D25DE">
        <w:t>h) (2024)</w:t>
      </w:r>
      <w:r>
        <w:t>, p</w:t>
      </w:r>
      <w:r w:rsidR="00001953">
        <w:t>.</w:t>
      </w:r>
      <w:r>
        <w:t xml:space="preserve"> 7.</w:t>
      </w:r>
    </w:p>
  </w:footnote>
  <w:footnote w:id="62">
    <w:p w14:paraId="47508286" w14:textId="35BD19A5" w:rsidR="00462D0D" w:rsidRDefault="00462D0D" w:rsidP="00462D0D">
      <w:pPr>
        <w:pStyle w:val="FootnoteText"/>
      </w:pPr>
      <w:r>
        <w:rPr>
          <w:rStyle w:val="FootnoteReference"/>
        </w:rPr>
        <w:footnoteRef/>
      </w:r>
      <w:r>
        <w:t xml:space="preserve"> </w:t>
      </w:r>
      <w:r>
        <w:tab/>
      </w:r>
      <w:r w:rsidR="004D7CEB">
        <w:t>FWC</w:t>
      </w:r>
      <w:r w:rsidRPr="00C71CCB">
        <w:t xml:space="preserve"> (202</w:t>
      </w:r>
      <w:r>
        <w:t>4</w:t>
      </w:r>
      <w:r w:rsidRPr="00C71CCB">
        <w:t>)</w:t>
      </w:r>
      <w:r>
        <w:t xml:space="preserve">, </w:t>
      </w:r>
      <w:r w:rsidRPr="00C71CCB">
        <w:t>p</w:t>
      </w:r>
      <w:r w:rsidR="00001953">
        <w:t>.</w:t>
      </w:r>
      <w:r w:rsidRPr="00C71CCB">
        <w:t xml:space="preserve"> </w:t>
      </w:r>
      <w:r>
        <w:t>8.</w:t>
      </w:r>
    </w:p>
  </w:footnote>
  <w:footnote w:id="63">
    <w:p w14:paraId="3A44C3D5" w14:textId="24B76FB0" w:rsidR="005649FB" w:rsidRDefault="005649FB" w:rsidP="005649FB">
      <w:pPr>
        <w:pStyle w:val="FootnoteText"/>
      </w:pPr>
      <w:r>
        <w:rPr>
          <w:rStyle w:val="FootnoteReference"/>
        </w:rPr>
        <w:footnoteRef/>
      </w:r>
      <w:r>
        <w:t xml:space="preserve"> </w:t>
      </w:r>
      <w:r w:rsidR="00DF2CF8">
        <w:tab/>
      </w:r>
      <w:r w:rsidR="002E0C25" w:rsidRPr="00DF2C34">
        <w:rPr>
          <w:rFonts w:cs="Calibri Light"/>
        </w:rPr>
        <w:t>ABS (2024</w:t>
      </w:r>
      <w:r w:rsidR="00FC6908">
        <w:rPr>
          <w:rFonts w:cs="Calibri Light"/>
        </w:rPr>
        <w:t>f</w:t>
      </w:r>
      <w:r w:rsidR="002E0C25" w:rsidRPr="00DF2C34">
        <w:rPr>
          <w:rFonts w:cs="Calibri Light"/>
        </w:rPr>
        <w:t>)</w:t>
      </w:r>
      <w:r>
        <w:t>.</w:t>
      </w:r>
    </w:p>
  </w:footnote>
  <w:footnote w:id="64">
    <w:p w14:paraId="2017C110" w14:textId="0E2F35C3" w:rsidR="00F87351" w:rsidRDefault="00F87351" w:rsidP="00F87351">
      <w:pPr>
        <w:pStyle w:val="FootnoteText"/>
      </w:pPr>
      <w:r>
        <w:rPr>
          <w:rStyle w:val="FootnoteReference"/>
        </w:rPr>
        <w:footnoteRef/>
      </w:r>
      <w:r>
        <w:t xml:space="preserve"> </w:t>
      </w:r>
      <w:r>
        <w:tab/>
        <w:t>ABS (2024g).</w:t>
      </w:r>
    </w:p>
  </w:footnote>
  <w:footnote w:id="65">
    <w:p w14:paraId="1D4F0744" w14:textId="011BC5B7" w:rsidR="005649FB" w:rsidRDefault="005649FB" w:rsidP="005649FB">
      <w:pPr>
        <w:pStyle w:val="FootnoteText"/>
      </w:pPr>
      <w:r>
        <w:rPr>
          <w:rStyle w:val="FootnoteReference"/>
        </w:rPr>
        <w:footnoteRef/>
      </w:r>
      <w:r>
        <w:t xml:space="preserve"> </w:t>
      </w:r>
      <w:r>
        <w:tab/>
      </w:r>
      <w:r w:rsidR="00F57F75" w:rsidRPr="00DF2C34">
        <w:rPr>
          <w:rFonts w:cs="Calibri Light"/>
        </w:rPr>
        <w:t>ABS (2024</w:t>
      </w:r>
      <w:r w:rsidR="00FC6908">
        <w:rPr>
          <w:rFonts w:cs="Calibri Light"/>
        </w:rPr>
        <w:t>f</w:t>
      </w:r>
      <w:r w:rsidR="00F57F75" w:rsidRPr="00DF2C34">
        <w:rPr>
          <w:rFonts w:cs="Calibri Light"/>
        </w:rPr>
        <w:t>)</w:t>
      </w:r>
      <w:r>
        <w:t>.</w:t>
      </w:r>
    </w:p>
  </w:footnote>
  <w:footnote w:id="66">
    <w:p w14:paraId="7BD66C7A" w14:textId="1FDD1725" w:rsidR="005649FB" w:rsidRDefault="005649FB" w:rsidP="005649FB">
      <w:pPr>
        <w:pStyle w:val="FootnoteText"/>
      </w:pPr>
      <w:r>
        <w:rPr>
          <w:rStyle w:val="FootnoteReference"/>
        </w:rPr>
        <w:footnoteRef/>
      </w:r>
      <w:r>
        <w:t xml:space="preserve"> </w:t>
      </w:r>
      <w:r>
        <w:tab/>
      </w:r>
      <w:r w:rsidRPr="00C512B7">
        <w:t>DTF (2024</w:t>
      </w:r>
      <w:r w:rsidR="00E918B4">
        <w:t>c</w:t>
      </w:r>
      <w:r w:rsidRPr="00C512B7">
        <w:t>)</w:t>
      </w:r>
      <w:hyperlink r:id="rId3" w:history="1"/>
      <w:r w:rsidRPr="00723B06">
        <w:t>,</w:t>
      </w:r>
      <w:r>
        <w:t xml:space="preserve"> p</w:t>
      </w:r>
      <w:r w:rsidR="00001953">
        <w:t>.</w:t>
      </w:r>
      <w:r>
        <w:t xml:space="preserve"> 8.</w:t>
      </w:r>
    </w:p>
  </w:footnote>
  <w:footnote w:id="67">
    <w:p w14:paraId="3E460CEC" w14:textId="640ED6CD" w:rsidR="00167815" w:rsidRDefault="00167815" w:rsidP="00E75FC1">
      <w:pPr>
        <w:pStyle w:val="FootnoteText"/>
      </w:pPr>
      <w:r>
        <w:rPr>
          <w:rStyle w:val="FootnoteReference"/>
        </w:rPr>
        <w:footnoteRef/>
      </w:r>
      <w:r>
        <w:t xml:space="preserve"> </w:t>
      </w:r>
      <w:r w:rsidR="00E75FC1">
        <w:tab/>
      </w:r>
      <w:r w:rsidR="00DD41F7" w:rsidRPr="005171F9">
        <w:t>ABS (2024</w:t>
      </w:r>
      <w:r w:rsidR="00DD41F7">
        <w:t>a</w:t>
      </w:r>
      <w:r w:rsidR="00DD41F7" w:rsidRPr="005171F9">
        <w:t>)</w:t>
      </w:r>
      <w:r w:rsidR="00E75FC1" w:rsidRPr="00D40CF0">
        <w:t>.</w:t>
      </w:r>
    </w:p>
  </w:footnote>
  <w:footnote w:id="68">
    <w:p w14:paraId="5078B704" w14:textId="2E1C3176" w:rsidR="00555D4E" w:rsidRDefault="00555D4E">
      <w:pPr>
        <w:pStyle w:val="FootnoteText"/>
      </w:pPr>
      <w:r>
        <w:rPr>
          <w:rStyle w:val="FootnoteReference"/>
        </w:rPr>
        <w:footnoteRef/>
      </w:r>
      <w:r>
        <w:t xml:space="preserve"> </w:t>
      </w:r>
      <w:r w:rsidR="000B49A7">
        <w:tab/>
      </w:r>
      <w:r w:rsidR="000B49A7" w:rsidRPr="008A077E">
        <w:t>ABS (2024b).</w:t>
      </w:r>
    </w:p>
  </w:footnote>
  <w:footnote w:id="69">
    <w:p w14:paraId="77577698" w14:textId="19BE68C3" w:rsidR="000B49A7" w:rsidRDefault="000B49A7">
      <w:pPr>
        <w:pStyle w:val="FootnoteText"/>
      </w:pPr>
      <w:r>
        <w:rPr>
          <w:rStyle w:val="FootnoteReference"/>
        </w:rPr>
        <w:footnoteRef/>
      </w:r>
      <w:r>
        <w:t xml:space="preserve"> </w:t>
      </w:r>
      <w:r w:rsidR="004E54FD">
        <w:tab/>
      </w:r>
      <w:r w:rsidR="00F57F75" w:rsidRPr="00DF2C34">
        <w:rPr>
          <w:rFonts w:cs="Calibri Light"/>
        </w:rPr>
        <w:t>ABS (2024</w:t>
      </w:r>
      <w:r w:rsidR="00FC6908">
        <w:rPr>
          <w:rFonts w:cs="Calibri Light"/>
        </w:rPr>
        <w:t>f</w:t>
      </w:r>
      <w:r w:rsidR="00F57F75" w:rsidRPr="00DF2C34">
        <w:rPr>
          <w:rFonts w:cs="Calibri Light"/>
        </w:rPr>
        <w:t>)</w:t>
      </w:r>
      <w:r w:rsidR="004E54FD" w:rsidRPr="008A077E">
        <w:t>.</w:t>
      </w:r>
    </w:p>
  </w:footnote>
  <w:footnote w:id="70">
    <w:p w14:paraId="3BD1FF9F" w14:textId="3B53F724" w:rsidR="005649FB" w:rsidRDefault="005649FB" w:rsidP="005649FB">
      <w:pPr>
        <w:pStyle w:val="FootnoteText"/>
      </w:pPr>
      <w:r>
        <w:rPr>
          <w:rStyle w:val="FootnoteReference"/>
        </w:rPr>
        <w:footnoteRef/>
      </w:r>
      <w:r>
        <w:t xml:space="preserve"> </w:t>
      </w:r>
      <w:r>
        <w:tab/>
      </w:r>
      <w:r w:rsidRPr="00716004">
        <w:t>RBA (</w:t>
      </w:r>
      <w:r w:rsidR="00F32BD1" w:rsidRPr="003A7786">
        <w:t>2024</w:t>
      </w:r>
      <w:r w:rsidRPr="00716004">
        <w:t>)</w:t>
      </w:r>
      <w:r>
        <w:t>, p</w:t>
      </w:r>
      <w:r w:rsidR="00A14BEE">
        <w:t>p</w:t>
      </w:r>
      <w:r w:rsidR="003B39EB">
        <w:t>.</w:t>
      </w:r>
      <w:r w:rsidR="00A14BEE">
        <w:t xml:space="preserve"> 43</w:t>
      </w:r>
      <w:r w:rsidR="00455883">
        <w:t>,</w:t>
      </w:r>
      <w:r>
        <w:t xml:space="preserve"> 51.</w:t>
      </w:r>
    </w:p>
  </w:footnote>
  <w:footnote w:id="71">
    <w:p w14:paraId="02484C42" w14:textId="21401662" w:rsidR="005649FB" w:rsidRDefault="005649FB" w:rsidP="005649FB">
      <w:pPr>
        <w:pStyle w:val="FootnoteText"/>
      </w:pPr>
      <w:r>
        <w:rPr>
          <w:rStyle w:val="FootnoteReference"/>
        </w:rPr>
        <w:footnoteRef/>
      </w:r>
      <w:r>
        <w:t xml:space="preserve"> </w:t>
      </w:r>
      <w:r>
        <w:tab/>
      </w:r>
      <w:r w:rsidR="001E0458">
        <w:rPr>
          <w:rFonts w:cs="Calibri Light"/>
        </w:rPr>
        <w:t>DTF (2024b</w:t>
      </w:r>
      <w:r w:rsidRPr="000E57B7">
        <w:rPr>
          <w:rFonts w:cs="Calibri Light"/>
        </w:rPr>
        <w:t>), pp</w:t>
      </w:r>
      <w:r w:rsidR="003B39EB">
        <w:rPr>
          <w:rFonts w:cs="Calibri Light"/>
        </w:rPr>
        <w:t>.</w:t>
      </w:r>
      <w:r w:rsidRPr="000E57B7">
        <w:rPr>
          <w:rFonts w:cs="Calibri Light"/>
        </w:rPr>
        <w:t xml:space="preserve"> 23</w:t>
      </w:r>
      <w:r w:rsidR="009C2526">
        <w:rPr>
          <w:rFonts w:cs="Calibri Light"/>
        </w:rPr>
        <w:t>-</w:t>
      </w:r>
      <w:r w:rsidRPr="000E57B7">
        <w:rPr>
          <w:rFonts w:cs="Calibri Light"/>
        </w:rPr>
        <w:t>24, 26</w:t>
      </w:r>
      <w:r>
        <w:t>.</w:t>
      </w:r>
    </w:p>
  </w:footnote>
  <w:footnote w:id="72">
    <w:p w14:paraId="2AA23D1F" w14:textId="59E81213" w:rsidR="005649FB" w:rsidRDefault="005649FB" w:rsidP="005649FB">
      <w:pPr>
        <w:pStyle w:val="FootnoteText"/>
      </w:pPr>
      <w:r>
        <w:rPr>
          <w:rStyle w:val="FootnoteReference"/>
        </w:rPr>
        <w:footnoteRef/>
      </w:r>
      <w:r>
        <w:t xml:space="preserve"> </w:t>
      </w:r>
      <w:r>
        <w:tab/>
      </w:r>
      <w:r w:rsidRPr="00716004">
        <w:t>RBA (</w:t>
      </w:r>
      <w:r w:rsidR="00CD2102" w:rsidRPr="003A7786">
        <w:t>2024</w:t>
      </w:r>
      <w:r w:rsidRPr="00716004">
        <w:t>)</w:t>
      </w:r>
      <w:r>
        <w:t>, p</w:t>
      </w:r>
      <w:r w:rsidR="0009496D">
        <w:t>p</w:t>
      </w:r>
      <w:r w:rsidR="003B39EB">
        <w:t>.</w:t>
      </w:r>
      <w:r>
        <w:t xml:space="preserve"> </w:t>
      </w:r>
      <w:r w:rsidR="00C4181A">
        <w:t>50</w:t>
      </w:r>
      <w:r w:rsidR="009C2526">
        <w:t>-</w:t>
      </w:r>
      <w:r>
        <w:t>51.</w:t>
      </w:r>
    </w:p>
  </w:footnote>
  <w:footnote w:id="73">
    <w:p w14:paraId="2D0F8A22" w14:textId="510EF773" w:rsidR="005649FB" w:rsidRDefault="005649FB" w:rsidP="005649FB">
      <w:pPr>
        <w:pStyle w:val="FootnoteText"/>
      </w:pPr>
      <w:r>
        <w:rPr>
          <w:rStyle w:val="FootnoteReference"/>
        </w:rPr>
        <w:footnoteRef/>
      </w:r>
      <w:r>
        <w:t xml:space="preserve"> </w:t>
      </w:r>
      <w:r>
        <w:tab/>
      </w:r>
      <w:r w:rsidRPr="00716004">
        <w:t>RBA (</w:t>
      </w:r>
      <w:r w:rsidR="00CD2102" w:rsidRPr="003A7786">
        <w:t>2024</w:t>
      </w:r>
      <w:r w:rsidRPr="00716004">
        <w:t>)</w:t>
      </w:r>
      <w:r>
        <w:t>, pp</w:t>
      </w:r>
      <w:r w:rsidR="008F7032">
        <w:t>.</w:t>
      </w:r>
      <w:r>
        <w:t xml:space="preserve"> 44</w:t>
      </w:r>
      <w:r w:rsidR="00954997">
        <w:t>-</w:t>
      </w:r>
      <w:r>
        <w:t>45.</w:t>
      </w:r>
    </w:p>
  </w:footnote>
  <w:footnote w:id="74">
    <w:p w14:paraId="483309DA" w14:textId="671CE5A1" w:rsidR="005649FB" w:rsidRDefault="005649FB" w:rsidP="005649FB">
      <w:pPr>
        <w:pStyle w:val="FootnoteText"/>
      </w:pPr>
      <w:r>
        <w:rPr>
          <w:rStyle w:val="FootnoteReference"/>
        </w:rPr>
        <w:footnoteRef/>
      </w:r>
      <w:r>
        <w:t xml:space="preserve"> </w:t>
      </w:r>
      <w:r>
        <w:tab/>
      </w:r>
      <w:r w:rsidRPr="00716004">
        <w:t>RBA (</w:t>
      </w:r>
      <w:r w:rsidR="00CD2102" w:rsidRPr="003A7786">
        <w:t>2024</w:t>
      </w:r>
      <w:r w:rsidRPr="00716004">
        <w:t>)</w:t>
      </w:r>
      <w:r>
        <w:t>, p</w:t>
      </w:r>
      <w:r w:rsidR="00C4181A">
        <w:t>p</w:t>
      </w:r>
      <w:r w:rsidR="008F7032">
        <w:t>.</w:t>
      </w:r>
      <w:r>
        <w:t xml:space="preserve"> </w:t>
      </w:r>
      <w:r w:rsidR="00C4181A">
        <w:t>4</w:t>
      </w:r>
      <w:r w:rsidR="005D7F46">
        <w:t>5</w:t>
      </w:r>
      <w:r w:rsidR="00954997">
        <w:t>-</w:t>
      </w:r>
      <w:r w:rsidR="00C4181A">
        <w:t>4</w:t>
      </w:r>
      <w:r w:rsidR="005D7F46">
        <w:t>6</w:t>
      </w:r>
      <w:r>
        <w:t>.</w:t>
      </w:r>
    </w:p>
  </w:footnote>
  <w:footnote w:id="75">
    <w:p w14:paraId="0D173847" w14:textId="6076F602" w:rsidR="009C7840" w:rsidRPr="00002ED2" w:rsidRDefault="009C7840">
      <w:pPr>
        <w:pStyle w:val="FootnoteText"/>
      </w:pPr>
      <w:r>
        <w:rPr>
          <w:rStyle w:val="FootnoteReference"/>
        </w:rPr>
        <w:footnoteRef/>
      </w:r>
      <w:r>
        <w:t xml:space="preserve"> </w:t>
      </w:r>
      <w:r w:rsidR="004326F7">
        <w:tab/>
      </w:r>
      <w:r w:rsidR="009700CF">
        <w:t>Commonwealth of Australia (2024)</w:t>
      </w:r>
      <w:r w:rsidR="00002ED2">
        <w:t>, p</w:t>
      </w:r>
      <w:r w:rsidR="008F7032">
        <w:t>.</w:t>
      </w:r>
      <w:r w:rsidR="00002ED2">
        <w:t xml:space="preserve"> 53.</w:t>
      </w:r>
    </w:p>
  </w:footnote>
  <w:footnote w:id="76">
    <w:p w14:paraId="4F717F6F" w14:textId="74C54FFF" w:rsidR="005649FB" w:rsidRDefault="005649FB" w:rsidP="005649FB">
      <w:pPr>
        <w:pStyle w:val="FootnoteText"/>
      </w:pPr>
      <w:r>
        <w:rPr>
          <w:rStyle w:val="FootnoteReference"/>
        </w:rPr>
        <w:footnoteRef/>
      </w:r>
      <w:r>
        <w:tab/>
      </w:r>
      <w:r w:rsidR="001E0458">
        <w:rPr>
          <w:rFonts w:cs="Calibri Light"/>
        </w:rPr>
        <w:t>DTF (2024b</w:t>
      </w:r>
      <w:r w:rsidRPr="000E57B7">
        <w:rPr>
          <w:rFonts w:cs="Calibri Light"/>
        </w:rPr>
        <w:t>)</w:t>
      </w:r>
      <w:r>
        <w:t>, p</w:t>
      </w:r>
      <w:r w:rsidR="008F7032">
        <w:t>.</w:t>
      </w:r>
      <w:r>
        <w:t xml:space="preserve"> 29.</w:t>
      </w:r>
    </w:p>
  </w:footnote>
  <w:footnote w:id="77">
    <w:p w14:paraId="5032AC93" w14:textId="2A77114D" w:rsidR="005649FB" w:rsidRDefault="005649FB" w:rsidP="005649FB">
      <w:pPr>
        <w:pStyle w:val="FootnoteText"/>
      </w:pPr>
      <w:r>
        <w:rPr>
          <w:rStyle w:val="FootnoteReference"/>
        </w:rPr>
        <w:footnoteRef/>
      </w:r>
      <w:r>
        <w:tab/>
      </w:r>
      <w:r w:rsidRPr="00716004">
        <w:t>RBA (</w:t>
      </w:r>
      <w:r w:rsidR="00291333" w:rsidRPr="003A7786">
        <w:t>2024</w:t>
      </w:r>
      <w:r w:rsidRPr="00716004">
        <w:t>)</w:t>
      </w:r>
      <w:r>
        <w:t>, p</w:t>
      </w:r>
      <w:r w:rsidR="00A76C9E">
        <w:t>p</w:t>
      </w:r>
      <w:r w:rsidR="008F7032">
        <w:t>.</w:t>
      </w:r>
      <w:r>
        <w:t xml:space="preserve"> </w:t>
      </w:r>
      <w:r w:rsidR="00A76C9E">
        <w:t>44, 51</w:t>
      </w:r>
      <w:r>
        <w:t>.</w:t>
      </w:r>
    </w:p>
  </w:footnote>
  <w:footnote w:id="78">
    <w:p w14:paraId="431368C8" w14:textId="63CAB138" w:rsidR="005649FB" w:rsidRDefault="005649FB" w:rsidP="005649FB">
      <w:pPr>
        <w:pStyle w:val="FootnoteText"/>
      </w:pPr>
      <w:r>
        <w:rPr>
          <w:rStyle w:val="FootnoteReference"/>
        </w:rPr>
        <w:footnoteRef/>
      </w:r>
      <w:r>
        <w:tab/>
      </w:r>
      <w:r w:rsidRPr="0073644B">
        <w:t>Commonwealth of Australia (2024)</w:t>
      </w:r>
      <w:r>
        <w:t>, p</w:t>
      </w:r>
      <w:r w:rsidR="002F7926">
        <w:t>.</w:t>
      </w:r>
      <w:r>
        <w:t xml:space="preserve"> 53</w:t>
      </w:r>
      <w:r w:rsidRPr="008478FE">
        <w:t>.</w:t>
      </w:r>
    </w:p>
  </w:footnote>
  <w:footnote w:id="79">
    <w:p w14:paraId="5AA79147" w14:textId="752B7F6C" w:rsidR="005649FB" w:rsidRDefault="005649FB" w:rsidP="005649FB">
      <w:pPr>
        <w:pStyle w:val="FootnoteText"/>
      </w:pPr>
      <w:r>
        <w:rPr>
          <w:rStyle w:val="FootnoteReference"/>
        </w:rPr>
        <w:footnoteRef/>
      </w:r>
      <w:r>
        <w:tab/>
      </w:r>
      <w:r w:rsidR="001E0458">
        <w:rPr>
          <w:rFonts w:cs="Calibri Light"/>
        </w:rPr>
        <w:t>DTF (2024b</w:t>
      </w:r>
      <w:r w:rsidRPr="000E57B7">
        <w:rPr>
          <w:rFonts w:cs="Calibri Light"/>
        </w:rPr>
        <w:t>)</w:t>
      </w:r>
      <w:r>
        <w:t>, p</w:t>
      </w:r>
      <w:r w:rsidR="002F7926">
        <w:t>.</w:t>
      </w:r>
      <w:r>
        <w:t xml:space="preserve"> 18.</w:t>
      </w:r>
    </w:p>
  </w:footnote>
  <w:footnote w:id="80">
    <w:p w14:paraId="697D3BB7" w14:textId="54090CFC" w:rsidR="005649FB" w:rsidRDefault="005649FB" w:rsidP="005649FB">
      <w:pPr>
        <w:pStyle w:val="FootnoteText"/>
      </w:pPr>
      <w:r>
        <w:rPr>
          <w:rStyle w:val="FootnoteReference"/>
        </w:rPr>
        <w:footnoteRef/>
      </w:r>
      <w:r>
        <w:tab/>
      </w:r>
      <w:r w:rsidRPr="00716004">
        <w:t>RBA (</w:t>
      </w:r>
      <w:r w:rsidR="00291333" w:rsidRPr="003A7786">
        <w:t>2024</w:t>
      </w:r>
      <w:r w:rsidRPr="00716004">
        <w:t>)</w:t>
      </w:r>
      <w:r>
        <w:t xml:space="preserve">, </w:t>
      </w:r>
      <w:r w:rsidR="002F7926">
        <w:t>p.</w:t>
      </w:r>
      <w:r>
        <w:t xml:space="preserve"> 51.</w:t>
      </w:r>
    </w:p>
  </w:footnote>
  <w:footnote w:id="81">
    <w:p w14:paraId="0468BD0B" w14:textId="3EE16DB4" w:rsidR="005649FB" w:rsidRDefault="005649FB" w:rsidP="005649FB">
      <w:pPr>
        <w:pStyle w:val="FootnoteText"/>
      </w:pPr>
      <w:r>
        <w:rPr>
          <w:rStyle w:val="FootnoteReference"/>
        </w:rPr>
        <w:footnoteRef/>
      </w:r>
      <w:r>
        <w:tab/>
      </w:r>
      <w:r w:rsidRPr="0073644B">
        <w:t>Commonwealth of Australia (2024)</w:t>
      </w:r>
      <w:r>
        <w:t>, p</w:t>
      </w:r>
      <w:r w:rsidR="002F7926">
        <w:t>.</w:t>
      </w:r>
      <w:r>
        <w:t xml:space="preserve"> 53.</w:t>
      </w:r>
    </w:p>
  </w:footnote>
  <w:footnote w:id="82">
    <w:p w14:paraId="4F254115" w14:textId="368A5CA5" w:rsidR="009E108A" w:rsidRPr="008E1E4F" w:rsidRDefault="009E108A">
      <w:pPr>
        <w:pStyle w:val="FootnoteText"/>
        <w:rPr>
          <w:i/>
          <w:iCs/>
        </w:rPr>
      </w:pPr>
      <w:r>
        <w:rPr>
          <w:rStyle w:val="FootnoteReference"/>
        </w:rPr>
        <w:footnoteRef/>
      </w:r>
      <w:r>
        <w:t xml:space="preserve"> </w:t>
      </w:r>
      <w:r>
        <w:tab/>
      </w:r>
      <w:r w:rsidR="001E0458">
        <w:rPr>
          <w:rFonts w:cs="Calibri Light"/>
        </w:rPr>
        <w:t>DTF (2024b</w:t>
      </w:r>
      <w:r w:rsidRPr="00182559">
        <w:rPr>
          <w:rFonts w:cs="Calibri Light"/>
        </w:rPr>
        <w:t>)</w:t>
      </w:r>
      <w:r w:rsidR="008E1E4F">
        <w:rPr>
          <w:rFonts w:cs="Calibri Light"/>
        </w:rPr>
        <w:t>,</w:t>
      </w:r>
      <w:r w:rsidR="008E1E4F">
        <w:t xml:space="preserve"> </w:t>
      </w:r>
      <w:r w:rsidR="008E1E4F" w:rsidRPr="0031794C">
        <w:t>p</w:t>
      </w:r>
      <w:r w:rsidR="002F7926">
        <w:t>.</w:t>
      </w:r>
      <w:r w:rsidR="008E1E4F" w:rsidRPr="0031794C">
        <w:t xml:space="preserve"> 18.</w:t>
      </w:r>
    </w:p>
  </w:footnote>
  <w:footnote w:id="83">
    <w:p w14:paraId="4128EF24" w14:textId="348A853C" w:rsidR="005649FB" w:rsidRDefault="005649FB" w:rsidP="005649FB">
      <w:pPr>
        <w:pStyle w:val="FootnoteText"/>
      </w:pPr>
      <w:r>
        <w:rPr>
          <w:rStyle w:val="FootnoteReference"/>
        </w:rPr>
        <w:footnoteRef/>
      </w:r>
      <w:r>
        <w:t xml:space="preserve"> </w:t>
      </w:r>
      <w:r>
        <w:tab/>
      </w:r>
      <w:r w:rsidRPr="00716004">
        <w:t>RBA (</w:t>
      </w:r>
      <w:r w:rsidR="00791775" w:rsidRPr="003A7786">
        <w:t>2024</w:t>
      </w:r>
      <w:r w:rsidRPr="00716004">
        <w:t>)</w:t>
      </w:r>
      <w:r>
        <w:t xml:space="preserve">, </w:t>
      </w:r>
      <w:r w:rsidR="0080396F">
        <w:t>p</w:t>
      </w:r>
      <w:r>
        <w:t>p</w:t>
      </w:r>
      <w:r w:rsidR="002F7926">
        <w:t>.</w:t>
      </w:r>
      <w:r>
        <w:t xml:space="preserve"> </w:t>
      </w:r>
      <w:r w:rsidR="0080396F">
        <w:t>44</w:t>
      </w:r>
      <w:r w:rsidR="00D65F3E">
        <w:t xml:space="preserve">, </w:t>
      </w:r>
      <w:r>
        <w:t>51.</w:t>
      </w:r>
    </w:p>
  </w:footnote>
  <w:footnote w:id="84">
    <w:p w14:paraId="5A6B0EFE" w14:textId="1B3C9D7E" w:rsidR="005649FB" w:rsidRDefault="005649FB" w:rsidP="005649FB">
      <w:pPr>
        <w:pStyle w:val="FootnoteText"/>
      </w:pPr>
      <w:r>
        <w:rPr>
          <w:rStyle w:val="FootnoteReference"/>
        </w:rPr>
        <w:footnoteRef/>
      </w:r>
      <w:r>
        <w:t xml:space="preserve"> </w:t>
      </w:r>
      <w:r>
        <w:tab/>
      </w:r>
      <w:r w:rsidRPr="00716004">
        <w:t>RBA (</w:t>
      </w:r>
      <w:r w:rsidR="00791775" w:rsidRPr="003A7786">
        <w:t>2024</w:t>
      </w:r>
      <w:r w:rsidRPr="00716004">
        <w:t>)</w:t>
      </w:r>
      <w:r>
        <w:t>, pp</w:t>
      </w:r>
      <w:r w:rsidR="002F7926">
        <w:t>.</w:t>
      </w:r>
      <w:r>
        <w:t xml:space="preserve"> 5, 48</w:t>
      </w:r>
      <w:r w:rsidR="00954997">
        <w:t>-</w:t>
      </w:r>
      <w:r>
        <w:t>49.</w:t>
      </w:r>
    </w:p>
  </w:footnote>
  <w:footnote w:id="85">
    <w:p w14:paraId="582B1B16" w14:textId="6AC93372" w:rsidR="005649FB" w:rsidRDefault="005649FB" w:rsidP="005649FB">
      <w:pPr>
        <w:pStyle w:val="FootnoteText"/>
      </w:pPr>
      <w:r>
        <w:rPr>
          <w:rStyle w:val="FootnoteReference"/>
        </w:rPr>
        <w:footnoteRef/>
      </w:r>
      <w:r>
        <w:t xml:space="preserve"> </w:t>
      </w:r>
      <w:r>
        <w:tab/>
      </w:r>
      <w:r w:rsidRPr="00716004">
        <w:t>RBA (</w:t>
      </w:r>
      <w:r w:rsidR="00791775" w:rsidRPr="003A7786">
        <w:t>2024</w:t>
      </w:r>
      <w:r w:rsidRPr="00716004">
        <w:t>)</w:t>
      </w:r>
      <w:r>
        <w:t>, pp</w:t>
      </w:r>
      <w:r w:rsidR="002F7926">
        <w:t>.</w:t>
      </w:r>
      <w:r>
        <w:t xml:space="preserve"> 48</w:t>
      </w:r>
      <w:r w:rsidR="00954997">
        <w:t>-</w:t>
      </w:r>
      <w:r>
        <w:t>49.</w:t>
      </w:r>
    </w:p>
  </w:footnote>
  <w:footnote w:id="86">
    <w:p w14:paraId="08BAFBA7" w14:textId="53574F26" w:rsidR="005649FB" w:rsidRDefault="005649FB" w:rsidP="005649FB">
      <w:pPr>
        <w:pStyle w:val="FootnoteText"/>
      </w:pPr>
      <w:r>
        <w:rPr>
          <w:rStyle w:val="FootnoteReference"/>
        </w:rPr>
        <w:footnoteRef/>
      </w:r>
      <w:r>
        <w:t xml:space="preserve"> </w:t>
      </w:r>
      <w:r>
        <w:tab/>
      </w:r>
      <w:r w:rsidRPr="00716004">
        <w:t>RBA (</w:t>
      </w:r>
      <w:r w:rsidR="00791775" w:rsidRPr="003A7786">
        <w:t>2024</w:t>
      </w:r>
      <w:r w:rsidRPr="00716004">
        <w:t>)</w:t>
      </w:r>
      <w:r>
        <w:t xml:space="preserve">, </w:t>
      </w:r>
      <w:r w:rsidR="00791775">
        <w:t>p</w:t>
      </w:r>
      <w:r w:rsidR="002F7926">
        <w:t>.</w:t>
      </w:r>
      <w:r>
        <w:t xml:space="preserve"> 5.</w:t>
      </w:r>
    </w:p>
  </w:footnote>
  <w:footnote w:id="87">
    <w:p w14:paraId="0854F549" w14:textId="5A603BB3" w:rsidR="005649FB" w:rsidRDefault="005649FB" w:rsidP="005649FB">
      <w:pPr>
        <w:pStyle w:val="FootnoteText"/>
      </w:pPr>
      <w:r>
        <w:rPr>
          <w:rStyle w:val="FootnoteReference"/>
        </w:rPr>
        <w:footnoteRef/>
      </w:r>
      <w:r>
        <w:t xml:space="preserve"> </w:t>
      </w:r>
      <w:r>
        <w:tab/>
      </w:r>
      <w:r w:rsidR="001E0458">
        <w:rPr>
          <w:rFonts w:cs="Calibri Light"/>
        </w:rPr>
        <w:t>DTF (2024b</w:t>
      </w:r>
      <w:r w:rsidRPr="00182559">
        <w:rPr>
          <w:rFonts w:cs="Calibri Light"/>
        </w:rPr>
        <w:t>)</w:t>
      </w:r>
      <w:r>
        <w:t>, pp</w:t>
      </w:r>
      <w:r w:rsidR="002F7926">
        <w:t>.</w:t>
      </w:r>
      <w:r>
        <w:t xml:space="preserve"> 36</w:t>
      </w:r>
      <w:r w:rsidR="00954997">
        <w:t>-</w:t>
      </w:r>
      <w:r>
        <w:t>37.</w:t>
      </w:r>
    </w:p>
  </w:footnote>
  <w:footnote w:id="88">
    <w:p w14:paraId="04C9EE37" w14:textId="50864CA1" w:rsidR="005649FB" w:rsidRDefault="005649FB" w:rsidP="005649FB">
      <w:pPr>
        <w:pStyle w:val="FootnoteText"/>
      </w:pPr>
      <w:r>
        <w:rPr>
          <w:rStyle w:val="FootnoteReference"/>
        </w:rPr>
        <w:footnoteRef/>
      </w:r>
      <w:r>
        <w:t xml:space="preserve"> </w:t>
      </w:r>
      <w:r>
        <w:tab/>
      </w:r>
      <w:r w:rsidRPr="0092526E">
        <w:t>DTF (2023</w:t>
      </w:r>
      <w:r>
        <w:t>a</w:t>
      </w:r>
      <w:r w:rsidRPr="0092526E">
        <w:t>)</w:t>
      </w:r>
      <w:r>
        <w:t>, p</w:t>
      </w:r>
      <w:r w:rsidR="002F7926">
        <w:t>.</w:t>
      </w:r>
      <w:r>
        <w:t xml:space="preserve"> 6</w:t>
      </w:r>
      <w:r w:rsidR="004D620B">
        <w:t xml:space="preserve">; </w:t>
      </w:r>
      <w:r w:rsidR="004D620B">
        <w:rPr>
          <w:rFonts w:cs="Calibri Light"/>
        </w:rPr>
        <w:t>DTF</w:t>
      </w:r>
      <w:r w:rsidR="004D620B" w:rsidRPr="00182559">
        <w:rPr>
          <w:rFonts w:cs="Calibri Light"/>
        </w:rPr>
        <w:t xml:space="preserve"> (202</w:t>
      </w:r>
      <w:r w:rsidR="004D620B">
        <w:rPr>
          <w:rFonts w:cs="Calibri Light"/>
        </w:rPr>
        <w:t>3c</w:t>
      </w:r>
      <w:r w:rsidR="004D620B" w:rsidRPr="00182559">
        <w:rPr>
          <w:rFonts w:cs="Calibri Light"/>
        </w:rPr>
        <w:t>)</w:t>
      </w:r>
      <w:r w:rsidR="004D620B">
        <w:t>, p</w:t>
      </w:r>
      <w:r w:rsidR="002F7926">
        <w:t>.</w:t>
      </w:r>
      <w:r w:rsidR="004D620B">
        <w:t xml:space="preserve"> 20.</w:t>
      </w:r>
    </w:p>
  </w:footnote>
  <w:footnote w:id="89">
    <w:p w14:paraId="51C4722C" w14:textId="48147A48" w:rsidR="005649FB" w:rsidRPr="00473DA8" w:rsidRDefault="005649FB" w:rsidP="005649FB">
      <w:pPr>
        <w:pStyle w:val="FootnoteText"/>
      </w:pPr>
      <w:r>
        <w:rPr>
          <w:rStyle w:val="FootnoteReference"/>
        </w:rPr>
        <w:footnoteRef/>
      </w:r>
      <w:r>
        <w:t xml:space="preserve"> </w:t>
      </w:r>
      <w:r w:rsidR="00012BF3">
        <w:tab/>
      </w:r>
      <w:r w:rsidR="001E0458">
        <w:rPr>
          <w:rFonts w:cs="Calibri Light"/>
        </w:rPr>
        <w:t>DTF (2024b</w:t>
      </w:r>
      <w:r w:rsidR="009043BE" w:rsidRPr="00182559">
        <w:rPr>
          <w:rFonts w:cs="Calibri Light"/>
        </w:rPr>
        <w:t>)</w:t>
      </w:r>
      <w:r w:rsidR="00473DA8" w:rsidRPr="00591340">
        <w:t>, p</w:t>
      </w:r>
      <w:r w:rsidR="002F7926">
        <w:t>.</w:t>
      </w:r>
      <w:r w:rsidR="00473DA8" w:rsidRPr="00591340">
        <w:t xml:space="preserve"> 6.</w:t>
      </w:r>
    </w:p>
  </w:footnote>
  <w:footnote w:id="90">
    <w:p w14:paraId="785CD2AE" w14:textId="5B216FB7" w:rsidR="005649FB" w:rsidRDefault="005649FB" w:rsidP="00893E6D">
      <w:pPr>
        <w:pStyle w:val="FootnoteText"/>
      </w:pPr>
      <w:r>
        <w:rPr>
          <w:rStyle w:val="FootnoteReference"/>
        </w:rPr>
        <w:footnoteRef/>
      </w:r>
      <w:r>
        <w:t xml:space="preserve"> </w:t>
      </w:r>
      <w:r w:rsidR="00473DA8">
        <w:tab/>
      </w:r>
      <w:r w:rsidR="001E0458">
        <w:rPr>
          <w:rFonts w:cs="Calibri Light"/>
        </w:rPr>
        <w:t>DTF (2024b</w:t>
      </w:r>
      <w:r w:rsidRPr="00182559">
        <w:rPr>
          <w:rFonts w:cs="Calibri Light"/>
        </w:rPr>
        <w:t>)</w:t>
      </w:r>
      <w:r w:rsidRPr="00895FB7">
        <w:t>, p</w:t>
      </w:r>
      <w:r>
        <w:t>p</w:t>
      </w:r>
      <w:r w:rsidR="002F7926">
        <w:t>.</w:t>
      </w:r>
      <w:r w:rsidRPr="00895FB7">
        <w:t xml:space="preserve"> </w:t>
      </w:r>
      <w:r>
        <w:t xml:space="preserve">6, </w:t>
      </w:r>
      <w:r w:rsidRPr="00895FB7">
        <w:t>53</w:t>
      </w:r>
      <w:r w:rsidR="00893E6D">
        <w:t>; DTF (2023b), p. 17.</w:t>
      </w:r>
    </w:p>
  </w:footnote>
  <w:footnote w:id="91">
    <w:p w14:paraId="1C0B4F1B" w14:textId="61C70A9F" w:rsidR="005649FB" w:rsidRDefault="005649FB" w:rsidP="005649FB">
      <w:pPr>
        <w:pStyle w:val="FootnoteText"/>
      </w:pPr>
      <w:r>
        <w:rPr>
          <w:rStyle w:val="FootnoteReference"/>
        </w:rPr>
        <w:footnoteRef/>
      </w:r>
      <w:r>
        <w:t xml:space="preserve"> </w:t>
      </w:r>
      <w:r w:rsidR="00A66E7A">
        <w:tab/>
      </w:r>
      <w:r w:rsidR="001E0458">
        <w:rPr>
          <w:rFonts w:cs="Calibri Light"/>
        </w:rPr>
        <w:t>DTF (2024b</w:t>
      </w:r>
      <w:r w:rsidRPr="000E57B7">
        <w:rPr>
          <w:rFonts w:cs="Calibri Light"/>
        </w:rPr>
        <w:t>)</w:t>
      </w:r>
      <w:r>
        <w:t>, p</w:t>
      </w:r>
      <w:r w:rsidR="00B95158">
        <w:t>p</w:t>
      </w:r>
      <w:r w:rsidR="002F7926">
        <w:t>.</w:t>
      </w:r>
      <w:r>
        <w:t xml:space="preserve"> </w:t>
      </w:r>
      <w:r w:rsidR="00B95158">
        <w:t>3</w:t>
      </w:r>
      <w:r w:rsidR="00954997">
        <w:t>-</w:t>
      </w:r>
      <w:r>
        <w:t>4.</w:t>
      </w:r>
    </w:p>
  </w:footnote>
  <w:footnote w:id="92">
    <w:p w14:paraId="78E675E1" w14:textId="419BE681" w:rsidR="005649FB" w:rsidRDefault="005649FB" w:rsidP="005649FB">
      <w:pPr>
        <w:pStyle w:val="FootnoteText"/>
      </w:pPr>
      <w:r>
        <w:rPr>
          <w:rStyle w:val="FootnoteReference"/>
        </w:rPr>
        <w:footnoteRef/>
      </w:r>
      <w:r>
        <w:t xml:space="preserve"> </w:t>
      </w:r>
      <w:r w:rsidR="00A66E7A">
        <w:tab/>
      </w:r>
      <w:r w:rsidR="001E0458">
        <w:rPr>
          <w:rFonts w:cs="Calibri Light"/>
        </w:rPr>
        <w:t>DTF (2024b</w:t>
      </w:r>
      <w:r w:rsidRPr="00EC2F07">
        <w:rPr>
          <w:rFonts w:cs="Calibri Light"/>
        </w:rPr>
        <w:t>)</w:t>
      </w:r>
      <w:r>
        <w:t>, p</w:t>
      </w:r>
      <w:r w:rsidR="002F7926">
        <w:t>.</w:t>
      </w:r>
      <w:r>
        <w:t xml:space="preserve"> </w:t>
      </w:r>
      <w:r w:rsidRPr="00EC2F07">
        <w:rPr>
          <w:rFonts w:cs="Calibri Light"/>
        </w:rPr>
        <w:t>53.</w:t>
      </w:r>
    </w:p>
  </w:footnote>
  <w:footnote w:id="93">
    <w:p w14:paraId="3C4525FC" w14:textId="747196D8" w:rsidR="005649FB" w:rsidRDefault="005649FB" w:rsidP="005649FB">
      <w:pPr>
        <w:pStyle w:val="FootnoteText"/>
      </w:pPr>
      <w:r>
        <w:rPr>
          <w:rStyle w:val="FootnoteReference"/>
        </w:rPr>
        <w:footnoteRef/>
      </w:r>
      <w:r>
        <w:t xml:space="preserve"> </w:t>
      </w:r>
      <w:r w:rsidR="00A66E7A">
        <w:tab/>
      </w:r>
      <w:r w:rsidR="00A66E7A">
        <w:rPr>
          <w:rFonts w:cs="Calibri Light"/>
        </w:rPr>
        <w:t>DTF (2024</w:t>
      </w:r>
      <w:r w:rsidR="001E0458">
        <w:rPr>
          <w:rFonts w:cs="Calibri Light"/>
        </w:rPr>
        <w:t>a</w:t>
      </w:r>
      <w:r w:rsidR="00A66E7A">
        <w:rPr>
          <w:rFonts w:cs="Calibri Light"/>
        </w:rPr>
        <w:t xml:space="preserve">); </w:t>
      </w:r>
      <w:r w:rsidR="001E0458">
        <w:rPr>
          <w:rFonts w:cs="Calibri Light"/>
        </w:rPr>
        <w:t>DTF (2024b</w:t>
      </w:r>
      <w:r w:rsidRPr="00EC2F07">
        <w:rPr>
          <w:rFonts w:cs="Calibri Light"/>
        </w:rPr>
        <w:t>)</w:t>
      </w:r>
      <w:r>
        <w:t>, p</w:t>
      </w:r>
      <w:r w:rsidR="002F7926">
        <w:t>.</w:t>
      </w:r>
      <w:r>
        <w:rPr>
          <w:rFonts w:cs="Calibri Light"/>
        </w:rPr>
        <w:t xml:space="preserve"> </w:t>
      </w:r>
      <w:r w:rsidRPr="00EC2F07">
        <w:rPr>
          <w:rFonts w:cs="Calibri Light"/>
        </w:rPr>
        <w:t>53.</w:t>
      </w:r>
    </w:p>
  </w:footnote>
  <w:footnote w:id="94">
    <w:p w14:paraId="43CF0818" w14:textId="09E998D6" w:rsidR="005649FB" w:rsidRDefault="005649FB" w:rsidP="005649FB">
      <w:pPr>
        <w:pStyle w:val="FootnoteText"/>
      </w:pPr>
      <w:r>
        <w:rPr>
          <w:rStyle w:val="FootnoteReference"/>
        </w:rPr>
        <w:footnoteRef/>
      </w:r>
      <w:r>
        <w:t xml:space="preserve"> </w:t>
      </w:r>
      <w:r w:rsidR="009233B4">
        <w:tab/>
      </w:r>
      <w:r w:rsidR="001E0458">
        <w:rPr>
          <w:rFonts w:cs="Calibri Light"/>
        </w:rPr>
        <w:t>DTF (2024b</w:t>
      </w:r>
      <w:r w:rsidRPr="00EC2F07">
        <w:rPr>
          <w:rFonts w:cs="Calibri Light"/>
        </w:rPr>
        <w:t>), p</w:t>
      </w:r>
      <w:r w:rsidR="002F7926">
        <w:rPr>
          <w:rFonts w:cs="Calibri Light"/>
        </w:rPr>
        <w:t>.</w:t>
      </w:r>
      <w:r w:rsidRPr="00EC2F07">
        <w:rPr>
          <w:rFonts w:cs="Calibri Light"/>
        </w:rPr>
        <w:t xml:space="preserve"> </w:t>
      </w:r>
      <w:r>
        <w:rPr>
          <w:rFonts w:cs="Calibri Light"/>
        </w:rPr>
        <w:t>4</w:t>
      </w:r>
      <w:r w:rsidRPr="00EC2F07">
        <w:rPr>
          <w:rFonts w:cs="Calibri Light"/>
        </w:rPr>
        <w:t>.</w:t>
      </w:r>
    </w:p>
  </w:footnote>
  <w:footnote w:id="95">
    <w:p w14:paraId="7876487F" w14:textId="5FD42A6E" w:rsidR="005649FB" w:rsidRDefault="005649FB" w:rsidP="005649FB">
      <w:pPr>
        <w:pStyle w:val="FootnoteText"/>
      </w:pPr>
      <w:r>
        <w:rPr>
          <w:rStyle w:val="FootnoteReference"/>
        </w:rPr>
        <w:footnoteRef/>
      </w:r>
      <w:r>
        <w:t xml:space="preserve"> </w:t>
      </w:r>
      <w:r>
        <w:tab/>
      </w:r>
      <w:r w:rsidR="001E0458">
        <w:t>DTF (2024b</w:t>
      </w:r>
      <w:r w:rsidRPr="00895FB7">
        <w:t>), p</w:t>
      </w:r>
      <w:r w:rsidR="002F7926">
        <w:t>.</w:t>
      </w:r>
      <w:r>
        <w:t xml:space="preserve"> </w:t>
      </w:r>
      <w:r w:rsidRPr="00895FB7">
        <w:t>53.</w:t>
      </w:r>
    </w:p>
  </w:footnote>
  <w:footnote w:id="96">
    <w:p w14:paraId="7C0FD3A0" w14:textId="7A1790B3" w:rsidR="00EC3AEA" w:rsidRDefault="00EC3AEA" w:rsidP="00411199">
      <w:pPr>
        <w:pStyle w:val="FootnoteText"/>
      </w:pPr>
      <w:r>
        <w:rPr>
          <w:rStyle w:val="FootnoteReference"/>
        </w:rPr>
        <w:footnoteRef/>
      </w:r>
      <w:r>
        <w:t xml:space="preserve"> </w:t>
      </w:r>
      <w:r>
        <w:tab/>
      </w:r>
      <w:r w:rsidR="00411199">
        <w:t>Email from Jeremi Moule, Secretary of the Department of Premier and Cabinet, to V</w:t>
      </w:r>
      <w:r w:rsidR="00D35406">
        <w:t>PS</w:t>
      </w:r>
      <w:r w:rsidR="00411199">
        <w:t xml:space="preserve"> staff</w:t>
      </w:r>
      <w:r w:rsidR="0051008D">
        <w:t xml:space="preserve"> (2024)</w:t>
      </w:r>
      <w:r w:rsidR="00411199">
        <w:t>, 9 April.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A644AA" w14:textId="55F2D66D" w:rsidR="004753FE" w:rsidRDefault="00323A45">
    <w:pPr>
      <w:pStyle w:val="Header"/>
    </w:pPr>
    <w:r>
      <w:rPr>
        <w:noProof/>
      </w:rPr>
      <w:pict w14:anchorId="14BECD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1" type="#_x0000_t136" style="position:absolute;margin-left:0;margin-top:0;width:304pt;height:121.55pt;rotation:315;z-index:-251658233;mso-wrap-edited:f;mso-position-horizontal:center;mso-position-horizontal-relative:margin;mso-position-vertical:center;mso-position-vertical-relative:margin" o:allowincell="f" fillcolor="#d8d8d8 [2732]" stroked="f">
          <v:fill opacity=".5"/>
          <v:textpath style="font-family:&quot;Arial&quot;;font-size:1pt" string="DRAFT"/>
          <w10:wrap anchorx="margin" anchory="margin"/>
        </v:shape>
      </w:pict>
    </w:r>
    <w:r>
      <w:rPr>
        <w:noProof/>
      </w:rPr>
      <w:pict w14:anchorId="2DB42925">
        <v:shape id="_x0000_s1040" type="#_x0000_t136" style="position:absolute;margin-left:0;margin-top:0;width:304pt;height:121.55pt;rotation:315;z-index:-251658236;mso-wrap-edited:f;mso-position-horizontal:center;mso-position-horizontal-relative:margin;mso-position-vertical:center;mso-position-vertical-relative:margin" o:allowincell="f" fillcolor="#d8d8d8 [2732]" stroked="f">
          <v:fill opacity=".5"/>
          <v:textpath style="font-family:&quot;Arial&quot;;font-size:1pt" string="DRAFT"/>
          <w10:wrap anchorx="margin" anchory="margin"/>
        </v:shape>
      </w:pict>
    </w:r>
    <w:r>
      <w:rPr>
        <w:noProof/>
      </w:rPr>
      <w:pict w14:anchorId="496D2FF5">
        <v:shape id="_x0000_s1039" type="#_x0000_t136" style="position:absolute;margin-left:0;margin-top:0;width:266pt;height:159.6pt;rotation:315;z-index:-251658239;mso-wrap-edited:f;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58B5B5" w14:textId="77777777" w:rsidR="00E90BDA" w:rsidRDefault="00E90B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9232BC" w14:textId="557A754C" w:rsidR="009C1981" w:rsidRDefault="009C1981">
    <w:pPr>
      <w:pStyle w:val="Header"/>
      <w:rPr>
        <w:noProof/>
      </w:rPr>
    </w:pPr>
  </w:p>
  <w:p w14:paraId="2259B325" w14:textId="3C4A3A7C" w:rsidR="00B03893" w:rsidRDefault="00B0389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A9B308" w14:textId="24E20CBC" w:rsidR="004753FE" w:rsidRDefault="00323A45">
    <w:pPr>
      <w:pStyle w:val="Header"/>
    </w:pPr>
    <w:r>
      <w:rPr>
        <w:noProof/>
      </w:rPr>
      <w:pict w14:anchorId="243F8C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5" type="#_x0000_t136" style="position:absolute;margin-left:0;margin-top:0;width:304pt;height:121.55pt;rotation:315;z-index:-251658231;mso-wrap-edited:f;mso-position-horizontal:center;mso-position-horizontal-relative:margin;mso-position-vertical:center;mso-position-vertical-relative:margin" o:allowincell="f" fillcolor="#d8d8d8 [2732]" stroked="f">
          <v:fill opacity=".5"/>
          <v:textpath style="font-family:&quot;Arial&quot;;font-size:1pt" string="DRAFT"/>
          <w10:wrap anchorx="margin" anchory="margin"/>
        </v:shape>
      </w:pict>
    </w:r>
    <w:r>
      <w:rPr>
        <w:noProof/>
      </w:rPr>
      <w:pict w14:anchorId="10A83BEE">
        <v:shape id="_x0000_s1034" type="#_x0000_t136" style="position:absolute;margin-left:0;margin-top:0;width:304pt;height:121.55pt;rotation:315;z-index:-251658234;mso-wrap-edited:f;mso-position-horizontal:center;mso-position-horizontal-relative:margin;mso-position-vertical:center;mso-position-vertical-relative:margin" o:allowincell="f" fillcolor="#d8d8d8 [2732]" stroked="f">
          <v:fill opacity=".5"/>
          <v:textpath style="font-family:&quot;Arial&quot;;font-size:1pt" string="DRAFT"/>
          <w10:wrap anchorx="margin" anchory="margin"/>
        </v:shape>
      </w:pict>
    </w:r>
    <w:r>
      <w:rPr>
        <w:noProof/>
      </w:rPr>
      <w:pict w14:anchorId="2CB7F5E8">
        <v:shape id="_x0000_s1033" type="#_x0000_t136" style="position:absolute;margin-left:0;margin-top:0;width:266pt;height:159.6pt;rotation:315;z-index:-251658237;mso-wrap-edited:f;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207656" w14:textId="0F0F45AB" w:rsidR="009C1981" w:rsidRDefault="009C1981">
    <w:pPr>
      <w:pStyle w:val="Header"/>
      <w:rPr>
        <w:noProof/>
      </w:rPr>
    </w:pPr>
  </w:p>
  <w:p w14:paraId="4228A6CD" w14:textId="7A200D22" w:rsidR="004753FE" w:rsidRDefault="004753F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ED90D8" w14:textId="36D8592E" w:rsidR="004753FE" w:rsidRDefault="00323A45">
    <w:pPr>
      <w:pStyle w:val="Header"/>
    </w:pPr>
    <w:r>
      <w:rPr>
        <w:noProof/>
      </w:rPr>
      <w:pict w14:anchorId="5F79FA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margin-left:0;margin-top:0;width:304pt;height:121.55pt;rotation:315;z-index:-251658232;mso-wrap-edited:f;mso-position-horizontal:center;mso-position-horizontal-relative:margin;mso-position-vertical:center;mso-position-vertical-relative:margin" o:allowincell="f" fillcolor="#d8d8d8 [2732]" stroked="f">
          <v:fill opacity=".5"/>
          <v:textpath style="font-family:&quot;Arial&quot;;font-size:1pt" string="DRAFT"/>
          <w10:wrap anchorx="margin" anchory="margin"/>
        </v:shape>
      </w:pict>
    </w:r>
    <w:r>
      <w:rPr>
        <w:noProof/>
      </w:rPr>
      <w:pict w14:anchorId="61C6E54E">
        <v:shape id="_x0000_s1029" type="#_x0000_t136" style="position:absolute;margin-left:0;margin-top:0;width:304pt;height:121.55pt;rotation:315;z-index:-251658235;mso-wrap-edited:f;mso-position-horizontal:center;mso-position-horizontal-relative:margin;mso-position-vertical:center;mso-position-vertical-relative:margin" o:allowincell="f" fillcolor="#d8d8d8 [2732]" stroked="f">
          <v:fill opacity=".5"/>
          <v:textpath style="font-family:&quot;Arial&quot;;font-size:1pt" string="DRAFT"/>
          <w10:wrap anchorx="margin" anchory="margin"/>
        </v:shape>
      </w:pict>
    </w:r>
    <w:r>
      <w:rPr>
        <w:noProof/>
      </w:rPr>
      <w:pict w14:anchorId="656DCBA6">
        <v:shape id="_x0000_s1028" type="#_x0000_t136" style="position:absolute;margin-left:0;margin-top:0;width:266pt;height:159.6pt;rotation:315;z-index:-251658238;mso-wrap-edited:f;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F5CF09" w14:textId="3AF442E7" w:rsidR="009C1981" w:rsidRDefault="009C198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743698" w14:textId="47B7713B" w:rsidR="009C1981" w:rsidRDefault="009C198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482B78" w14:textId="57F05B88" w:rsidR="009C1981" w:rsidRDefault="009C19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B9880DD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hybridMultilevel"/>
    <w:tmpl w:val="F028BE26"/>
    <w:lvl w:ilvl="0" w:tplc="A6BAD9A8">
      <w:start w:val="1"/>
      <w:numFmt w:val="decimal"/>
      <w:pStyle w:val="ListNumber4"/>
      <w:lvlText w:val="%1."/>
      <w:lvlJc w:val="left"/>
      <w:pPr>
        <w:tabs>
          <w:tab w:val="num" w:pos="1209"/>
        </w:tabs>
        <w:ind w:left="1209" w:hanging="360"/>
      </w:pPr>
    </w:lvl>
    <w:lvl w:ilvl="1" w:tplc="9C60AE92">
      <w:numFmt w:val="decimal"/>
      <w:lvlText w:val=""/>
      <w:lvlJc w:val="left"/>
    </w:lvl>
    <w:lvl w:ilvl="2" w:tplc="C930F44A">
      <w:numFmt w:val="decimal"/>
      <w:lvlText w:val=""/>
      <w:lvlJc w:val="left"/>
    </w:lvl>
    <w:lvl w:ilvl="3" w:tplc="570CD108">
      <w:numFmt w:val="decimal"/>
      <w:lvlText w:val=""/>
      <w:lvlJc w:val="left"/>
    </w:lvl>
    <w:lvl w:ilvl="4" w:tplc="9CF6F6D2">
      <w:numFmt w:val="decimal"/>
      <w:lvlText w:val=""/>
      <w:lvlJc w:val="left"/>
    </w:lvl>
    <w:lvl w:ilvl="5" w:tplc="7FB4A642">
      <w:numFmt w:val="decimal"/>
      <w:lvlText w:val=""/>
      <w:lvlJc w:val="left"/>
    </w:lvl>
    <w:lvl w:ilvl="6" w:tplc="D47079F6">
      <w:numFmt w:val="decimal"/>
      <w:lvlText w:val=""/>
      <w:lvlJc w:val="left"/>
    </w:lvl>
    <w:lvl w:ilvl="7" w:tplc="2EFA95DC">
      <w:numFmt w:val="decimal"/>
      <w:lvlText w:val=""/>
      <w:lvlJc w:val="left"/>
    </w:lvl>
    <w:lvl w:ilvl="8" w:tplc="94E83564">
      <w:numFmt w:val="decimal"/>
      <w:lvlText w:val=""/>
      <w:lvlJc w:val="left"/>
    </w:lvl>
  </w:abstractNum>
  <w:abstractNum w:abstractNumId="2" w15:restartNumberingAfterBreak="0">
    <w:nsid w:val="FFFFFF7E"/>
    <w:multiLevelType w:val="hybridMultilevel"/>
    <w:tmpl w:val="7AEE735A"/>
    <w:lvl w:ilvl="0" w:tplc="FCE68A98">
      <w:start w:val="1"/>
      <w:numFmt w:val="decimal"/>
      <w:pStyle w:val="ListNumber3"/>
      <w:lvlText w:val="%1."/>
      <w:lvlJc w:val="left"/>
      <w:pPr>
        <w:tabs>
          <w:tab w:val="num" w:pos="926"/>
        </w:tabs>
        <w:ind w:left="926" w:hanging="360"/>
      </w:pPr>
    </w:lvl>
    <w:lvl w:ilvl="1" w:tplc="92681FBC">
      <w:numFmt w:val="decimal"/>
      <w:lvlText w:val=""/>
      <w:lvlJc w:val="left"/>
    </w:lvl>
    <w:lvl w:ilvl="2" w:tplc="F70E6F3C">
      <w:numFmt w:val="decimal"/>
      <w:lvlText w:val=""/>
      <w:lvlJc w:val="left"/>
    </w:lvl>
    <w:lvl w:ilvl="3" w:tplc="BF689DA4">
      <w:numFmt w:val="decimal"/>
      <w:lvlText w:val=""/>
      <w:lvlJc w:val="left"/>
    </w:lvl>
    <w:lvl w:ilvl="4" w:tplc="1F2C640C">
      <w:numFmt w:val="decimal"/>
      <w:lvlText w:val=""/>
      <w:lvlJc w:val="left"/>
    </w:lvl>
    <w:lvl w:ilvl="5" w:tplc="B860DF82">
      <w:numFmt w:val="decimal"/>
      <w:lvlText w:val=""/>
      <w:lvlJc w:val="left"/>
    </w:lvl>
    <w:lvl w:ilvl="6" w:tplc="38D22334">
      <w:numFmt w:val="decimal"/>
      <w:lvlText w:val=""/>
      <w:lvlJc w:val="left"/>
    </w:lvl>
    <w:lvl w:ilvl="7" w:tplc="0958AFD4">
      <w:numFmt w:val="decimal"/>
      <w:lvlText w:val=""/>
      <w:lvlJc w:val="left"/>
    </w:lvl>
    <w:lvl w:ilvl="8" w:tplc="E1DAF286">
      <w:numFmt w:val="decimal"/>
      <w:lvlText w:val=""/>
      <w:lvlJc w:val="left"/>
    </w:lvl>
  </w:abstractNum>
  <w:abstractNum w:abstractNumId="3" w15:restartNumberingAfterBreak="0">
    <w:nsid w:val="FFFFFF7F"/>
    <w:multiLevelType w:val="hybridMultilevel"/>
    <w:tmpl w:val="12C42818"/>
    <w:lvl w:ilvl="0" w:tplc="28EC5A5A">
      <w:start w:val="1"/>
      <w:numFmt w:val="decimal"/>
      <w:pStyle w:val="ListNumber2"/>
      <w:lvlText w:val="%1."/>
      <w:lvlJc w:val="left"/>
      <w:pPr>
        <w:tabs>
          <w:tab w:val="num" w:pos="643"/>
        </w:tabs>
        <w:ind w:left="643" w:hanging="360"/>
      </w:pPr>
    </w:lvl>
    <w:lvl w:ilvl="1" w:tplc="98242338">
      <w:numFmt w:val="decimal"/>
      <w:lvlText w:val=""/>
      <w:lvlJc w:val="left"/>
    </w:lvl>
    <w:lvl w:ilvl="2" w:tplc="607C0766">
      <w:numFmt w:val="decimal"/>
      <w:lvlText w:val=""/>
      <w:lvlJc w:val="left"/>
    </w:lvl>
    <w:lvl w:ilvl="3" w:tplc="26AAC458">
      <w:numFmt w:val="decimal"/>
      <w:lvlText w:val=""/>
      <w:lvlJc w:val="left"/>
    </w:lvl>
    <w:lvl w:ilvl="4" w:tplc="E66C5094">
      <w:numFmt w:val="decimal"/>
      <w:lvlText w:val=""/>
      <w:lvlJc w:val="left"/>
    </w:lvl>
    <w:lvl w:ilvl="5" w:tplc="D2D615FE">
      <w:numFmt w:val="decimal"/>
      <w:lvlText w:val=""/>
      <w:lvlJc w:val="left"/>
    </w:lvl>
    <w:lvl w:ilvl="6" w:tplc="2F9022B2">
      <w:numFmt w:val="decimal"/>
      <w:lvlText w:val=""/>
      <w:lvlJc w:val="left"/>
    </w:lvl>
    <w:lvl w:ilvl="7" w:tplc="91BA31EA">
      <w:numFmt w:val="decimal"/>
      <w:lvlText w:val=""/>
      <w:lvlJc w:val="left"/>
    </w:lvl>
    <w:lvl w:ilvl="8" w:tplc="5A04DEFC">
      <w:numFmt w:val="decimal"/>
      <w:lvlText w:val=""/>
      <w:lvlJc w:val="left"/>
    </w:lvl>
  </w:abstractNum>
  <w:abstractNum w:abstractNumId="4" w15:restartNumberingAfterBreak="0">
    <w:nsid w:val="FFFFFF80"/>
    <w:multiLevelType w:val="hybridMultilevel"/>
    <w:tmpl w:val="9E40904A"/>
    <w:lvl w:ilvl="0" w:tplc="8A846378">
      <w:start w:val="1"/>
      <w:numFmt w:val="bullet"/>
      <w:pStyle w:val="ListBullet5"/>
      <w:lvlText w:val=""/>
      <w:lvlJc w:val="left"/>
      <w:pPr>
        <w:tabs>
          <w:tab w:val="num" w:pos="1492"/>
        </w:tabs>
        <w:ind w:left="1492" w:hanging="360"/>
      </w:pPr>
      <w:rPr>
        <w:rFonts w:ascii="Symbol" w:hAnsi="Symbol" w:hint="default"/>
      </w:rPr>
    </w:lvl>
    <w:lvl w:ilvl="1" w:tplc="73BEDAB2">
      <w:numFmt w:val="decimal"/>
      <w:lvlText w:val=""/>
      <w:lvlJc w:val="left"/>
    </w:lvl>
    <w:lvl w:ilvl="2" w:tplc="666CAFCC">
      <w:numFmt w:val="decimal"/>
      <w:lvlText w:val=""/>
      <w:lvlJc w:val="left"/>
    </w:lvl>
    <w:lvl w:ilvl="3" w:tplc="D02CAB1A">
      <w:numFmt w:val="decimal"/>
      <w:lvlText w:val=""/>
      <w:lvlJc w:val="left"/>
    </w:lvl>
    <w:lvl w:ilvl="4" w:tplc="9130653C">
      <w:numFmt w:val="decimal"/>
      <w:lvlText w:val=""/>
      <w:lvlJc w:val="left"/>
    </w:lvl>
    <w:lvl w:ilvl="5" w:tplc="4F1C3B56">
      <w:numFmt w:val="decimal"/>
      <w:lvlText w:val=""/>
      <w:lvlJc w:val="left"/>
    </w:lvl>
    <w:lvl w:ilvl="6" w:tplc="B728EEEA">
      <w:numFmt w:val="decimal"/>
      <w:lvlText w:val=""/>
      <w:lvlJc w:val="left"/>
    </w:lvl>
    <w:lvl w:ilvl="7" w:tplc="28887684">
      <w:numFmt w:val="decimal"/>
      <w:lvlText w:val=""/>
      <w:lvlJc w:val="left"/>
    </w:lvl>
    <w:lvl w:ilvl="8" w:tplc="43464E1E">
      <w:numFmt w:val="decimal"/>
      <w:lvlText w:val=""/>
      <w:lvlJc w:val="left"/>
    </w:lvl>
  </w:abstractNum>
  <w:abstractNum w:abstractNumId="5" w15:restartNumberingAfterBreak="0">
    <w:nsid w:val="FFFFFF81"/>
    <w:multiLevelType w:val="hybridMultilevel"/>
    <w:tmpl w:val="6BEA7BEE"/>
    <w:styleLink w:val="ZZNumbersdigit1"/>
    <w:lvl w:ilvl="0" w:tplc="420AE16E">
      <w:start w:val="1"/>
      <w:numFmt w:val="bullet"/>
      <w:pStyle w:val="ListBullet4"/>
      <w:lvlText w:val=""/>
      <w:lvlJc w:val="left"/>
      <w:pPr>
        <w:tabs>
          <w:tab w:val="num" w:pos="1209"/>
        </w:tabs>
        <w:ind w:left="1209" w:hanging="360"/>
      </w:pPr>
      <w:rPr>
        <w:rFonts w:ascii="Symbol" w:hAnsi="Symbol" w:hint="default"/>
      </w:rPr>
    </w:lvl>
    <w:lvl w:ilvl="1" w:tplc="FEF471FC">
      <w:numFmt w:val="decimal"/>
      <w:lvlText w:val=""/>
      <w:lvlJc w:val="left"/>
    </w:lvl>
    <w:lvl w:ilvl="2" w:tplc="33140482">
      <w:numFmt w:val="decimal"/>
      <w:lvlText w:val=""/>
      <w:lvlJc w:val="left"/>
    </w:lvl>
    <w:lvl w:ilvl="3" w:tplc="38DCCF7C">
      <w:numFmt w:val="decimal"/>
      <w:lvlText w:val=""/>
      <w:lvlJc w:val="left"/>
    </w:lvl>
    <w:lvl w:ilvl="4" w:tplc="8240333C">
      <w:numFmt w:val="decimal"/>
      <w:lvlText w:val=""/>
      <w:lvlJc w:val="left"/>
    </w:lvl>
    <w:lvl w:ilvl="5" w:tplc="FF9EF1FE">
      <w:numFmt w:val="decimal"/>
      <w:lvlText w:val=""/>
      <w:lvlJc w:val="left"/>
    </w:lvl>
    <w:lvl w:ilvl="6" w:tplc="3094FDD2">
      <w:numFmt w:val="decimal"/>
      <w:lvlText w:val=""/>
      <w:lvlJc w:val="left"/>
    </w:lvl>
    <w:lvl w:ilvl="7" w:tplc="E7925F4A">
      <w:numFmt w:val="decimal"/>
      <w:lvlText w:val=""/>
      <w:lvlJc w:val="left"/>
    </w:lvl>
    <w:lvl w:ilvl="8" w:tplc="301C1DFA">
      <w:numFmt w:val="decimal"/>
      <w:lvlText w:val=""/>
      <w:lvlJc w:val="left"/>
    </w:lvl>
  </w:abstractNum>
  <w:abstractNum w:abstractNumId="6" w15:restartNumberingAfterBreak="0">
    <w:nsid w:val="FFFFFF82"/>
    <w:multiLevelType w:val="hybridMultilevel"/>
    <w:tmpl w:val="1C5EB3F4"/>
    <w:lvl w:ilvl="0" w:tplc="84669DC8">
      <w:start w:val="1"/>
      <w:numFmt w:val="bullet"/>
      <w:pStyle w:val="ListBullet3"/>
      <w:lvlText w:val=""/>
      <w:lvlJc w:val="left"/>
      <w:pPr>
        <w:tabs>
          <w:tab w:val="num" w:pos="926"/>
        </w:tabs>
        <w:ind w:left="926" w:hanging="360"/>
      </w:pPr>
      <w:rPr>
        <w:rFonts w:ascii="Symbol" w:hAnsi="Symbol" w:hint="default"/>
      </w:rPr>
    </w:lvl>
    <w:lvl w:ilvl="1" w:tplc="943C2802">
      <w:numFmt w:val="decimal"/>
      <w:lvlText w:val=""/>
      <w:lvlJc w:val="left"/>
    </w:lvl>
    <w:lvl w:ilvl="2" w:tplc="182EF9CE">
      <w:numFmt w:val="decimal"/>
      <w:lvlText w:val=""/>
      <w:lvlJc w:val="left"/>
    </w:lvl>
    <w:lvl w:ilvl="3" w:tplc="D7649E32">
      <w:numFmt w:val="decimal"/>
      <w:lvlText w:val=""/>
      <w:lvlJc w:val="left"/>
    </w:lvl>
    <w:lvl w:ilvl="4" w:tplc="692E7938">
      <w:numFmt w:val="decimal"/>
      <w:lvlText w:val=""/>
      <w:lvlJc w:val="left"/>
    </w:lvl>
    <w:lvl w:ilvl="5" w:tplc="CC428344">
      <w:numFmt w:val="decimal"/>
      <w:lvlText w:val=""/>
      <w:lvlJc w:val="left"/>
    </w:lvl>
    <w:lvl w:ilvl="6" w:tplc="5C14DD76">
      <w:numFmt w:val="decimal"/>
      <w:lvlText w:val=""/>
      <w:lvlJc w:val="left"/>
    </w:lvl>
    <w:lvl w:ilvl="7" w:tplc="74F8AD36">
      <w:numFmt w:val="decimal"/>
      <w:lvlText w:val=""/>
      <w:lvlJc w:val="left"/>
    </w:lvl>
    <w:lvl w:ilvl="8" w:tplc="678AA9B2">
      <w:numFmt w:val="decimal"/>
      <w:lvlText w:val=""/>
      <w:lvlJc w:val="left"/>
    </w:lvl>
  </w:abstractNum>
  <w:abstractNum w:abstractNumId="7" w15:restartNumberingAfterBreak="0">
    <w:nsid w:val="FFFFFF83"/>
    <w:multiLevelType w:val="hybridMultilevel"/>
    <w:tmpl w:val="DE32C028"/>
    <w:lvl w:ilvl="0" w:tplc="788CFB78">
      <w:start w:val="1"/>
      <w:numFmt w:val="bullet"/>
      <w:pStyle w:val="ListBullet2"/>
      <w:lvlText w:val=""/>
      <w:lvlJc w:val="left"/>
      <w:pPr>
        <w:tabs>
          <w:tab w:val="num" w:pos="643"/>
        </w:tabs>
        <w:ind w:left="643" w:hanging="360"/>
      </w:pPr>
      <w:rPr>
        <w:rFonts w:ascii="Symbol" w:hAnsi="Symbol" w:hint="default"/>
      </w:rPr>
    </w:lvl>
    <w:lvl w:ilvl="1" w:tplc="CB2A9932">
      <w:numFmt w:val="decimal"/>
      <w:lvlText w:val=""/>
      <w:lvlJc w:val="left"/>
    </w:lvl>
    <w:lvl w:ilvl="2" w:tplc="8C74B246">
      <w:numFmt w:val="decimal"/>
      <w:lvlText w:val=""/>
      <w:lvlJc w:val="left"/>
    </w:lvl>
    <w:lvl w:ilvl="3" w:tplc="BFEC7CD4">
      <w:numFmt w:val="decimal"/>
      <w:lvlText w:val=""/>
      <w:lvlJc w:val="left"/>
    </w:lvl>
    <w:lvl w:ilvl="4" w:tplc="439C4A50">
      <w:numFmt w:val="decimal"/>
      <w:lvlText w:val=""/>
      <w:lvlJc w:val="left"/>
    </w:lvl>
    <w:lvl w:ilvl="5" w:tplc="76ECD1AA">
      <w:numFmt w:val="decimal"/>
      <w:lvlText w:val=""/>
      <w:lvlJc w:val="left"/>
    </w:lvl>
    <w:lvl w:ilvl="6" w:tplc="E5F2F0D6">
      <w:numFmt w:val="decimal"/>
      <w:lvlText w:val=""/>
      <w:lvlJc w:val="left"/>
    </w:lvl>
    <w:lvl w:ilvl="7" w:tplc="C3181512">
      <w:numFmt w:val="decimal"/>
      <w:lvlText w:val=""/>
      <w:lvlJc w:val="left"/>
    </w:lvl>
    <w:lvl w:ilvl="8" w:tplc="B5A4E6B6">
      <w:numFmt w:val="decimal"/>
      <w:lvlText w:val=""/>
      <w:lvlJc w:val="left"/>
    </w:lvl>
  </w:abstractNum>
  <w:abstractNum w:abstractNumId="8" w15:restartNumberingAfterBreak="0">
    <w:nsid w:val="FFFFFF88"/>
    <w:multiLevelType w:val="hybridMultilevel"/>
    <w:tmpl w:val="0C068824"/>
    <w:lvl w:ilvl="0" w:tplc="BCAA5792">
      <w:start w:val="1"/>
      <w:numFmt w:val="decimal"/>
      <w:pStyle w:val="ListNumber"/>
      <w:lvlText w:val="%1."/>
      <w:lvlJc w:val="left"/>
      <w:pPr>
        <w:tabs>
          <w:tab w:val="num" w:pos="360"/>
        </w:tabs>
        <w:ind w:left="360" w:hanging="360"/>
      </w:pPr>
    </w:lvl>
    <w:lvl w:ilvl="1" w:tplc="0906AA1A">
      <w:numFmt w:val="decimal"/>
      <w:lvlText w:val=""/>
      <w:lvlJc w:val="left"/>
    </w:lvl>
    <w:lvl w:ilvl="2" w:tplc="54E6524E">
      <w:numFmt w:val="decimal"/>
      <w:lvlText w:val=""/>
      <w:lvlJc w:val="left"/>
    </w:lvl>
    <w:lvl w:ilvl="3" w:tplc="FB12777E">
      <w:numFmt w:val="decimal"/>
      <w:lvlText w:val=""/>
      <w:lvlJc w:val="left"/>
    </w:lvl>
    <w:lvl w:ilvl="4" w:tplc="97CA95E0">
      <w:numFmt w:val="decimal"/>
      <w:lvlText w:val=""/>
      <w:lvlJc w:val="left"/>
    </w:lvl>
    <w:lvl w:ilvl="5" w:tplc="1CCE80F8">
      <w:numFmt w:val="decimal"/>
      <w:lvlText w:val=""/>
      <w:lvlJc w:val="left"/>
    </w:lvl>
    <w:lvl w:ilvl="6" w:tplc="16566500">
      <w:numFmt w:val="decimal"/>
      <w:lvlText w:val=""/>
      <w:lvlJc w:val="left"/>
    </w:lvl>
    <w:lvl w:ilvl="7" w:tplc="1E36621A">
      <w:numFmt w:val="decimal"/>
      <w:lvlText w:val=""/>
      <w:lvlJc w:val="left"/>
    </w:lvl>
    <w:lvl w:ilvl="8" w:tplc="0DA60A9C">
      <w:numFmt w:val="decimal"/>
      <w:lvlText w:val=""/>
      <w:lvlJc w:val="left"/>
    </w:lvl>
  </w:abstractNum>
  <w:abstractNum w:abstractNumId="9" w15:restartNumberingAfterBreak="0">
    <w:nsid w:val="FFFFFF89"/>
    <w:multiLevelType w:val="hybridMultilevel"/>
    <w:tmpl w:val="29C60208"/>
    <w:lvl w:ilvl="0" w:tplc="40D6E082">
      <w:start w:val="1"/>
      <w:numFmt w:val="bullet"/>
      <w:pStyle w:val="ListBullet"/>
      <w:lvlText w:val=""/>
      <w:lvlJc w:val="left"/>
      <w:pPr>
        <w:tabs>
          <w:tab w:val="num" w:pos="360"/>
        </w:tabs>
        <w:ind w:left="360" w:hanging="360"/>
      </w:pPr>
      <w:rPr>
        <w:rFonts w:ascii="Symbol" w:hAnsi="Symbol" w:hint="default"/>
      </w:rPr>
    </w:lvl>
    <w:lvl w:ilvl="1" w:tplc="59BACD80">
      <w:numFmt w:val="decimal"/>
      <w:lvlText w:val=""/>
      <w:lvlJc w:val="left"/>
    </w:lvl>
    <w:lvl w:ilvl="2" w:tplc="44804EDC">
      <w:numFmt w:val="decimal"/>
      <w:lvlText w:val=""/>
      <w:lvlJc w:val="left"/>
    </w:lvl>
    <w:lvl w:ilvl="3" w:tplc="DEC4B0FC">
      <w:numFmt w:val="decimal"/>
      <w:lvlText w:val=""/>
      <w:lvlJc w:val="left"/>
    </w:lvl>
    <w:lvl w:ilvl="4" w:tplc="4240FD3E">
      <w:numFmt w:val="decimal"/>
      <w:lvlText w:val=""/>
      <w:lvlJc w:val="left"/>
    </w:lvl>
    <w:lvl w:ilvl="5" w:tplc="C0E49C5C">
      <w:numFmt w:val="decimal"/>
      <w:lvlText w:val=""/>
      <w:lvlJc w:val="left"/>
    </w:lvl>
    <w:lvl w:ilvl="6" w:tplc="1C345956">
      <w:numFmt w:val="decimal"/>
      <w:lvlText w:val=""/>
      <w:lvlJc w:val="left"/>
    </w:lvl>
    <w:lvl w:ilvl="7" w:tplc="A4CCA05E">
      <w:numFmt w:val="decimal"/>
      <w:lvlText w:val=""/>
      <w:lvlJc w:val="left"/>
    </w:lvl>
    <w:lvl w:ilvl="8" w:tplc="A71C4968">
      <w:numFmt w:val="decimal"/>
      <w:lvlText w:val=""/>
      <w:lvlJc w:val="left"/>
    </w:lvl>
  </w:abstractNum>
  <w:abstractNum w:abstractNumId="10" w15:restartNumberingAfterBreak="0">
    <w:nsid w:val="027B51CE"/>
    <w:multiLevelType w:val="hybridMultilevel"/>
    <w:tmpl w:val="43AA60BC"/>
    <w:lvl w:ilvl="0" w:tplc="8A2C21CE">
      <w:start w:val="1"/>
      <w:numFmt w:val="bullet"/>
      <w:pStyle w:val="Sub-parabullets"/>
      <w:lvlText w:val="‒"/>
      <w:lvlJc w:val="left"/>
      <w:pPr>
        <w:ind w:left="-65" w:hanging="360"/>
      </w:pPr>
      <w:rPr>
        <w:rFonts w:ascii="Calibri Light" w:hAnsi="Calibri Light" w:hint="default"/>
      </w:rPr>
    </w:lvl>
    <w:lvl w:ilvl="1" w:tplc="0C090003">
      <w:start w:val="1"/>
      <w:numFmt w:val="bullet"/>
      <w:lvlText w:val="o"/>
      <w:lvlJc w:val="left"/>
      <w:pPr>
        <w:ind w:left="655" w:hanging="360"/>
      </w:pPr>
      <w:rPr>
        <w:rFonts w:ascii="Courier New" w:hAnsi="Courier New" w:cs="Courier New" w:hint="default"/>
      </w:rPr>
    </w:lvl>
    <w:lvl w:ilvl="2" w:tplc="0C090005" w:tentative="1">
      <w:start w:val="1"/>
      <w:numFmt w:val="bullet"/>
      <w:lvlText w:val=""/>
      <w:lvlJc w:val="left"/>
      <w:pPr>
        <w:ind w:left="1375" w:hanging="360"/>
      </w:pPr>
      <w:rPr>
        <w:rFonts w:ascii="Wingdings" w:hAnsi="Wingdings" w:hint="default"/>
      </w:rPr>
    </w:lvl>
    <w:lvl w:ilvl="3" w:tplc="0C090001" w:tentative="1">
      <w:start w:val="1"/>
      <w:numFmt w:val="bullet"/>
      <w:lvlText w:val=""/>
      <w:lvlJc w:val="left"/>
      <w:pPr>
        <w:ind w:left="2095" w:hanging="360"/>
      </w:pPr>
      <w:rPr>
        <w:rFonts w:ascii="Symbol" w:hAnsi="Symbol" w:hint="default"/>
      </w:rPr>
    </w:lvl>
    <w:lvl w:ilvl="4" w:tplc="0C090003" w:tentative="1">
      <w:start w:val="1"/>
      <w:numFmt w:val="bullet"/>
      <w:lvlText w:val="o"/>
      <w:lvlJc w:val="left"/>
      <w:pPr>
        <w:ind w:left="2815" w:hanging="360"/>
      </w:pPr>
      <w:rPr>
        <w:rFonts w:ascii="Courier New" w:hAnsi="Courier New" w:cs="Courier New" w:hint="default"/>
      </w:rPr>
    </w:lvl>
    <w:lvl w:ilvl="5" w:tplc="0C090005" w:tentative="1">
      <w:start w:val="1"/>
      <w:numFmt w:val="bullet"/>
      <w:lvlText w:val=""/>
      <w:lvlJc w:val="left"/>
      <w:pPr>
        <w:ind w:left="3535" w:hanging="360"/>
      </w:pPr>
      <w:rPr>
        <w:rFonts w:ascii="Wingdings" w:hAnsi="Wingdings" w:hint="default"/>
      </w:rPr>
    </w:lvl>
    <w:lvl w:ilvl="6" w:tplc="0C090001" w:tentative="1">
      <w:start w:val="1"/>
      <w:numFmt w:val="bullet"/>
      <w:lvlText w:val=""/>
      <w:lvlJc w:val="left"/>
      <w:pPr>
        <w:ind w:left="4255" w:hanging="360"/>
      </w:pPr>
      <w:rPr>
        <w:rFonts w:ascii="Symbol" w:hAnsi="Symbol" w:hint="default"/>
      </w:rPr>
    </w:lvl>
    <w:lvl w:ilvl="7" w:tplc="0C090003" w:tentative="1">
      <w:start w:val="1"/>
      <w:numFmt w:val="bullet"/>
      <w:lvlText w:val="o"/>
      <w:lvlJc w:val="left"/>
      <w:pPr>
        <w:ind w:left="4975" w:hanging="360"/>
      </w:pPr>
      <w:rPr>
        <w:rFonts w:ascii="Courier New" w:hAnsi="Courier New" w:cs="Courier New" w:hint="default"/>
      </w:rPr>
    </w:lvl>
    <w:lvl w:ilvl="8" w:tplc="0C090005" w:tentative="1">
      <w:start w:val="1"/>
      <w:numFmt w:val="bullet"/>
      <w:lvlText w:val=""/>
      <w:lvlJc w:val="left"/>
      <w:pPr>
        <w:ind w:left="5695" w:hanging="360"/>
      </w:pPr>
      <w:rPr>
        <w:rFonts w:ascii="Wingdings" w:hAnsi="Wingdings" w:hint="default"/>
      </w:rPr>
    </w:lvl>
  </w:abstractNum>
  <w:abstractNum w:abstractNumId="11" w15:restartNumberingAfterBreak="0">
    <w:nsid w:val="132A7854"/>
    <w:multiLevelType w:val="hybridMultilevel"/>
    <w:tmpl w:val="CA26B4A0"/>
    <w:lvl w:ilvl="0" w:tplc="D408F626">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3613210"/>
    <w:multiLevelType w:val="multilevel"/>
    <w:tmpl w:val="A1AE2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CA362D0"/>
    <w:multiLevelType w:val="hybridMultilevel"/>
    <w:tmpl w:val="24D0B7AE"/>
    <w:lvl w:ilvl="0" w:tplc="0C09001B">
      <w:start w:val="1"/>
      <w:numFmt w:val="lowerRoman"/>
      <w:lvlText w:val="%1."/>
      <w:lvlJc w:val="right"/>
      <w:pPr>
        <w:ind w:left="2150" w:hanging="360"/>
      </w:pPr>
      <w:rPr>
        <w:rFonts w:hint="default"/>
      </w:rPr>
    </w:lvl>
    <w:lvl w:ilvl="1" w:tplc="1E88C44E">
      <w:start w:val="3"/>
      <w:numFmt w:val="bullet"/>
      <w:lvlText w:val="—"/>
      <w:lvlJc w:val="left"/>
      <w:pPr>
        <w:ind w:left="2870" w:hanging="360"/>
      </w:pPr>
      <w:rPr>
        <w:rFonts w:ascii="Calibri Light" w:eastAsiaTheme="minorHAnsi" w:hAnsi="Calibri Light" w:cs="Calibri Light" w:hint="default"/>
      </w:rPr>
    </w:lvl>
    <w:lvl w:ilvl="2" w:tplc="0C09001B" w:tentative="1">
      <w:start w:val="1"/>
      <w:numFmt w:val="lowerRoman"/>
      <w:lvlText w:val="%3."/>
      <w:lvlJc w:val="right"/>
      <w:pPr>
        <w:ind w:left="3590" w:hanging="180"/>
      </w:pPr>
    </w:lvl>
    <w:lvl w:ilvl="3" w:tplc="0C09000F" w:tentative="1">
      <w:start w:val="1"/>
      <w:numFmt w:val="decimal"/>
      <w:lvlText w:val="%4."/>
      <w:lvlJc w:val="left"/>
      <w:pPr>
        <w:ind w:left="4310" w:hanging="360"/>
      </w:pPr>
    </w:lvl>
    <w:lvl w:ilvl="4" w:tplc="0C090019" w:tentative="1">
      <w:start w:val="1"/>
      <w:numFmt w:val="lowerLetter"/>
      <w:lvlText w:val="%5."/>
      <w:lvlJc w:val="left"/>
      <w:pPr>
        <w:ind w:left="5030" w:hanging="360"/>
      </w:pPr>
    </w:lvl>
    <w:lvl w:ilvl="5" w:tplc="0C09001B" w:tentative="1">
      <w:start w:val="1"/>
      <w:numFmt w:val="lowerRoman"/>
      <w:lvlText w:val="%6."/>
      <w:lvlJc w:val="right"/>
      <w:pPr>
        <w:ind w:left="5750" w:hanging="180"/>
      </w:pPr>
    </w:lvl>
    <w:lvl w:ilvl="6" w:tplc="0C09000F" w:tentative="1">
      <w:start w:val="1"/>
      <w:numFmt w:val="decimal"/>
      <w:lvlText w:val="%7."/>
      <w:lvlJc w:val="left"/>
      <w:pPr>
        <w:ind w:left="6470" w:hanging="360"/>
      </w:pPr>
    </w:lvl>
    <w:lvl w:ilvl="7" w:tplc="0C090019" w:tentative="1">
      <w:start w:val="1"/>
      <w:numFmt w:val="lowerLetter"/>
      <w:lvlText w:val="%8."/>
      <w:lvlJc w:val="left"/>
      <w:pPr>
        <w:ind w:left="7190" w:hanging="360"/>
      </w:pPr>
    </w:lvl>
    <w:lvl w:ilvl="8" w:tplc="0C09001B" w:tentative="1">
      <w:start w:val="1"/>
      <w:numFmt w:val="lowerRoman"/>
      <w:lvlText w:val="%9."/>
      <w:lvlJc w:val="right"/>
      <w:pPr>
        <w:ind w:left="7910" w:hanging="180"/>
      </w:pPr>
    </w:lvl>
  </w:abstractNum>
  <w:abstractNum w:abstractNumId="14" w15:restartNumberingAfterBreak="0">
    <w:nsid w:val="229868EA"/>
    <w:multiLevelType w:val="hybridMultilevel"/>
    <w:tmpl w:val="5EA65CB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5" w15:restartNumberingAfterBreak="0">
    <w:nsid w:val="326B6624"/>
    <w:multiLevelType w:val="hybridMultilevel"/>
    <w:tmpl w:val="42DA1BDE"/>
    <w:lvl w:ilvl="0" w:tplc="7902BC74">
      <w:start w:val="1"/>
      <w:numFmt w:val="decimal"/>
      <w:lvlText w:val="A.%1"/>
      <w:lvlJc w:val="left"/>
      <w:pPr>
        <w:ind w:left="1191" w:hanging="471"/>
      </w:pPr>
      <w:rPr>
        <w:rFonts w:hint="default"/>
      </w:r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6" w15:restartNumberingAfterBreak="0">
    <w:nsid w:val="374C2414"/>
    <w:multiLevelType w:val="hybridMultilevel"/>
    <w:tmpl w:val="8A846C94"/>
    <w:lvl w:ilvl="0" w:tplc="60EEF8B2">
      <w:start w:val="1"/>
      <w:numFmt w:val="decimal"/>
      <w:pStyle w:val="Numberedparagraph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3DF472CF"/>
    <w:multiLevelType w:val="hybridMultilevel"/>
    <w:tmpl w:val="3F16C370"/>
    <w:lvl w:ilvl="0" w:tplc="25766EFC">
      <w:start w:val="1"/>
      <w:numFmt w:val="bullet"/>
      <w:pStyle w:val="06VIRTBulletpoints"/>
      <w:lvlText w:val=""/>
      <w:lvlJc w:val="left"/>
      <w:pPr>
        <w:ind w:left="502" w:hanging="360"/>
      </w:pPr>
      <w:rPr>
        <w:rFonts w:ascii="Symbol" w:hAnsi="Symbol" w:hint="default"/>
      </w:rPr>
    </w:lvl>
    <w:lvl w:ilvl="1" w:tplc="0C090003">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18" w15:restartNumberingAfterBreak="0">
    <w:nsid w:val="4875795B"/>
    <w:multiLevelType w:val="hybridMultilevel"/>
    <w:tmpl w:val="C252464A"/>
    <w:lvl w:ilvl="0" w:tplc="0C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20056D7"/>
    <w:multiLevelType w:val="hybridMultilevel"/>
    <w:tmpl w:val="61902A5C"/>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20" w15:restartNumberingAfterBreak="0">
    <w:nsid w:val="6AC901B7"/>
    <w:multiLevelType w:val="hybridMultilevel"/>
    <w:tmpl w:val="E2126E72"/>
    <w:lvl w:ilvl="0" w:tplc="D9F646F0">
      <w:numFmt w:val="bullet"/>
      <w:lvlText w:val="—"/>
      <w:lvlJc w:val="left"/>
      <w:pPr>
        <w:ind w:left="2870" w:hanging="360"/>
      </w:pPr>
      <w:rPr>
        <w:rFonts w:ascii="Calibri Light" w:eastAsiaTheme="minorHAnsi" w:hAnsi="Calibri Light" w:hint="default"/>
      </w:rPr>
    </w:lvl>
    <w:lvl w:ilvl="1" w:tplc="0C090003">
      <w:start w:val="1"/>
      <w:numFmt w:val="bullet"/>
      <w:lvlText w:val="o"/>
      <w:lvlJc w:val="left"/>
      <w:pPr>
        <w:ind w:left="3590" w:hanging="360"/>
      </w:pPr>
      <w:rPr>
        <w:rFonts w:ascii="Courier New" w:hAnsi="Courier New" w:cs="Courier New" w:hint="default"/>
      </w:rPr>
    </w:lvl>
    <w:lvl w:ilvl="2" w:tplc="0C090005" w:tentative="1">
      <w:start w:val="1"/>
      <w:numFmt w:val="bullet"/>
      <w:lvlText w:val=""/>
      <w:lvlJc w:val="left"/>
      <w:pPr>
        <w:ind w:left="4310" w:hanging="360"/>
      </w:pPr>
      <w:rPr>
        <w:rFonts w:ascii="Wingdings" w:hAnsi="Wingdings" w:hint="default"/>
      </w:rPr>
    </w:lvl>
    <w:lvl w:ilvl="3" w:tplc="0C090001" w:tentative="1">
      <w:start w:val="1"/>
      <w:numFmt w:val="bullet"/>
      <w:lvlText w:val=""/>
      <w:lvlJc w:val="left"/>
      <w:pPr>
        <w:ind w:left="5030" w:hanging="360"/>
      </w:pPr>
      <w:rPr>
        <w:rFonts w:ascii="Symbol" w:hAnsi="Symbol" w:hint="default"/>
      </w:rPr>
    </w:lvl>
    <w:lvl w:ilvl="4" w:tplc="0C090003" w:tentative="1">
      <w:start w:val="1"/>
      <w:numFmt w:val="bullet"/>
      <w:lvlText w:val="o"/>
      <w:lvlJc w:val="left"/>
      <w:pPr>
        <w:ind w:left="5750" w:hanging="360"/>
      </w:pPr>
      <w:rPr>
        <w:rFonts w:ascii="Courier New" w:hAnsi="Courier New" w:cs="Courier New" w:hint="default"/>
      </w:rPr>
    </w:lvl>
    <w:lvl w:ilvl="5" w:tplc="0C090005" w:tentative="1">
      <w:start w:val="1"/>
      <w:numFmt w:val="bullet"/>
      <w:lvlText w:val=""/>
      <w:lvlJc w:val="left"/>
      <w:pPr>
        <w:ind w:left="6470" w:hanging="360"/>
      </w:pPr>
      <w:rPr>
        <w:rFonts w:ascii="Wingdings" w:hAnsi="Wingdings" w:hint="default"/>
      </w:rPr>
    </w:lvl>
    <w:lvl w:ilvl="6" w:tplc="0C090001" w:tentative="1">
      <w:start w:val="1"/>
      <w:numFmt w:val="bullet"/>
      <w:lvlText w:val=""/>
      <w:lvlJc w:val="left"/>
      <w:pPr>
        <w:ind w:left="7190" w:hanging="360"/>
      </w:pPr>
      <w:rPr>
        <w:rFonts w:ascii="Symbol" w:hAnsi="Symbol" w:hint="default"/>
      </w:rPr>
    </w:lvl>
    <w:lvl w:ilvl="7" w:tplc="0C090003" w:tentative="1">
      <w:start w:val="1"/>
      <w:numFmt w:val="bullet"/>
      <w:lvlText w:val="o"/>
      <w:lvlJc w:val="left"/>
      <w:pPr>
        <w:ind w:left="7910" w:hanging="360"/>
      </w:pPr>
      <w:rPr>
        <w:rFonts w:ascii="Courier New" w:hAnsi="Courier New" w:cs="Courier New" w:hint="default"/>
      </w:rPr>
    </w:lvl>
    <w:lvl w:ilvl="8" w:tplc="0C090005" w:tentative="1">
      <w:start w:val="1"/>
      <w:numFmt w:val="bullet"/>
      <w:lvlText w:val=""/>
      <w:lvlJc w:val="left"/>
      <w:pPr>
        <w:ind w:left="8630" w:hanging="360"/>
      </w:pPr>
      <w:rPr>
        <w:rFonts w:ascii="Wingdings" w:hAnsi="Wingdings" w:hint="default"/>
      </w:rPr>
    </w:lvl>
  </w:abstractNum>
  <w:abstractNum w:abstractNumId="21" w15:restartNumberingAfterBreak="0">
    <w:nsid w:val="6B17222A"/>
    <w:multiLevelType w:val="multilevel"/>
    <w:tmpl w:val="6D06F15A"/>
    <w:lvl w:ilvl="0">
      <w:start w:val="1"/>
      <w:numFmt w:val="decimal"/>
      <w:lvlText w:val="%1."/>
      <w:lvlJc w:val="left"/>
      <w:pPr>
        <w:ind w:left="360" w:hanging="360"/>
      </w:pPr>
      <w:rPr>
        <w:rFonts w:hint="default"/>
        <w:b/>
        <w:bCs/>
        <w:i w:val="0"/>
        <w:iCs/>
      </w:rPr>
    </w:lvl>
    <w:lvl w:ilvl="1">
      <w:start w:val="1"/>
      <w:numFmt w:val="decimal"/>
      <w:pStyle w:val="Instrumentclauses"/>
      <w:lvlText w:val="%1.%2"/>
      <w:lvlJc w:val="left"/>
      <w:pPr>
        <w:ind w:left="907" w:hanging="547"/>
      </w:pPr>
      <w:rPr>
        <w:b w:val="0"/>
        <w:bCs w:val="0"/>
        <w:i w:val="0"/>
        <w:iCs/>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22" w15:restartNumberingAfterBreak="0">
    <w:nsid w:val="741D52EE"/>
    <w:multiLevelType w:val="hybridMultilevel"/>
    <w:tmpl w:val="987E846E"/>
    <w:lvl w:ilvl="0" w:tplc="D856F7DC">
      <w:start w:val="1"/>
      <w:numFmt w:val="bullet"/>
      <w:lvlText w:val=""/>
      <w:lvlJc w:val="left"/>
      <w:pPr>
        <w:ind w:left="720" w:hanging="360"/>
      </w:pPr>
      <w:rPr>
        <w:rFonts w:ascii="Symbol" w:hAnsi="Symbol"/>
      </w:rPr>
    </w:lvl>
    <w:lvl w:ilvl="1" w:tplc="4AF8A3EC">
      <w:start w:val="1"/>
      <w:numFmt w:val="bullet"/>
      <w:lvlText w:val=""/>
      <w:lvlJc w:val="left"/>
      <w:pPr>
        <w:ind w:left="720" w:hanging="360"/>
      </w:pPr>
      <w:rPr>
        <w:rFonts w:ascii="Symbol" w:hAnsi="Symbol"/>
      </w:rPr>
    </w:lvl>
    <w:lvl w:ilvl="2" w:tplc="201ACC5E">
      <w:start w:val="1"/>
      <w:numFmt w:val="bullet"/>
      <w:lvlText w:val=""/>
      <w:lvlJc w:val="left"/>
      <w:pPr>
        <w:ind w:left="720" w:hanging="360"/>
      </w:pPr>
      <w:rPr>
        <w:rFonts w:ascii="Symbol" w:hAnsi="Symbol"/>
      </w:rPr>
    </w:lvl>
    <w:lvl w:ilvl="3" w:tplc="CF8CAE76">
      <w:start w:val="1"/>
      <w:numFmt w:val="bullet"/>
      <w:lvlText w:val=""/>
      <w:lvlJc w:val="left"/>
      <w:pPr>
        <w:ind w:left="720" w:hanging="360"/>
      </w:pPr>
      <w:rPr>
        <w:rFonts w:ascii="Symbol" w:hAnsi="Symbol"/>
      </w:rPr>
    </w:lvl>
    <w:lvl w:ilvl="4" w:tplc="772A050C">
      <w:start w:val="1"/>
      <w:numFmt w:val="bullet"/>
      <w:lvlText w:val=""/>
      <w:lvlJc w:val="left"/>
      <w:pPr>
        <w:ind w:left="720" w:hanging="360"/>
      </w:pPr>
      <w:rPr>
        <w:rFonts w:ascii="Symbol" w:hAnsi="Symbol"/>
      </w:rPr>
    </w:lvl>
    <w:lvl w:ilvl="5" w:tplc="03F29996">
      <w:start w:val="1"/>
      <w:numFmt w:val="bullet"/>
      <w:lvlText w:val=""/>
      <w:lvlJc w:val="left"/>
      <w:pPr>
        <w:ind w:left="720" w:hanging="360"/>
      </w:pPr>
      <w:rPr>
        <w:rFonts w:ascii="Symbol" w:hAnsi="Symbol"/>
      </w:rPr>
    </w:lvl>
    <w:lvl w:ilvl="6" w:tplc="8084C7B8">
      <w:start w:val="1"/>
      <w:numFmt w:val="bullet"/>
      <w:lvlText w:val=""/>
      <w:lvlJc w:val="left"/>
      <w:pPr>
        <w:ind w:left="720" w:hanging="360"/>
      </w:pPr>
      <w:rPr>
        <w:rFonts w:ascii="Symbol" w:hAnsi="Symbol"/>
      </w:rPr>
    </w:lvl>
    <w:lvl w:ilvl="7" w:tplc="8C54FE86">
      <w:start w:val="1"/>
      <w:numFmt w:val="bullet"/>
      <w:lvlText w:val=""/>
      <w:lvlJc w:val="left"/>
      <w:pPr>
        <w:ind w:left="720" w:hanging="360"/>
      </w:pPr>
      <w:rPr>
        <w:rFonts w:ascii="Symbol" w:hAnsi="Symbol"/>
      </w:rPr>
    </w:lvl>
    <w:lvl w:ilvl="8" w:tplc="091CBF6A">
      <w:start w:val="1"/>
      <w:numFmt w:val="bullet"/>
      <w:lvlText w:val=""/>
      <w:lvlJc w:val="left"/>
      <w:pPr>
        <w:ind w:left="720" w:hanging="360"/>
      </w:pPr>
      <w:rPr>
        <w:rFonts w:ascii="Symbol" w:hAnsi="Symbol"/>
      </w:rPr>
    </w:lvl>
  </w:abstractNum>
  <w:abstractNum w:abstractNumId="23" w15:restartNumberingAfterBreak="0">
    <w:nsid w:val="749423DA"/>
    <w:multiLevelType w:val="hybridMultilevel"/>
    <w:tmpl w:val="306C070E"/>
    <w:styleLink w:val="ZZNumbersdigit"/>
    <w:lvl w:ilvl="0" w:tplc="E362E804">
      <w:start w:val="1"/>
      <w:numFmt w:val="decimal"/>
      <w:pStyle w:val="DPCnumberdigit"/>
      <w:lvlText w:val="%1."/>
      <w:lvlJc w:val="left"/>
      <w:pPr>
        <w:tabs>
          <w:tab w:val="num" w:pos="397"/>
        </w:tabs>
        <w:ind w:left="397" w:hanging="397"/>
      </w:pPr>
      <w:rPr>
        <w:rFonts w:hint="default"/>
      </w:rPr>
    </w:lvl>
    <w:lvl w:ilvl="1" w:tplc="796C9A9A">
      <w:start w:val="1"/>
      <w:numFmt w:val="decimal"/>
      <w:pStyle w:val="DPCnumberdigitindent"/>
      <w:lvlText w:val="%2."/>
      <w:lvlJc w:val="left"/>
      <w:pPr>
        <w:tabs>
          <w:tab w:val="num" w:pos="794"/>
        </w:tabs>
        <w:ind w:left="794" w:hanging="397"/>
      </w:pPr>
      <w:rPr>
        <w:rFonts w:hint="default"/>
      </w:rPr>
    </w:lvl>
    <w:lvl w:ilvl="2" w:tplc="92483B02">
      <w:start w:val="1"/>
      <w:numFmt w:val="bullet"/>
      <w:lvlRestart w:val="0"/>
      <w:pStyle w:val="DPCbulletafternumbers1"/>
      <w:lvlText w:val="▪"/>
      <w:lvlJc w:val="left"/>
      <w:pPr>
        <w:ind w:left="794" w:hanging="397"/>
      </w:pPr>
      <w:rPr>
        <w:rFonts w:hint="default"/>
      </w:rPr>
    </w:lvl>
    <w:lvl w:ilvl="3" w:tplc="203ADC30">
      <w:start w:val="1"/>
      <w:numFmt w:val="bullet"/>
      <w:lvlRestart w:val="0"/>
      <w:pStyle w:val="DPCbulletafternumbers2"/>
      <w:lvlText w:val="–"/>
      <w:lvlJc w:val="left"/>
      <w:pPr>
        <w:ind w:left="1191" w:hanging="397"/>
      </w:pPr>
      <w:rPr>
        <w:rFonts w:hint="default"/>
        <w:color w:val="auto"/>
      </w:rPr>
    </w:lvl>
    <w:lvl w:ilvl="4" w:tplc="BE1A8F9A">
      <w:start w:val="1"/>
      <w:numFmt w:val="none"/>
      <w:lvlRestart w:val="0"/>
      <w:lvlText w:val=""/>
      <w:lvlJc w:val="left"/>
      <w:pPr>
        <w:ind w:left="0" w:firstLine="0"/>
      </w:pPr>
      <w:rPr>
        <w:rFonts w:hint="default"/>
      </w:rPr>
    </w:lvl>
    <w:lvl w:ilvl="5" w:tplc="71B6EF68">
      <w:start w:val="1"/>
      <w:numFmt w:val="none"/>
      <w:lvlRestart w:val="0"/>
      <w:lvlText w:val=""/>
      <w:lvlJc w:val="left"/>
      <w:pPr>
        <w:ind w:left="0" w:firstLine="0"/>
      </w:pPr>
      <w:rPr>
        <w:rFonts w:hint="default"/>
      </w:rPr>
    </w:lvl>
    <w:lvl w:ilvl="6" w:tplc="EBF25490">
      <w:start w:val="1"/>
      <w:numFmt w:val="none"/>
      <w:lvlRestart w:val="0"/>
      <w:lvlText w:val=""/>
      <w:lvlJc w:val="left"/>
      <w:pPr>
        <w:ind w:left="0" w:firstLine="0"/>
      </w:pPr>
      <w:rPr>
        <w:rFonts w:hint="default"/>
      </w:rPr>
    </w:lvl>
    <w:lvl w:ilvl="7" w:tplc="9A6A7EB8">
      <w:start w:val="1"/>
      <w:numFmt w:val="none"/>
      <w:lvlRestart w:val="0"/>
      <w:lvlText w:val=""/>
      <w:lvlJc w:val="left"/>
      <w:pPr>
        <w:ind w:left="0" w:firstLine="0"/>
      </w:pPr>
      <w:rPr>
        <w:rFonts w:hint="default"/>
      </w:rPr>
    </w:lvl>
    <w:lvl w:ilvl="8" w:tplc="B6B61508">
      <w:start w:val="1"/>
      <w:numFmt w:val="none"/>
      <w:lvlRestart w:val="0"/>
      <w:lvlText w:val=""/>
      <w:lvlJc w:val="left"/>
      <w:pPr>
        <w:ind w:left="0" w:firstLine="0"/>
      </w:pPr>
      <w:rPr>
        <w:rFonts w:hint="default"/>
      </w:rPr>
    </w:lvl>
  </w:abstractNum>
  <w:abstractNum w:abstractNumId="24" w15:restartNumberingAfterBreak="0">
    <w:nsid w:val="77FA02E1"/>
    <w:multiLevelType w:val="hybridMultilevel"/>
    <w:tmpl w:val="48C2C256"/>
    <w:lvl w:ilvl="0" w:tplc="057EF9AA">
      <w:start w:val="1"/>
      <w:numFmt w:val="bullet"/>
      <w:lvlText w:val=""/>
      <w:lvlJc w:val="left"/>
      <w:pPr>
        <w:ind w:left="720" w:hanging="360"/>
      </w:pPr>
      <w:rPr>
        <w:rFonts w:ascii="Symbol" w:hAnsi="Symbol"/>
      </w:rPr>
    </w:lvl>
    <w:lvl w:ilvl="1" w:tplc="78ACE62A">
      <w:start w:val="1"/>
      <w:numFmt w:val="bullet"/>
      <w:lvlText w:val=""/>
      <w:lvlJc w:val="left"/>
      <w:pPr>
        <w:ind w:left="720" w:hanging="360"/>
      </w:pPr>
      <w:rPr>
        <w:rFonts w:ascii="Symbol" w:hAnsi="Symbol"/>
      </w:rPr>
    </w:lvl>
    <w:lvl w:ilvl="2" w:tplc="83968D08">
      <w:start w:val="1"/>
      <w:numFmt w:val="bullet"/>
      <w:lvlText w:val=""/>
      <w:lvlJc w:val="left"/>
      <w:pPr>
        <w:ind w:left="720" w:hanging="360"/>
      </w:pPr>
      <w:rPr>
        <w:rFonts w:ascii="Symbol" w:hAnsi="Symbol"/>
      </w:rPr>
    </w:lvl>
    <w:lvl w:ilvl="3" w:tplc="DEE0C1A4">
      <w:start w:val="1"/>
      <w:numFmt w:val="bullet"/>
      <w:lvlText w:val=""/>
      <w:lvlJc w:val="left"/>
      <w:pPr>
        <w:ind w:left="720" w:hanging="360"/>
      </w:pPr>
      <w:rPr>
        <w:rFonts w:ascii="Symbol" w:hAnsi="Symbol"/>
      </w:rPr>
    </w:lvl>
    <w:lvl w:ilvl="4" w:tplc="6292F85E">
      <w:start w:val="1"/>
      <w:numFmt w:val="bullet"/>
      <w:lvlText w:val=""/>
      <w:lvlJc w:val="left"/>
      <w:pPr>
        <w:ind w:left="720" w:hanging="360"/>
      </w:pPr>
      <w:rPr>
        <w:rFonts w:ascii="Symbol" w:hAnsi="Symbol"/>
      </w:rPr>
    </w:lvl>
    <w:lvl w:ilvl="5" w:tplc="F80EEE7A">
      <w:start w:val="1"/>
      <w:numFmt w:val="bullet"/>
      <w:lvlText w:val=""/>
      <w:lvlJc w:val="left"/>
      <w:pPr>
        <w:ind w:left="720" w:hanging="360"/>
      </w:pPr>
      <w:rPr>
        <w:rFonts w:ascii="Symbol" w:hAnsi="Symbol"/>
      </w:rPr>
    </w:lvl>
    <w:lvl w:ilvl="6" w:tplc="3E664948">
      <w:start w:val="1"/>
      <w:numFmt w:val="bullet"/>
      <w:lvlText w:val=""/>
      <w:lvlJc w:val="left"/>
      <w:pPr>
        <w:ind w:left="720" w:hanging="360"/>
      </w:pPr>
      <w:rPr>
        <w:rFonts w:ascii="Symbol" w:hAnsi="Symbol"/>
      </w:rPr>
    </w:lvl>
    <w:lvl w:ilvl="7" w:tplc="DC0406E4">
      <w:start w:val="1"/>
      <w:numFmt w:val="bullet"/>
      <w:lvlText w:val=""/>
      <w:lvlJc w:val="left"/>
      <w:pPr>
        <w:ind w:left="720" w:hanging="360"/>
      </w:pPr>
      <w:rPr>
        <w:rFonts w:ascii="Symbol" w:hAnsi="Symbol"/>
      </w:rPr>
    </w:lvl>
    <w:lvl w:ilvl="8" w:tplc="AAF038F4">
      <w:start w:val="1"/>
      <w:numFmt w:val="bullet"/>
      <w:lvlText w:val=""/>
      <w:lvlJc w:val="left"/>
      <w:pPr>
        <w:ind w:left="720" w:hanging="360"/>
      </w:pPr>
      <w:rPr>
        <w:rFonts w:ascii="Symbol" w:hAnsi="Symbol"/>
      </w:rPr>
    </w:lvl>
  </w:abstractNum>
  <w:abstractNum w:abstractNumId="25" w15:restartNumberingAfterBreak="0">
    <w:nsid w:val="7BFF341A"/>
    <w:multiLevelType w:val="hybridMultilevel"/>
    <w:tmpl w:val="E02E09C0"/>
    <w:lvl w:ilvl="0" w:tplc="83B68076">
      <w:start w:val="1"/>
      <w:numFmt w:val="bullet"/>
      <w:pStyle w:val="Bulletsinatable"/>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7C5C34C8"/>
    <w:multiLevelType w:val="hybridMultilevel"/>
    <w:tmpl w:val="1A5C95E8"/>
    <w:lvl w:ilvl="0" w:tplc="E9120D56">
      <w:start w:val="1"/>
      <w:numFmt w:val="decimal"/>
      <w:lvlText w:val="B.%1"/>
      <w:lvlJc w:val="left"/>
      <w:pPr>
        <w:tabs>
          <w:tab w:val="num" w:pos="833"/>
        </w:tabs>
        <w:ind w:left="833" w:hanging="473"/>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16cid:durableId="287591756">
    <w:abstractNumId w:val="25"/>
  </w:num>
  <w:num w:numId="2" w16cid:durableId="1866823948">
    <w:abstractNumId w:val="9"/>
  </w:num>
  <w:num w:numId="3" w16cid:durableId="1624189675">
    <w:abstractNumId w:val="7"/>
  </w:num>
  <w:num w:numId="4" w16cid:durableId="1309479722">
    <w:abstractNumId w:val="6"/>
  </w:num>
  <w:num w:numId="5" w16cid:durableId="889808573">
    <w:abstractNumId w:val="5"/>
  </w:num>
  <w:num w:numId="6" w16cid:durableId="1082066895">
    <w:abstractNumId w:val="4"/>
  </w:num>
  <w:num w:numId="7" w16cid:durableId="1750224897">
    <w:abstractNumId w:val="8"/>
  </w:num>
  <w:num w:numId="8" w16cid:durableId="75518652">
    <w:abstractNumId w:val="3"/>
  </w:num>
  <w:num w:numId="9" w16cid:durableId="1943611300">
    <w:abstractNumId w:val="2"/>
  </w:num>
  <w:num w:numId="10" w16cid:durableId="1300768215">
    <w:abstractNumId w:val="1"/>
  </w:num>
  <w:num w:numId="11" w16cid:durableId="830021290">
    <w:abstractNumId w:val="0"/>
  </w:num>
  <w:num w:numId="12" w16cid:durableId="474831976">
    <w:abstractNumId w:val="21"/>
  </w:num>
  <w:num w:numId="13" w16cid:durableId="1377390661">
    <w:abstractNumId w:val="16"/>
  </w:num>
  <w:num w:numId="14" w16cid:durableId="1494029331">
    <w:abstractNumId w:val="23"/>
  </w:num>
  <w:num w:numId="15" w16cid:durableId="1680961391">
    <w:abstractNumId w:val="17"/>
  </w:num>
  <w:num w:numId="16" w16cid:durableId="599681356">
    <w:abstractNumId w:val="11"/>
  </w:num>
  <w:num w:numId="17" w16cid:durableId="403839106">
    <w:abstractNumId w:val="15"/>
  </w:num>
  <w:num w:numId="18" w16cid:durableId="588583223">
    <w:abstractNumId w:val="26"/>
  </w:num>
  <w:num w:numId="19" w16cid:durableId="1404253162">
    <w:abstractNumId w:val="10"/>
  </w:num>
  <w:num w:numId="20" w16cid:durableId="2120636039">
    <w:abstractNumId w:val="13"/>
  </w:num>
  <w:num w:numId="21" w16cid:durableId="133259811">
    <w:abstractNumId w:val="20"/>
  </w:num>
  <w:num w:numId="22" w16cid:durableId="1975787933">
    <w:abstractNumId w:val="18"/>
  </w:num>
  <w:num w:numId="23" w16cid:durableId="2137067780">
    <w:abstractNumId w:val="19"/>
  </w:num>
  <w:num w:numId="24" w16cid:durableId="2052991492">
    <w:abstractNumId w:val="14"/>
  </w:num>
  <w:num w:numId="25" w16cid:durableId="786586152">
    <w:abstractNumId w:val="12"/>
  </w:num>
  <w:num w:numId="26" w16cid:durableId="587664481">
    <w:abstractNumId w:val="24"/>
  </w:num>
  <w:num w:numId="27" w16cid:durableId="1632247572">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30"/>
  <w:removeDateAndTime/>
  <w:displayBackgroundShape/>
  <w:embedSystemFonts/>
  <w:activeWritingStyle w:appName="MSWord" w:lang="en-AU"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en-AU" w:vendorID="64" w:dllVersion="0" w:nlCheck="1" w:checkStyle="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NotTrackFormatting/>
  <w:documentProtection w:formatting="1" w:enforcement="0"/>
  <w:defaultTabStop w:val="720"/>
  <w:clickAndTypeStyle w:val="ChapterheadingChar"/>
  <w:drawingGridHorizontalSpacing w:val="360"/>
  <w:drawingGridVerticalSpacing w:val="360"/>
  <w:displayHorizontalDrawingGridEvery w:val="0"/>
  <w:displayVerticalDrawingGridEvery w:val="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903"/>
    <w:rsid w:val="00000036"/>
    <w:rsid w:val="0000009A"/>
    <w:rsid w:val="000000B4"/>
    <w:rsid w:val="000000F3"/>
    <w:rsid w:val="000002DA"/>
    <w:rsid w:val="00000354"/>
    <w:rsid w:val="00000378"/>
    <w:rsid w:val="00000491"/>
    <w:rsid w:val="0000050A"/>
    <w:rsid w:val="0000051C"/>
    <w:rsid w:val="00000724"/>
    <w:rsid w:val="0000076B"/>
    <w:rsid w:val="00000870"/>
    <w:rsid w:val="00000892"/>
    <w:rsid w:val="000008AA"/>
    <w:rsid w:val="000008B2"/>
    <w:rsid w:val="0000090E"/>
    <w:rsid w:val="00000978"/>
    <w:rsid w:val="00000996"/>
    <w:rsid w:val="00000A16"/>
    <w:rsid w:val="00000A35"/>
    <w:rsid w:val="00000AE4"/>
    <w:rsid w:val="00000B61"/>
    <w:rsid w:val="00000C1F"/>
    <w:rsid w:val="00000C20"/>
    <w:rsid w:val="00000C61"/>
    <w:rsid w:val="00000E9F"/>
    <w:rsid w:val="00000F98"/>
    <w:rsid w:val="00001014"/>
    <w:rsid w:val="00001066"/>
    <w:rsid w:val="00001245"/>
    <w:rsid w:val="000013F4"/>
    <w:rsid w:val="00001481"/>
    <w:rsid w:val="000015E7"/>
    <w:rsid w:val="00001622"/>
    <w:rsid w:val="00001716"/>
    <w:rsid w:val="000017D2"/>
    <w:rsid w:val="00001913"/>
    <w:rsid w:val="00001953"/>
    <w:rsid w:val="00001A68"/>
    <w:rsid w:val="00001B07"/>
    <w:rsid w:val="00001BC7"/>
    <w:rsid w:val="00001C07"/>
    <w:rsid w:val="00001D6D"/>
    <w:rsid w:val="00001DF0"/>
    <w:rsid w:val="00001E28"/>
    <w:rsid w:val="00001ECE"/>
    <w:rsid w:val="00001EE1"/>
    <w:rsid w:val="00001F08"/>
    <w:rsid w:val="00001F9F"/>
    <w:rsid w:val="00001FCD"/>
    <w:rsid w:val="00002114"/>
    <w:rsid w:val="000022D2"/>
    <w:rsid w:val="00002344"/>
    <w:rsid w:val="0000243D"/>
    <w:rsid w:val="0000256C"/>
    <w:rsid w:val="00002605"/>
    <w:rsid w:val="0000261B"/>
    <w:rsid w:val="0000273D"/>
    <w:rsid w:val="000027A7"/>
    <w:rsid w:val="000027BD"/>
    <w:rsid w:val="0000293F"/>
    <w:rsid w:val="00002A77"/>
    <w:rsid w:val="00002B79"/>
    <w:rsid w:val="00002BCF"/>
    <w:rsid w:val="00002D24"/>
    <w:rsid w:val="00002E5D"/>
    <w:rsid w:val="00002ED2"/>
    <w:rsid w:val="000030FB"/>
    <w:rsid w:val="0000312C"/>
    <w:rsid w:val="0000343B"/>
    <w:rsid w:val="0000345A"/>
    <w:rsid w:val="000034F3"/>
    <w:rsid w:val="000034FE"/>
    <w:rsid w:val="00003597"/>
    <w:rsid w:val="00003617"/>
    <w:rsid w:val="00003649"/>
    <w:rsid w:val="000036ED"/>
    <w:rsid w:val="00003726"/>
    <w:rsid w:val="00003759"/>
    <w:rsid w:val="000037E9"/>
    <w:rsid w:val="0000388F"/>
    <w:rsid w:val="00003914"/>
    <w:rsid w:val="000039C6"/>
    <w:rsid w:val="00003AA0"/>
    <w:rsid w:val="00003CCC"/>
    <w:rsid w:val="00003D77"/>
    <w:rsid w:val="00003DD7"/>
    <w:rsid w:val="00003E65"/>
    <w:rsid w:val="00004177"/>
    <w:rsid w:val="00004220"/>
    <w:rsid w:val="000042B5"/>
    <w:rsid w:val="00004397"/>
    <w:rsid w:val="00004439"/>
    <w:rsid w:val="0000453D"/>
    <w:rsid w:val="0000457B"/>
    <w:rsid w:val="00004580"/>
    <w:rsid w:val="00004682"/>
    <w:rsid w:val="000048E0"/>
    <w:rsid w:val="000049B4"/>
    <w:rsid w:val="000049C3"/>
    <w:rsid w:val="00004AFF"/>
    <w:rsid w:val="00004B52"/>
    <w:rsid w:val="00004B87"/>
    <w:rsid w:val="00004C19"/>
    <w:rsid w:val="00004F53"/>
    <w:rsid w:val="00005058"/>
    <w:rsid w:val="00005146"/>
    <w:rsid w:val="0000514C"/>
    <w:rsid w:val="00005177"/>
    <w:rsid w:val="000051AA"/>
    <w:rsid w:val="00005275"/>
    <w:rsid w:val="000052D7"/>
    <w:rsid w:val="00005323"/>
    <w:rsid w:val="00005732"/>
    <w:rsid w:val="0000585E"/>
    <w:rsid w:val="00005919"/>
    <w:rsid w:val="0000596F"/>
    <w:rsid w:val="00005990"/>
    <w:rsid w:val="00005B92"/>
    <w:rsid w:val="00005B9A"/>
    <w:rsid w:val="00005D9C"/>
    <w:rsid w:val="00006054"/>
    <w:rsid w:val="0000609C"/>
    <w:rsid w:val="00006120"/>
    <w:rsid w:val="00006253"/>
    <w:rsid w:val="00006294"/>
    <w:rsid w:val="000062DB"/>
    <w:rsid w:val="00006324"/>
    <w:rsid w:val="000063AD"/>
    <w:rsid w:val="0000646F"/>
    <w:rsid w:val="00006530"/>
    <w:rsid w:val="00006553"/>
    <w:rsid w:val="0000655F"/>
    <w:rsid w:val="000065F6"/>
    <w:rsid w:val="00006699"/>
    <w:rsid w:val="0000692D"/>
    <w:rsid w:val="000069F4"/>
    <w:rsid w:val="00006B05"/>
    <w:rsid w:val="00006F88"/>
    <w:rsid w:val="00007265"/>
    <w:rsid w:val="0000734C"/>
    <w:rsid w:val="000073D2"/>
    <w:rsid w:val="00007578"/>
    <w:rsid w:val="0000779E"/>
    <w:rsid w:val="00007979"/>
    <w:rsid w:val="00007986"/>
    <w:rsid w:val="000079FD"/>
    <w:rsid w:val="00007A0D"/>
    <w:rsid w:val="00007A9E"/>
    <w:rsid w:val="00007B58"/>
    <w:rsid w:val="00007BEE"/>
    <w:rsid w:val="00007D67"/>
    <w:rsid w:val="00007D99"/>
    <w:rsid w:val="00007DFA"/>
    <w:rsid w:val="00007E59"/>
    <w:rsid w:val="000100E5"/>
    <w:rsid w:val="0001036F"/>
    <w:rsid w:val="0001058B"/>
    <w:rsid w:val="00010631"/>
    <w:rsid w:val="00010675"/>
    <w:rsid w:val="000109C8"/>
    <w:rsid w:val="00010AEA"/>
    <w:rsid w:val="00010B6A"/>
    <w:rsid w:val="00010D43"/>
    <w:rsid w:val="00010E3D"/>
    <w:rsid w:val="00010EFB"/>
    <w:rsid w:val="00010F28"/>
    <w:rsid w:val="00010F47"/>
    <w:rsid w:val="00010F52"/>
    <w:rsid w:val="000110B9"/>
    <w:rsid w:val="00011473"/>
    <w:rsid w:val="000115DF"/>
    <w:rsid w:val="000118D0"/>
    <w:rsid w:val="0001194E"/>
    <w:rsid w:val="00011CCC"/>
    <w:rsid w:val="00012188"/>
    <w:rsid w:val="000121F8"/>
    <w:rsid w:val="00012257"/>
    <w:rsid w:val="000122B6"/>
    <w:rsid w:val="000122E6"/>
    <w:rsid w:val="000122EA"/>
    <w:rsid w:val="00012378"/>
    <w:rsid w:val="000123D7"/>
    <w:rsid w:val="00012494"/>
    <w:rsid w:val="000124AE"/>
    <w:rsid w:val="0001253B"/>
    <w:rsid w:val="000126E5"/>
    <w:rsid w:val="00012864"/>
    <w:rsid w:val="00012BF3"/>
    <w:rsid w:val="00012E7A"/>
    <w:rsid w:val="00012EDA"/>
    <w:rsid w:val="00012EE8"/>
    <w:rsid w:val="00012F4A"/>
    <w:rsid w:val="00012FCF"/>
    <w:rsid w:val="000130EF"/>
    <w:rsid w:val="00013701"/>
    <w:rsid w:val="0001372A"/>
    <w:rsid w:val="00013912"/>
    <w:rsid w:val="00013B13"/>
    <w:rsid w:val="00013BAA"/>
    <w:rsid w:val="00013BEF"/>
    <w:rsid w:val="00013D7D"/>
    <w:rsid w:val="0001406F"/>
    <w:rsid w:val="000141FB"/>
    <w:rsid w:val="0001420F"/>
    <w:rsid w:val="000143DB"/>
    <w:rsid w:val="000143FC"/>
    <w:rsid w:val="00014414"/>
    <w:rsid w:val="00014691"/>
    <w:rsid w:val="000147A0"/>
    <w:rsid w:val="000148E9"/>
    <w:rsid w:val="0001499F"/>
    <w:rsid w:val="00014DA1"/>
    <w:rsid w:val="00014DEF"/>
    <w:rsid w:val="00014E4F"/>
    <w:rsid w:val="00014E7F"/>
    <w:rsid w:val="00014FB5"/>
    <w:rsid w:val="00015377"/>
    <w:rsid w:val="00015475"/>
    <w:rsid w:val="00015680"/>
    <w:rsid w:val="00015739"/>
    <w:rsid w:val="000157BD"/>
    <w:rsid w:val="00015A39"/>
    <w:rsid w:val="00015BD6"/>
    <w:rsid w:val="00015C12"/>
    <w:rsid w:val="00015CD3"/>
    <w:rsid w:val="00015D28"/>
    <w:rsid w:val="00015D82"/>
    <w:rsid w:val="00015E1E"/>
    <w:rsid w:val="00015F41"/>
    <w:rsid w:val="00015FCB"/>
    <w:rsid w:val="0001608A"/>
    <w:rsid w:val="0001611F"/>
    <w:rsid w:val="000162EE"/>
    <w:rsid w:val="00016507"/>
    <w:rsid w:val="0001655B"/>
    <w:rsid w:val="0001657E"/>
    <w:rsid w:val="000166FC"/>
    <w:rsid w:val="0001670D"/>
    <w:rsid w:val="00017095"/>
    <w:rsid w:val="000170F2"/>
    <w:rsid w:val="0001713F"/>
    <w:rsid w:val="000172EC"/>
    <w:rsid w:val="000174BC"/>
    <w:rsid w:val="0001751D"/>
    <w:rsid w:val="000177F4"/>
    <w:rsid w:val="00017803"/>
    <w:rsid w:val="0001786E"/>
    <w:rsid w:val="000178E1"/>
    <w:rsid w:val="00017A6E"/>
    <w:rsid w:val="00017AA8"/>
    <w:rsid w:val="00017AC4"/>
    <w:rsid w:val="00017CB6"/>
    <w:rsid w:val="00017D1F"/>
    <w:rsid w:val="00017DE5"/>
    <w:rsid w:val="00017E7F"/>
    <w:rsid w:val="00017EAD"/>
    <w:rsid w:val="00017EB6"/>
    <w:rsid w:val="00017F14"/>
    <w:rsid w:val="00020001"/>
    <w:rsid w:val="00020179"/>
    <w:rsid w:val="00020206"/>
    <w:rsid w:val="00020266"/>
    <w:rsid w:val="000202A0"/>
    <w:rsid w:val="0002035F"/>
    <w:rsid w:val="0002041B"/>
    <w:rsid w:val="000204D4"/>
    <w:rsid w:val="0002051F"/>
    <w:rsid w:val="0002052F"/>
    <w:rsid w:val="000205D1"/>
    <w:rsid w:val="000205FD"/>
    <w:rsid w:val="00020614"/>
    <w:rsid w:val="0002065C"/>
    <w:rsid w:val="00020A2F"/>
    <w:rsid w:val="00020AB8"/>
    <w:rsid w:val="00020B6E"/>
    <w:rsid w:val="00020B83"/>
    <w:rsid w:val="00020BBA"/>
    <w:rsid w:val="00020BC0"/>
    <w:rsid w:val="00020D1C"/>
    <w:rsid w:val="00020D24"/>
    <w:rsid w:val="00020D7F"/>
    <w:rsid w:val="00020DD4"/>
    <w:rsid w:val="00020E2F"/>
    <w:rsid w:val="00020F31"/>
    <w:rsid w:val="00020F43"/>
    <w:rsid w:val="00020F95"/>
    <w:rsid w:val="0002102C"/>
    <w:rsid w:val="00021102"/>
    <w:rsid w:val="0002113C"/>
    <w:rsid w:val="00021203"/>
    <w:rsid w:val="00021205"/>
    <w:rsid w:val="000212F6"/>
    <w:rsid w:val="0002140D"/>
    <w:rsid w:val="0002149B"/>
    <w:rsid w:val="0002157C"/>
    <w:rsid w:val="00021636"/>
    <w:rsid w:val="000216CA"/>
    <w:rsid w:val="0002171B"/>
    <w:rsid w:val="0002180C"/>
    <w:rsid w:val="00021A62"/>
    <w:rsid w:val="00021B46"/>
    <w:rsid w:val="00021BB0"/>
    <w:rsid w:val="00021D76"/>
    <w:rsid w:val="0002204C"/>
    <w:rsid w:val="0002218B"/>
    <w:rsid w:val="000222F4"/>
    <w:rsid w:val="00022325"/>
    <w:rsid w:val="00022368"/>
    <w:rsid w:val="00022467"/>
    <w:rsid w:val="000226F9"/>
    <w:rsid w:val="000227FB"/>
    <w:rsid w:val="00022818"/>
    <w:rsid w:val="00022B70"/>
    <w:rsid w:val="00022EDA"/>
    <w:rsid w:val="00022EFB"/>
    <w:rsid w:val="00023034"/>
    <w:rsid w:val="0002310F"/>
    <w:rsid w:val="00023146"/>
    <w:rsid w:val="000231BC"/>
    <w:rsid w:val="00023282"/>
    <w:rsid w:val="0002328B"/>
    <w:rsid w:val="000232D5"/>
    <w:rsid w:val="000235C3"/>
    <w:rsid w:val="00023773"/>
    <w:rsid w:val="000237D0"/>
    <w:rsid w:val="000238F4"/>
    <w:rsid w:val="00023931"/>
    <w:rsid w:val="00023A55"/>
    <w:rsid w:val="00023A84"/>
    <w:rsid w:val="00023B9D"/>
    <w:rsid w:val="00023DFB"/>
    <w:rsid w:val="00023FB4"/>
    <w:rsid w:val="000241AC"/>
    <w:rsid w:val="00024447"/>
    <w:rsid w:val="000245EA"/>
    <w:rsid w:val="000245FE"/>
    <w:rsid w:val="00024698"/>
    <w:rsid w:val="000246DD"/>
    <w:rsid w:val="000246F7"/>
    <w:rsid w:val="000247E2"/>
    <w:rsid w:val="0002483F"/>
    <w:rsid w:val="00024850"/>
    <w:rsid w:val="000248AD"/>
    <w:rsid w:val="00024908"/>
    <w:rsid w:val="00024A45"/>
    <w:rsid w:val="00024B96"/>
    <w:rsid w:val="00024BE9"/>
    <w:rsid w:val="00024C72"/>
    <w:rsid w:val="00024D30"/>
    <w:rsid w:val="00024DC6"/>
    <w:rsid w:val="00024DCD"/>
    <w:rsid w:val="00024EA8"/>
    <w:rsid w:val="00024F18"/>
    <w:rsid w:val="00024FA4"/>
    <w:rsid w:val="00024FDF"/>
    <w:rsid w:val="000250C2"/>
    <w:rsid w:val="000250FE"/>
    <w:rsid w:val="00025281"/>
    <w:rsid w:val="0002534A"/>
    <w:rsid w:val="00025398"/>
    <w:rsid w:val="00025675"/>
    <w:rsid w:val="0002584F"/>
    <w:rsid w:val="00025AE8"/>
    <w:rsid w:val="00025BD7"/>
    <w:rsid w:val="00025D64"/>
    <w:rsid w:val="00025E22"/>
    <w:rsid w:val="00025ED1"/>
    <w:rsid w:val="00025FA9"/>
    <w:rsid w:val="0002605B"/>
    <w:rsid w:val="0002609F"/>
    <w:rsid w:val="0002628F"/>
    <w:rsid w:val="00026293"/>
    <w:rsid w:val="000263BA"/>
    <w:rsid w:val="000263CA"/>
    <w:rsid w:val="0002644C"/>
    <w:rsid w:val="000265CF"/>
    <w:rsid w:val="00026775"/>
    <w:rsid w:val="0002690E"/>
    <w:rsid w:val="00026BA0"/>
    <w:rsid w:val="00026BA7"/>
    <w:rsid w:val="00026EB0"/>
    <w:rsid w:val="00026F98"/>
    <w:rsid w:val="00026FC0"/>
    <w:rsid w:val="000270A6"/>
    <w:rsid w:val="000271BB"/>
    <w:rsid w:val="00027463"/>
    <w:rsid w:val="000274FF"/>
    <w:rsid w:val="000275DE"/>
    <w:rsid w:val="000277AD"/>
    <w:rsid w:val="000277C6"/>
    <w:rsid w:val="00027867"/>
    <w:rsid w:val="00027AC3"/>
    <w:rsid w:val="00027B19"/>
    <w:rsid w:val="00027D42"/>
    <w:rsid w:val="00027E30"/>
    <w:rsid w:val="00027F74"/>
    <w:rsid w:val="00027FA4"/>
    <w:rsid w:val="00027FE9"/>
    <w:rsid w:val="0003001D"/>
    <w:rsid w:val="000301FC"/>
    <w:rsid w:val="0003022E"/>
    <w:rsid w:val="00030285"/>
    <w:rsid w:val="00030316"/>
    <w:rsid w:val="00030332"/>
    <w:rsid w:val="000303D6"/>
    <w:rsid w:val="0003058D"/>
    <w:rsid w:val="000306B8"/>
    <w:rsid w:val="00030926"/>
    <w:rsid w:val="00030AB3"/>
    <w:rsid w:val="00030F86"/>
    <w:rsid w:val="00031140"/>
    <w:rsid w:val="000311AE"/>
    <w:rsid w:val="0003124F"/>
    <w:rsid w:val="00031309"/>
    <w:rsid w:val="0003135A"/>
    <w:rsid w:val="00031437"/>
    <w:rsid w:val="000314CB"/>
    <w:rsid w:val="000315B8"/>
    <w:rsid w:val="000315FA"/>
    <w:rsid w:val="000316DF"/>
    <w:rsid w:val="00031856"/>
    <w:rsid w:val="000318C1"/>
    <w:rsid w:val="000318CF"/>
    <w:rsid w:val="000319D5"/>
    <w:rsid w:val="00031BCB"/>
    <w:rsid w:val="00031C39"/>
    <w:rsid w:val="00031CBA"/>
    <w:rsid w:val="00031E28"/>
    <w:rsid w:val="00031E89"/>
    <w:rsid w:val="00031EEB"/>
    <w:rsid w:val="00032068"/>
    <w:rsid w:val="000320C9"/>
    <w:rsid w:val="000320F3"/>
    <w:rsid w:val="00032268"/>
    <w:rsid w:val="000322A1"/>
    <w:rsid w:val="000322B6"/>
    <w:rsid w:val="00032500"/>
    <w:rsid w:val="00032652"/>
    <w:rsid w:val="0003270C"/>
    <w:rsid w:val="000328D0"/>
    <w:rsid w:val="000329DB"/>
    <w:rsid w:val="00032B07"/>
    <w:rsid w:val="00032C02"/>
    <w:rsid w:val="00032D5B"/>
    <w:rsid w:val="00032E89"/>
    <w:rsid w:val="00032EC5"/>
    <w:rsid w:val="00033039"/>
    <w:rsid w:val="000330E0"/>
    <w:rsid w:val="0003318C"/>
    <w:rsid w:val="00033198"/>
    <w:rsid w:val="000331F0"/>
    <w:rsid w:val="000332A0"/>
    <w:rsid w:val="000332F3"/>
    <w:rsid w:val="000333A1"/>
    <w:rsid w:val="00033453"/>
    <w:rsid w:val="000334B2"/>
    <w:rsid w:val="00033556"/>
    <w:rsid w:val="000335AC"/>
    <w:rsid w:val="000335EA"/>
    <w:rsid w:val="0003367E"/>
    <w:rsid w:val="00033713"/>
    <w:rsid w:val="00033923"/>
    <w:rsid w:val="000339D8"/>
    <w:rsid w:val="00033A9A"/>
    <w:rsid w:val="00033AB7"/>
    <w:rsid w:val="00033B8B"/>
    <w:rsid w:val="00033C10"/>
    <w:rsid w:val="00033DEC"/>
    <w:rsid w:val="00033E26"/>
    <w:rsid w:val="00033F0F"/>
    <w:rsid w:val="00033FD2"/>
    <w:rsid w:val="00033FE6"/>
    <w:rsid w:val="00034022"/>
    <w:rsid w:val="00034054"/>
    <w:rsid w:val="000340D0"/>
    <w:rsid w:val="00034156"/>
    <w:rsid w:val="000342D3"/>
    <w:rsid w:val="000343D1"/>
    <w:rsid w:val="000345A5"/>
    <w:rsid w:val="000345BE"/>
    <w:rsid w:val="000346E6"/>
    <w:rsid w:val="00034703"/>
    <w:rsid w:val="0003471D"/>
    <w:rsid w:val="00034829"/>
    <w:rsid w:val="0003485D"/>
    <w:rsid w:val="00034AC0"/>
    <w:rsid w:val="00034CA1"/>
    <w:rsid w:val="00034DD7"/>
    <w:rsid w:val="00034E91"/>
    <w:rsid w:val="00034F08"/>
    <w:rsid w:val="000350AE"/>
    <w:rsid w:val="0003520A"/>
    <w:rsid w:val="00035358"/>
    <w:rsid w:val="0003535A"/>
    <w:rsid w:val="00035375"/>
    <w:rsid w:val="000353BD"/>
    <w:rsid w:val="000355A1"/>
    <w:rsid w:val="000355F7"/>
    <w:rsid w:val="00035628"/>
    <w:rsid w:val="00035661"/>
    <w:rsid w:val="000356E4"/>
    <w:rsid w:val="000357BB"/>
    <w:rsid w:val="00035991"/>
    <w:rsid w:val="000359A3"/>
    <w:rsid w:val="000359C8"/>
    <w:rsid w:val="00035B86"/>
    <w:rsid w:val="00035E59"/>
    <w:rsid w:val="00036027"/>
    <w:rsid w:val="0003607F"/>
    <w:rsid w:val="00036102"/>
    <w:rsid w:val="00036227"/>
    <w:rsid w:val="00036298"/>
    <w:rsid w:val="000363C0"/>
    <w:rsid w:val="0003643D"/>
    <w:rsid w:val="000364FF"/>
    <w:rsid w:val="000366FD"/>
    <w:rsid w:val="0003672D"/>
    <w:rsid w:val="0003677B"/>
    <w:rsid w:val="0003681B"/>
    <w:rsid w:val="0003692B"/>
    <w:rsid w:val="00036A79"/>
    <w:rsid w:val="00036A7D"/>
    <w:rsid w:val="00036BD6"/>
    <w:rsid w:val="00036BF9"/>
    <w:rsid w:val="00036C0B"/>
    <w:rsid w:val="00036D20"/>
    <w:rsid w:val="00036DF8"/>
    <w:rsid w:val="00036FB0"/>
    <w:rsid w:val="00036FBA"/>
    <w:rsid w:val="000370F9"/>
    <w:rsid w:val="00037151"/>
    <w:rsid w:val="00037276"/>
    <w:rsid w:val="000372E9"/>
    <w:rsid w:val="000375C4"/>
    <w:rsid w:val="00037661"/>
    <w:rsid w:val="00037671"/>
    <w:rsid w:val="0003768D"/>
    <w:rsid w:val="00037C3B"/>
    <w:rsid w:val="00040021"/>
    <w:rsid w:val="000401BB"/>
    <w:rsid w:val="0004026B"/>
    <w:rsid w:val="00040288"/>
    <w:rsid w:val="000402E0"/>
    <w:rsid w:val="0004046A"/>
    <w:rsid w:val="00040651"/>
    <w:rsid w:val="0004067E"/>
    <w:rsid w:val="0004075F"/>
    <w:rsid w:val="000409A4"/>
    <w:rsid w:val="00040A07"/>
    <w:rsid w:val="00040A2A"/>
    <w:rsid w:val="00040ADC"/>
    <w:rsid w:val="00040B0C"/>
    <w:rsid w:val="00040BE6"/>
    <w:rsid w:val="00040F72"/>
    <w:rsid w:val="00040F9A"/>
    <w:rsid w:val="000410EE"/>
    <w:rsid w:val="0004112A"/>
    <w:rsid w:val="000411AA"/>
    <w:rsid w:val="000411D6"/>
    <w:rsid w:val="0004120E"/>
    <w:rsid w:val="000412AD"/>
    <w:rsid w:val="00041398"/>
    <w:rsid w:val="000414BE"/>
    <w:rsid w:val="0004164B"/>
    <w:rsid w:val="000416CA"/>
    <w:rsid w:val="000416EB"/>
    <w:rsid w:val="0004171E"/>
    <w:rsid w:val="00041820"/>
    <w:rsid w:val="000419B9"/>
    <w:rsid w:val="00041A8C"/>
    <w:rsid w:val="00041BE5"/>
    <w:rsid w:val="00041E7C"/>
    <w:rsid w:val="00041FC0"/>
    <w:rsid w:val="000420BA"/>
    <w:rsid w:val="000420E8"/>
    <w:rsid w:val="000422D4"/>
    <w:rsid w:val="0004238C"/>
    <w:rsid w:val="00042434"/>
    <w:rsid w:val="0004268F"/>
    <w:rsid w:val="00042721"/>
    <w:rsid w:val="00042752"/>
    <w:rsid w:val="000427D3"/>
    <w:rsid w:val="0004280F"/>
    <w:rsid w:val="00042A1C"/>
    <w:rsid w:val="00042A98"/>
    <w:rsid w:val="00042C57"/>
    <w:rsid w:val="00042CAB"/>
    <w:rsid w:val="00042D79"/>
    <w:rsid w:val="00042DF4"/>
    <w:rsid w:val="00042E12"/>
    <w:rsid w:val="00043166"/>
    <w:rsid w:val="0004327B"/>
    <w:rsid w:val="000433C6"/>
    <w:rsid w:val="0004343D"/>
    <w:rsid w:val="00043465"/>
    <w:rsid w:val="00043559"/>
    <w:rsid w:val="00043763"/>
    <w:rsid w:val="0004393B"/>
    <w:rsid w:val="0004394F"/>
    <w:rsid w:val="000439FB"/>
    <w:rsid w:val="00043A2F"/>
    <w:rsid w:val="00043AA7"/>
    <w:rsid w:val="00043AE7"/>
    <w:rsid w:val="00043B1D"/>
    <w:rsid w:val="00043C0E"/>
    <w:rsid w:val="00043D0F"/>
    <w:rsid w:val="00043D14"/>
    <w:rsid w:val="00043DE4"/>
    <w:rsid w:val="00043E53"/>
    <w:rsid w:val="00043E99"/>
    <w:rsid w:val="00043EFF"/>
    <w:rsid w:val="00043F4C"/>
    <w:rsid w:val="00044229"/>
    <w:rsid w:val="000442C2"/>
    <w:rsid w:val="000442D9"/>
    <w:rsid w:val="00044360"/>
    <w:rsid w:val="000445E8"/>
    <w:rsid w:val="000445F3"/>
    <w:rsid w:val="00044970"/>
    <w:rsid w:val="000449A1"/>
    <w:rsid w:val="000449C4"/>
    <w:rsid w:val="00044B43"/>
    <w:rsid w:val="00044CE4"/>
    <w:rsid w:val="00044E15"/>
    <w:rsid w:val="00044E5C"/>
    <w:rsid w:val="000450ED"/>
    <w:rsid w:val="00045271"/>
    <w:rsid w:val="0004530B"/>
    <w:rsid w:val="000453A4"/>
    <w:rsid w:val="000453BD"/>
    <w:rsid w:val="00045438"/>
    <w:rsid w:val="00045673"/>
    <w:rsid w:val="0004568B"/>
    <w:rsid w:val="0004569A"/>
    <w:rsid w:val="000456B4"/>
    <w:rsid w:val="0004572E"/>
    <w:rsid w:val="0004576E"/>
    <w:rsid w:val="00045810"/>
    <w:rsid w:val="00045834"/>
    <w:rsid w:val="00045A30"/>
    <w:rsid w:val="00045A36"/>
    <w:rsid w:val="00045CEF"/>
    <w:rsid w:val="00045E11"/>
    <w:rsid w:val="000461D9"/>
    <w:rsid w:val="000463A0"/>
    <w:rsid w:val="000463CE"/>
    <w:rsid w:val="00046429"/>
    <w:rsid w:val="000465B0"/>
    <w:rsid w:val="00046633"/>
    <w:rsid w:val="0004680D"/>
    <w:rsid w:val="000468AA"/>
    <w:rsid w:val="00046928"/>
    <w:rsid w:val="00046B14"/>
    <w:rsid w:val="00046B49"/>
    <w:rsid w:val="00046C6C"/>
    <w:rsid w:val="00046CC6"/>
    <w:rsid w:val="00046FE8"/>
    <w:rsid w:val="00047177"/>
    <w:rsid w:val="000472D6"/>
    <w:rsid w:val="000475DF"/>
    <w:rsid w:val="00047775"/>
    <w:rsid w:val="000477B3"/>
    <w:rsid w:val="000477DF"/>
    <w:rsid w:val="00047C76"/>
    <w:rsid w:val="00047DEA"/>
    <w:rsid w:val="00047E03"/>
    <w:rsid w:val="00047EEF"/>
    <w:rsid w:val="00047F2A"/>
    <w:rsid w:val="00050164"/>
    <w:rsid w:val="00050473"/>
    <w:rsid w:val="0005051C"/>
    <w:rsid w:val="0005054D"/>
    <w:rsid w:val="0005080C"/>
    <w:rsid w:val="0005096E"/>
    <w:rsid w:val="00050A78"/>
    <w:rsid w:val="00050BFD"/>
    <w:rsid w:val="00050C6B"/>
    <w:rsid w:val="00050C6C"/>
    <w:rsid w:val="00050F4F"/>
    <w:rsid w:val="00050F54"/>
    <w:rsid w:val="000510E5"/>
    <w:rsid w:val="000510FA"/>
    <w:rsid w:val="00051160"/>
    <w:rsid w:val="00051267"/>
    <w:rsid w:val="0005127E"/>
    <w:rsid w:val="000513D9"/>
    <w:rsid w:val="00051414"/>
    <w:rsid w:val="000515DB"/>
    <w:rsid w:val="00051627"/>
    <w:rsid w:val="00051737"/>
    <w:rsid w:val="000517B7"/>
    <w:rsid w:val="000517C9"/>
    <w:rsid w:val="000518AF"/>
    <w:rsid w:val="000518E6"/>
    <w:rsid w:val="00051923"/>
    <w:rsid w:val="00051931"/>
    <w:rsid w:val="00051A70"/>
    <w:rsid w:val="00051B0D"/>
    <w:rsid w:val="00051C8F"/>
    <w:rsid w:val="00051CDC"/>
    <w:rsid w:val="00051FBF"/>
    <w:rsid w:val="00052087"/>
    <w:rsid w:val="000522CB"/>
    <w:rsid w:val="000523FA"/>
    <w:rsid w:val="00052406"/>
    <w:rsid w:val="000524BF"/>
    <w:rsid w:val="00052536"/>
    <w:rsid w:val="0005259A"/>
    <w:rsid w:val="000528D3"/>
    <w:rsid w:val="000529C7"/>
    <w:rsid w:val="00052A87"/>
    <w:rsid w:val="00052AF4"/>
    <w:rsid w:val="00052AF8"/>
    <w:rsid w:val="00052CBE"/>
    <w:rsid w:val="00052CD6"/>
    <w:rsid w:val="00052E33"/>
    <w:rsid w:val="00052E3A"/>
    <w:rsid w:val="00052E92"/>
    <w:rsid w:val="00053139"/>
    <w:rsid w:val="00053145"/>
    <w:rsid w:val="00053184"/>
    <w:rsid w:val="00053199"/>
    <w:rsid w:val="00053270"/>
    <w:rsid w:val="00053284"/>
    <w:rsid w:val="000532D2"/>
    <w:rsid w:val="00053459"/>
    <w:rsid w:val="00053505"/>
    <w:rsid w:val="0005371B"/>
    <w:rsid w:val="00053782"/>
    <w:rsid w:val="00053B1A"/>
    <w:rsid w:val="00053B28"/>
    <w:rsid w:val="00053B3E"/>
    <w:rsid w:val="00053D62"/>
    <w:rsid w:val="00053E3A"/>
    <w:rsid w:val="0005403F"/>
    <w:rsid w:val="0005408A"/>
    <w:rsid w:val="000540CF"/>
    <w:rsid w:val="0005427F"/>
    <w:rsid w:val="00054380"/>
    <w:rsid w:val="0005447B"/>
    <w:rsid w:val="000544E4"/>
    <w:rsid w:val="0005453E"/>
    <w:rsid w:val="00054598"/>
    <w:rsid w:val="000545C2"/>
    <w:rsid w:val="0005468F"/>
    <w:rsid w:val="000549D9"/>
    <w:rsid w:val="00054B9C"/>
    <w:rsid w:val="00054C49"/>
    <w:rsid w:val="00054DC5"/>
    <w:rsid w:val="00054F15"/>
    <w:rsid w:val="00055072"/>
    <w:rsid w:val="000550AA"/>
    <w:rsid w:val="00055112"/>
    <w:rsid w:val="000555AA"/>
    <w:rsid w:val="000555F8"/>
    <w:rsid w:val="0005565E"/>
    <w:rsid w:val="00055711"/>
    <w:rsid w:val="00055753"/>
    <w:rsid w:val="00055837"/>
    <w:rsid w:val="00055978"/>
    <w:rsid w:val="00055A7C"/>
    <w:rsid w:val="00055B13"/>
    <w:rsid w:val="00055C2F"/>
    <w:rsid w:val="00055D26"/>
    <w:rsid w:val="00055D6D"/>
    <w:rsid w:val="00055F5E"/>
    <w:rsid w:val="00056111"/>
    <w:rsid w:val="000561D8"/>
    <w:rsid w:val="00056488"/>
    <w:rsid w:val="000564BD"/>
    <w:rsid w:val="000565C4"/>
    <w:rsid w:val="00056602"/>
    <w:rsid w:val="0005668E"/>
    <w:rsid w:val="00056798"/>
    <w:rsid w:val="0005684C"/>
    <w:rsid w:val="0005686B"/>
    <w:rsid w:val="00056A35"/>
    <w:rsid w:val="00056C93"/>
    <w:rsid w:val="00056CB2"/>
    <w:rsid w:val="00056DD0"/>
    <w:rsid w:val="00056E56"/>
    <w:rsid w:val="00056F1D"/>
    <w:rsid w:val="00057059"/>
    <w:rsid w:val="00057101"/>
    <w:rsid w:val="00057176"/>
    <w:rsid w:val="0005738F"/>
    <w:rsid w:val="000573B2"/>
    <w:rsid w:val="00057509"/>
    <w:rsid w:val="000577D1"/>
    <w:rsid w:val="000578F6"/>
    <w:rsid w:val="000578FF"/>
    <w:rsid w:val="00057946"/>
    <w:rsid w:val="00057CAC"/>
    <w:rsid w:val="00057CFA"/>
    <w:rsid w:val="00057E86"/>
    <w:rsid w:val="00057EE4"/>
    <w:rsid w:val="000600CE"/>
    <w:rsid w:val="00060338"/>
    <w:rsid w:val="00060360"/>
    <w:rsid w:val="00060463"/>
    <w:rsid w:val="00060488"/>
    <w:rsid w:val="000604AA"/>
    <w:rsid w:val="0006061F"/>
    <w:rsid w:val="00060633"/>
    <w:rsid w:val="00060891"/>
    <w:rsid w:val="0006099E"/>
    <w:rsid w:val="00060A35"/>
    <w:rsid w:val="00060A39"/>
    <w:rsid w:val="00060D04"/>
    <w:rsid w:val="00061124"/>
    <w:rsid w:val="00061168"/>
    <w:rsid w:val="000611B5"/>
    <w:rsid w:val="000611D2"/>
    <w:rsid w:val="000611F4"/>
    <w:rsid w:val="00061213"/>
    <w:rsid w:val="000612E6"/>
    <w:rsid w:val="0006144C"/>
    <w:rsid w:val="00061493"/>
    <w:rsid w:val="0006157F"/>
    <w:rsid w:val="000615EF"/>
    <w:rsid w:val="0006165D"/>
    <w:rsid w:val="0006177C"/>
    <w:rsid w:val="000617A4"/>
    <w:rsid w:val="000617D6"/>
    <w:rsid w:val="00061977"/>
    <w:rsid w:val="00061AAD"/>
    <w:rsid w:val="00061AD5"/>
    <w:rsid w:val="00061B9A"/>
    <w:rsid w:val="00061C13"/>
    <w:rsid w:val="00061D9E"/>
    <w:rsid w:val="00061E0B"/>
    <w:rsid w:val="00062066"/>
    <w:rsid w:val="00062080"/>
    <w:rsid w:val="00062117"/>
    <w:rsid w:val="00062182"/>
    <w:rsid w:val="00062279"/>
    <w:rsid w:val="0006228C"/>
    <w:rsid w:val="0006231B"/>
    <w:rsid w:val="000624DB"/>
    <w:rsid w:val="00062518"/>
    <w:rsid w:val="000626AB"/>
    <w:rsid w:val="000626BD"/>
    <w:rsid w:val="00062741"/>
    <w:rsid w:val="0006285D"/>
    <w:rsid w:val="0006295A"/>
    <w:rsid w:val="000629D4"/>
    <w:rsid w:val="000629D9"/>
    <w:rsid w:val="000629DE"/>
    <w:rsid w:val="00062ACC"/>
    <w:rsid w:val="00062B7F"/>
    <w:rsid w:val="00062BDD"/>
    <w:rsid w:val="00062C00"/>
    <w:rsid w:val="00062C58"/>
    <w:rsid w:val="00062D07"/>
    <w:rsid w:val="00062D70"/>
    <w:rsid w:val="00062D94"/>
    <w:rsid w:val="00062EEF"/>
    <w:rsid w:val="00063026"/>
    <w:rsid w:val="000630C6"/>
    <w:rsid w:val="0006318D"/>
    <w:rsid w:val="00063339"/>
    <w:rsid w:val="000633AF"/>
    <w:rsid w:val="0006348B"/>
    <w:rsid w:val="00063501"/>
    <w:rsid w:val="000635DC"/>
    <w:rsid w:val="0006360D"/>
    <w:rsid w:val="00063734"/>
    <w:rsid w:val="00063776"/>
    <w:rsid w:val="000637FA"/>
    <w:rsid w:val="00063AB5"/>
    <w:rsid w:val="00063B08"/>
    <w:rsid w:val="00063C6B"/>
    <w:rsid w:val="00063DC0"/>
    <w:rsid w:val="00063E9E"/>
    <w:rsid w:val="00063FC4"/>
    <w:rsid w:val="0006422E"/>
    <w:rsid w:val="00064600"/>
    <w:rsid w:val="00064648"/>
    <w:rsid w:val="000646BC"/>
    <w:rsid w:val="000647B6"/>
    <w:rsid w:val="000647D9"/>
    <w:rsid w:val="00064952"/>
    <w:rsid w:val="00064968"/>
    <w:rsid w:val="00064994"/>
    <w:rsid w:val="000649C6"/>
    <w:rsid w:val="000649E0"/>
    <w:rsid w:val="00064A12"/>
    <w:rsid w:val="00064B28"/>
    <w:rsid w:val="00064C5F"/>
    <w:rsid w:val="00064C68"/>
    <w:rsid w:val="00064F8E"/>
    <w:rsid w:val="0006510D"/>
    <w:rsid w:val="00065136"/>
    <w:rsid w:val="00065286"/>
    <w:rsid w:val="0006529B"/>
    <w:rsid w:val="000652AD"/>
    <w:rsid w:val="0006541A"/>
    <w:rsid w:val="000654EF"/>
    <w:rsid w:val="000656D2"/>
    <w:rsid w:val="00065A13"/>
    <w:rsid w:val="00065AD9"/>
    <w:rsid w:val="00065B92"/>
    <w:rsid w:val="00065C45"/>
    <w:rsid w:val="00065CFB"/>
    <w:rsid w:val="00065FE0"/>
    <w:rsid w:val="0006600A"/>
    <w:rsid w:val="0006605F"/>
    <w:rsid w:val="00066184"/>
    <w:rsid w:val="000661F5"/>
    <w:rsid w:val="000661FB"/>
    <w:rsid w:val="0006621A"/>
    <w:rsid w:val="000662BA"/>
    <w:rsid w:val="000662F1"/>
    <w:rsid w:val="00066376"/>
    <w:rsid w:val="0006637D"/>
    <w:rsid w:val="000663DC"/>
    <w:rsid w:val="00066404"/>
    <w:rsid w:val="0006640C"/>
    <w:rsid w:val="00066444"/>
    <w:rsid w:val="000664C8"/>
    <w:rsid w:val="00066540"/>
    <w:rsid w:val="000666C9"/>
    <w:rsid w:val="0006685A"/>
    <w:rsid w:val="000668CC"/>
    <w:rsid w:val="000668E9"/>
    <w:rsid w:val="0006698B"/>
    <w:rsid w:val="00066B1A"/>
    <w:rsid w:val="00066BBE"/>
    <w:rsid w:val="00066BFF"/>
    <w:rsid w:val="00066CE5"/>
    <w:rsid w:val="00066CE9"/>
    <w:rsid w:val="00066FD2"/>
    <w:rsid w:val="00067248"/>
    <w:rsid w:val="0006728A"/>
    <w:rsid w:val="000674BE"/>
    <w:rsid w:val="000675D9"/>
    <w:rsid w:val="000675F5"/>
    <w:rsid w:val="0006770B"/>
    <w:rsid w:val="00067712"/>
    <w:rsid w:val="000677D5"/>
    <w:rsid w:val="000678C7"/>
    <w:rsid w:val="000679B1"/>
    <w:rsid w:val="00067B9E"/>
    <w:rsid w:val="00067D28"/>
    <w:rsid w:val="00067D59"/>
    <w:rsid w:val="00067D60"/>
    <w:rsid w:val="00067E04"/>
    <w:rsid w:val="00067F5E"/>
    <w:rsid w:val="0007005A"/>
    <w:rsid w:val="000701C3"/>
    <w:rsid w:val="000701C7"/>
    <w:rsid w:val="000701CC"/>
    <w:rsid w:val="000701F6"/>
    <w:rsid w:val="000702AD"/>
    <w:rsid w:val="000704E6"/>
    <w:rsid w:val="000704E7"/>
    <w:rsid w:val="00070738"/>
    <w:rsid w:val="000708B9"/>
    <w:rsid w:val="000708EB"/>
    <w:rsid w:val="00070AD7"/>
    <w:rsid w:val="00070AE6"/>
    <w:rsid w:val="00070BE0"/>
    <w:rsid w:val="00070F2A"/>
    <w:rsid w:val="00071048"/>
    <w:rsid w:val="000711B1"/>
    <w:rsid w:val="000711BB"/>
    <w:rsid w:val="00071201"/>
    <w:rsid w:val="00071345"/>
    <w:rsid w:val="0007138F"/>
    <w:rsid w:val="00071516"/>
    <w:rsid w:val="00071569"/>
    <w:rsid w:val="00071672"/>
    <w:rsid w:val="000717DC"/>
    <w:rsid w:val="000718F6"/>
    <w:rsid w:val="00071901"/>
    <w:rsid w:val="00071BBC"/>
    <w:rsid w:val="00071D75"/>
    <w:rsid w:val="00071D88"/>
    <w:rsid w:val="00071E88"/>
    <w:rsid w:val="00071E95"/>
    <w:rsid w:val="00071F3A"/>
    <w:rsid w:val="00072149"/>
    <w:rsid w:val="0007215F"/>
    <w:rsid w:val="000722DA"/>
    <w:rsid w:val="000722E2"/>
    <w:rsid w:val="0007232D"/>
    <w:rsid w:val="00072528"/>
    <w:rsid w:val="0007256F"/>
    <w:rsid w:val="0007268F"/>
    <w:rsid w:val="0007269C"/>
    <w:rsid w:val="000726D1"/>
    <w:rsid w:val="000727EA"/>
    <w:rsid w:val="0007286D"/>
    <w:rsid w:val="00072873"/>
    <w:rsid w:val="00072A1D"/>
    <w:rsid w:val="00072B21"/>
    <w:rsid w:val="00072CBC"/>
    <w:rsid w:val="00072D46"/>
    <w:rsid w:val="00072EA1"/>
    <w:rsid w:val="00072F94"/>
    <w:rsid w:val="00073013"/>
    <w:rsid w:val="00073020"/>
    <w:rsid w:val="00073044"/>
    <w:rsid w:val="00073096"/>
    <w:rsid w:val="000730EC"/>
    <w:rsid w:val="00073127"/>
    <w:rsid w:val="00073206"/>
    <w:rsid w:val="000732A6"/>
    <w:rsid w:val="000732E4"/>
    <w:rsid w:val="0007340E"/>
    <w:rsid w:val="0007356B"/>
    <w:rsid w:val="000735BC"/>
    <w:rsid w:val="0007365C"/>
    <w:rsid w:val="00073776"/>
    <w:rsid w:val="000738C2"/>
    <w:rsid w:val="00073903"/>
    <w:rsid w:val="00073949"/>
    <w:rsid w:val="00073A8F"/>
    <w:rsid w:val="00073ADC"/>
    <w:rsid w:val="00073AF9"/>
    <w:rsid w:val="00073C53"/>
    <w:rsid w:val="00073CCC"/>
    <w:rsid w:val="00073D1B"/>
    <w:rsid w:val="00073D5A"/>
    <w:rsid w:val="00073F66"/>
    <w:rsid w:val="00074063"/>
    <w:rsid w:val="00074100"/>
    <w:rsid w:val="00074147"/>
    <w:rsid w:val="000741E6"/>
    <w:rsid w:val="0007424A"/>
    <w:rsid w:val="000742A3"/>
    <w:rsid w:val="00074690"/>
    <w:rsid w:val="000746A1"/>
    <w:rsid w:val="000746EF"/>
    <w:rsid w:val="00074A7B"/>
    <w:rsid w:val="00074AE7"/>
    <w:rsid w:val="00074B49"/>
    <w:rsid w:val="00074B6F"/>
    <w:rsid w:val="00074BA3"/>
    <w:rsid w:val="00074BB2"/>
    <w:rsid w:val="00074C4F"/>
    <w:rsid w:val="00074D64"/>
    <w:rsid w:val="00074D9A"/>
    <w:rsid w:val="00074DE1"/>
    <w:rsid w:val="00074E84"/>
    <w:rsid w:val="00074EEE"/>
    <w:rsid w:val="00074F2B"/>
    <w:rsid w:val="00075007"/>
    <w:rsid w:val="00075177"/>
    <w:rsid w:val="0007523F"/>
    <w:rsid w:val="00075371"/>
    <w:rsid w:val="000753E1"/>
    <w:rsid w:val="00075568"/>
    <w:rsid w:val="00075570"/>
    <w:rsid w:val="000755B0"/>
    <w:rsid w:val="000755ED"/>
    <w:rsid w:val="000756E1"/>
    <w:rsid w:val="00075740"/>
    <w:rsid w:val="000758A5"/>
    <w:rsid w:val="00075A8D"/>
    <w:rsid w:val="00075B5B"/>
    <w:rsid w:val="00075E62"/>
    <w:rsid w:val="00076172"/>
    <w:rsid w:val="000761C1"/>
    <w:rsid w:val="000762FF"/>
    <w:rsid w:val="00076557"/>
    <w:rsid w:val="000765D9"/>
    <w:rsid w:val="00076619"/>
    <w:rsid w:val="00076731"/>
    <w:rsid w:val="0007676D"/>
    <w:rsid w:val="0007682B"/>
    <w:rsid w:val="00076847"/>
    <w:rsid w:val="000769B1"/>
    <w:rsid w:val="00076A00"/>
    <w:rsid w:val="00076A09"/>
    <w:rsid w:val="00076D5C"/>
    <w:rsid w:val="00076F8A"/>
    <w:rsid w:val="00077200"/>
    <w:rsid w:val="00077359"/>
    <w:rsid w:val="00077421"/>
    <w:rsid w:val="00077424"/>
    <w:rsid w:val="00077464"/>
    <w:rsid w:val="0007749C"/>
    <w:rsid w:val="00077535"/>
    <w:rsid w:val="000775EC"/>
    <w:rsid w:val="00077616"/>
    <w:rsid w:val="00077642"/>
    <w:rsid w:val="000777C5"/>
    <w:rsid w:val="00077827"/>
    <w:rsid w:val="00077A41"/>
    <w:rsid w:val="00077BA0"/>
    <w:rsid w:val="00077BDA"/>
    <w:rsid w:val="00077C36"/>
    <w:rsid w:val="00077C4E"/>
    <w:rsid w:val="00077CFD"/>
    <w:rsid w:val="00077D25"/>
    <w:rsid w:val="00077E12"/>
    <w:rsid w:val="00077F0B"/>
    <w:rsid w:val="00077F4A"/>
    <w:rsid w:val="00077F94"/>
    <w:rsid w:val="00077FE0"/>
    <w:rsid w:val="00077FF0"/>
    <w:rsid w:val="0008012B"/>
    <w:rsid w:val="0008014C"/>
    <w:rsid w:val="00080199"/>
    <w:rsid w:val="000802AB"/>
    <w:rsid w:val="00080304"/>
    <w:rsid w:val="00080345"/>
    <w:rsid w:val="00080369"/>
    <w:rsid w:val="0008036A"/>
    <w:rsid w:val="0008039E"/>
    <w:rsid w:val="000806A9"/>
    <w:rsid w:val="00080C0B"/>
    <w:rsid w:val="00080CAD"/>
    <w:rsid w:val="00080D35"/>
    <w:rsid w:val="00080E6D"/>
    <w:rsid w:val="00080ECB"/>
    <w:rsid w:val="00080F7E"/>
    <w:rsid w:val="00080FAB"/>
    <w:rsid w:val="00080FE1"/>
    <w:rsid w:val="00081075"/>
    <w:rsid w:val="0008108B"/>
    <w:rsid w:val="000811F5"/>
    <w:rsid w:val="0008121F"/>
    <w:rsid w:val="0008130E"/>
    <w:rsid w:val="000814C5"/>
    <w:rsid w:val="000815AD"/>
    <w:rsid w:val="0008163F"/>
    <w:rsid w:val="00081647"/>
    <w:rsid w:val="00081651"/>
    <w:rsid w:val="000817E2"/>
    <w:rsid w:val="00081834"/>
    <w:rsid w:val="00081B06"/>
    <w:rsid w:val="00081B89"/>
    <w:rsid w:val="00081BA4"/>
    <w:rsid w:val="00081CE2"/>
    <w:rsid w:val="00081D45"/>
    <w:rsid w:val="00081D7D"/>
    <w:rsid w:val="00081D8B"/>
    <w:rsid w:val="000820AF"/>
    <w:rsid w:val="0008220D"/>
    <w:rsid w:val="000822B5"/>
    <w:rsid w:val="0008261C"/>
    <w:rsid w:val="000826C0"/>
    <w:rsid w:val="0008275C"/>
    <w:rsid w:val="00082988"/>
    <w:rsid w:val="000829DC"/>
    <w:rsid w:val="00082A66"/>
    <w:rsid w:val="00082B61"/>
    <w:rsid w:val="00082B7D"/>
    <w:rsid w:val="00082D50"/>
    <w:rsid w:val="00082EE8"/>
    <w:rsid w:val="0008301A"/>
    <w:rsid w:val="0008304C"/>
    <w:rsid w:val="000831EC"/>
    <w:rsid w:val="000832D6"/>
    <w:rsid w:val="00083316"/>
    <w:rsid w:val="00083426"/>
    <w:rsid w:val="0008344C"/>
    <w:rsid w:val="00083673"/>
    <w:rsid w:val="00083723"/>
    <w:rsid w:val="000837FC"/>
    <w:rsid w:val="000838B7"/>
    <w:rsid w:val="00083A36"/>
    <w:rsid w:val="00083C95"/>
    <w:rsid w:val="00083DFF"/>
    <w:rsid w:val="00083EB0"/>
    <w:rsid w:val="00083F08"/>
    <w:rsid w:val="000840DA"/>
    <w:rsid w:val="00084148"/>
    <w:rsid w:val="0008417E"/>
    <w:rsid w:val="00084240"/>
    <w:rsid w:val="0008430A"/>
    <w:rsid w:val="0008432B"/>
    <w:rsid w:val="0008436B"/>
    <w:rsid w:val="0008460C"/>
    <w:rsid w:val="00084645"/>
    <w:rsid w:val="0008480A"/>
    <w:rsid w:val="000848CE"/>
    <w:rsid w:val="00084988"/>
    <w:rsid w:val="00084A80"/>
    <w:rsid w:val="00084AD7"/>
    <w:rsid w:val="00084B22"/>
    <w:rsid w:val="00084B85"/>
    <w:rsid w:val="00084B94"/>
    <w:rsid w:val="00084BC9"/>
    <w:rsid w:val="00084C19"/>
    <w:rsid w:val="00084C21"/>
    <w:rsid w:val="00084D40"/>
    <w:rsid w:val="00084D69"/>
    <w:rsid w:val="000850C9"/>
    <w:rsid w:val="0008511D"/>
    <w:rsid w:val="00085181"/>
    <w:rsid w:val="00085290"/>
    <w:rsid w:val="00085563"/>
    <w:rsid w:val="0008565F"/>
    <w:rsid w:val="000856A4"/>
    <w:rsid w:val="00085714"/>
    <w:rsid w:val="0008581A"/>
    <w:rsid w:val="00085864"/>
    <w:rsid w:val="0008586F"/>
    <w:rsid w:val="00085878"/>
    <w:rsid w:val="0008590E"/>
    <w:rsid w:val="000859BB"/>
    <w:rsid w:val="00085A14"/>
    <w:rsid w:val="00085A72"/>
    <w:rsid w:val="00085AC2"/>
    <w:rsid w:val="00085C13"/>
    <w:rsid w:val="00085CB0"/>
    <w:rsid w:val="00085CBB"/>
    <w:rsid w:val="00085CC7"/>
    <w:rsid w:val="0008600F"/>
    <w:rsid w:val="000862FC"/>
    <w:rsid w:val="0008638D"/>
    <w:rsid w:val="00086420"/>
    <w:rsid w:val="000864C2"/>
    <w:rsid w:val="00086623"/>
    <w:rsid w:val="000866FA"/>
    <w:rsid w:val="0008672E"/>
    <w:rsid w:val="00086906"/>
    <w:rsid w:val="00086A88"/>
    <w:rsid w:val="00086ABD"/>
    <w:rsid w:val="00086AED"/>
    <w:rsid w:val="00086BAD"/>
    <w:rsid w:val="00086C80"/>
    <w:rsid w:val="00086E20"/>
    <w:rsid w:val="00086FFF"/>
    <w:rsid w:val="00087046"/>
    <w:rsid w:val="00087112"/>
    <w:rsid w:val="00087221"/>
    <w:rsid w:val="00087250"/>
    <w:rsid w:val="0008731F"/>
    <w:rsid w:val="0008739B"/>
    <w:rsid w:val="000873B4"/>
    <w:rsid w:val="000873CA"/>
    <w:rsid w:val="0008742D"/>
    <w:rsid w:val="00087622"/>
    <w:rsid w:val="00087635"/>
    <w:rsid w:val="000879CE"/>
    <w:rsid w:val="00087ACC"/>
    <w:rsid w:val="00087C30"/>
    <w:rsid w:val="00087CAC"/>
    <w:rsid w:val="00087D91"/>
    <w:rsid w:val="00087E36"/>
    <w:rsid w:val="00087E3C"/>
    <w:rsid w:val="00087EC1"/>
    <w:rsid w:val="00087F07"/>
    <w:rsid w:val="00087F67"/>
    <w:rsid w:val="0009009C"/>
    <w:rsid w:val="0009009D"/>
    <w:rsid w:val="0009017F"/>
    <w:rsid w:val="000902D9"/>
    <w:rsid w:val="000905F7"/>
    <w:rsid w:val="00090775"/>
    <w:rsid w:val="000908D8"/>
    <w:rsid w:val="00090ABB"/>
    <w:rsid w:val="00090B08"/>
    <w:rsid w:val="00090BA0"/>
    <w:rsid w:val="00090D2B"/>
    <w:rsid w:val="00090D87"/>
    <w:rsid w:val="00090DB5"/>
    <w:rsid w:val="00091035"/>
    <w:rsid w:val="00091071"/>
    <w:rsid w:val="00091099"/>
    <w:rsid w:val="000910D6"/>
    <w:rsid w:val="000910EF"/>
    <w:rsid w:val="00091161"/>
    <w:rsid w:val="000912AE"/>
    <w:rsid w:val="000913B4"/>
    <w:rsid w:val="0009140E"/>
    <w:rsid w:val="000914BA"/>
    <w:rsid w:val="0009154A"/>
    <w:rsid w:val="000915B3"/>
    <w:rsid w:val="000915D4"/>
    <w:rsid w:val="00091A30"/>
    <w:rsid w:val="00091A9E"/>
    <w:rsid w:val="00091C73"/>
    <w:rsid w:val="00091DDC"/>
    <w:rsid w:val="00091E3A"/>
    <w:rsid w:val="00091F40"/>
    <w:rsid w:val="000921B4"/>
    <w:rsid w:val="000924A3"/>
    <w:rsid w:val="00092678"/>
    <w:rsid w:val="00092777"/>
    <w:rsid w:val="00092A1B"/>
    <w:rsid w:val="00092B6A"/>
    <w:rsid w:val="00092BE8"/>
    <w:rsid w:val="00092C27"/>
    <w:rsid w:val="00092D74"/>
    <w:rsid w:val="00092E94"/>
    <w:rsid w:val="00092F30"/>
    <w:rsid w:val="00093010"/>
    <w:rsid w:val="000930FF"/>
    <w:rsid w:val="00093166"/>
    <w:rsid w:val="00093443"/>
    <w:rsid w:val="000934E6"/>
    <w:rsid w:val="00093539"/>
    <w:rsid w:val="00093662"/>
    <w:rsid w:val="000938AF"/>
    <w:rsid w:val="00093A78"/>
    <w:rsid w:val="00093AB6"/>
    <w:rsid w:val="00093BCA"/>
    <w:rsid w:val="00093C0E"/>
    <w:rsid w:val="00093CAB"/>
    <w:rsid w:val="00093EC2"/>
    <w:rsid w:val="000940C4"/>
    <w:rsid w:val="000944F4"/>
    <w:rsid w:val="00094607"/>
    <w:rsid w:val="00094619"/>
    <w:rsid w:val="00094661"/>
    <w:rsid w:val="000946F5"/>
    <w:rsid w:val="000948A8"/>
    <w:rsid w:val="0009496D"/>
    <w:rsid w:val="000949A3"/>
    <w:rsid w:val="00094CC6"/>
    <w:rsid w:val="00094D0A"/>
    <w:rsid w:val="00094D92"/>
    <w:rsid w:val="00094DE5"/>
    <w:rsid w:val="00094EBF"/>
    <w:rsid w:val="00094F72"/>
    <w:rsid w:val="00095117"/>
    <w:rsid w:val="00095309"/>
    <w:rsid w:val="0009532C"/>
    <w:rsid w:val="00095363"/>
    <w:rsid w:val="000953BE"/>
    <w:rsid w:val="000954D8"/>
    <w:rsid w:val="00095577"/>
    <w:rsid w:val="00095598"/>
    <w:rsid w:val="0009566D"/>
    <w:rsid w:val="0009582C"/>
    <w:rsid w:val="0009582E"/>
    <w:rsid w:val="00095A3B"/>
    <w:rsid w:val="00095B56"/>
    <w:rsid w:val="00095B9F"/>
    <w:rsid w:val="00095DF8"/>
    <w:rsid w:val="00095ECF"/>
    <w:rsid w:val="00095EFB"/>
    <w:rsid w:val="00095F16"/>
    <w:rsid w:val="0009610C"/>
    <w:rsid w:val="00096121"/>
    <w:rsid w:val="00096272"/>
    <w:rsid w:val="0009637A"/>
    <w:rsid w:val="000963F4"/>
    <w:rsid w:val="000963FD"/>
    <w:rsid w:val="0009646C"/>
    <w:rsid w:val="000964C8"/>
    <w:rsid w:val="00096699"/>
    <w:rsid w:val="000967B0"/>
    <w:rsid w:val="0009684C"/>
    <w:rsid w:val="00096A26"/>
    <w:rsid w:val="00096A76"/>
    <w:rsid w:val="00096A78"/>
    <w:rsid w:val="00096AF0"/>
    <w:rsid w:val="00096B28"/>
    <w:rsid w:val="00096D95"/>
    <w:rsid w:val="00096ECD"/>
    <w:rsid w:val="00096F39"/>
    <w:rsid w:val="00096FB8"/>
    <w:rsid w:val="0009703A"/>
    <w:rsid w:val="00097061"/>
    <w:rsid w:val="000971D5"/>
    <w:rsid w:val="00097443"/>
    <w:rsid w:val="000974E2"/>
    <w:rsid w:val="00097534"/>
    <w:rsid w:val="000975DE"/>
    <w:rsid w:val="0009760D"/>
    <w:rsid w:val="000976D9"/>
    <w:rsid w:val="000977CB"/>
    <w:rsid w:val="000979B4"/>
    <w:rsid w:val="00097ACC"/>
    <w:rsid w:val="00097AD8"/>
    <w:rsid w:val="00097B61"/>
    <w:rsid w:val="00097BA9"/>
    <w:rsid w:val="00097BF4"/>
    <w:rsid w:val="00097C1E"/>
    <w:rsid w:val="00097C2A"/>
    <w:rsid w:val="00097C68"/>
    <w:rsid w:val="00097DAB"/>
    <w:rsid w:val="00097EC4"/>
    <w:rsid w:val="00097EDF"/>
    <w:rsid w:val="00097FF1"/>
    <w:rsid w:val="000A007E"/>
    <w:rsid w:val="000A023C"/>
    <w:rsid w:val="000A0267"/>
    <w:rsid w:val="000A026C"/>
    <w:rsid w:val="000A02E6"/>
    <w:rsid w:val="000A04B5"/>
    <w:rsid w:val="000A0700"/>
    <w:rsid w:val="000A08C0"/>
    <w:rsid w:val="000A091C"/>
    <w:rsid w:val="000A0936"/>
    <w:rsid w:val="000A096C"/>
    <w:rsid w:val="000A097B"/>
    <w:rsid w:val="000A0A83"/>
    <w:rsid w:val="000A0B84"/>
    <w:rsid w:val="000A0C5E"/>
    <w:rsid w:val="000A0C61"/>
    <w:rsid w:val="000A0CF4"/>
    <w:rsid w:val="000A0D7B"/>
    <w:rsid w:val="000A0E0D"/>
    <w:rsid w:val="000A0F34"/>
    <w:rsid w:val="000A10C0"/>
    <w:rsid w:val="000A1244"/>
    <w:rsid w:val="000A126C"/>
    <w:rsid w:val="000A1397"/>
    <w:rsid w:val="000A1568"/>
    <w:rsid w:val="000A160D"/>
    <w:rsid w:val="000A163A"/>
    <w:rsid w:val="000A1771"/>
    <w:rsid w:val="000A17A8"/>
    <w:rsid w:val="000A17D2"/>
    <w:rsid w:val="000A17F2"/>
    <w:rsid w:val="000A17F9"/>
    <w:rsid w:val="000A1A8A"/>
    <w:rsid w:val="000A20EE"/>
    <w:rsid w:val="000A2104"/>
    <w:rsid w:val="000A2187"/>
    <w:rsid w:val="000A227C"/>
    <w:rsid w:val="000A22F4"/>
    <w:rsid w:val="000A253F"/>
    <w:rsid w:val="000A2578"/>
    <w:rsid w:val="000A25D2"/>
    <w:rsid w:val="000A2787"/>
    <w:rsid w:val="000A2798"/>
    <w:rsid w:val="000A2927"/>
    <w:rsid w:val="000A29CB"/>
    <w:rsid w:val="000A2B12"/>
    <w:rsid w:val="000A2C07"/>
    <w:rsid w:val="000A2E2F"/>
    <w:rsid w:val="000A2E4F"/>
    <w:rsid w:val="000A2F27"/>
    <w:rsid w:val="000A3314"/>
    <w:rsid w:val="000A3344"/>
    <w:rsid w:val="000A33FC"/>
    <w:rsid w:val="000A3429"/>
    <w:rsid w:val="000A3846"/>
    <w:rsid w:val="000A38AA"/>
    <w:rsid w:val="000A38C9"/>
    <w:rsid w:val="000A3A03"/>
    <w:rsid w:val="000A3A5C"/>
    <w:rsid w:val="000A3C48"/>
    <w:rsid w:val="000A3D43"/>
    <w:rsid w:val="000A3D71"/>
    <w:rsid w:val="000A3EF3"/>
    <w:rsid w:val="000A402E"/>
    <w:rsid w:val="000A417F"/>
    <w:rsid w:val="000A4414"/>
    <w:rsid w:val="000A4435"/>
    <w:rsid w:val="000A44AB"/>
    <w:rsid w:val="000A45E6"/>
    <w:rsid w:val="000A46F3"/>
    <w:rsid w:val="000A47BD"/>
    <w:rsid w:val="000A484E"/>
    <w:rsid w:val="000A4923"/>
    <w:rsid w:val="000A499F"/>
    <w:rsid w:val="000A49B9"/>
    <w:rsid w:val="000A49C4"/>
    <w:rsid w:val="000A4AAB"/>
    <w:rsid w:val="000A4DA1"/>
    <w:rsid w:val="000A4EBC"/>
    <w:rsid w:val="000A4EC6"/>
    <w:rsid w:val="000A5022"/>
    <w:rsid w:val="000A5061"/>
    <w:rsid w:val="000A509F"/>
    <w:rsid w:val="000A5373"/>
    <w:rsid w:val="000A567A"/>
    <w:rsid w:val="000A579B"/>
    <w:rsid w:val="000A57AD"/>
    <w:rsid w:val="000A5896"/>
    <w:rsid w:val="000A5897"/>
    <w:rsid w:val="000A59E0"/>
    <w:rsid w:val="000A5B41"/>
    <w:rsid w:val="000A5B4E"/>
    <w:rsid w:val="000A5B55"/>
    <w:rsid w:val="000A5C2B"/>
    <w:rsid w:val="000A5DDA"/>
    <w:rsid w:val="000A5E39"/>
    <w:rsid w:val="000A5E51"/>
    <w:rsid w:val="000A5F09"/>
    <w:rsid w:val="000A5F46"/>
    <w:rsid w:val="000A5F7E"/>
    <w:rsid w:val="000A6038"/>
    <w:rsid w:val="000A604A"/>
    <w:rsid w:val="000A605E"/>
    <w:rsid w:val="000A60F5"/>
    <w:rsid w:val="000A6139"/>
    <w:rsid w:val="000A6155"/>
    <w:rsid w:val="000A6227"/>
    <w:rsid w:val="000A6481"/>
    <w:rsid w:val="000A666A"/>
    <w:rsid w:val="000A672D"/>
    <w:rsid w:val="000A6886"/>
    <w:rsid w:val="000A6949"/>
    <w:rsid w:val="000A696D"/>
    <w:rsid w:val="000A697F"/>
    <w:rsid w:val="000A69E9"/>
    <w:rsid w:val="000A69EB"/>
    <w:rsid w:val="000A6B2C"/>
    <w:rsid w:val="000A6BDF"/>
    <w:rsid w:val="000A6DA5"/>
    <w:rsid w:val="000A6DF4"/>
    <w:rsid w:val="000A6EDE"/>
    <w:rsid w:val="000A6FE7"/>
    <w:rsid w:val="000A6FEB"/>
    <w:rsid w:val="000A70E3"/>
    <w:rsid w:val="000A70EB"/>
    <w:rsid w:val="000A72E2"/>
    <w:rsid w:val="000A73F7"/>
    <w:rsid w:val="000A7410"/>
    <w:rsid w:val="000A7452"/>
    <w:rsid w:val="000A74DD"/>
    <w:rsid w:val="000A7600"/>
    <w:rsid w:val="000A761C"/>
    <w:rsid w:val="000A7662"/>
    <w:rsid w:val="000A76AD"/>
    <w:rsid w:val="000A775B"/>
    <w:rsid w:val="000A78D2"/>
    <w:rsid w:val="000A799D"/>
    <w:rsid w:val="000A7C09"/>
    <w:rsid w:val="000A7C6A"/>
    <w:rsid w:val="000A7D21"/>
    <w:rsid w:val="000A7DA3"/>
    <w:rsid w:val="000A7DDF"/>
    <w:rsid w:val="000A7E65"/>
    <w:rsid w:val="000A7F20"/>
    <w:rsid w:val="000A7F51"/>
    <w:rsid w:val="000A7F6D"/>
    <w:rsid w:val="000A7F8C"/>
    <w:rsid w:val="000B00AE"/>
    <w:rsid w:val="000B017E"/>
    <w:rsid w:val="000B023B"/>
    <w:rsid w:val="000B0389"/>
    <w:rsid w:val="000B053D"/>
    <w:rsid w:val="000B054C"/>
    <w:rsid w:val="000B059E"/>
    <w:rsid w:val="000B067F"/>
    <w:rsid w:val="000B09CA"/>
    <w:rsid w:val="000B0A5F"/>
    <w:rsid w:val="000B0AF1"/>
    <w:rsid w:val="000B0C11"/>
    <w:rsid w:val="000B0C56"/>
    <w:rsid w:val="000B0CBC"/>
    <w:rsid w:val="000B0CCD"/>
    <w:rsid w:val="000B0FD4"/>
    <w:rsid w:val="000B1196"/>
    <w:rsid w:val="000B132C"/>
    <w:rsid w:val="000B153A"/>
    <w:rsid w:val="000B15FA"/>
    <w:rsid w:val="000B17A1"/>
    <w:rsid w:val="000B17FF"/>
    <w:rsid w:val="000B1A52"/>
    <w:rsid w:val="000B1ADD"/>
    <w:rsid w:val="000B1B2B"/>
    <w:rsid w:val="000B1C9A"/>
    <w:rsid w:val="000B1EB9"/>
    <w:rsid w:val="000B1F50"/>
    <w:rsid w:val="000B1F55"/>
    <w:rsid w:val="000B1F68"/>
    <w:rsid w:val="000B20E7"/>
    <w:rsid w:val="000B20FA"/>
    <w:rsid w:val="000B2105"/>
    <w:rsid w:val="000B2158"/>
    <w:rsid w:val="000B2649"/>
    <w:rsid w:val="000B267D"/>
    <w:rsid w:val="000B26B9"/>
    <w:rsid w:val="000B284E"/>
    <w:rsid w:val="000B289B"/>
    <w:rsid w:val="000B28C6"/>
    <w:rsid w:val="000B2B52"/>
    <w:rsid w:val="000B2CCF"/>
    <w:rsid w:val="000B2D8A"/>
    <w:rsid w:val="000B2E47"/>
    <w:rsid w:val="000B2EAF"/>
    <w:rsid w:val="000B30AE"/>
    <w:rsid w:val="000B3490"/>
    <w:rsid w:val="000B3497"/>
    <w:rsid w:val="000B3530"/>
    <w:rsid w:val="000B382E"/>
    <w:rsid w:val="000B3967"/>
    <w:rsid w:val="000B39F4"/>
    <w:rsid w:val="000B3A21"/>
    <w:rsid w:val="000B3A76"/>
    <w:rsid w:val="000B3AAD"/>
    <w:rsid w:val="000B3AB0"/>
    <w:rsid w:val="000B3BB7"/>
    <w:rsid w:val="000B3CD4"/>
    <w:rsid w:val="000B3E68"/>
    <w:rsid w:val="000B3F5F"/>
    <w:rsid w:val="000B3FDA"/>
    <w:rsid w:val="000B417E"/>
    <w:rsid w:val="000B417F"/>
    <w:rsid w:val="000B41C4"/>
    <w:rsid w:val="000B4321"/>
    <w:rsid w:val="000B4403"/>
    <w:rsid w:val="000B44E2"/>
    <w:rsid w:val="000B4698"/>
    <w:rsid w:val="000B46FC"/>
    <w:rsid w:val="000B4743"/>
    <w:rsid w:val="000B47A6"/>
    <w:rsid w:val="000B47B8"/>
    <w:rsid w:val="000B484D"/>
    <w:rsid w:val="000B48E6"/>
    <w:rsid w:val="000B49A7"/>
    <w:rsid w:val="000B4BDA"/>
    <w:rsid w:val="000B4C65"/>
    <w:rsid w:val="000B4DDA"/>
    <w:rsid w:val="000B4E42"/>
    <w:rsid w:val="000B4E83"/>
    <w:rsid w:val="000B4EFD"/>
    <w:rsid w:val="000B502D"/>
    <w:rsid w:val="000B50E6"/>
    <w:rsid w:val="000B5140"/>
    <w:rsid w:val="000B5277"/>
    <w:rsid w:val="000B5288"/>
    <w:rsid w:val="000B52F1"/>
    <w:rsid w:val="000B546D"/>
    <w:rsid w:val="000B5474"/>
    <w:rsid w:val="000B54DF"/>
    <w:rsid w:val="000B5563"/>
    <w:rsid w:val="000B566E"/>
    <w:rsid w:val="000B56AE"/>
    <w:rsid w:val="000B5705"/>
    <w:rsid w:val="000B57FE"/>
    <w:rsid w:val="000B5933"/>
    <w:rsid w:val="000B5B2B"/>
    <w:rsid w:val="000B5BAF"/>
    <w:rsid w:val="000B5BB3"/>
    <w:rsid w:val="000B5BEB"/>
    <w:rsid w:val="000B5C94"/>
    <w:rsid w:val="000B5E11"/>
    <w:rsid w:val="000B5F9A"/>
    <w:rsid w:val="000B6110"/>
    <w:rsid w:val="000B6200"/>
    <w:rsid w:val="000B6242"/>
    <w:rsid w:val="000B6510"/>
    <w:rsid w:val="000B6762"/>
    <w:rsid w:val="000B67A6"/>
    <w:rsid w:val="000B67BB"/>
    <w:rsid w:val="000B6829"/>
    <w:rsid w:val="000B6A00"/>
    <w:rsid w:val="000B6A3C"/>
    <w:rsid w:val="000B6A60"/>
    <w:rsid w:val="000B6AC1"/>
    <w:rsid w:val="000B6F86"/>
    <w:rsid w:val="000B722C"/>
    <w:rsid w:val="000B7318"/>
    <w:rsid w:val="000B733F"/>
    <w:rsid w:val="000B739A"/>
    <w:rsid w:val="000B74D6"/>
    <w:rsid w:val="000B756F"/>
    <w:rsid w:val="000B75B8"/>
    <w:rsid w:val="000B76C1"/>
    <w:rsid w:val="000B76EF"/>
    <w:rsid w:val="000B7BF0"/>
    <w:rsid w:val="000B7D08"/>
    <w:rsid w:val="000B7F68"/>
    <w:rsid w:val="000C024C"/>
    <w:rsid w:val="000C0357"/>
    <w:rsid w:val="000C03FA"/>
    <w:rsid w:val="000C043E"/>
    <w:rsid w:val="000C04CC"/>
    <w:rsid w:val="000C04F4"/>
    <w:rsid w:val="000C0534"/>
    <w:rsid w:val="000C0A7E"/>
    <w:rsid w:val="000C0AA3"/>
    <w:rsid w:val="000C0EAB"/>
    <w:rsid w:val="000C123D"/>
    <w:rsid w:val="000C12EC"/>
    <w:rsid w:val="000C14A3"/>
    <w:rsid w:val="000C1583"/>
    <w:rsid w:val="000C1662"/>
    <w:rsid w:val="000C196C"/>
    <w:rsid w:val="000C199D"/>
    <w:rsid w:val="000C19A3"/>
    <w:rsid w:val="000C1AA6"/>
    <w:rsid w:val="000C1CB4"/>
    <w:rsid w:val="000C1D0E"/>
    <w:rsid w:val="000C1F49"/>
    <w:rsid w:val="000C1FC1"/>
    <w:rsid w:val="000C2053"/>
    <w:rsid w:val="000C230B"/>
    <w:rsid w:val="000C23A4"/>
    <w:rsid w:val="000C23DF"/>
    <w:rsid w:val="000C244F"/>
    <w:rsid w:val="000C24DF"/>
    <w:rsid w:val="000C2856"/>
    <w:rsid w:val="000C29B7"/>
    <w:rsid w:val="000C2A79"/>
    <w:rsid w:val="000C2C9F"/>
    <w:rsid w:val="000C2E2E"/>
    <w:rsid w:val="000C304E"/>
    <w:rsid w:val="000C3117"/>
    <w:rsid w:val="000C3299"/>
    <w:rsid w:val="000C33B6"/>
    <w:rsid w:val="000C3780"/>
    <w:rsid w:val="000C3792"/>
    <w:rsid w:val="000C3798"/>
    <w:rsid w:val="000C37C8"/>
    <w:rsid w:val="000C3892"/>
    <w:rsid w:val="000C39F1"/>
    <w:rsid w:val="000C3A08"/>
    <w:rsid w:val="000C3BD1"/>
    <w:rsid w:val="000C3D41"/>
    <w:rsid w:val="000C3D5F"/>
    <w:rsid w:val="000C3F18"/>
    <w:rsid w:val="000C3F27"/>
    <w:rsid w:val="000C3F74"/>
    <w:rsid w:val="000C40FA"/>
    <w:rsid w:val="000C413D"/>
    <w:rsid w:val="000C41D6"/>
    <w:rsid w:val="000C4265"/>
    <w:rsid w:val="000C4387"/>
    <w:rsid w:val="000C44FB"/>
    <w:rsid w:val="000C45AF"/>
    <w:rsid w:val="000C45D5"/>
    <w:rsid w:val="000C45E9"/>
    <w:rsid w:val="000C4711"/>
    <w:rsid w:val="000C48A2"/>
    <w:rsid w:val="000C4ACE"/>
    <w:rsid w:val="000C4BC4"/>
    <w:rsid w:val="000C4CF6"/>
    <w:rsid w:val="000C4EAA"/>
    <w:rsid w:val="000C5089"/>
    <w:rsid w:val="000C50E5"/>
    <w:rsid w:val="000C5128"/>
    <w:rsid w:val="000C512A"/>
    <w:rsid w:val="000C52C1"/>
    <w:rsid w:val="000C5359"/>
    <w:rsid w:val="000C5563"/>
    <w:rsid w:val="000C5996"/>
    <w:rsid w:val="000C5B55"/>
    <w:rsid w:val="000C5E37"/>
    <w:rsid w:val="000C6009"/>
    <w:rsid w:val="000C61D0"/>
    <w:rsid w:val="000C66AD"/>
    <w:rsid w:val="000C6731"/>
    <w:rsid w:val="000C698A"/>
    <w:rsid w:val="000C6A4B"/>
    <w:rsid w:val="000C6A7B"/>
    <w:rsid w:val="000C6B6C"/>
    <w:rsid w:val="000C6BF0"/>
    <w:rsid w:val="000C6D83"/>
    <w:rsid w:val="000C6DB5"/>
    <w:rsid w:val="000C6E18"/>
    <w:rsid w:val="000C6E57"/>
    <w:rsid w:val="000C6FC0"/>
    <w:rsid w:val="000C6FF3"/>
    <w:rsid w:val="000C70B5"/>
    <w:rsid w:val="000C718A"/>
    <w:rsid w:val="000C7205"/>
    <w:rsid w:val="000C7492"/>
    <w:rsid w:val="000C7516"/>
    <w:rsid w:val="000C7781"/>
    <w:rsid w:val="000C779D"/>
    <w:rsid w:val="000C789C"/>
    <w:rsid w:val="000C79D5"/>
    <w:rsid w:val="000C7D7D"/>
    <w:rsid w:val="000C7E06"/>
    <w:rsid w:val="000C7F38"/>
    <w:rsid w:val="000C7FEC"/>
    <w:rsid w:val="000D0035"/>
    <w:rsid w:val="000D00B1"/>
    <w:rsid w:val="000D0120"/>
    <w:rsid w:val="000D0149"/>
    <w:rsid w:val="000D033B"/>
    <w:rsid w:val="000D03DE"/>
    <w:rsid w:val="000D0444"/>
    <w:rsid w:val="000D04D2"/>
    <w:rsid w:val="000D0609"/>
    <w:rsid w:val="000D065C"/>
    <w:rsid w:val="000D0799"/>
    <w:rsid w:val="000D07D3"/>
    <w:rsid w:val="000D0905"/>
    <w:rsid w:val="000D09BC"/>
    <w:rsid w:val="000D0AF0"/>
    <w:rsid w:val="000D0D2F"/>
    <w:rsid w:val="000D0E96"/>
    <w:rsid w:val="000D0EF5"/>
    <w:rsid w:val="000D0F25"/>
    <w:rsid w:val="000D0F44"/>
    <w:rsid w:val="000D0F71"/>
    <w:rsid w:val="000D117B"/>
    <w:rsid w:val="000D11A4"/>
    <w:rsid w:val="000D1399"/>
    <w:rsid w:val="000D1537"/>
    <w:rsid w:val="000D158B"/>
    <w:rsid w:val="000D1613"/>
    <w:rsid w:val="000D16A9"/>
    <w:rsid w:val="000D16BA"/>
    <w:rsid w:val="000D16DF"/>
    <w:rsid w:val="000D1706"/>
    <w:rsid w:val="000D1736"/>
    <w:rsid w:val="000D1856"/>
    <w:rsid w:val="000D18AD"/>
    <w:rsid w:val="000D194A"/>
    <w:rsid w:val="000D1BB5"/>
    <w:rsid w:val="000D1E24"/>
    <w:rsid w:val="000D1E81"/>
    <w:rsid w:val="000D1E97"/>
    <w:rsid w:val="000D22C7"/>
    <w:rsid w:val="000D23D9"/>
    <w:rsid w:val="000D2417"/>
    <w:rsid w:val="000D24BE"/>
    <w:rsid w:val="000D27DE"/>
    <w:rsid w:val="000D2945"/>
    <w:rsid w:val="000D2A66"/>
    <w:rsid w:val="000D2B73"/>
    <w:rsid w:val="000D2C21"/>
    <w:rsid w:val="000D2C95"/>
    <w:rsid w:val="000D2E36"/>
    <w:rsid w:val="000D2EA9"/>
    <w:rsid w:val="000D2F90"/>
    <w:rsid w:val="000D307B"/>
    <w:rsid w:val="000D30D6"/>
    <w:rsid w:val="000D3136"/>
    <w:rsid w:val="000D35D2"/>
    <w:rsid w:val="000D368E"/>
    <w:rsid w:val="000D3843"/>
    <w:rsid w:val="000D3A1E"/>
    <w:rsid w:val="000D3A4B"/>
    <w:rsid w:val="000D3A51"/>
    <w:rsid w:val="000D3A97"/>
    <w:rsid w:val="000D3CF2"/>
    <w:rsid w:val="000D3D6D"/>
    <w:rsid w:val="000D3E0B"/>
    <w:rsid w:val="000D3E25"/>
    <w:rsid w:val="000D3E64"/>
    <w:rsid w:val="000D3EA0"/>
    <w:rsid w:val="000D3F61"/>
    <w:rsid w:val="000D40F6"/>
    <w:rsid w:val="000D411C"/>
    <w:rsid w:val="000D411D"/>
    <w:rsid w:val="000D41A9"/>
    <w:rsid w:val="000D436B"/>
    <w:rsid w:val="000D43D4"/>
    <w:rsid w:val="000D440A"/>
    <w:rsid w:val="000D4489"/>
    <w:rsid w:val="000D4497"/>
    <w:rsid w:val="000D45F3"/>
    <w:rsid w:val="000D4668"/>
    <w:rsid w:val="000D48C1"/>
    <w:rsid w:val="000D4C58"/>
    <w:rsid w:val="000D4E41"/>
    <w:rsid w:val="000D4FAB"/>
    <w:rsid w:val="000D5229"/>
    <w:rsid w:val="000D52B8"/>
    <w:rsid w:val="000D530F"/>
    <w:rsid w:val="000D544B"/>
    <w:rsid w:val="000D559E"/>
    <w:rsid w:val="000D5612"/>
    <w:rsid w:val="000D5621"/>
    <w:rsid w:val="000D5652"/>
    <w:rsid w:val="000D590A"/>
    <w:rsid w:val="000D5927"/>
    <w:rsid w:val="000D5995"/>
    <w:rsid w:val="000D5D40"/>
    <w:rsid w:val="000D5EBB"/>
    <w:rsid w:val="000D5EFF"/>
    <w:rsid w:val="000D5FC7"/>
    <w:rsid w:val="000D60FD"/>
    <w:rsid w:val="000D611C"/>
    <w:rsid w:val="000D6270"/>
    <w:rsid w:val="000D6371"/>
    <w:rsid w:val="000D646C"/>
    <w:rsid w:val="000D67CE"/>
    <w:rsid w:val="000D67DC"/>
    <w:rsid w:val="000D68B4"/>
    <w:rsid w:val="000D6964"/>
    <w:rsid w:val="000D6AB0"/>
    <w:rsid w:val="000D6AF1"/>
    <w:rsid w:val="000D6BF4"/>
    <w:rsid w:val="000D6C23"/>
    <w:rsid w:val="000D6C61"/>
    <w:rsid w:val="000D6C70"/>
    <w:rsid w:val="000D6CE0"/>
    <w:rsid w:val="000D6D8A"/>
    <w:rsid w:val="000D6DA2"/>
    <w:rsid w:val="000D6E30"/>
    <w:rsid w:val="000D6E5B"/>
    <w:rsid w:val="000D6EC0"/>
    <w:rsid w:val="000D6F79"/>
    <w:rsid w:val="000D70B9"/>
    <w:rsid w:val="000D717B"/>
    <w:rsid w:val="000D71C5"/>
    <w:rsid w:val="000D71DA"/>
    <w:rsid w:val="000D7280"/>
    <w:rsid w:val="000D72BC"/>
    <w:rsid w:val="000D72C6"/>
    <w:rsid w:val="000D7361"/>
    <w:rsid w:val="000D7405"/>
    <w:rsid w:val="000D7501"/>
    <w:rsid w:val="000D75B8"/>
    <w:rsid w:val="000D7764"/>
    <w:rsid w:val="000D77A2"/>
    <w:rsid w:val="000D77BC"/>
    <w:rsid w:val="000D7823"/>
    <w:rsid w:val="000D79E2"/>
    <w:rsid w:val="000D7A23"/>
    <w:rsid w:val="000D7A43"/>
    <w:rsid w:val="000D7A79"/>
    <w:rsid w:val="000D7AB1"/>
    <w:rsid w:val="000D7C23"/>
    <w:rsid w:val="000D7E03"/>
    <w:rsid w:val="000D7E7E"/>
    <w:rsid w:val="000D7FC5"/>
    <w:rsid w:val="000E0300"/>
    <w:rsid w:val="000E0303"/>
    <w:rsid w:val="000E034E"/>
    <w:rsid w:val="000E0706"/>
    <w:rsid w:val="000E0755"/>
    <w:rsid w:val="000E076B"/>
    <w:rsid w:val="000E08A0"/>
    <w:rsid w:val="000E0AC2"/>
    <w:rsid w:val="000E0B53"/>
    <w:rsid w:val="000E0B69"/>
    <w:rsid w:val="000E0D0B"/>
    <w:rsid w:val="000E0D43"/>
    <w:rsid w:val="000E0FA7"/>
    <w:rsid w:val="000E1062"/>
    <w:rsid w:val="000E1202"/>
    <w:rsid w:val="000E131D"/>
    <w:rsid w:val="000E13C8"/>
    <w:rsid w:val="000E13CE"/>
    <w:rsid w:val="000E1480"/>
    <w:rsid w:val="000E14A3"/>
    <w:rsid w:val="000E14C4"/>
    <w:rsid w:val="000E1656"/>
    <w:rsid w:val="000E166A"/>
    <w:rsid w:val="000E18D5"/>
    <w:rsid w:val="000E18D9"/>
    <w:rsid w:val="000E1CD4"/>
    <w:rsid w:val="000E1D45"/>
    <w:rsid w:val="000E1DBF"/>
    <w:rsid w:val="000E1DEF"/>
    <w:rsid w:val="000E1E37"/>
    <w:rsid w:val="000E1F0E"/>
    <w:rsid w:val="000E1FAC"/>
    <w:rsid w:val="000E2117"/>
    <w:rsid w:val="000E2184"/>
    <w:rsid w:val="000E21B7"/>
    <w:rsid w:val="000E2350"/>
    <w:rsid w:val="000E23DE"/>
    <w:rsid w:val="000E2565"/>
    <w:rsid w:val="000E2589"/>
    <w:rsid w:val="000E2620"/>
    <w:rsid w:val="000E2671"/>
    <w:rsid w:val="000E26AF"/>
    <w:rsid w:val="000E2746"/>
    <w:rsid w:val="000E28BD"/>
    <w:rsid w:val="000E2BC0"/>
    <w:rsid w:val="000E2BEA"/>
    <w:rsid w:val="000E2C16"/>
    <w:rsid w:val="000E2E72"/>
    <w:rsid w:val="000E3065"/>
    <w:rsid w:val="000E30F2"/>
    <w:rsid w:val="000E317D"/>
    <w:rsid w:val="000E3263"/>
    <w:rsid w:val="000E32E0"/>
    <w:rsid w:val="000E3320"/>
    <w:rsid w:val="000E332C"/>
    <w:rsid w:val="000E3330"/>
    <w:rsid w:val="000E3551"/>
    <w:rsid w:val="000E3759"/>
    <w:rsid w:val="000E3787"/>
    <w:rsid w:val="000E3795"/>
    <w:rsid w:val="000E37F6"/>
    <w:rsid w:val="000E38CD"/>
    <w:rsid w:val="000E391A"/>
    <w:rsid w:val="000E394B"/>
    <w:rsid w:val="000E397B"/>
    <w:rsid w:val="000E39E8"/>
    <w:rsid w:val="000E3B19"/>
    <w:rsid w:val="000E3BA4"/>
    <w:rsid w:val="000E3EEB"/>
    <w:rsid w:val="000E3F0B"/>
    <w:rsid w:val="000E41F5"/>
    <w:rsid w:val="000E4273"/>
    <w:rsid w:val="000E4479"/>
    <w:rsid w:val="000E4495"/>
    <w:rsid w:val="000E44C1"/>
    <w:rsid w:val="000E450D"/>
    <w:rsid w:val="000E47B0"/>
    <w:rsid w:val="000E47D8"/>
    <w:rsid w:val="000E47DC"/>
    <w:rsid w:val="000E498A"/>
    <w:rsid w:val="000E49FE"/>
    <w:rsid w:val="000E4CCA"/>
    <w:rsid w:val="000E4DF3"/>
    <w:rsid w:val="000E4ED8"/>
    <w:rsid w:val="000E4F1F"/>
    <w:rsid w:val="000E4FF3"/>
    <w:rsid w:val="000E51BE"/>
    <w:rsid w:val="000E5433"/>
    <w:rsid w:val="000E5487"/>
    <w:rsid w:val="000E560C"/>
    <w:rsid w:val="000E5629"/>
    <w:rsid w:val="000E5789"/>
    <w:rsid w:val="000E57F2"/>
    <w:rsid w:val="000E57FA"/>
    <w:rsid w:val="000E588E"/>
    <w:rsid w:val="000E58A7"/>
    <w:rsid w:val="000E5A07"/>
    <w:rsid w:val="000E5B1A"/>
    <w:rsid w:val="000E5B72"/>
    <w:rsid w:val="000E5B89"/>
    <w:rsid w:val="000E5BD2"/>
    <w:rsid w:val="000E5C60"/>
    <w:rsid w:val="000E5CE0"/>
    <w:rsid w:val="000E5E03"/>
    <w:rsid w:val="000E5ED1"/>
    <w:rsid w:val="000E5F84"/>
    <w:rsid w:val="000E6163"/>
    <w:rsid w:val="000E6182"/>
    <w:rsid w:val="000E63C8"/>
    <w:rsid w:val="000E6404"/>
    <w:rsid w:val="000E64AF"/>
    <w:rsid w:val="000E64D2"/>
    <w:rsid w:val="000E685F"/>
    <w:rsid w:val="000E6947"/>
    <w:rsid w:val="000E6A2E"/>
    <w:rsid w:val="000E6A7C"/>
    <w:rsid w:val="000E6C98"/>
    <w:rsid w:val="000E6CFA"/>
    <w:rsid w:val="000E6D15"/>
    <w:rsid w:val="000E6D6E"/>
    <w:rsid w:val="000E6DF8"/>
    <w:rsid w:val="000E704C"/>
    <w:rsid w:val="000E70A0"/>
    <w:rsid w:val="000E70AC"/>
    <w:rsid w:val="000E715D"/>
    <w:rsid w:val="000E7220"/>
    <w:rsid w:val="000E7408"/>
    <w:rsid w:val="000E7614"/>
    <w:rsid w:val="000E763C"/>
    <w:rsid w:val="000E7917"/>
    <w:rsid w:val="000E7BC5"/>
    <w:rsid w:val="000E7CEA"/>
    <w:rsid w:val="000E7E29"/>
    <w:rsid w:val="000E7E93"/>
    <w:rsid w:val="000E7EE0"/>
    <w:rsid w:val="000E7FAD"/>
    <w:rsid w:val="000F032B"/>
    <w:rsid w:val="000F0336"/>
    <w:rsid w:val="000F055C"/>
    <w:rsid w:val="000F0632"/>
    <w:rsid w:val="000F0755"/>
    <w:rsid w:val="000F07E1"/>
    <w:rsid w:val="000F085A"/>
    <w:rsid w:val="000F089F"/>
    <w:rsid w:val="000F096F"/>
    <w:rsid w:val="000F0A6D"/>
    <w:rsid w:val="000F0A82"/>
    <w:rsid w:val="000F0AA1"/>
    <w:rsid w:val="000F0D3F"/>
    <w:rsid w:val="000F0DFA"/>
    <w:rsid w:val="000F0E4F"/>
    <w:rsid w:val="000F0E68"/>
    <w:rsid w:val="000F0EA8"/>
    <w:rsid w:val="000F0EC4"/>
    <w:rsid w:val="000F0F00"/>
    <w:rsid w:val="000F131E"/>
    <w:rsid w:val="000F1743"/>
    <w:rsid w:val="000F195F"/>
    <w:rsid w:val="000F19A7"/>
    <w:rsid w:val="000F1CD1"/>
    <w:rsid w:val="000F1D24"/>
    <w:rsid w:val="000F1D26"/>
    <w:rsid w:val="000F1D77"/>
    <w:rsid w:val="000F1F42"/>
    <w:rsid w:val="000F202A"/>
    <w:rsid w:val="000F21EA"/>
    <w:rsid w:val="000F21F1"/>
    <w:rsid w:val="000F229F"/>
    <w:rsid w:val="000F23A6"/>
    <w:rsid w:val="000F23D4"/>
    <w:rsid w:val="000F23E5"/>
    <w:rsid w:val="000F2706"/>
    <w:rsid w:val="000F2814"/>
    <w:rsid w:val="000F2912"/>
    <w:rsid w:val="000F2A5B"/>
    <w:rsid w:val="000F2B8B"/>
    <w:rsid w:val="000F2C67"/>
    <w:rsid w:val="000F2D90"/>
    <w:rsid w:val="000F3060"/>
    <w:rsid w:val="000F3080"/>
    <w:rsid w:val="000F309A"/>
    <w:rsid w:val="000F31BA"/>
    <w:rsid w:val="000F3635"/>
    <w:rsid w:val="000F363C"/>
    <w:rsid w:val="000F375A"/>
    <w:rsid w:val="000F3819"/>
    <w:rsid w:val="000F3893"/>
    <w:rsid w:val="000F3896"/>
    <w:rsid w:val="000F3A1A"/>
    <w:rsid w:val="000F3AD8"/>
    <w:rsid w:val="000F401D"/>
    <w:rsid w:val="000F4030"/>
    <w:rsid w:val="000F41F0"/>
    <w:rsid w:val="000F42FE"/>
    <w:rsid w:val="000F4324"/>
    <w:rsid w:val="000F4382"/>
    <w:rsid w:val="000F43AC"/>
    <w:rsid w:val="000F43F9"/>
    <w:rsid w:val="000F4407"/>
    <w:rsid w:val="000F445F"/>
    <w:rsid w:val="000F4662"/>
    <w:rsid w:val="000F4670"/>
    <w:rsid w:val="000F479A"/>
    <w:rsid w:val="000F49B7"/>
    <w:rsid w:val="000F4FDF"/>
    <w:rsid w:val="000F5077"/>
    <w:rsid w:val="000F50B4"/>
    <w:rsid w:val="000F5230"/>
    <w:rsid w:val="000F5287"/>
    <w:rsid w:val="000F52B3"/>
    <w:rsid w:val="000F52BE"/>
    <w:rsid w:val="000F530F"/>
    <w:rsid w:val="000F5354"/>
    <w:rsid w:val="000F5408"/>
    <w:rsid w:val="000F551A"/>
    <w:rsid w:val="000F5566"/>
    <w:rsid w:val="000F5794"/>
    <w:rsid w:val="000F57C5"/>
    <w:rsid w:val="000F57E2"/>
    <w:rsid w:val="000F58D8"/>
    <w:rsid w:val="000F5A1C"/>
    <w:rsid w:val="000F5C69"/>
    <w:rsid w:val="000F5CA6"/>
    <w:rsid w:val="000F5CAB"/>
    <w:rsid w:val="000F5D96"/>
    <w:rsid w:val="000F5E2B"/>
    <w:rsid w:val="000F5F16"/>
    <w:rsid w:val="000F5F8B"/>
    <w:rsid w:val="000F601C"/>
    <w:rsid w:val="000F6026"/>
    <w:rsid w:val="000F604A"/>
    <w:rsid w:val="000F606F"/>
    <w:rsid w:val="000F62B5"/>
    <w:rsid w:val="000F62C2"/>
    <w:rsid w:val="000F648C"/>
    <w:rsid w:val="000F6519"/>
    <w:rsid w:val="000F65E4"/>
    <w:rsid w:val="000F667F"/>
    <w:rsid w:val="000F66A4"/>
    <w:rsid w:val="000F6722"/>
    <w:rsid w:val="000F680D"/>
    <w:rsid w:val="000F6917"/>
    <w:rsid w:val="000F70A1"/>
    <w:rsid w:val="000F716F"/>
    <w:rsid w:val="000F764D"/>
    <w:rsid w:val="000F7ACD"/>
    <w:rsid w:val="000F7BEF"/>
    <w:rsid w:val="000F7C59"/>
    <w:rsid w:val="000F7C75"/>
    <w:rsid w:val="000F7D12"/>
    <w:rsid w:val="000F7D34"/>
    <w:rsid w:val="000F7F35"/>
    <w:rsid w:val="00100074"/>
    <w:rsid w:val="001000F9"/>
    <w:rsid w:val="001001AB"/>
    <w:rsid w:val="001001B5"/>
    <w:rsid w:val="00100240"/>
    <w:rsid w:val="0010045F"/>
    <w:rsid w:val="00100797"/>
    <w:rsid w:val="001008A1"/>
    <w:rsid w:val="001008D1"/>
    <w:rsid w:val="0010090D"/>
    <w:rsid w:val="00100C46"/>
    <w:rsid w:val="00100C88"/>
    <w:rsid w:val="00100CAA"/>
    <w:rsid w:val="00100E23"/>
    <w:rsid w:val="00100EBC"/>
    <w:rsid w:val="0010115C"/>
    <w:rsid w:val="00101422"/>
    <w:rsid w:val="0010146E"/>
    <w:rsid w:val="001014E4"/>
    <w:rsid w:val="001014F2"/>
    <w:rsid w:val="0010151A"/>
    <w:rsid w:val="001015E4"/>
    <w:rsid w:val="001016D4"/>
    <w:rsid w:val="001016E0"/>
    <w:rsid w:val="00101782"/>
    <w:rsid w:val="00101874"/>
    <w:rsid w:val="00101A1F"/>
    <w:rsid w:val="00101AD5"/>
    <w:rsid w:val="00101B01"/>
    <w:rsid w:val="00101B6F"/>
    <w:rsid w:val="00101BDD"/>
    <w:rsid w:val="00101D09"/>
    <w:rsid w:val="00101D73"/>
    <w:rsid w:val="00101D80"/>
    <w:rsid w:val="00101D93"/>
    <w:rsid w:val="00101DD0"/>
    <w:rsid w:val="00101E69"/>
    <w:rsid w:val="00101F49"/>
    <w:rsid w:val="0010209E"/>
    <w:rsid w:val="00102276"/>
    <w:rsid w:val="0010245A"/>
    <w:rsid w:val="0010252F"/>
    <w:rsid w:val="001026A4"/>
    <w:rsid w:val="00102846"/>
    <w:rsid w:val="0010284D"/>
    <w:rsid w:val="001028A8"/>
    <w:rsid w:val="0010296E"/>
    <w:rsid w:val="001029B4"/>
    <w:rsid w:val="00102A74"/>
    <w:rsid w:val="00102C86"/>
    <w:rsid w:val="00102D26"/>
    <w:rsid w:val="00102D6C"/>
    <w:rsid w:val="00102EAD"/>
    <w:rsid w:val="00102FE6"/>
    <w:rsid w:val="00103145"/>
    <w:rsid w:val="0010316C"/>
    <w:rsid w:val="00103252"/>
    <w:rsid w:val="001032E5"/>
    <w:rsid w:val="0010334E"/>
    <w:rsid w:val="00103363"/>
    <w:rsid w:val="001033B1"/>
    <w:rsid w:val="001033FF"/>
    <w:rsid w:val="0010353A"/>
    <w:rsid w:val="00103954"/>
    <w:rsid w:val="00103968"/>
    <w:rsid w:val="0010397E"/>
    <w:rsid w:val="00103AE9"/>
    <w:rsid w:val="00103B6C"/>
    <w:rsid w:val="00103C4E"/>
    <w:rsid w:val="00103C54"/>
    <w:rsid w:val="00103D87"/>
    <w:rsid w:val="00103E11"/>
    <w:rsid w:val="00103E19"/>
    <w:rsid w:val="00104011"/>
    <w:rsid w:val="00104017"/>
    <w:rsid w:val="0010419F"/>
    <w:rsid w:val="0010437D"/>
    <w:rsid w:val="00104758"/>
    <w:rsid w:val="00104B20"/>
    <w:rsid w:val="00104B45"/>
    <w:rsid w:val="00104B76"/>
    <w:rsid w:val="00104B8E"/>
    <w:rsid w:val="00104C63"/>
    <w:rsid w:val="00104D0E"/>
    <w:rsid w:val="00104EC9"/>
    <w:rsid w:val="00104F16"/>
    <w:rsid w:val="0010501C"/>
    <w:rsid w:val="00105112"/>
    <w:rsid w:val="001051EA"/>
    <w:rsid w:val="0010529C"/>
    <w:rsid w:val="0010533C"/>
    <w:rsid w:val="00105341"/>
    <w:rsid w:val="00105A6A"/>
    <w:rsid w:val="00105A83"/>
    <w:rsid w:val="00105E2E"/>
    <w:rsid w:val="001061BA"/>
    <w:rsid w:val="001061F8"/>
    <w:rsid w:val="00106514"/>
    <w:rsid w:val="00106517"/>
    <w:rsid w:val="0010675D"/>
    <w:rsid w:val="0010688D"/>
    <w:rsid w:val="00106916"/>
    <w:rsid w:val="00106931"/>
    <w:rsid w:val="001069C7"/>
    <w:rsid w:val="001069DF"/>
    <w:rsid w:val="00106B55"/>
    <w:rsid w:val="00106D39"/>
    <w:rsid w:val="00106DE7"/>
    <w:rsid w:val="001071C7"/>
    <w:rsid w:val="00107200"/>
    <w:rsid w:val="00107228"/>
    <w:rsid w:val="001072C2"/>
    <w:rsid w:val="00107313"/>
    <w:rsid w:val="0010733B"/>
    <w:rsid w:val="001073DE"/>
    <w:rsid w:val="0010746C"/>
    <w:rsid w:val="001074C4"/>
    <w:rsid w:val="001075E0"/>
    <w:rsid w:val="001076A1"/>
    <w:rsid w:val="001076D8"/>
    <w:rsid w:val="00107736"/>
    <w:rsid w:val="00107898"/>
    <w:rsid w:val="00107A5C"/>
    <w:rsid w:val="00107AFF"/>
    <w:rsid w:val="00107CBA"/>
    <w:rsid w:val="00107CDC"/>
    <w:rsid w:val="00107E72"/>
    <w:rsid w:val="00107ECE"/>
    <w:rsid w:val="00107F4B"/>
    <w:rsid w:val="001100A3"/>
    <w:rsid w:val="00110152"/>
    <w:rsid w:val="001101FA"/>
    <w:rsid w:val="00110202"/>
    <w:rsid w:val="00110290"/>
    <w:rsid w:val="0011051E"/>
    <w:rsid w:val="00110771"/>
    <w:rsid w:val="001107FC"/>
    <w:rsid w:val="0011080B"/>
    <w:rsid w:val="00110838"/>
    <w:rsid w:val="00110908"/>
    <w:rsid w:val="0011090B"/>
    <w:rsid w:val="00110966"/>
    <w:rsid w:val="001109FF"/>
    <w:rsid w:val="00110A2D"/>
    <w:rsid w:val="00110AAA"/>
    <w:rsid w:val="00110F89"/>
    <w:rsid w:val="00110FBF"/>
    <w:rsid w:val="00111088"/>
    <w:rsid w:val="001110FC"/>
    <w:rsid w:val="00111286"/>
    <w:rsid w:val="001112F5"/>
    <w:rsid w:val="00111354"/>
    <w:rsid w:val="0011136B"/>
    <w:rsid w:val="0011161E"/>
    <w:rsid w:val="0011173D"/>
    <w:rsid w:val="00111759"/>
    <w:rsid w:val="001118DD"/>
    <w:rsid w:val="001119D0"/>
    <w:rsid w:val="001119E1"/>
    <w:rsid w:val="00111A40"/>
    <w:rsid w:val="00111D6E"/>
    <w:rsid w:val="00111DC1"/>
    <w:rsid w:val="00111E08"/>
    <w:rsid w:val="00111E1C"/>
    <w:rsid w:val="00111FA3"/>
    <w:rsid w:val="00112085"/>
    <w:rsid w:val="001122DD"/>
    <w:rsid w:val="00112358"/>
    <w:rsid w:val="001123A4"/>
    <w:rsid w:val="001123CA"/>
    <w:rsid w:val="001124FD"/>
    <w:rsid w:val="00112651"/>
    <w:rsid w:val="001126D6"/>
    <w:rsid w:val="00112753"/>
    <w:rsid w:val="001127ED"/>
    <w:rsid w:val="00112886"/>
    <w:rsid w:val="00112ADF"/>
    <w:rsid w:val="00112C9B"/>
    <w:rsid w:val="00112CC3"/>
    <w:rsid w:val="00112D7B"/>
    <w:rsid w:val="00112E93"/>
    <w:rsid w:val="00112F2C"/>
    <w:rsid w:val="00113023"/>
    <w:rsid w:val="001130E1"/>
    <w:rsid w:val="001130E3"/>
    <w:rsid w:val="0011314E"/>
    <w:rsid w:val="00113199"/>
    <w:rsid w:val="001132A8"/>
    <w:rsid w:val="001134DF"/>
    <w:rsid w:val="00113672"/>
    <w:rsid w:val="001136DD"/>
    <w:rsid w:val="001137CE"/>
    <w:rsid w:val="00113826"/>
    <w:rsid w:val="001138E8"/>
    <w:rsid w:val="00113A11"/>
    <w:rsid w:val="00113D1F"/>
    <w:rsid w:val="00113D76"/>
    <w:rsid w:val="00113D8A"/>
    <w:rsid w:val="00113E1B"/>
    <w:rsid w:val="00113F01"/>
    <w:rsid w:val="0011410B"/>
    <w:rsid w:val="0011411A"/>
    <w:rsid w:val="00114185"/>
    <w:rsid w:val="0011418A"/>
    <w:rsid w:val="00114213"/>
    <w:rsid w:val="001142CB"/>
    <w:rsid w:val="00114506"/>
    <w:rsid w:val="0011450D"/>
    <w:rsid w:val="001145EF"/>
    <w:rsid w:val="0011462D"/>
    <w:rsid w:val="0011482B"/>
    <w:rsid w:val="00114862"/>
    <w:rsid w:val="001148D1"/>
    <w:rsid w:val="00114962"/>
    <w:rsid w:val="001149CD"/>
    <w:rsid w:val="001149E7"/>
    <w:rsid w:val="001149F3"/>
    <w:rsid w:val="00114A84"/>
    <w:rsid w:val="00114A91"/>
    <w:rsid w:val="00114B24"/>
    <w:rsid w:val="00114BB9"/>
    <w:rsid w:val="00114BD4"/>
    <w:rsid w:val="00114D1D"/>
    <w:rsid w:val="00114E44"/>
    <w:rsid w:val="00115088"/>
    <w:rsid w:val="0011517B"/>
    <w:rsid w:val="00115326"/>
    <w:rsid w:val="0011534D"/>
    <w:rsid w:val="0011546D"/>
    <w:rsid w:val="00115723"/>
    <w:rsid w:val="0011573C"/>
    <w:rsid w:val="00115863"/>
    <w:rsid w:val="00115930"/>
    <w:rsid w:val="00115941"/>
    <w:rsid w:val="00115972"/>
    <w:rsid w:val="0011598E"/>
    <w:rsid w:val="00115A3E"/>
    <w:rsid w:val="00115AA5"/>
    <w:rsid w:val="00115C2F"/>
    <w:rsid w:val="00115E47"/>
    <w:rsid w:val="0011600D"/>
    <w:rsid w:val="00116077"/>
    <w:rsid w:val="00116215"/>
    <w:rsid w:val="00116416"/>
    <w:rsid w:val="001166FC"/>
    <w:rsid w:val="00116773"/>
    <w:rsid w:val="0011679C"/>
    <w:rsid w:val="0011684F"/>
    <w:rsid w:val="001168A1"/>
    <w:rsid w:val="001169A3"/>
    <w:rsid w:val="00116A78"/>
    <w:rsid w:val="00116C87"/>
    <w:rsid w:val="00116E53"/>
    <w:rsid w:val="00116EBE"/>
    <w:rsid w:val="00116F19"/>
    <w:rsid w:val="00116F1C"/>
    <w:rsid w:val="00116FB1"/>
    <w:rsid w:val="00116FC2"/>
    <w:rsid w:val="001171F6"/>
    <w:rsid w:val="00117273"/>
    <w:rsid w:val="001172CF"/>
    <w:rsid w:val="0011735B"/>
    <w:rsid w:val="0011737C"/>
    <w:rsid w:val="00117384"/>
    <w:rsid w:val="0011747B"/>
    <w:rsid w:val="0011749E"/>
    <w:rsid w:val="00117576"/>
    <w:rsid w:val="0011758F"/>
    <w:rsid w:val="001175AB"/>
    <w:rsid w:val="001175E1"/>
    <w:rsid w:val="001176B3"/>
    <w:rsid w:val="001177E2"/>
    <w:rsid w:val="00117A0E"/>
    <w:rsid w:val="00117A49"/>
    <w:rsid w:val="00117AF6"/>
    <w:rsid w:val="00117B07"/>
    <w:rsid w:val="00117B76"/>
    <w:rsid w:val="00117C31"/>
    <w:rsid w:val="00117C84"/>
    <w:rsid w:val="00117CA2"/>
    <w:rsid w:val="00117CEE"/>
    <w:rsid w:val="00117D73"/>
    <w:rsid w:val="00117DCF"/>
    <w:rsid w:val="00117E63"/>
    <w:rsid w:val="0012016B"/>
    <w:rsid w:val="001201F5"/>
    <w:rsid w:val="001203DF"/>
    <w:rsid w:val="001205A4"/>
    <w:rsid w:val="00120947"/>
    <w:rsid w:val="00120A59"/>
    <w:rsid w:val="00120AB8"/>
    <w:rsid w:val="00120D08"/>
    <w:rsid w:val="00120D5F"/>
    <w:rsid w:val="00120F49"/>
    <w:rsid w:val="0012101B"/>
    <w:rsid w:val="0012105E"/>
    <w:rsid w:val="001210E6"/>
    <w:rsid w:val="00121215"/>
    <w:rsid w:val="00121314"/>
    <w:rsid w:val="001215F9"/>
    <w:rsid w:val="00121799"/>
    <w:rsid w:val="001219C2"/>
    <w:rsid w:val="00121ACD"/>
    <w:rsid w:val="00121BA9"/>
    <w:rsid w:val="00121C2F"/>
    <w:rsid w:val="00121C7D"/>
    <w:rsid w:val="00121CDE"/>
    <w:rsid w:val="00121DBD"/>
    <w:rsid w:val="00121FAD"/>
    <w:rsid w:val="00122085"/>
    <w:rsid w:val="001220A2"/>
    <w:rsid w:val="00122135"/>
    <w:rsid w:val="00122315"/>
    <w:rsid w:val="0012235D"/>
    <w:rsid w:val="00122396"/>
    <w:rsid w:val="001223C4"/>
    <w:rsid w:val="001223E6"/>
    <w:rsid w:val="00122411"/>
    <w:rsid w:val="00122585"/>
    <w:rsid w:val="00122647"/>
    <w:rsid w:val="0012270E"/>
    <w:rsid w:val="001227B9"/>
    <w:rsid w:val="00122930"/>
    <w:rsid w:val="00122C7A"/>
    <w:rsid w:val="00122E17"/>
    <w:rsid w:val="00122ECE"/>
    <w:rsid w:val="00122F0C"/>
    <w:rsid w:val="00122FD4"/>
    <w:rsid w:val="001230CF"/>
    <w:rsid w:val="00123344"/>
    <w:rsid w:val="001233F2"/>
    <w:rsid w:val="001234A4"/>
    <w:rsid w:val="0012352B"/>
    <w:rsid w:val="00123625"/>
    <w:rsid w:val="00123650"/>
    <w:rsid w:val="001236C1"/>
    <w:rsid w:val="0012371C"/>
    <w:rsid w:val="00123744"/>
    <w:rsid w:val="00123949"/>
    <w:rsid w:val="001239AA"/>
    <w:rsid w:val="00123E32"/>
    <w:rsid w:val="00124127"/>
    <w:rsid w:val="001241D2"/>
    <w:rsid w:val="001241DD"/>
    <w:rsid w:val="001241E1"/>
    <w:rsid w:val="00124270"/>
    <w:rsid w:val="00124444"/>
    <w:rsid w:val="0012444A"/>
    <w:rsid w:val="00124515"/>
    <w:rsid w:val="00124582"/>
    <w:rsid w:val="00124590"/>
    <w:rsid w:val="0012465D"/>
    <w:rsid w:val="00124676"/>
    <w:rsid w:val="001246F4"/>
    <w:rsid w:val="0012481E"/>
    <w:rsid w:val="0012487F"/>
    <w:rsid w:val="00124B7D"/>
    <w:rsid w:val="00124CEC"/>
    <w:rsid w:val="00124E08"/>
    <w:rsid w:val="00124FD6"/>
    <w:rsid w:val="0012506A"/>
    <w:rsid w:val="001251E7"/>
    <w:rsid w:val="001254B6"/>
    <w:rsid w:val="001255B5"/>
    <w:rsid w:val="001258CA"/>
    <w:rsid w:val="001258D6"/>
    <w:rsid w:val="001259D7"/>
    <w:rsid w:val="00125BA4"/>
    <w:rsid w:val="00125CBF"/>
    <w:rsid w:val="00125D57"/>
    <w:rsid w:val="00125EC9"/>
    <w:rsid w:val="00125EDC"/>
    <w:rsid w:val="00125EE0"/>
    <w:rsid w:val="00125F51"/>
    <w:rsid w:val="00125F84"/>
    <w:rsid w:val="00125FC5"/>
    <w:rsid w:val="001260AA"/>
    <w:rsid w:val="00126317"/>
    <w:rsid w:val="001265AF"/>
    <w:rsid w:val="001266DB"/>
    <w:rsid w:val="0012672B"/>
    <w:rsid w:val="00126759"/>
    <w:rsid w:val="0012675A"/>
    <w:rsid w:val="0012679E"/>
    <w:rsid w:val="001267E9"/>
    <w:rsid w:val="001267F4"/>
    <w:rsid w:val="00126808"/>
    <w:rsid w:val="00126919"/>
    <w:rsid w:val="00126A2A"/>
    <w:rsid w:val="00126AEB"/>
    <w:rsid w:val="00126B33"/>
    <w:rsid w:val="00126B38"/>
    <w:rsid w:val="00126BB2"/>
    <w:rsid w:val="00126E2C"/>
    <w:rsid w:val="00126E86"/>
    <w:rsid w:val="00126FFD"/>
    <w:rsid w:val="0012703A"/>
    <w:rsid w:val="001270D4"/>
    <w:rsid w:val="00127122"/>
    <w:rsid w:val="001273BC"/>
    <w:rsid w:val="001273CE"/>
    <w:rsid w:val="00127402"/>
    <w:rsid w:val="00127519"/>
    <w:rsid w:val="00127529"/>
    <w:rsid w:val="001275B3"/>
    <w:rsid w:val="00127654"/>
    <w:rsid w:val="00127832"/>
    <w:rsid w:val="0012786C"/>
    <w:rsid w:val="00127AFD"/>
    <w:rsid w:val="00127B14"/>
    <w:rsid w:val="00127B5B"/>
    <w:rsid w:val="00127CA2"/>
    <w:rsid w:val="00127CBB"/>
    <w:rsid w:val="00130089"/>
    <w:rsid w:val="001300DE"/>
    <w:rsid w:val="0013020B"/>
    <w:rsid w:val="00130223"/>
    <w:rsid w:val="00130382"/>
    <w:rsid w:val="00130793"/>
    <w:rsid w:val="001307A8"/>
    <w:rsid w:val="001308AC"/>
    <w:rsid w:val="001308D0"/>
    <w:rsid w:val="001309EC"/>
    <w:rsid w:val="00130A4A"/>
    <w:rsid w:val="00130B50"/>
    <w:rsid w:val="00130B85"/>
    <w:rsid w:val="00130D24"/>
    <w:rsid w:val="00130D2C"/>
    <w:rsid w:val="001310E5"/>
    <w:rsid w:val="00131332"/>
    <w:rsid w:val="00131442"/>
    <w:rsid w:val="001314F2"/>
    <w:rsid w:val="001314F5"/>
    <w:rsid w:val="001315A5"/>
    <w:rsid w:val="001315AA"/>
    <w:rsid w:val="0013197F"/>
    <w:rsid w:val="00131A36"/>
    <w:rsid w:val="00131A83"/>
    <w:rsid w:val="00131ACB"/>
    <w:rsid w:val="00131B02"/>
    <w:rsid w:val="00131D41"/>
    <w:rsid w:val="00131E70"/>
    <w:rsid w:val="001320FB"/>
    <w:rsid w:val="0013212A"/>
    <w:rsid w:val="001321CA"/>
    <w:rsid w:val="001322EC"/>
    <w:rsid w:val="00132316"/>
    <w:rsid w:val="00132546"/>
    <w:rsid w:val="0013255B"/>
    <w:rsid w:val="001326BE"/>
    <w:rsid w:val="00132757"/>
    <w:rsid w:val="00132763"/>
    <w:rsid w:val="00132767"/>
    <w:rsid w:val="0013279A"/>
    <w:rsid w:val="001328CC"/>
    <w:rsid w:val="001329B9"/>
    <w:rsid w:val="00132B44"/>
    <w:rsid w:val="00132C99"/>
    <w:rsid w:val="00132CD5"/>
    <w:rsid w:val="00132D2C"/>
    <w:rsid w:val="00132D5E"/>
    <w:rsid w:val="00132E16"/>
    <w:rsid w:val="00132F75"/>
    <w:rsid w:val="001330F1"/>
    <w:rsid w:val="0013332B"/>
    <w:rsid w:val="001333D9"/>
    <w:rsid w:val="001334A7"/>
    <w:rsid w:val="001334B4"/>
    <w:rsid w:val="001334DA"/>
    <w:rsid w:val="00133558"/>
    <w:rsid w:val="001336D3"/>
    <w:rsid w:val="001336F5"/>
    <w:rsid w:val="00133769"/>
    <w:rsid w:val="001337D7"/>
    <w:rsid w:val="00133960"/>
    <w:rsid w:val="00133AF9"/>
    <w:rsid w:val="00133DF1"/>
    <w:rsid w:val="00133DF9"/>
    <w:rsid w:val="00133DFC"/>
    <w:rsid w:val="00133E41"/>
    <w:rsid w:val="00134070"/>
    <w:rsid w:val="001340CC"/>
    <w:rsid w:val="001340CF"/>
    <w:rsid w:val="0013424A"/>
    <w:rsid w:val="0013432E"/>
    <w:rsid w:val="00134377"/>
    <w:rsid w:val="001344DF"/>
    <w:rsid w:val="00134A6C"/>
    <w:rsid w:val="00134BE2"/>
    <w:rsid w:val="00134C06"/>
    <w:rsid w:val="00134CF9"/>
    <w:rsid w:val="00134D7F"/>
    <w:rsid w:val="00134E3B"/>
    <w:rsid w:val="00134EC5"/>
    <w:rsid w:val="00134FDA"/>
    <w:rsid w:val="0013500C"/>
    <w:rsid w:val="00135142"/>
    <w:rsid w:val="001351B3"/>
    <w:rsid w:val="0013521B"/>
    <w:rsid w:val="001352BC"/>
    <w:rsid w:val="0013553E"/>
    <w:rsid w:val="001356BF"/>
    <w:rsid w:val="0013577E"/>
    <w:rsid w:val="00135A13"/>
    <w:rsid w:val="00135A59"/>
    <w:rsid w:val="00135A62"/>
    <w:rsid w:val="00135B6E"/>
    <w:rsid w:val="00135D05"/>
    <w:rsid w:val="00135E01"/>
    <w:rsid w:val="00135E45"/>
    <w:rsid w:val="00135E77"/>
    <w:rsid w:val="00135EEA"/>
    <w:rsid w:val="00135F9F"/>
    <w:rsid w:val="00135FE9"/>
    <w:rsid w:val="001361B2"/>
    <w:rsid w:val="00136201"/>
    <w:rsid w:val="00136205"/>
    <w:rsid w:val="00136239"/>
    <w:rsid w:val="00136253"/>
    <w:rsid w:val="00136582"/>
    <w:rsid w:val="001365E9"/>
    <w:rsid w:val="0013670E"/>
    <w:rsid w:val="00136795"/>
    <w:rsid w:val="00136867"/>
    <w:rsid w:val="00136878"/>
    <w:rsid w:val="00136A90"/>
    <w:rsid w:val="00136A9A"/>
    <w:rsid w:val="00136B53"/>
    <w:rsid w:val="00136C3B"/>
    <w:rsid w:val="00136CC7"/>
    <w:rsid w:val="00137035"/>
    <w:rsid w:val="001370A8"/>
    <w:rsid w:val="00137192"/>
    <w:rsid w:val="00137249"/>
    <w:rsid w:val="001372A2"/>
    <w:rsid w:val="0013739D"/>
    <w:rsid w:val="001374F4"/>
    <w:rsid w:val="00137500"/>
    <w:rsid w:val="0013761D"/>
    <w:rsid w:val="00137676"/>
    <w:rsid w:val="00137893"/>
    <w:rsid w:val="001378E8"/>
    <w:rsid w:val="00137910"/>
    <w:rsid w:val="001379BC"/>
    <w:rsid w:val="00137AA6"/>
    <w:rsid w:val="00137AB2"/>
    <w:rsid w:val="00137C7F"/>
    <w:rsid w:val="00137D8B"/>
    <w:rsid w:val="00140094"/>
    <w:rsid w:val="001401F6"/>
    <w:rsid w:val="00140287"/>
    <w:rsid w:val="001402E8"/>
    <w:rsid w:val="0014037B"/>
    <w:rsid w:val="0014042B"/>
    <w:rsid w:val="00140430"/>
    <w:rsid w:val="00140502"/>
    <w:rsid w:val="0014052F"/>
    <w:rsid w:val="0014063E"/>
    <w:rsid w:val="001407CE"/>
    <w:rsid w:val="001407DE"/>
    <w:rsid w:val="00140A01"/>
    <w:rsid w:val="00140A7C"/>
    <w:rsid w:val="00140CD4"/>
    <w:rsid w:val="00140D05"/>
    <w:rsid w:val="00140E37"/>
    <w:rsid w:val="00140EC5"/>
    <w:rsid w:val="00140FDC"/>
    <w:rsid w:val="00140FE8"/>
    <w:rsid w:val="001411D0"/>
    <w:rsid w:val="0014125E"/>
    <w:rsid w:val="001414E3"/>
    <w:rsid w:val="00141623"/>
    <w:rsid w:val="001416B6"/>
    <w:rsid w:val="001416FD"/>
    <w:rsid w:val="0014179B"/>
    <w:rsid w:val="0014187B"/>
    <w:rsid w:val="0014198A"/>
    <w:rsid w:val="001419CC"/>
    <w:rsid w:val="00141AB6"/>
    <w:rsid w:val="00141AC1"/>
    <w:rsid w:val="00141AEC"/>
    <w:rsid w:val="00141BFA"/>
    <w:rsid w:val="00141C55"/>
    <w:rsid w:val="00141CB7"/>
    <w:rsid w:val="00141D5F"/>
    <w:rsid w:val="00141E18"/>
    <w:rsid w:val="00141F30"/>
    <w:rsid w:val="00142283"/>
    <w:rsid w:val="00142503"/>
    <w:rsid w:val="001426D6"/>
    <w:rsid w:val="001427B7"/>
    <w:rsid w:val="00142860"/>
    <w:rsid w:val="0014289C"/>
    <w:rsid w:val="001429E6"/>
    <w:rsid w:val="00142A41"/>
    <w:rsid w:val="00142EC0"/>
    <w:rsid w:val="00143098"/>
    <w:rsid w:val="001430C7"/>
    <w:rsid w:val="001432A8"/>
    <w:rsid w:val="00143438"/>
    <w:rsid w:val="00143464"/>
    <w:rsid w:val="0014349B"/>
    <w:rsid w:val="001434B6"/>
    <w:rsid w:val="00143551"/>
    <w:rsid w:val="00143627"/>
    <w:rsid w:val="001436A0"/>
    <w:rsid w:val="001436C1"/>
    <w:rsid w:val="001436F7"/>
    <w:rsid w:val="0014373D"/>
    <w:rsid w:val="0014388F"/>
    <w:rsid w:val="00143926"/>
    <w:rsid w:val="00143AC9"/>
    <w:rsid w:val="00143B3F"/>
    <w:rsid w:val="00143D68"/>
    <w:rsid w:val="00143D97"/>
    <w:rsid w:val="00143DC2"/>
    <w:rsid w:val="00144062"/>
    <w:rsid w:val="00144289"/>
    <w:rsid w:val="0014447E"/>
    <w:rsid w:val="001444BE"/>
    <w:rsid w:val="001444D6"/>
    <w:rsid w:val="00144551"/>
    <w:rsid w:val="00144ADC"/>
    <w:rsid w:val="00144AE8"/>
    <w:rsid w:val="00144B82"/>
    <w:rsid w:val="00144BB2"/>
    <w:rsid w:val="00144CA8"/>
    <w:rsid w:val="00144D21"/>
    <w:rsid w:val="00144D71"/>
    <w:rsid w:val="00144EAC"/>
    <w:rsid w:val="00144F10"/>
    <w:rsid w:val="0014504A"/>
    <w:rsid w:val="00145124"/>
    <w:rsid w:val="00145491"/>
    <w:rsid w:val="001454B9"/>
    <w:rsid w:val="001455DF"/>
    <w:rsid w:val="001456AE"/>
    <w:rsid w:val="0014570B"/>
    <w:rsid w:val="0014582F"/>
    <w:rsid w:val="0014585F"/>
    <w:rsid w:val="00145985"/>
    <w:rsid w:val="00145ABB"/>
    <w:rsid w:val="00145B82"/>
    <w:rsid w:val="00145C9A"/>
    <w:rsid w:val="00145DA7"/>
    <w:rsid w:val="00145E89"/>
    <w:rsid w:val="00145EF3"/>
    <w:rsid w:val="00145F77"/>
    <w:rsid w:val="00146223"/>
    <w:rsid w:val="0014629B"/>
    <w:rsid w:val="001462BA"/>
    <w:rsid w:val="001463F0"/>
    <w:rsid w:val="0014660E"/>
    <w:rsid w:val="00146B8D"/>
    <w:rsid w:val="00146CDC"/>
    <w:rsid w:val="00146E05"/>
    <w:rsid w:val="00146FDC"/>
    <w:rsid w:val="0014700E"/>
    <w:rsid w:val="0014715C"/>
    <w:rsid w:val="001471E9"/>
    <w:rsid w:val="00147252"/>
    <w:rsid w:val="0014727E"/>
    <w:rsid w:val="001472B4"/>
    <w:rsid w:val="0014744B"/>
    <w:rsid w:val="00147487"/>
    <w:rsid w:val="001475D8"/>
    <w:rsid w:val="001477C1"/>
    <w:rsid w:val="0014785E"/>
    <w:rsid w:val="00147A12"/>
    <w:rsid w:val="00147AED"/>
    <w:rsid w:val="00147B30"/>
    <w:rsid w:val="00147BB8"/>
    <w:rsid w:val="00147BD2"/>
    <w:rsid w:val="00147C9C"/>
    <w:rsid w:val="00147CD7"/>
    <w:rsid w:val="00147D1C"/>
    <w:rsid w:val="00147D2F"/>
    <w:rsid w:val="00147E1A"/>
    <w:rsid w:val="0015007D"/>
    <w:rsid w:val="00150217"/>
    <w:rsid w:val="0015031B"/>
    <w:rsid w:val="001503DF"/>
    <w:rsid w:val="00150420"/>
    <w:rsid w:val="001504A5"/>
    <w:rsid w:val="001504F9"/>
    <w:rsid w:val="00150501"/>
    <w:rsid w:val="001506E9"/>
    <w:rsid w:val="001509EB"/>
    <w:rsid w:val="00150C6E"/>
    <w:rsid w:val="00150CD7"/>
    <w:rsid w:val="00150D44"/>
    <w:rsid w:val="00150EB3"/>
    <w:rsid w:val="00150F37"/>
    <w:rsid w:val="0015108F"/>
    <w:rsid w:val="00151193"/>
    <w:rsid w:val="001511C4"/>
    <w:rsid w:val="001511CF"/>
    <w:rsid w:val="00151397"/>
    <w:rsid w:val="001513F2"/>
    <w:rsid w:val="0015143B"/>
    <w:rsid w:val="00151440"/>
    <w:rsid w:val="001514AE"/>
    <w:rsid w:val="00151555"/>
    <w:rsid w:val="00151772"/>
    <w:rsid w:val="001517A9"/>
    <w:rsid w:val="001517AE"/>
    <w:rsid w:val="001517FB"/>
    <w:rsid w:val="00151848"/>
    <w:rsid w:val="0015187C"/>
    <w:rsid w:val="001518FB"/>
    <w:rsid w:val="001519B2"/>
    <w:rsid w:val="001519E7"/>
    <w:rsid w:val="00151AD3"/>
    <w:rsid w:val="00151AEB"/>
    <w:rsid w:val="00151C96"/>
    <w:rsid w:val="00151DFD"/>
    <w:rsid w:val="001520DD"/>
    <w:rsid w:val="00152244"/>
    <w:rsid w:val="00152292"/>
    <w:rsid w:val="001522A2"/>
    <w:rsid w:val="001522B1"/>
    <w:rsid w:val="001523E0"/>
    <w:rsid w:val="0015242B"/>
    <w:rsid w:val="0015242C"/>
    <w:rsid w:val="001524B6"/>
    <w:rsid w:val="00152518"/>
    <w:rsid w:val="001527B6"/>
    <w:rsid w:val="00152941"/>
    <w:rsid w:val="00152A23"/>
    <w:rsid w:val="00152AE6"/>
    <w:rsid w:val="00152B23"/>
    <w:rsid w:val="00152BF2"/>
    <w:rsid w:val="00152CD9"/>
    <w:rsid w:val="00152E67"/>
    <w:rsid w:val="00152EA0"/>
    <w:rsid w:val="00152FB1"/>
    <w:rsid w:val="0015303B"/>
    <w:rsid w:val="0015324B"/>
    <w:rsid w:val="00153266"/>
    <w:rsid w:val="001533FD"/>
    <w:rsid w:val="0015351A"/>
    <w:rsid w:val="00153618"/>
    <w:rsid w:val="00153A9B"/>
    <w:rsid w:val="00153AE8"/>
    <w:rsid w:val="00153CF1"/>
    <w:rsid w:val="00153D6C"/>
    <w:rsid w:val="00153DBE"/>
    <w:rsid w:val="00154035"/>
    <w:rsid w:val="001540A6"/>
    <w:rsid w:val="001540CF"/>
    <w:rsid w:val="001540FA"/>
    <w:rsid w:val="00154186"/>
    <w:rsid w:val="001541E8"/>
    <w:rsid w:val="00154220"/>
    <w:rsid w:val="001542EE"/>
    <w:rsid w:val="00154361"/>
    <w:rsid w:val="0015438E"/>
    <w:rsid w:val="001543CC"/>
    <w:rsid w:val="00154432"/>
    <w:rsid w:val="00154484"/>
    <w:rsid w:val="00154592"/>
    <w:rsid w:val="00154675"/>
    <w:rsid w:val="00154860"/>
    <w:rsid w:val="001548FE"/>
    <w:rsid w:val="001549A1"/>
    <w:rsid w:val="00154A2F"/>
    <w:rsid w:val="00154A8B"/>
    <w:rsid w:val="00154B98"/>
    <w:rsid w:val="00154C65"/>
    <w:rsid w:val="00154CB9"/>
    <w:rsid w:val="00154E65"/>
    <w:rsid w:val="00154F7B"/>
    <w:rsid w:val="00154FAE"/>
    <w:rsid w:val="00154FB7"/>
    <w:rsid w:val="0015501B"/>
    <w:rsid w:val="0015515B"/>
    <w:rsid w:val="0015523F"/>
    <w:rsid w:val="00155398"/>
    <w:rsid w:val="00155516"/>
    <w:rsid w:val="00155601"/>
    <w:rsid w:val="001558DB"/>
    <w:rsid w:val="00155935"/>
    <w:rsid w:val="00155960"/>
    <w:rsid w:val="001559FB"/>
    <w:rsid w:val="00155A6B"/>
    <w:rsid w:val="00155ADC"/>
    <w:rsid w:val="00155D33"/>
    <w:rsid w:val="00155E94"/>
    <w:rsid w:val="001561A8"/>
    <w:rsid w:val="001564B2"/>
    <w:rsid w:val="00156519"/>
    <w:rsid w:val="00156528"/>
    <w:rsid w:val="00156569"/>
    <w:rsid w:val="0015663B"/>
    <w:rsid w:val="00156661"/>
    <w:rsid w:val="001567B3"/>
    <w:rsid w:val="0015685A"/>
    <w:rsid w:val="00156878"/>
    <w:rsid w:val="001568B7"/>
    <w:rsid w:val="00156AA8"/>
    <w:rsid w:val="00156ACB"/>
    <w:rsid w:val="00156ADE"/>
    <w:rsid w:val="00156BC3"/>
    <w:rsid w:val="00156BC5"/>
    <w:rsid w:val="00156CC3"/>
    <w:rsid w:val="00156CEA"/>
    <w:rsid w:val="00156E14"/>
    <w:rsid w:val="00156E28"/>
    <w:rsid w:val="00156FDC"/>
    <w:rsid w:val="00156FF5"/>
    <w:rsid w:val="00157098"/>
    <w:rsid w:val="00157182"/>
    <w:rsid w:val="001571B7"/>
    <w:rsid w:val="00157244"/>
    <w:rsid w:val="00157489"/>
    <w:rsid w:val="0015752D"/>
    <w:rsid w:val="001575B8"/>
    <w:rsid w:val="0015763B"/>
    <w:rsid w:val="00157852"/>
    <w:rsid w:val="001578CA"/>
    <w:rsid w:val="001578F2"/>
    <w:rsid w:val="0015794C"/>
    <w:rsid w:val="00157958"/>
    <w:rsid w:val="00157AFD"/>
    <w:rsid w:val="00157B01"/>
    <w:rsid w:val="00157C78"/>
    <w:rsid w:val="00157C82"/>
    <w:rsid w:val="00157D1C"/>
    <w:rsid w:val="00157DF5"/>
    <w:rsid w:val="00157E32"/>
    <w:rsid w:val="00157E75"/>
    <w:rsid w:val="00157EC7"/>
    <w:rsid w:val="00160055"/>
    <w:rsid w:val="0016006D"/>
    <w:rsid w:val="00160260"/>
    <w:rsid w:val="001603EE"/>
    <w:rsid w:val="0016047A"/>
    <w:rsid w:val="0016051A"/>
    <w:rsid w:val="001605F2"/>
    <w:rsid w:val="0016062B"/>
    <w:rsid w:val="0016067F"/>
    <w:rsid w:val="00160773"/>
    <w:rsid w:val="00160839"/>
    <w:rsid w:val="0016094E"/>
    <w:rsid w:val="00160A68"/>
    <w:rsid w:val="00160C81"/>
    <w:rsid w:val="00160D82"/>
    <w:rsid w:val="00160DAD"/>
    <w:rsid w:val="00160DC6"/>
    <w:rsid w:val="00160E27"/>
    <w:rsid w:val="00160E50"/>
    <w:rsid w:val="00161024"/>
    <w:rsid w:val="001611FB"/>
    <w:rsid w:val="00161277"/>
    <w:rsid w:val="0016137E"/>
    <w:rsid w:val="00161430"/>
    <w:rsid w:val="0016143C"/>
    <w:rsid w:val="001614C5"/>
    <w:rsid w:val="001615AC"/>
    <w:rsid w:val="0016175E"/>
    <w:rsid w:val="001618E0"/>
    <w:rsid w:val="00161978"/>
    <w:rsid w:val="001619F2"/>
    <w:rsid w:val="00161C49"/>
    <w:rsid w:val="00161D22"/>
    <w:rsid w:val="00161E3D"/>
    <w:rsid w:val="00161F10"/>
    <w:rsid w:val="0016239D"/>
    <w:rsid w:val="00162442"/>
    <w:rsid w:val="00162681"/>
    <w:rsid w:val="001626ED"/>
    <w:rsid w:val="001626FE"/>
    <w:rsid w:val="00162987"/>
    <w:rsid w:val="001629AF"/>
    <w:rsid w:val="00162B6A"/>
    <w:rsid w:val="00162DA5"/>
    <w:rsid w:val="00162EB2"/>
    <w:rsid w:val="00162F75"/>
    <w:rsid w:val="00162F96"/>
    <w:rsid w:val="00163052"/>
    <w:rsid w:val="00163226"/>
    <w:rsid w:val="00163246"/>
    <w:rsid w:val="001632D4"/>
    <w:rsid w:val="0016337C"/>
    <w:rsid w:val="0016343C"/>
    <w:rsid w:val="00163497"/>
    <w:rsid w:val="001635FF"/>
    <w:rsid w:val="00163732"/>
    <w:rsid w:val="00163A2A"/>
    <w:rsid w:val="00163A73"/>
    <w:rsid w:val="00163A9B"/>
    <w:rsid w:val="00163AFE"/>
    <w:rsid w:val="00163B08"/>
    <w:rsid w:val="00163B55"/>
    <w:rsid w:val="00163C83"/>
    <w:rsid w:val="00163CB7"/>
    <w:rsid w:val="00163EE6"/>
    <w:rsid w:val="00163F40"/>
    <w:rsid w:val="00164085"/>
    <w:rsid w:val="00164160"/>
    <w:rsid w:val="001642C5"/>
    <w:rsid w:val="00164318"/>
    <w:rsid w:val="00164429"/>
    <w:rsid w:val="00164613"/>
    <w:rsid w:val="0016464D"/>
    <w:rsid w:val="0016470F"/>
    <w:rsid w:val="0016471D"/>
    <w:rsid w:val="001647E3"/>
    <w:rsid w:val="00164825"/>
    <w:rsid w:val="00164988"/>
    <w:rsid w:val="001649D0"/>
    <w:rsid w:val="00164E22"/>
    <w:rsid w:val="00164EA6"/>
    <w:rsid w:val="0016525E"/>
    <w:rsid w:val="001653AF"/>
    <w:rsid w:val="00165495"/>
    <w:rsid w:val="001656BD"/>
    <w:rsid w:val="001657B7"/>
    <w:rsid w:val="00165D55"/>
    <w:rsid w:val="00165D95"/>
    <w:rsid w:val="00165F4D"/>
    <w:rsid w:val="001660C7"/>
    <w:rsid w:val="001660D7"/>
    <w:rsid w:val="00166137"/>
    <w:rsid w:val="00166284"/>
    <w:rsid w:val="00166293"/>
    <w:rsid w:val="001662F5"/>
    <w:rsid w:val="00166342"/>
    <w:rsid w:val="001665D0"/>
    <w:rsid w:val="0016677C"/>
    <w:rsid w:val="001669C2"/>
    <w:rsid w:val="001669E8"/>
    <w:rsid w:val="00166D4A"/>
    <w:rsid w:val="00166DFE"/>
    <w:rsid w:val="00166E69"/>
    <w:rsid w:val="00166ECF"/>
    <w:rsid w:val="0016723E"/>
    <w:rsid w:val="001674BC"/>
    <w:rsid w:val="001674F1"/>
    <w:rsid w:val="00167507"/>
    <w:rsid w:val="00167538"/>
    <w:rsid w:val="001675AE"/>
    <w:rsid w:val="001675D9"/>
    <w:rsid w:val="00167815"/>
    <w:rsid w:val="00167918"/>
    <w:rsid w:val="00167A00"/>
    <w:rsid w:val="00167C50"/>
    <w:rsid w:val="00167C73"/>
    <w:rsid w:val="00167F34"/>
    <w:rsid w:val="00167FD9"/>
    <w:rsid w:val="00167FEF"/>
    <w:rsid w:val="00170089"/>
    <w:rsid w:val="001700A4"/>
    <w:rsid w:val="001700D1"/>
    <w:rsid w:val="001700DA"/>
    <w:rsid w:val="00170126"/>
    <w:rsid w:val="001701AA"/>
    <w:rsid w:val="001701CA"/>
    <w:rsid w:val="001701D3"/>
    <w:rsid w:val="001702AB"/>
    <w:rsid w:val="001703A0"/>
    <w:rsid w:val="00170408"/>
    <w:rsid w:val="001704AE"/>
    <w:rsid w:val="001704DD"/>
    <w:rsid w:val="00170526"/>
    <w:rsid w:val="001706F1"/>
    <w:rsid w:val="00170886"/>
    <w:rsid w:val="001708F0"/>
    <w:rsid w:val="00170927"/>
    <w:rsid w:val="00170B2A"/>
    <w:rsid w:val="00170C09"/>
    <w:rsid w:val="00170CE7"/>
    <w:rsid w:val="00170D66"/>
    <w:rsid w:val="00171089"/>
    <w:rsid w:val="0017108C"/>
    <w:rsid w:val="0017117A"/>
    <w:rsid w:val="0017119A"/>
    <w:rsid w:val="00171207"/>
    <w:rsid w:val="00171296"/>
    <w:rsid w:val="001712AE"/>
    <w:rsid w:val="0017136A"/>
    <w:rsid w:val="0017140C"/>
    <w:rsid w:val="0017170F"/>
    <w:rsid w:val="001718B7"/>
    <w:rsid w:val="001719D4"/>
    <w:rsid w:val="00171A5A"/>
    <w:rsid w:val="00171A8A"/>
    <w:rsid w:val="00171AB7"/>
    <w:rsid w:val="00171BD9"/>
    <w:rsid w:val="00171C5D"/>
    <w:rsid w:val="00171EAA"/>
    <w:rsid w:val="00171F80"/>
    <w:rsid w:val="00171FE5"/>
    <w:rsid w:val="00172088"/>
    <w:rsid w:val="0017237B"/>
    <w:rsid w:val="0017240E"/>
    <w:rsid w:val="001724F0"/>
    <w:rsid w:val="001724F5"/>
    <w:rsid w:val="0017277D"/>
    <w:rsid w:val="001727EE"/>
    <w:rsid w:val="00172967"/>
    <w:rsid w:val="00172B03"/>
    <w:rsid w:val="00172B8C"/>
    <w:rsid w:val="00172BD6"/>
    <w:rsid w:val="00172BDE"/>
    <w:rsid w:val="00172CC8"/>
    <w:rsid w:val="00172E84"/>
    <w:rsid w:val="00172E9F"/>
    <w:rsid w:val="00173033"/>
    <w:rsid w:val="00173074"/>
    <w:rsid w:val="001730DC"/>
    <w:rsid w:val="00173101"/>
    <w:rsid w:val="00173122"/>
    <w:rsid w:val="001732F3"/>
    <w:rsid w:val="00173307"/>
    <w:rsid w:val="00173690"/>
    <w:rsid w:val="0017370E"/>
    <w:rsid w:val="001738A6"/>
    <w:rsid w:val="00173A6A"/>
    <w:rsid w:val="00173B87"/>
    <w:rsid w:val="00173D34"/>
    <w:rsid w:val="00173E2C"/>
    <w:rsid w:val="00173F5A"/>
    <w:rsid w:val="001740A1"/>
    <w:rsid w:val="00174128"/>
    <w:rsid w:val="00174435"/>
    <w:rsid w:val="001744B3"/>
    <w:rsid w:val="001744B7"/>
    <w:rsid w:val="00174596"/>
    <w:rsid w:val="001746E7"/>
    <w:rsid w:val="00174926"/>
    <w:rsid w:val="00174988"/>
    <w:rsid w:val="00174C12"/>
    <w:rsid w:val="00174C1E"/>
    <w:rsid w:val="00174C78"/>
    <w:rsid w:val="00174C87"/>
    <w:rsid w:val="00174D1C"/>
    <w:rsid w:val="00174F06"/>
    <w:rsid w:val="00174F1F"/>
    <w:rsid w:val="00174FEB"/>
    <w:rsid w:val="00175011"/>
    <w:rsid w:val="001752EB"/>
    <w:rsid w:val="001752EF"/>
    <w:rsid w:val="0017534D"/>
    <w:rsid w:val="00175596"/>
    <w:rsid w:val="00175636"/>
    <w:rsid w:val="00175705"/>
    <w:rsid w:val="0017579A"/>
    <w:rsid w:val="00175827"/>
    <w:rsid w:val="00175874"/>
    <w:rsid w:val="001758CD"/>
    <w:rsid w:val="001758D1"/>
    <w:rsid w:val="00175984"/>
    <w:rsid w:val="00175A68"/>
    <w:rsid w:val="00175AF6"/>
    <w:rsid w:val="00175D98"/>
    <w:rsid w:val="00175FEE"/>
    <w:rsid w:val="00176005"/>
    <w:rsid w:val="001760CF"/>
    <w:rsid w:val="001760F7"/>
    <w:rsid w:val="001760F9"/>
    <w:rsid w:val="001761FE"/>
    <w:rsid w:val="001763A1"/>
    <w:rsid w:val="001764A0"/>
    <w:rsid w:val="001764CF"/>
    <w:rsid w:val="00176678"/>
    <w:rsid w:val="0017674D"/>
    <w:rsid w:val="001767BF"/>
    <w:rsid w:val="00176846"/>
    <w:rsid w:val="00176876"/>
    <w:rsid w:val="00176972"/>
    <w:rsid w:val="00176977"/>
    <w:rsid w:val="00176A24"/>
    <w:rsid w:val="00176A9D"/>
    <w:rsid w:val="00176B73"/>
    <w:rsid w:val="00176CC7"/>
    <w:rsid w:val="00176DCD"/>
    <w:rsid w:val="001770A4"/>
    <w:rsid w:val="001770CE"/>
    <w:rsid w:val="0017710A"/>
    <w:rsid w:val="00177146"/>
    <w:rsid w:val="0017726A"/>
    <w:rsid w:val="001775B3"/>
    <w:rsid w:val="001775FA"/>
    <w:rsid w:val="0017764F"/>
    <w:rsid w:val="001776BB"/>
    <w:rsid w:val="00177898"/>
    <w:rsid w:val="001778F4"/>
    <w:rsid w:val="00177B4F"/>
    <w:rsid w:val="00177C5B"/>
    <w:rsid w:val="00180163"/>
    <w:rsid w:val="001801FB"/>
    <w:rsid w:val="001802A7"/>
    <w:rsid w:val="00180488"/>
    <w:rsid w:val="0018059D"/>
    <w:rsid w:val="001805C2"/>
    <w:rsid w:val="00180834"/>
    <w:rsid w:val="0018083E"/>
    <w:rsid w:val="00180934"/>
    <w:rsid w:val="00180A87"/>
    <w:rsid w:val="00180C97"/>
    <w:rsid w:val="00180EF1"/>
    <w:rsid w:val="001810AB"/>
    <w:rsid w:val="001810B8"/>
    <w:rsid w:val="001810EA"/>
    <w:rsid w:val="00181479"/>
    <w:rsid w:val="001814B2"/>
    <w:rsid w:val="001815CD"/>
    <w:rsid w:val="001816C8"/>
    <w:rsid w:val="001817B0"/>
    <w:rsid w:val="0018184D"/>
    <w:rsid w:val="0018196C"/>
    <w:rsid w:val="001819D9"/>
    <w:rsid w:val="00181B35"/>
    <w:rsid w:val="00181B59"/>
    <w:rsid w:val="00181D47"/>
    <w:rsid w:val="00181D5E"/>
    <w:rsid w:val="00181D7D"/>
    <w:rsid w:val="00181EC0"/>
    <w:rsid w:val="00181EDA"/>
    <w:rsid w:val="00181FA7"/>
    <w:rsid w:val="00181FBC"/>
    <w:rsid w:val="001821BF"/>
    <w:rsid w:val="00182264"/>
    <w:rsid w:val="001823E1"/>
    <w:rsid w:val="00182545"/>
    <w:rsid w:val="0018255D"/>
    <w:rsid w:val="00182575"/>
    <w:rsid w:val="001825DE"/>
    <w:rsid w:val="00182610"/>
    <w:rsid w:val="0018271F"/>
    <w:rsid w:val="00182758"/>
    <w:rsid w:val="00182796"/>
    <w:rsid w:val="0018288A"/>
    <w:rsid w:val="001828D2"/>
    <w:rsid w:val="00182A2D"/>
    <w:rsid w:val="00182BA0"/>
    <w:rsid w:val="00182C37"/>
    <w:rsid w:val="00182C5F"/>
    <w:rsid w:val="00182D9A"/>
    <w:rsid w:val="001830F4"/>
    <w:rsid w:val="0018313A"/>
    <w:rsid w:val="001831C0"/>
    <w:rsid w:val="001831DD"/>
    <w:rsid w:val="0018340D"/>
    <w:rsid w:val="0018346B"/>
    <w:rsid w:val="001834C3"/>
    <w:rsid w:val="0018355E"/>
    <w:rsid w:val="00183A07"/>
    <w:rsid w:val="00183A47"/>
    <w:rsid w:val="00183CD1"/>
    <w:rsid w:val="00183DBB"/>
    <w:rsid w:val="00183E5A"/>
    <w:rsid w:val="00183F3B"/>
    <w:rsid w:val="00183FA7"/>
    <w:rsid w:val="00184016"/>
    <w:rsid w:val="001841EA"/>
    <w:rsid w:val="00184204"/>
    <w:rsid w:val="0018438E"/>
    <w:rsid w:val="00184433"/>
    <w:rsid w:val="00184524"/>
    <w:rsid w:val="001845DB"/>
    <w:rsid w:val="00184605"/>
    <w:rsid w:val="0018468B"/>
    <w:rsid w:val="0018469A"/>
    <w:rsid w:val="00184AEA"/>
    <w:rsid w:val="00184BFB"/>
    <w:rsid w:val="00184E41"/>
    <w:rsid w:val="00185131"/>
    <w:rsid w:val="00185184"/>
    <w:rsid w:val="0018522D"/>
    <w:rsid w:val="001852C3"/>
    <w:rsid w:val="00185472"/>
    <w:rsid w:val="001854B9"/>
    <w:rsid w:val="001854C9"/>
    <w:rsid w:val="001855BB"/>
    <w:rsid w:val="00185893"/>
    <w:rsid w:val="00185993"/>
    <w:rsid w:val="00185ABC"/>
    <w:rsid w:val="00185B70"/>
    <w:rsid w:val="00185CD2"/>
    <w:rsid w:val="00185E58"/>
    <w:rsid w:val="00185E59"/>
    <w:rsid w:val="00185E7E"/>
    <w:rsid w:val="00185EED"/>
    <w:rsid w:val="00185EF4"/>
    <w:rsid w:val="00185EF8"/>
    <w:rsid w:val="00185FA3"/>
    <w:rsid w:val="00185FB2"/>
    <w:rsid w:val="00185FC3"/>
    <w:rsid w:val="00185FCA"/>
    <w:rsid w:val="0018616B"/>
    <w:rsid w:val="00186405"/>
    <w:rsid w:val="0018640A"/>
    <w:rsid w:val="00186455"/>
    <w:rsid w:val="00186492"/>
    <w:rsid w:val="0018660E"/>
    <w:rsid w:val="00186705"/>
    <w:rsid w:val="001867AE"/>
    <w:rsid w:val="0018681D"/>
    <w:rsid w:val="001869F7"/>
    <w:rsid w:val="00186A31"/>
    <w:rsid w:val="00186B3D"/>
    <w:rsid w:val="00186B5A"/>
    <w:rsid w:val="00186C5D"/>
    <w:rsid w:val="00186D2F"/>
    <w:rsid w:val="00186F6B"/>
    <w:rsid w:val="001870C6"/>
    <w:rsid w:val="00187125"/>
    <w:rsid w:val="001871FE"/>
    <w:rsid w:val="001872AF"/>
    <w:rsid w:val="0018733A"/>
    <w:rsid w:val="00187369"/>
    <w:rsid w:val="001874D9"/>
    <w:rsid w:val="00187568"/>
    <w:rsid w:val="00187776"/>
    <w:rsid w:val="00187795"/>
    <w:rsid w:val="001877A9"/>
    <w:rsid w:val="00187828"/>
    <w:rsid w:val="00187876"/>
    <w:rsid w:val="00187A76"/>
    <w:rsid w:val="00187B13"/>
    <w:rsid w:val="00187C92"/>
    <w:rsid w:val="00187C99"/>
    <w:rsid w:val="00187E2D"/>
    <w:rsid w:val="00187E97"/>
    <w:rsid w:val="00187F5E"/>
    <w:rsid w:val="00187FEE"/>
    <w:rsid w:val="00190055"/>
    <w:rsid w:val="0019027C"/>
    <w:rsid w:val="001904C7"/>
    <w:rsid w:val="001904F2"/>
    <w:rsid w:val="00190643"/>
    <w:rsid w:val="0019065E"/>
    <w:rsid w:val="00190747"/>
    <w:rsid w:val="0019078A"/>
    <w:rsid w:val="001907A6"/>
    <w:rsid w:val="001907C6"/>
    <w:rsid w:val="001907CF"/>
    <w:rsid w:val="00190864"/>
    <w:rsid w:val="00190DA3"/>
    <w:rsid w:val="00190DE6"/>
    <w:rsid w:val="00190DEB"/>
    <w:rsid w:val="00191207"/>
    <w:rsid w:val="001912A5"/>
    <w:rsid w:val="00191401"/>
    <w:rsid w:val="001914DE"/>
    <w:rsid w:val="00191502"/>
    <w:rsid w:val="00191659"/>
    <w:rsid w:val="00191667"/>
    <w:rsid w:val="001916AD"/>
    <w:rsid w:val="00191761"/>
    <w:rsid w:val="0019180D"/>
    <w:rsid w:val="00191969"/>
    <w:rsid w:val="00191975"/>
    <w:rsid w:val="00191AE5"/>
    <w:rsid w:val="00191BD8"/>
    <w:rsid w:val="00191C95"/>
    <w:rsid w:val="00191E4F"/>
    <w:rsid w:val="00192102"/>
    <w:rsid w:val="00192195"/>
    <w:rsid w:val="00192281"/>
    <w:rsid w:val="00192319"/>
    <w:rsid w:val="0019236D"/>
    <w:rsid w:val="001923F6"/>
    <w:rsid w:val="00192453"/>
    <w:rsid w:val="00192496"/>
    <w:rsid w:val="001924D2"/>
    <w:rsid w:val="00192637"/>
    <w:rsid w:val="0019297C"/>
    <w:rsid w:val="00192A08"/>
    <w:rsid w:val="00192B17"/>
    <w:rsid w:val="00192B58"/>
    <w:rsid w:val="00192C55"/>
    <w:rsid w:val="00192E26"/>
    <w:rsid w:val="00192E44"/>
    <w:rsid w:val="00192EA1"/>
    <w:rsid w:val="00192EAE"/>
    <w:rsid w:val="00192EEC"/>
    <w:rsid w:val="00193073"/>
    <w:rsid w:val="00193166"/>
    <w:rsid w:val="001935C1"/>
    <w:rsid w:val="001935D0"/>
    <w:rsid w:val="001935D5"/>
    <w:rsid w:val="00193683"/>
    <w:rsid w:val="0019369A"/>
    <w:rsid w:val="001936BB"/>
    <w:rsid w:val="001936CC"/>
    <w:rsid w:val="001937EE"/>
    <w:rsid w:val="0019387E"/>
    <w:rsid w:val="00193885"/>
    <w:rsid w:val="001939AA"/>
    <w:rsid w:val="00193C11"/>
    <w:rsid w:val="00193D75"/>
    <w:rsid w:val="00193EC9"/>
    <w:rsid w:val="001940A3"/>
    <w:rsid w:val="001940B8"/>
    <w:rsid w:val="001940DA"/>
    <w:rsid w:val="001940F9"/>
    <w:rsid w:val="001941E5"/>
    <w:rsid w:val="00194210"/>
    <w:rsid w:val="00194433"/>
    <w:rsid w:val="00194509"/>
    <w:rsid w:val="001945A4"/>
    <w:rsid w:val="00194717"/>
    <w:rsid w:val="00194798"/>
    <w:rsid w:val="00194832"/>
    <w:rsid w:val="001948D2"/>
    <w:rsid w:val="00194A8A"/>
    <w:rsid w:val="00194C06"/>
    <w:rsid w:val="00194CCC"/>
    <w:rsid w:val="00194DE6"/>
    <w:rsid w:val="00194E11"/>
    <w:rsid w:val="00195022"/>
    <w:rsid w:val="001950BE"/>
    <w:rsid w:val="001950D7"/>
    <w:rsid w:val="00195145"/>
    <w:rsid w:val="0019514B"/>
    <w:rsid w:val="0019517C"/>
    <w:rsid w:val="001954CB"/>
    <w:rsid w:val="001956EE"/>
    <w:rsid w:val="001956F5"/>
    <w:rsid w:val="001957D2"/>
    <w:rsid w:val="00195973"/>
    <w:rsid w:val="00195A56"/>
    <w:rsid w:val="00195C77"/>
    <w:rsid w:val="00195C9D"/>
    <w:rsid w:val="00195CE2"/>
    <w:rsid w:val="00195D9A"/>
    <w:rsid w:val="00195DA0"/>
    <w:rsid w:val="00195E4D"/>
    <w:rsid w:val="00195E5D"/>
    <w:rsid w:val="00196144"/>
    <w:rsid w:val="001961E0"/>
    <w:rsid w:val="001962C2"/>
    <w:rsid w:val="0019633E"/>
    <w:rsid w:val="00196376"/>
    <w:rsid w:val="00196509"/>
    <w:rsid w:val="0019680E"/>
    <w:rsid w:val="0019696D"/>
    <w:rsid w:val="001969BE"/>
    <w:rsid w:val="001969FF"/>
    <w:rsid w:val="00196BAD"/>
    <w:rsid w:val="00196BFC"/>
    <w:rsid w:val="00196CC6"/>
    <w:rsid w:val="00196DAD"/>
    <w:rsid w:val="00196DB4"/>
    <w:rsid w:val="00196E10"/>
    <w:rsid w:val="00196E65"/>
    <w:rsid w:val="0019704D"/>
    <w:rsid w:val="001972DB"/>
    <w:rsid w:val="00197383"/>
    <w:rsid w:val="00197589"/>
    <w:rsid w:val="00197615"/>
    <w:rsid w:val="00197758"/>
    <w:rsid w:val="00197A9F"/>
    <w:rsid w:val="00197B00"/>
    <w:rsid w:val="00197D55"/>
    <w:rsid w:val="00197DF8"/>
    <w:rsid w:val="00197DFB"/>
    <w:rsid w:val="00197F97"/>
    <w:rsid w:val="00197FCC"/>
    <w:rsid w:val="00197FFE"/>
    <w:rsid w:val="001A00A4"/>
    <w:rsid w:val="001A0134"/>
    <w:rsid w:val="001A01A1"/>
    <w:rsid w:val="001A0219"/>
    <w:rsid w:val="001A023F"/>
    <w:rsid w:val="001A0315"/>
    <w:rsid w:val="001A06F9"/>
    <w:rsid w:val="001A0770"/>
    <w:rsid w:val="001A0814"/>
    <w:rsid w:val="001A08FB"/>
    <w:rsid w:val="001A094B"/>
    <w:rsid w:val="001A09CD"/>
    <w:rsid w:val="001A0B5F"/>
    <w:rsid w:val="001A0B7D"/>
    <w:rsid w:val="001A0BC8"/>
    <w:rsid w:val="001A0C9B"/>
    <w:rsid w:val="001A0D0E"/>
    <w:rsid w:val="001A10FC"/>
    <w:rsid w:val="001A1221"/>
    <w:rsid w:val="001A12C7"/>
    <w:rsid w:val="001A1355"/>
    <w:rsid w:val="001A1469"/>
    <w:rsid w:val="001A14A0"/>
    <w:rsid w:val="001A1747"/>
    <w:rsid w:val="001A1765"/>
    <w:rsid w:val="001A1779"/>
    <w:rsid w:val="001A1884"/>
    <w:rsid w:val="001A194A"/>
    <w:rsid w:val="001A19B2"/>
    <w:rsid w:val="001A1A20"/>
    <w:rsid w:val="001A1C95"/>
    <w:rsid w:val="001A1EB2"/>
    <w:rsid w:val="001A1FA0"/>
    <w:rsid w:val="001A1FB8"/>
    <w:rsid w:val="001A205B"/>
    <w:rsid w:val="001A210C"/>
    <w:rsid w:val="001A21AE"/>
    <w:rsid w:val="001A223D"/>
    <w:rsid w:val="001A2342"/>
    <w:rsid w:val="001A2385"/>
    <w:rsid w:val="001A241B"/>
    <w:rsid w:val="001A241E"/>
    <w:rsid w:val="001A2463"/>
    <w:rsid w:val="001A248F"/>
    <w:rsid w:val="001A251B"/>
    <w:rsid w:val="001A25E6"/>
    <w:rsid w:val="001A2836"/>
    <w:rsid w:val="001A29E5"/>
    <w:rsid w:val="001A2B4B"/>
    <w:rsid w:val="001A2C9A"/>
    <w:rsid w:val="001A2E92"/>
    <w:rsid w:val="001A2EB1"/>
    <w:rsid w:val="001A2EDA"/>
    <w:rsid w:val="001A2EE5"/>
    <w:rsid w:val="001A30C6"/>
    <w:rsid w:val="001A3178"/>
    <w:rsid w:val="001A329C"/>
    <w:rsid w:val="001A3521"/>
    <w:rsid w:val="001A3611"/>
    <w:rsid w:val="001A36F0"/>
    <w:rsid w:val="001A373E"/>
    <w:rsid w:val="001A378C"/>
    <w:rsid w:val="001A3791"/>
    <w:rsid w:val="001A39EA"/>
    <w:rsid w:val="001A3A44"/>
    <w:rsid w:val="001A3B86"/>
    <w:rsid w:val="001A3BC9"/>
    <w:rsid w:val="001A3CF4"/>
    <w:rsid w:val="001A3F01"/>
    <w:rsid w:val="001A3F27"/>
    <w:rsid w:val="001A3F93"/>
    <w:rsid w:val="001A4078"/>
    <w:rsid w:val="001A4103"/>
    <w:rsid w:val="001A423C"/>
    <w:rsid w:val="001A440D"/>
    <w:rsid w:val="001A4494"/>
    <w:rsid w:val="001A4585"/>
    <w:rsid w:val="001A4682"/>
    <w:rsid w:val="001A468B"/>
    <w:rsid w:val="001A496A"/>
    <w:rsid w:val="001A4A85"/>
    <w:rsid w:val="001A4B54"/>
    <w:rsid w:val="001A4EBC"/>
    <w:rsid w:val="001A4F20"/>
    <w:rsid w:val="001A4FE0"/>
    <w:rsid w:val="001A5167"/>
    <w:rsid w:val="001A5226"/>
    <w:rsid w:val="001A5252"/>
    <w:rsid w:val="001A52DC"/>
    <w:rsid w:val="001A52F1"/>
    <w:rsid w:val="001A5330"/>
    <w:rsid w:val="001A5502"/>
    <w:rsid w:val="001A5641"/>
    <w:rsid w:val="001A5A09"/>
    <w:rsid w:val="001A5B99"/>
    <w:rsid w:val="001A5BB5"/>
    <w:rsid w:val="001A5BC5"/>
    <w:rsid w:val="001A5E27"/>
    <w:rsid w:val="001A5FC9"/>
    <w:rsid w:val="001A6086"/>
    <w:rsid w:val="001A611C"/>
    <w:rsid w:val="001A61ED"/>
    <w:rsid w:val="001A623C"/>
    <w:rsid w:val="001A631C"/>
    <w:rsid w:val="001A63A0"/>
    <w:rsid w:val="001A640B"/>
    <w:rsid w:val="001A64A7"/>
    <w:rsid w:val="001A64AB"/>
    <w:rsid w:val="001A674C"/>
    <w:rsid w:val="001A6802"/>
    <w:rsid w:val="001A69E8"/>
    <w:rsid w:val="001A69F1"/>
    <w:rsid w:val="001A69F3"/>
    <w:rsid w:val="001A6D2F"/>
    <w:rsid w:val="001A6EEF"/>
    <w:rsid w:val="001A6EF3"/>
    <w:rsid w:val="001A6F8F"/>
    <w:rsid w:val="001A701E"/>
    <w:rsid w:val="001A70E4"/>
    <w:rsid w:val="001A714C"/>
    <w:rsid w:val="001A716E"/>
    <w:rsid w:val="001A71F8"/>
    <w:rsid w:val="001A72C4"/>
    <w:rsid w:val="001A767F"/>
    <w:rsid w:val="001A77B7"/>
    <w:rsid w:val="001A783B"/>
    <w:rsid w:val="001A79BA"/>
    <w:rsid w:val="001A7D04"/>
    <w:rsid w:val="001A7D7A"/>
    <w:rsid w:val="001A7DE5"/>
    <w:rsid w:val="001A7F1D"/>
    <w:rsid w:val="001B016A"/>
    <w:rsid w:val="001B0273"/>
    <w:rsid w:val="001B02BA"/>
    <w:rsid w:val="001B036F"/>
    <w:rsid w:val="001B03C7"/>
    <w:rsid w:val="001B0491"/>
    <w:rsid w:val="001B0530"/>
    <w:rsid w:val="001B05DB"/>
    <w:rsid w:val="001B0630"/>
    <w:rsid w:val="001B0830"/>
    <w:rsid w:val="001B09FE"/>
    <w:rsid w:val="001B0AAA"/>
    <w:rsid w:val="001B0AD9"/>
    <w:rsid w:val="001B0BFD"/>
    <w:rsid w:val="001B0CBF"/>
    <w:rsid w:val="001B0D21"/>
    <w:rsid w:val="001B0DBE"/>
    <w:rsid w:val="001B0E1B"/>
    <w:rsid w:val="001B0F0B"/>
    <w:rsid w:val="001B0FE5"/>
    <w:rsid w:val="001B1010"/>
    <w:rsid w:val="001B119C"/>
    <w:rsid w:val="001B11E9"/>
    <w:rsid w:val="001B1290"/>
    <w:rsid w:val="001B1379"/>
    <w:rsid w:val="001B13EF"/>
    <w:rsid w:val="001B1416"/>
    <w:rsid w:val="001B1557"/>
    <w:rsid w:val="001B15BD"/>
    <w:rsid w:val="001B15F2"/>
    <w:rsid w:val="001B1615"/>
    <w:rsid w:val="001B16C6"/>
    <w:rsid w:val="001B16CF"/>
    <w:rsid w:val="001B182A"/>
    <w:rsid w:val="001B1889"/>
    <w:rsid w:val="001B1952"/>
    <w:rsid w:val="001B1981"/>
    <w:rsid w:val="001B1D77"/>
    <w:rsid w:val="001B1EF3"/>
    <w:rsid w:val="001B1F9A"/>
    <w:rsid w:val="001B1FFF"/>
    <w:rsid w:val="001B22B5"/>
    <w:rsid w:val="001B2310"/>
    <w:rsid w:val="001B234E"/>
    <w:rsid w:val="001B23AD"/>
    <w:rsid w:val="001B23EB"/>
    <w:rsid w:val="001B2464"/>
    <w:rsid w:val="001B2649"/>
    <w:rsid w:val="001B279F"/>
    <w:rsid w:val="001B2888"/>
    <w:rsid w:val="001B28D2"/>
    <w:rsid w:val="001B2937"/>
    <w:rsid w:val="001B296B"/>
    <w:rsid w:val="001B297C"/>
    <w:rsid w:val="001B2AEB"/>
    <w:rsid w:val="001B2B8C"/>
    <w:rsid w:val="001B2BC0"/>
    <w:rsid w:val="001B2C2B"/>
    <w:rsid w:val="001B2C4D"/>
    <w:rsid w:val="001B2D14"/>
    <w:rsid w:val="001B2E1C"/>
    <w:rsid w:val="001B3051"/>
    <w:rsid w:val="001B315F"/>
    <w:rsid w:val="001B31DE"/>
    <w:rsid w:val="001B3256"/>
    <w:rsid w:val="001B32CE"/>
    <w:rsid w:val="001B32E4"/>
    <w:rsid w:val="001B32ED"/>
    <w:rsid w:val="001B34DB"/>
    <w:rsid w:val="001B354D"/>
    <w:rsid w:val="001B358F"/>
    <w:rsid w:val="001B3599"/>
    <w:rsid w:val="001B37C3"/>
    <w:rsid w:val="001B385C"/>
    <w:rsid w:val="001B3863"/>
    <w:rsid w:val="001B3904"/>
    <w:rsid w:val="001B3960"/>
    <w:rsid w:val="001B3A40"/>
    <w:rsid w:val="001B3AC4"/>
    <w:rsid w:val="001B3BB8"/>
    <w:rsid w:val="001B3D5D"/>
    <w:rsid w:val="001B4017"/>
    <w:rsid w:val="001B4028"/>
    <w:rsid w:val="001B402A"/>
    <w:rsid w:val="001B40D3"/>
    <w:rsid w:val="001B42F2"/>
    <w:rsid w:val="001B43D3"/>
    <w:rsid w:val="001B45F6"/>
    <w:rsid w:val="001B46BA"/>
    <w:rsid w:val="001B46FF"/>
    <w:rsid w:val="001B471A"/>
    <w:rsid w:val="001B479A"/>
    <w:rsid w:val="001B47B3"/>
    <w:rsid w:val="001B485B"/>
    <w:rsid w:val="001B4867"/>
    <w:rsid w:val="001B4A9E"/>
    <w:rsid w:val="001B4AAC"/>
    <w:rsid w:val="001B4BD6"/>
    <w:rsid w:val="001B4D4B"/>
    <w:rsid w:val="001B4D8F"/>
    <w:rsid w:val="001B4EFB"/>
    <w:rsid w:val="001B504D"/>
    <w:rsid w:val="001B5067"/>
    <w:rsid w:val="001B516A"/>
    <w:rsid w:val="001B517A"/>
    <w:rsid w:val="001B51B2"/>
    <w:rsid w:val="001B520C"/>
    <w:rsid w:val="001B52E8"/>
    <w:rsid w:val="001B53AF"/>
    <w:rsid w:val="001B565B"/>
    <w:rsid w:val="001B56D1"/>
    <w:rsid w:val="001B59CF"/>
    <w:rsid w:val="001B5A6D"/>
    <w:rsid w:val="001B5AA3"/>
    <w:rsid w:val="001B5B09"/>
    <w:rsid w:val="001B5B32"/>
    <w:rsid w:val="001B5BE4"/>
    <w:rsid w:val="001B5CBA"/>
    <w:rsid w:val="001B5D7D"/>
    <w:rsid w:val="001B5F37"/>
    <w:rsid w:val="001B61B0"/>
    <w:rsid w:val="001B62F7"/>
    <w:rsid w:val="001B63BF"/>
    <w:rsid w:val="001B640D"/>
    <w:rsid w:val="001B645D"/>
    <w:rsid w:val="001B6612"/>
    <w:rsid w:val="001B6626"/>
    <w:rsid w:val="001B6705"/>
    <w:rsid w:val="001B671D"/>
    <w:rsid w:val="001B677C"/>
    <w:rsid w:val="001B6A32"/>
    <w:rsid w:val="001B6B07"/>
    <w:rsid w:val="001B6B3F"/>
    <w:rsid w:val="001B6BFE"/>
    <w:rsid w:val="001B6C6E"/>
    <w:rsid w:val="001B6DDD"/>
    <w:rsid w:val="001B6E3F"/>
    <w:rsid w:val="001B6F6D"/>
    <w:rsid w:val="001B7023"/>
    <w:rsid w:val="001B70C1"/>
    <w:rsid w:val="001B7129"/>
    <w:rsid w:val="001B7182"/>
    <w:rsid w:val="001B7471"/>
    <w:rsid w:val="001B74DE"/>
    <w:rsid w:val="001B765A"/>
    <w:rsid w:val="001B7676"/>
    <w:rsid w:val="001B7846"/>
    <w:rsid w:val="001B7954"/>
    <w:rsid w:val="001B7ACB"/>
    <w:rsid w:val="001B7AD8"/>
    <w:rsid w:val="001B7BDA"/>
    <w:rsid w:val="001B7DAA"/>
    <w:rsid w:val="001B7E4F"/>
    <w:rsid w:val="001B7EF5"/>
    <w:rsid w:val="001B7F67"/>
    <w:rsid w:val="001C0064"/>
    <w:rsid w:val="001C00FC"/>
    <w:rsid w:val="001C0506"/>
    <w:rsid w:val="001C07BD"/>
    <w:rsid w:val="001C089F"/>
    <w:rsid w:val="001C0A82"/>
    <w:rsid w:val="001C0A89"/>
    <w:rsid w:val="001C0AFB"/>
    <w:rsid w:val="001C0B54"/>
    <w:rsid w:val="001C0CC6"/>
    <w:rsid w:val="001C0EDD"/>
    <w:rsid w:val="001C0F60"/>
    <w:rsid w:val="001C0F7F"/>
    <w:rsid w:val="001C100F"/>
    <w:rsid w:val="001C1123"/>
    <w:rsid w:val="001C1606"/>
    <w:rsid w:val="001C166C"/>
    <w:rsid w:val="001C1687"/>
    <w:rsid w:val="001C1863"/>
    <w:rsid w:val="001C188C"/>
    <w:rsid w:val="001C1F38"/>
    <w:rsid w:val="001C2071"/>
    <w:rsid w:val="001C2181"/>
    <w:rsid w:val="001C2182"/>
    <w:rsid w:val="001C22FA"/>
    <w:rsid w:val="001C24F2"/>
    <w:rsid w:val="001C26C6"/>
    <w:rsid w:val="001C279C"/>
    <w:rsid w:val="001C27AA"/>
    <w:rsid w:val="001C2944"/>
    <w:rsid w:val="001C2CA4"/>
    <w:rsid w:val="001C2D46"/>
    <w:rsid w:val="001C2D55"/>
    <w:rsid w:val="001C2D6F"/>
    <w:rsid w:val="001C2EC5"/>
    <w:rsid w:val="001C30F9"/>
    <w:rsid w:val="001C315C"/>
    <w:rsid w:val="001C319B"/>
    <w:rsid w:val="001C3346"/>
    <w:rsid w:val="001C3364"/>
    <w:rsid w:val="001C342A"/>
    <w:rsid w:val="001C344E"/>
    <w:rsid w:val="001C3468"/>
    <w:rsid w:val="001C350D"/>
    <w:rsid w:val="001C3561"/>
    <w:rsid w:val="001C36C4"/>
    <w:rsid w:val="001C384C"/>
    <w:rsid w:val="001C3A78"/>
    <w:rsid w:val="001C3BC3"/>
    <w:rsid w:val="001C3D9A"/>
    <w:rsid w:val="001C3DA5"/>
    <w:rsid w:val="001C3DB4"/>
    <w:rsid w:val="001C3F68"/>
    <w:rsid w:val="001C3FC5"/>
    <w:rsid w:val="001C40AF"/>
    <w:rsid w:val="001C419D"/>
    <w:rsid w:val="001C42C2"/>
    <w:rsid w:val="001C441B"/>
    <w:rsid w:val="001C445B"/>
    <w:rsid w:val="001C4462"/>
    <w:rsid w:val="001C4546"/>
    <w:rsid w:val="001C47CF"/>
    <w:rsid w:val="001C495A"/>
    <w:rsid w:val="001C4965"/>
    <w:rsid w:val="001C49A9"/>
    <w:rsid w:val="001C4A75"/>
    <w:rsid w:val="001C4BD4"/>
    <w:rsid w:val="001C4CF8"/>
    <w:rsid w:val="001C4D36"/>
    <w:rsid w:val="001C4D99"/>
    <w:rsid w:val="001C4E0C"/>
    <w:rsid w:val="001C4E44"/>
    <w:rsid w:val="001C5221"/>
    <w:rsid w:val="001C5235"/>
    <w:rsid w:val="001C5638"/>
    <w:rsid w:val="001C5782"/>
    <w:rsid w:val="001C5B76"/>
    <w:rsid w:val="001C5D0C"/>
    <w:rsid w:val="001C5DD1"/>
    <w:rsid w:val="001C6168"/>
    <w:rsid w:val="001C61CE"/>
    <w:rsid w:val="001C62B1"/>
    <w:rsid w:val="001C63C9"/>
    <w:rsid w:val="001C6623"/>
    <w:rsid w:val="001C697F"/>
    <w:rsid w:val="001C6B0E"/>
    <w:rsid w:val="001C6DC4"/>
    <w:rsid w:val="001C6F4F"/>
    <w:rsid w:val="001C700F"/>
    <w:rsid w:val="001C7194"/>
    <w:rsid w:val="001C719C"/>
    <w:rsid w:val="001C71A2"/>
    <w:rsid w:val="001C7330"/>
    <w:rsid w:val="001C7375"/>
    <w:rsid w:val="001C73B7"/>
    <w:rsid w:val="001C73E7"/>
    <w:rsid w:val="001C73F0"/>
    <w:rsid w:val="001C7580"/>
    <w:rsid w:val="001C769D"/>
    <w:rsid w:val="001C76D1"/>
    <w:rsid w:val="001C7936"/>
    <w:rsid w:val="001C7957"/>
    <w:rsid w:val="001C79CF"/>
    <w:rsid w:val="001C7B79"/>
    <w:rsid w:val="001C7C28"/>
    <w:rsid w:val="001C7E31"/>
    <w:rsid w:val="001C7E81"/>
    <w:rsid w:val="001C7F70"/>
    <w:rsid w:val="001D0171"/>
    <w:rsid w:val="001D02C4"/>
    <w:rsid w:val="001D036A"/>
    <w:rsid w:val="001D04BD"/>
    <w:rsid w:val="001D055A"/>
    <w:rsid w:val="001D05D3"/>
    <w:rsid w:val="001D08A7"/>
    <w:rsid w:val="001D08B3"/>
    <w:rsid w:val="001D091C"/>
    <w:rsid w:val="001D0956"/>
    <w:rsid w:val="001D09EF"/>
    <w:rsid w:val="001D0AC7"/>
    <w:rsid w:val="001D0AF1"/>
    <w:rsid w:val="001D0FFE"/>
    <w:rsid w:val="001D109C"/>
    <w:rsid w:val="001D111B"/>
    <w:rsid w:val="001D1165"/>
    <w:rsid w:val="001D116F"/>
    <w:rsid w:val="001D11AE"/>
    <w:rsid w:val="001D1263"/>
    <w:rsid w:val="001D126A"/>
    <w:rsid w:val="001D12F4"/>
    <w:rsid w:val="001D1369"/>
    <w:rsid w:val="001D139C"/>
    <w:rsid w:val="001D14FA"/>
    <w:rsid w:val="001D1541"/>
    <w:rsid w:val="001D157A"/>
    <w:rsid w:val="001D1662"/>
    <w:rsid w:val="001D166C"/>
    <w:rsid w:val="001D16DF"/>
    <w:rsid w:val="001D196A"/>
    <w:rsid w:val="001D196E"/>
    <w:rsid w:val="001D1B12"/>
    <w:rsid w:val="001D1CA8"/>
    <w:rsid w:val="001D1D17"/>
    <w:rsid w:val="001D1F9C"/>
    <w:rsid w:val="001D2041"/>
    <w:rsid w:val="001D2199"/>
    <w:rsid w:val="001D23C3"/>
    <w:rsid w:val="001D2440"/>
    <w:rsid w:val="001D257D"/>
    <w:rsid w:val="001D25D8"/>
    <w:rsid w:val="001D260F"/>
    <w:rsid w:val="001D2972"/>
    <w:rsid w:val="001D29AA"/>
    <w:rsid w:val="001D2A49"/>
    <w:rsid w:val="001D2ADB"/>
    <w:rsid w:val="001D2B03"/>
    <w:rsid w:val="001D2B5E"/>
    <w:rsid w:val="001D2C02"/>
    <w:rsid w:val="001D2CC9"/>
    <w:rsid w:val="001D2DD4"/>
    <w:rsid w:val="001D2E24"/>
    <w:rsid w:val="001D2E3D"/>
    <w:rsid w:val="001D310C"/>
    <w:rsid w:val="001D310D"/>
    <w:rsid w:val="001D3117"/>
    <w:rsid w:val="001D3356"/>
    <w:rsid w:val="001D3374"/>
    <w:rsid w:val="001D366D"/>
    <w:rsid w:val="001D3755"/>
    <w:rsid w:val="001D3788"/>
    <w:rsid w:val="001D387D"/>
    <w:rsid w:val="001D38BD"/>
    <w:rsid w:val="001D39AF"/>
    <w:rsid w:val="001D3AE5"/>
    <w:rsid w:val="001D3B88"/>
    <w:rsid w:val="001D3CC1"/>
    <w:rsid w:val="001D3E00"/>
    <w:rsid w:val="001D3FA5"/>
    <w:rsid w:val="001D4047"/>
    <w:rsid w:val="001D404B"/>
    <w:rsid w:val="001D4051"/>
    <w:rsid w:val="001D4086"/>
    <w:rsid w:val="001D4091"/>
    <w:rsid w:val="001D40EF"/>
    <w:rsid w:val="001D41E4"/>
    <w:rsid w:val="001D42C3"/>
    <w:rsid w:val="001D4334"/>
    <w:rsid w:val="001D44D8"/>
    <w:rsid w:val="001D453B"/>
    <w:rsid w:val="001D4603"/>
    <w:rsid w:val="001D4672"/>
    <w:rsid w:val="001D46C4"/>
    <w:rsid w:val="001D46FC"/>
    <w:rsid w:val="001D4800"/>
    <w:rsid w:val="001D4840"/>
    <w:rsid w:val="001D489E"/>
    <w:rsid w:val="001D493F"/>
    <w:rsid w:val="001D4CDA"/>
    <w:rsid w:val="001D4D22"/>
    <w:rsid w:val="001D4EF0"/>
    <w:rsid w:val="001D4F13"/>
    <w:rsid w:val="001D514E"/>
    <w:rsid w:val="001D523A"/>
    <w:rsid w:val="001D5389"/>
    <w:rsid w:val="001D53C6"/>
    <w:rsid w:val="001D53FF"/>
    <w:rsid w:val="001D54C1"/>
    <w:rsid w:val="001D557D"/>
    <w:rsid w:val="001D557F"/>
    <w:rsid w:val="001D55AC"/>
    <w:rsid w:val="001D56AB"/>
    <w:rsid w:val="001D5721"/>
    <w:rsid w:val="001D5743"/>
    <w:rsid w:val="001D5A94"/>
    <w:rsid w:val="001D5AFA"/>
    <w:rsid w:val="001D5B1F"/>
    <w:rsid w:val="001D5B48"/>
    <w:rsid w:val="001D5BF1"/>
    <w:rsid w:val="001D5D48"/>
    <w:rsid w:val="001D5D9B"/>
    <w:rsid w:val="001D5F43"/>
    <w:rsid w:val="001D5FE3"/>
    <w:rsid w:val="001D610A"/>
    <w:rsid w:val="001D6194"/>
    <w:rsid w:val="001D6337"/>
    <w:rsid w:val="001D65EC"/>
    <w:rsid w:val="001D6614"/>
    <w:rsid w:val="001D67DC"/>
    <w:rsid w:val="001D6D61"/>
    <w:rsid w:val="001D6D97"/>
    <w:rsid w:val="001D6DBB"/>
    <w:rsid w:val="001D6DD4"/>
    <w:rsid w:val="001D6EAF"/>
    <w:rsid w:val="001D7170"/>
    <w:rsid w:val="001D718F"/>
    <w:rsid w:val="001D72DF"/>
    <w:rsid w:val="001D72ED"/>
    <w:rsid w:val="001D7318"/>
    <w:rsid w:val="001D7530"/>
    <w:rsid w:val="001D75D4"/>
    <w:rsid w:val="001D7623"/>
    <w:rsid w:val="001D7656"/>
    <w:rsid w:val="001D7775"/>
    <w:rsid w:val="001D7930"/>
    <w:rsid w:val="001D7AF1"/>
    <w:rsid w:val="001D7B0B"/>
    <w:rsid w:val="001D7C81"/>
    <w:rsid w:val="001D7CE6"/>
    <w:rsid w:val="001D7DAC"/>
    <w:rsid w:val="001D7DD2"/>
    <w:rsid w:val="001D7E22"/>
    <w:rsid w:val="001D7E37"/>
    <w:rsid w:val="001D7E5C"/>
    <w:rsid w:val="001D7EA9"/>
    <w:rsid w:val="001E0239"/>
    <w:rsid w:val="001E03FB"/>
    <w:rsid w:val="001E0415"/>
    <w:rsid w:val="001E0447"/>
    <w:rsid w:val="001E0458"/>
    <w:rsid w:val="001E046D"/>
    <w:rsid w:val="001E04A1"/>
    <w:rsid w:val="001E050A"/>
    <w:rsid w:val="001E05D5"/>
    <w:rsid w:val="001E0613"/>
    <w:rsid w:val="001E0628"/>
    <w:rsid w:val="001E064C"/>
    <w:rsid w:val="001E06D5"/>
    <w:rsid w:val="001E0738"/>
    <w:rsid w:val="001E078F"/>
    <w:rsid w:val="001E08F1"/>
    <w:rsid w:val="001E08F6"/>
    <w:rsid w:val="001E0915"/>
    <w:rsid w:val="001E0916"/>
    <w:rsid w:val="001E099C"/>
    <w:rsid w:val="001E0A1C"/>
    <w:rsid w:val="001E0BDE"/>
    <w:rsid w:val="001E0C9B"/>
    <w:rsid w:val="001E0CF0"/>
    <w:rsid w:val="001E0D04"/>
    <w:rsid w:val="001E0DA0"/>
    <w:rsid w:val="001E0DEF"/>
    <w:rsid w:val="001E0E29"/>
    <w:rsid w:val="001E0EFA"/>
    <w:rsid w:val="001E105B"/>
    <w:rsid w:val="001E1086"/>
    <w:rsid w:val="001E1095"/>
    <w:rsid w:val="001E1096"/>
    <w:rsid w:val="001E10B7"/>
    <w:rsid w:val="001E10DE"/>
    <w:rsid w:val="001E12B7"/>
    <w:rsid w:val="001E12D5"/>
    <w:rsid w:val="001E1555"/>
    <w:rsid w:val="001E1732"/>
    <w:rsid w:val="001E17EC"/>
    <w:rsid w:val="001E1829"/>
    <w:rsid w:val="001E182E"/>
    <w:rsid w:val="001E192F"/>
    <w:rsid w:val="001E1A95"/>
    <w:rsid w:val="001E1C30"/>
    <w:rsid w:val="001E1CF7"/>
    <w:rsid w:val="001E1D3D"/>
    <w:rsid w:val="001E2185"/>
    <w:rsid w:val="001E219D"/>
    <w:rsid w:val="001E230D"/>
    <w:rsid w:val="001E2719"/>
    <w:rsid w:val="001E2722"/>
    <w:rsid w:val="001E280B"/>
    <w:rsid w:val="001E286E"/>
    <w:rsid w:val="001E287E"/>
    <w:rsid w:val="001E28D9"/>
    <w:rsid w:val="001E2AA6"/>
    <w:rsid w:val="001E2B11"/>
    <w:rsid w:val="001E2B72"/>
    <w:rsid w:val="001E2BDD"/>
    <w:rsid w:val="001E2C7B"/>
    <w:rsid w:val="001E2E48"/>
    <w:rsid w:val="001E31A2"/>
    <w:rsid w:val="001E31F7"/>
    <w:rsid w:val="001E3232"/>
    <w:rsid w:val="001E3300"/>
    <w:rsid w:val="001E330C"/>
    <w:rsid w:val="001E3339"/>
    <w:rsid w:val="001E3353"/>
    <w:rsid w:val="001E3404"/>
    <w:rsid w:val="001E34F4"/>
    <w:rsid w:val="001E352D"/>
    <w:rsid w:val="001E360A"/>
    <w:rsid w:val="001E3656"/>
    <w:rsid w:val="001E3773"/>
    <w:rsid w:val="001E3873"/>
    <w:rsid w:val="001E392E"/>
    <w:rsid w:val="001E3A4A"/>
    <w:rsid w:val="001E3AA6"/>
    <w:rsid w:val="001E3CF0"/>
    <w:rsid w:val="001E3D55"/>
    <w:rsid w:val="001E3F9D"/>
    <w:rsid w:val="001E42CA"/>
    <w:rsid w:val="001E42E4"/>
    <w:rsid w:val="001E46D9"/>
    <w:rsid w:val="001E490B"/>
    <w:rsid w:val="001E49B9"/>
    <w:rsid w:val="001E4B27"/>
    <w:rsid w:val="001E4BC3"/>
    <w:rsid w:val="001E4C7E"/>
    <w:rsid w:val="001E4CD0"/>
    <w:rsid w:val="001E507B"/>
    <w:rsid w:val="001E5216"/>
    <w:rsid w:val="001E5226"/>
    <w:rsid w:val="001E5230"/>
    <w:rsid w:val="001E5287"/>
    <w:rsid w:val="001E52AC"/>
    <w:rsid w:val="001E532F"/>
    <w:rsid w:val="001E543F"/>
    <w:rsid w:val="001E54F3"/>
    <w:rsid w:val="001E5539"/>
    <w:rsid w:val="001E5781"/>
    <w:rsid w:val="001E5890"/>
    <w:rsid w:val="001E58BC"/>
    <w:rsid w:val="001E58D7"/>
    <w:rsid w:val="001E5AC2"/>
    <w:rsid w:val="001E5C0C"/>
    <w:rsid w:val="001E5DD7"/>
    <w:rsid w:val="001E5E9E"/>
    <w:rsid w:val="001E5EA4"/>
    <w:rsid w:val="001E5F05"/>
    <w:rsid w:val="001E62F8"/>
    <w:rsid w:val="001E6409"/>
    <w:rsid w:val="001E654A"/>
    <w:rsid w:val="001E6555"/>
    <w:rsid w:val="001E6558"/>
    <w:rsid w:val="001E65D4"/>
    <w:rsid w:val="001E65EA"/>
    <w:rsid w:val="001E66C7"/>
    <w:rsid w:val="001E67BD"/>
    <w:rsid w:val="001E6A7A"/>
    <w:rsid w:val="001E6B15"/>
    <w:rsid w:val="001E6B19"/>
    <w:rsid w:val="001E6C58"/>
    <w:rsid w:val="001E6D13"/>
    <w:rsid w:val="001E6D5B"/>
    <w:rsid w:val="001E6DD0"/>
    <w:rsid w:val="001E6E2D"/>
    <w:rsid w:val="001E6FD8"/>
    <w:rsid w:val="001E71B5"/>
    <w:rsid w:val="001E71EA"/>
    <w:rsid w:val="001E732D"/>
    <w:rsid w:val="001E7368"/>
    <w:rsid w:val="001E736B"/>
    <w:rsid w:val="001E7501"/>
    <w:rsid w:val="001E750A"/>
    <w:rsid w:val="001E7546"/>
    <w:rsid w:val="001E7704"/>
    <w:rsid w:val="001E7793"/>
    <w:rsid w:val="001E781C"/>
    <w:rsid w:val="001E785F"/>
    <w:rsid w:val="001E7960"/>
    <w:rsid w:val="001E7B06"/>
    <w:rsid w:val="001E7D25"/>
    <w:rsid w:val="001E7F3E"/>
    <w:rsid w:val="001F0114"/>
    <w:rsid w:val="001F015F"/>
    <w:rsid w:val="001F017B"/>
    <w:rsid w:val="001F01FF"/>
    <w:rsid w:val="001F02B7"/>
    <w:rsid w:val="001F03E8"/>
    <w:rsid w:val="001F04B2"/>
    <w:rsid w:val="001F05FF"/>
    <w:rsid w:val="001F062A"/>
    <w:rsid w:val="001F06FC"/>
    <w:rsid w:val="001F072B"/>
    <w:rsid w:val="001F0973"/>
    <w:rsid w:val="001F09A9"/>
    <w:rsid w:val="001F0B22"/>
    <w:rsid w:val="001F0C08"/>
    <w:rsid w:val="001F0C7E"/>
    <w:rsid w:val="001F0CF5"/>
    <w:rsid w:val="001F0E62"/>
    <w:rsid w:val="001F0F7B"/>
    <w:rsid w:val="001F10E2"/>
    <w:rsid w:val="001F124E"/>
    <w:rsid w:val="001F12D1"/>
    <w:rsid w:val="001F1431"/>
    <w:rsid w:val="001F15E0"/>
    <w:rsid w:val="001F16E1"/>
    <w:rsid w:val="001F1799"/>
    <w:rsid w:val="001F18AF"/>
    <w:rsid w:val="001F19AC"/>
    <w:rsid w:val="001F19BB"/>
    <w:rsid w:val="001F19E6"/>
    <w:rsid w:val="001F1A1B"/>
    <w:rsid w:val="001F1A88"/>
    <w:rsid w:val="001F1AE2"/>
    <w:rsid w:val="001F1AF1"/>
    <w:rsid w:val="001F1C62"/>
    <w:rsid w:val="001F1D32"/>
    <w:rsid w:val="001F1EBE"/>
    <w:rsid w:val="001F20C0"/>
    <w:rsid w:val="001F20F6"/>
    <w:rsid w:val="001F211D"/>
    <w:rsid w:val="001F2311"/>
    <w:rsid w:val="001F2380"/>
    <w:rsid w:val="001F240E"/>
    <w:rsid w:val="001F2513"/>
    <w:rsid w:val="001F26C5"/>
    <w:rsid w:val="001F273C"/>
    <w:rsid w:val="001F27B8"/>
    <w:rsid w:val="001F27CB"/>
    <w:rsid w:val="001F2815"/>
    <w:rsid w:val="001F2847"/>
    <w:rsid w:val="001F28F8"/>
    <w:rsid w:val="001F296A"/>
    <w:rsid w:val="001F2C66"/>
    <w:rsid w:val="001F2CF3"/>
    <w:rsid w:val="001F2D4B"/>
    <w:rsid w:val="001F2FCF"/>
    <w:rsid w:val="001F3073"/>
    <w:rsid w:val="001F30EB"/>
    <w:rsid w:val="001F30F1"/>
    <w:rsid w:val="001F312A"/>
    <w:rsid w:val="001F3147"/>
    <w:rsid w:val="001F3210"/>
    <w:rsid w:val="001F328C"/>
    <w:rsid w:val="001F329C"/>
    <w:rsid w:val="001F33CB"/>
    <w:rsid w:val="001F3473"/>
    <w:rsid w:val="001F349F"/>
    <w:rsid w:val="001F35C9"/>
    <w:rsid w:val="001F3649"/>
    <w:rsid w:val="001F3760"/>
    <w:rsid w:val="001F37CE"/>
    <w:rsid w:val="001F3D0D"/>
    <w:rsid w:val="001F3D1B"/>
    <w:rsid w:val="001F3DB0"/>
    <w:rsid w:val="001F3EEE"/>
    <w:rsid w:val="001F4019"/>
    <w:rsid w:val="001F406C"/>
    <w:rsid w:val="001F4246"/>
    <w:rsid w:val="001F434A"/>
    <w:rsid w:val="001F4366"/>
    <w:rsid w:val="001F4543"/>
    <w:rsid w:val="001F46AB"/>
    <w:rsid w:val="001F4774"/>
    <w:rsid w:val="001F49EC"/>
    <w:rsid w:val="001F4A63"/>
    <w:rsid w:val="001F4A77"/>
    <w:rsid w:val="001F4AA5"/>
    <w:rsid w:val="001F4AE4"/>
    <w:rsid w:val="001F4DC4"/>
    <w:rsid w:val="001F4E13"/>
    <w:rsid w:val="001F4E4E"/>
    <w:rsid w:val="001F4F1C"/>
    <w:rsid w:val="001F5025"/>
    <w:rsid w:val="001F503E"/>
    <w:rsid w:val="001F515C"/>
    <w:rsid w:val="001F517C"/>
    <w:rsid w:val="001F5184"/>
    <w:rsid w:val="001F53AA"/>
    <w:rsid w:val="001F5409"/>
    <w:rsid w:val="001F5557"/>
    <w:rsid w:val="001F55BE"/>
    <w:rsid w:val="001F573D"/>
    <w:rsid w:val="001F5742"/>
    <w:rsid w:val="001F58CA"/>
    <w:rsid w:val="001F5965"/>
    <w:rsid w:val="001F5ADA"/>
    <w:rsid w:val="001F5AE4"/>
    <w:rsid w:val="001F5E14"/>
    <w:rsid w:val="001F60A4"/>
    <w:rsid w:val="001F611B"/>
    <w:rsid w:val="001F617C"/>
    <w:rsid w:val="001F61E6"/>
    <w:rsid w:val="001F63EB"/>
    <w:rsid w:val="001F6402"/>
    <w:rsid w:val="001F6406"/>
    <w:rsid w:val="001F644C"/>
    <w:rsid w:val="001F64FF"/>
    <w:rsid w:val="001F6539"/>
    <w:rsid w:val="001F6556"/>
    <w:rsid w:val="001F663D"/>
    <w:rsid w:val="001F67D4"/>
    <w:rsid w:val="001F6829"/>
    <w:rsid w:val="001F68C6"/>
    <w:rsid w:val="001F6A35"/>
    <w:rsid w:val="001F6C06"/>
    <w:rsid w:val="001F6E84"/>
    <w:rsid w:val="001F6EF2"/>
    <w:rsid w:val="001F6FBB"/>
    <w:rsid w:val="001F6FEF"/>
    <w:rsid w:val="001F71A0"/>
    <w:rsid w:val="001F745B"/>
    <w:rsid w:val="001F74AC"/>
    <w:rsid w:val="001F74AD"/>
    <w:rsid w:val="001F763E"/>
    <w:rsid w:val="001F76A6"/>
    <w:rsid w:val="001F7898"/>
    <w:rsid w:val="001F7911"/>
    <w:rsid w:val="001F7915"/>
    <w:rsid w:val="001F79B7"/>
    <w:rsid w:val="001F7A72"/>
    <w:rsid w:val="001F7B00"/>
    <w:rsid w:val="001F7FB5"/>
    <w:rsid w:val="001F7FE5"/>
    <w:rsid w:val="002001FF"/>
    <w:rsid w:val="00200656"/>
    <w:rsid w:val="002006D4"/>
    <w:rsid w:val="00200783"/>
    <w:rsid w:val="002009BB"/>
    <w:rsid w:val="00200B6B"/>
    <w:rsid w:val="00200C78"/>
    <w:rsid w:val="00200CB9"/>
    <w:rsid w:val="00200D4D"/>
    <w:rsid w:val="00200EA4"/>
    <w:rsid w:val="00200F63"/>
    <w:rsid w:val="00201002"/>
    <w:rsid w:val="00201100"/>
    <w:rsid w:val="0020128E"/>
    <w:rsid w:val="0020134C"/>
    <w:rsid w:val="00201423"/>
    <w:rsid w:val="002014C5"/>
    <w:rsid w:val="002015C1"/>
    <w:rsid w:val="0020167E"/>
    <w:rsid w:val="002016B0"/>
    <w:rsid w:val="00201716"/>
    <w:rsid w:val="002017CF"/>
    <w:rsid w:val="002018E5"/>
    <w:rsid w:val="00201A6A"/>
    <w:rsid w:val="00201AC7"/>
    <w:rsid w:val="00201E67"/>
    <w:rsid w:val="00201FBE"/>
    <w:rsid w:val="0020202C"/>
    <w:rsid w:val="002022B5"/>
    <w:rsid w:val="002022D8"/>
    <w:rsid w:val="0020230C"/>
    <w:rsid w:val="00202484"/>
    <w:rsid w:val="00202604"/>
    <w:rsid w:val="00202722"/>
    <w:rsid w:val="002029CB"/>
    <w:rsid w:val="00202A7F"/>
    <w:rsid w:val="00202B4F"/>
    <w:rsid w:val="00202C26"/>
    <w:rsid w:val="00202D10"/>
    <w:rsid w:val="00202D6A"/>
    <w:rsid w:val="00202E80"/>
    <w:rsid w:val="00202F2A"/>
    <w:rsid w:val="00202F64"/>
    <w:rsid w:val="00202F7B"/>
    <w:rsid w:val="00202F7D"/>
    <w:rsid w:val="00203080"/>
    <w:rsid w:val="00203215"/>
    <w:rsid w:val="00203290"/>
    <w:rsid w:val="002034CE"/>
    <w:rsid w:val="002035D6"/>
    <w:rsid w:val="0020362E"/>
    <w:rsid w:val="002037B5"/>
    <w:rsid w:val="00203B2D"/>
    <w:rsid w:val="00203B5B"/>
    <w:rsid w:val="00203BBB"/>
    <w:rsid w:val="00203C0B"/>
    <w:rsid w:val="00203C1C"/>
    <w:rsid w:val="00203C79"/>
    <w:rsid w:val="00203D4E"/>
    <w:rsid w:val="00203DE5"/>
    <w:rsid w:val="00203F71"/>
    <w:rsid w:val="00203FB9"/>
    <w:rsid w:val="002043C4"/>
    <w:rsid w:val="0020440F"/>
    <w:rsid w:val="0020445F"/>
    <w:rsid w:val="002046AE"/>
    <w:rsid w:val="0020483C"/>
    <w:rsid w:val="002048D6"/>
    <w:rsid w:val="00204957"/>
    <w:rsid w:val="00204ABE"/>
    <w:rsid w:val="00204BB9"/>
    <w:rsid w:val="00204C9E"/>
    <w:rsid w:val="00204CCB"/>
    <w:rsid w:val="00204DFC"/>
    <w:rsid w:val="00204EF9"/>
    <w:rsid w:val="00204F8E"/>
    <w:rsid w:val="002050BC"/>
    <w:rsid w:val="00205122"/>
    <w:rsid w:val="002051AC"/>
    <w:rsid w:val="002051CD"/>
    <w:rsid w:val="002052A1"/>
    <w:rsid w:val="002052A6"/>
    <w:rsid w:val="0020535D"/>
    <w:rsid w:val="00205430"/>
    <w:rsid w:val="002054BE"/>
    <w:rsid w:val="002055A6"/>
    <w:rsid w:val="002055A7"/>
    <w:rsid w:val="002056F0"/>
    <w:rsid w:val="00205923"/>
    <w:rsid w:val="00205B35"/>
    <w:rsid w:val="00205B75"/>
    <w:rsid w:val="00205B93"/>
    <w:rsid w:val="00205C00"/>
    <w:rsid w:val="00205C54"/>
    <w:rsid w:val="00205EFF"/>
    <w:rsid w:val="00205F37"/>
    <w:rsid w:val="00205F89"/>
    <w:rsid w:val="00205F9C"/>
    <w:rsid w:val="0020616A"/>
    <w:rsid w:val="0020616C"/>
    <w:rsid w:val="002062F2"/>
    <w:rsid w:val="00206472"/>
    <w:rsid w:val="002064F3"/>
    <w:rsid w:val="00206610"/>
    <w:rsid w:val="00206621"/>
    <w:rsid w:val="0020675A"/>
    <w:rsid w:val="00206785"/>
    <w:rsid w:val="002067A0"/>
    <w:rsid w:val="002067B1"/>
    <w:rsid w:val="002067FE"/>
    <w:rsid w:val="00206805"/>
    <w:rsid w:val="0020692D"/>
    <w:rsid w:val="00206B78"/>
    <w:rsid w:val="00207019"/>
    <w:rsid w:val="0020701C"/>
    <w:rsid w:val="00207052"/>
    <w:rsid w:val="00207308"/>
    <w:rsid w:val="002073CC"/>
    <w:rsid w:val="00207458"/>
    <w:rsid w:val="0020745E"/>
    <w:rsid w:val="002074CA"/>
    <w:rsid w:val="00207737"/>
    <w:rsid w:val="00207826"/>
    <w:rsid w:val="002078F3"/>
    <w:rsid w:val="00207A9A"/>
    <w:rsid w:val="00207AE5"/>
    <w:rsid w:val="00207CEE"/>
    <w:rsid w:val="00207D6C"/>
    <w:rsid w:val="00207E88"/>
    <w:rsid w:val="00207F32"/>
    <w:rsid w:val="00207F65"/>
    <w:rsid w:val="00210135"/>
    <w:rsid w:val="002101DA"/>
    <w:rsid w:val="002102D9"/>
    <w:rsid w:val="002103C3"/>
    <w:rsid w:val="00210482"/>
    <w:rsid w:val="002104C0"/>
    <w:rsid w:val="00210519"/>
    <w:rsid w:val="0021070A"/>
    <w:rsid w:val="0021074B"/>
    <w:rsid w:val="002107FF"/>
    <w:rsid w:val="002109F1"/>
    <w:rsid w:val="00210DB8"/>
    <w:rsid w:val="00210DE3"/>
    <w:rsid w:val="0021103D"/>
    <w:rsid w:val="00211501"/>
    <w:rsid w:val="0021152D"/>
    <w:rsid w:val="0021171B"/>
    <w:rsid w:val="0021175C"/>
    <w:rsid w:val="00211770"/>
    <w:rsid w:val="002118ED"/>
    <w:rsid w:val="002118F7"/>
    <w:rsid w:val="00211942"/>
    <w:rsid w:val="002119A9"/>
    <w:rsid w:val="00211DE0"/>
    <w:rsid w:val="00211E1F"/>
    <w:rsid w:val="00211F1C"/>
    <w:rsid w:val="0021201C"/>
    <w:rsid w:val="002121A9"/>
    <w:rsid w:val="002122A6"/>
    <w:rsid w:val="002123DB"/>
    <w:rsid w:val="00212498"/>
    <w:rsid w:val="00212610"/>
    <w:rsid w:val="002126B0"/>
    <w:rsid w:val="002126E3"/>
    <w:rsid w:val="00212700"/>
    <w:rsid w:val="00212761"/>
    <w:rsid w:val="002127FB"/>
    <w:rsid w:val="00212DB0"/>
    <w:rsid w:val="00212E39"/>
    <w:rsid w:val="00212F1A"/>
    <w:rsid w:val="00212F32"/>
    <w:rsid w:val="00212FA3"/>
    <w:rsid w:val="00212FE2"/>
    <w:rsid w:val="0021303F"/>
    <w:rsid w:val="00213094"/>
    <w:rsid w:val="00213120"/>
    <w:rsid w:val="002133A4"/>
    <w:rsid w:val="002133B6"/>
    <w:rsid w:val="002133DB"/>
    <w:rsid w:val="00213631"/>
    <w:rsid w:val="00213796"/>
    <w:rsid w:val="00213846"/>
    <w:rsid w:val="002138CD"/>
    <w:rsid w:val="00213A0E"/>
    <w:rsid w:val="00213A27"/>
    <w:rsid w:val="00213AD3"/>
    <w:rsid w:val="00213B66"/>
    <w:rsid w:val="00213CB0"/>
    <w:rsid w:val="00213E5C"/>
    <w:rsid w:val="00213F7D"/>
    <w:rsid w:val="00213F8F"/>
    <w:rsid w:val="002140AA"/>
    <w:rsid w:val="00214120"/>
    <w:rsid w:val="002141CB"/>
    <w:rsid w:val="002141D9"/>
    <w:rsid w:val="00214224"/>
    <w:rsid w:val="002144CD"/>
    <w:rsid w:val="002146F2"/>
    <w:rsid w:val="0021478B"/>
    <w:rsid w:val="002147D1"/>
    <w:rsid w:val="00214960"/>
    <w:rsid w:val="002149B0"/>
    <w:rsid w:val="00214A14"/>
    <w:rsid w:val="00214AA4"/>
    <w:rsid w:val="00214C08"/>
    <w:rsid w:val="00214ECC"/>
    <w:rsid w:val="00214F33"/>
    <w:rsid w:val="00215133"/>
    <w:rsid w:val="00215202"/>
    <w:rsid w:val="00215234"/>
    <w:rsid w:val="0021524A"/>
    <w:rsid w:val="00215301"/>
    <w:rsid w:val="0021554B"/>
    <w:rsid w:val="002157FD"/>
    <w:rsid w:val="0021589F"/>
    <w:rsid w:val="0021590E"/>
    <w:rsid w:val="00215A28"/>
    <w:rsid w:val="00215AF9"/>
    <w:rsid w:val="00215C15"/>
    <w:rsid w:val="00215C40"/>
    <w:rsid w:val="00215C53"/>
    <w:rsid w:val="00215D21"/>
    <w:rsid w:val="00215E75"/>
    <w:rsid w:val="00215F70"/>
    <w:rsid w:val="00215F95"/>
    <w:rsid w:val="00216069"/>
    <w:rsid w:val="002160F3"/>
    <w:rsid w:val="002160FA"/>
    <w:rsid w:val="002160FC"/>
    <w:rsid w:val="00216124"/>
    <w:rsid w:val="0021619C"/>
    <w:rsid w:val="00216266"/>
    <w:rsid w:val="00216363"/>
    <w:rsid w:val="0021637A"/>
    <w:rsid w:val="002163B2"/>
    <w:rsid w:val="002163E4"/>
    <w:rsid w:val="0021643D"/>
    <w:rsid w:val="002165DB"/>
    <w:rsid w:val="00216765"/>
    <w:rsid w:val="002168E2"/>
    <w:rsid w:val="002168E6"/>
    <w:rsid w:val="002169E4"/>
    <w:rsid w:val="00216A90"/>
    <w:rsid w:val="00216B1C"/>
    <w:rsid w:val="00216BAD"/>
    <w:rsid w:val="00216C03"/>
    <w:rsid w:val="00216C44"/>
    <w:rsid w:val="00216CBF"/>
    <w:rsid w:val="00216D99"/>
    <w:rsid w:val="00216E3B"/>
    <w:rsid w:val="00216E9E"/>
    <w:rsid w:val="00216F82"/>
    <w:rsid w:val="00216FCE"/>
    <w:rsid w:val="00216FF5"/>
    <w:rsid w:val="0021700E"/>
    <w:rsid w:val="002170D3"/>
    <w:rsid w:val="002172FF"/>
    <w:rsid w:val="0021741B"/>
    <w:rsid w:val="00217692"/>
    <w:rsid w:val="002176B9"/>
    <w:rsid w:val="0021772A"/>
    <w:rsid w:val="0021772C"/>
    <w:rsid w:val="002177D9"/>
    <w:rsid w:val="002177E5"/>
    <w:rsid w:val="0021785A"/>
    <w:rsid w:val="00217930"/>
    <w:rsid w:val="00217B97"/>
    <w:rsid w:val="00217C99"/>
    <w:rsid w:val="002200DA"/>
    <w:rsid w:val="00220117"/>
    <w:rsid w:val="0022038B"/>
    <w:rsid w:val="00220489"/>
    <w:rsid w:val="002204FD"/>
    <w:rsid w:val="00220557"/>
    <w:rsid w:val="00220696"/>
    <w:rsid w:val="002206B8"/>
    <w:rsid w:val="00220870"/>
    <w:rsid w:val="0022092A"/>
    <w:rsid w:val="00220A21"/>
    <w:rsid w:val="00220ACA"/>
    <w:rsid w:val="00220B03"/>
    <w:rsid w:val="00220D74"/>
    <w:rsid w:val="00220E09"/>
    <w:rsid w:val="00220E44"/>
    <w:rsid w:val="00220F8A"/>
    <w:rsid w:val="00220F8D"/>
    <w:rsid w:val="00221053"/>
    <w:rsid w:val="00221061"/>
    <w:rsid w:val="002210EA"/>
    <w:rsid w:val="002211ED"/>
    <w:rsid w:val="00221208"/>
    <w:rsid w:val="00221229"/>
    <w:rsid w:val="002213B2"/>
    <w:rsid w:val="00221593"/>
    <w:rsid w:val="002215BF"/>
    <w:rsid w:val="002215C2"/>
    <w:rsid w:val="00221668"/>
    <w:rsid w:val="00221789"/>
    <w:rsid w:val="002217AE"/>
    <w:rsid w:val="0022187C"/>
    <w:rsid w:val="00221A8D"/>
    <w:rsid w:val="00221ADE"/>
    <w:rsid w:val="00221B88"/>
    <w:rsid w:val="00221C64"/>
    <w:rsid w:val="00221D1E"/>
    <w:rsid w:val="00221D20"/>
    <w:rsid w:val="00221EEC"/>
    <w:rsid w:val="00221EF2"/>
    <w:rsid w:val="00221F70"/>
    <w:rsid w:val="0022210F"/>
    <w:rsid w:val="00222115"/>
    <w:rsid w:val="002223B1"/>
    <w:rsid w:val="0022260F"/>
    <w:rsid w:val="002227C8"/>
    <w:rsid w:val="00222A17"/>
    <w:rsid w:val="00222B57"/>
    <w:rsid w:val="00222C59"/>
    <w:rsid w:val="00222C6F"/>
    <w:rsid w:val="00222CA9"/>
    <w:rsid w:val="00222DC1"/>
    <w:rsid w:val="00222F79"/>
    <w:rsid w:val="00222FE7"/>
    <w:rsid w:val="0022304A"/>
    <w:rsid w:val="0022305F"/>
    <w:rsid w:val="0022309D"/>
    <w:rsid w:val="00223296"/>
    <w:rsid w:val="0022338F"/>
    <w:rsid w:val="002233A7"/>
    <w:rsid w:val="002235A4"/>
    <w:rsid w:val="002235C6"/>
    <w:rsid w:val="00223611"/>
    <w:rsid w:val="002238D0"/>
    <w:rsid w:val="002239DC"/>
    <w:rsid w:val="00223CD4"/>
    <w:rsid w:val="00223E4C"/>
    <w:rsid w:val="00224305"/>
    <w:rsid w:val="00224313"/>
    <w:rsid w:val="0022460C"/>
    <w:rsid w:val="00224791"/>
    <w:rsid w:val="00224864"/>
    <w:rsid w:val="002248A1"/>
    <w:rsid w:val="00224963"/>
    <w:rsid w:val="002249D7"/>
    <w:rsid w:val="00224AEA"/>
    <w:rsid w:val="00224D43"/>
    <w:rsid w:val="00224E25"/>
    <w:rsid w:val="00224E36"/>
    <w:rsid w:val="00224F81"/>
    <w:rsid w:val="00225064"/>
    <w:rsid w:val="0022539F"/>
    <w:rsid w:val="002254E6"/>
    <w:rsid w:val="00225605"/>
    <w:rsid w:val="0022564B"/>
    <w:rsid w:val="002256B0"/>
    <w:rsid w:val="00225764"/>
    <w:rsid w:val="002257CE"/>
    <w:rsid w:val="0022588A"/>
    <w:rsid w:val="002258B5"/>
    <w:rsid w:val="002258F5"/>
    <w:rsid w:val="002258F6"/>
    <w:rsid w:val="00225926"/>
    <w:rsid w:val="00225AC2"/>
    <w:rsid w:val="00225AF3"/>
    <w:rsid w:val="00225B5D"/>
    <w:rsid w:val="00225C22"/>
    <w:rsid w:val="00225E3A"/>
    <w:rsid w:val="002260E5"/>
    <w:rsid w:val="002262E9"/>
    <w:rsid w:val="0022645D"/>
    <w:rsid w:val="002267F3"/>
    <w:rsid w:val="00226919"/>
    <w:rsid w:val="00226A09"/>
    <w:rsid w:val="00226AE6"/>
    <w:rsid w:val="00226B5B"/>
    <w:rsid w:val="00226BF3"/>
    <w:rsid w:val="00226CA4"/>
    <w:rsid w:val="00226EA7"/>
    <w:rsid w:val="00226EAA"/>
    <w:rsid w:val="00226F76"/>
    <w:rsid w:val="00226FD4"/>
    <w:rsid w:val="00227074"/>
    <w:rsid w:val="0022714F"/>
    <w:rsid w:val="00227151"/>
    <w:rsid w:val="002272E1"/>
    <w:rsid w:val="002273A2"/>
    <w:rsid w:val="00227880"/>
    <w:rsid w:val="002278C1"/>
    <w:rsid w:val="0022799B"/>
    <w:rsid w:val="002279E8"/>
    <w:rsid w:val="00227D5B"/>
    <w:rsid w:val="00227DBD"/>
    <w:rsid w:val="00227E83"/>
    <w:rsid w:val="00227E99"/>
    <w:rsid w:val="002301FA"/>
    <w:rsid w:val="002303B5"/>
    <w:rsid w:val="002304A0"/>
    <w:rsid w:val="00230564"/>
    <w:rsid w:val="00230850"/>
    <w:rsid w:val="002308D1"/>
    <w:rsid w:val="0023096C"/>
    <w:rsid w:val="002309F5"/>
    <w:rsid w:val="00230B01"/>
    <w:rsid w:val="00230B98"/>
    <w:rsid w:val="00230C0B"/>
    <w:rsid w:val="00230D0B"/>
    <w:rsid w:val="00230E5E"/>
    <w:rsid w:val="00230EA7"/>
    <w:rsid w:val="0023116E"/>
    <w:rsid w:val="0023135C"/>
    <w:rsid w:val="002314CB"/>
    <w:rsid w:val="002314EF"/>
    <w:rsid w:val="00231562"/>
    <w:rsid w:val="002316A5"/>
    <w:rsid w:val="00231794"/>
    <w:rsid w:val="002317A2"/>
    <w:rsid w:val="002317BC"/>
    <w:rsid w:val="00231880"/>
    <w:rsid w:val="00231918"/>
    <w:rsid w:val="002319DE"/>
    <w:rsid w:val="00231A20"/>
    <w:rsid w:val="00231A56"/>
    <w:rsid w:val="00231A5C"/>
    <w:rsid w:val="00231AC6"/>
    <w:rsid w:val="00231B40"/>
    <w:rsid w:val="00231CBB"/>
    <w:rsid w:val="00231E33"/>
    <w:rsid w:val="00231F27"/>
    <w:rsid w:val="002320E1"/>
    <w:rsid w:val="0023218A"/>
    <w:rsid w:val="002321BC"/>
    <w:rsid w:val="00232310"/>
    <w:rsid w:val="00232315"/>
    <w:rsid w:val="002323B3"/>
    <w:rsid w:val="002323E4"/>
    <w:rsid w:val="002324CB"/>
    <w:rsid w:val="00232625"/>
    <w:rsid w:val="00232661"/>
    <w:rsid w:val="002326FD"/>
    <w:rsid w:val="00232702"/>
    <w:rsid w:val="00232898"/>
    <w:rsid w:val="00232AB6"/>
    <w:rsid w:val="00232AFD"/>
    <w:rsid w:val="00232C25"/>
    <w:rsid w:val="00232D6B"/>
    <w:rsid w:val="00232EFF"/>
    <w:rsid w:val="002330CC"/>
    <w:rsid w:val="0023318D"/>
    <w:rsid w:val="0023324E"/>
    <w:rsid w:val="00233262"/>
    <w:rsid w:val="002332C8"/>
    <w:rsid w:val="002332F6"/>
    <w:rsid w:val="00233303"/>
    <w:rsid w:val="002335F3"/>
    <w:rsid w:val="002337A0"/>
    <w:rsid w:val="002337AA"/>
    <w:rsid w:val="002338AE"/>
    <w:rsid w:val="0023392B"/>
    <w:rsid w:val="0023399A"/>
    <w:rsid w:val="00233A7E"/>
    <w:rsid w:val="00233ADD"/>
    <w:rsid w:val="00233C69"/>
    <w:rsid w:val="00233DF7"/>
    <w:rsid w:val="00233F2E"/>
    <w:rsid w:val="00233FAA"/>
    <w:rsid w:val="00233FEA"/>
    <w:rsid w:val="00234048"/>
    <w:rsid w:val="002340E9"/>
    <w:rsid w:val="00234111"/>
    <w:rsid w:val="002341E6"/>
    <w:rsid w:val="002341F6"/>
    <w:rsid w:val="0023421A"/>
    <w:rsid w:val="00234245"/>
    <w:rsid w:val="0023443E"/>
    <w:rsid w:val="002344E4"/>
    <w:rsid w:val="002345C4"/>
    <w:rsid w:val="002346DD"/>
    <w:rsid w:val="002348BA"/>
    <w:rsid w:val="00234DB4"/>
    <w:rsid w:val="00234DBE"/>
    <w:rsid w:val="00234F21"/>
    <w:rsid w:val="00234FE2"/>
    <w:rsid w:val="00235012"/>
    <w:rsid w:val="002351D0"/>
    <w:rsid w:val="002352B0"/>
    <w:rsid w:val="0023537B"/>
    <w:rsid w:val="002353F4"/>
    <w:rsid w:val="0023545E"/>
    <w:rsid w:val="002358B9"/>
    <w:rsid w:val="00235984"/>
    <w:rsid w:val="00235A4E"/>
    <w:rsid w:val="00235A53"/>
    <w:rsid w:val="00235EAB"/>
    <w:rsid w:val="00235F9B"/>
    <w:rsid w:val="0023610E"/>
    <w:rsid w:val="00236152"/>
    <w:rsid w:val="00236218"/>
    <w:rsid w:val="00236294"/>
    <w:rsid w:val="0023633F"/>
    <w:rsid w:val="002363F5"/>
    <w:rsid w:val="002364B2"/>
    <w:rsid w:val="00236505"/>
    <w:rsid w:val="0023663A"/>
    <w:rsid w:val="00236844"/>
    <w:rsid w:val="00236944"/>
    <w:rsid w:val="002369B3"/>
    <w:rsid w:val="002369EE"/>
    <w:rsid w:val="00236AE4"/>
    <w:rsid w:val="00236B03"/>
    <w:rsid w:val="00236EAB"/>
    <w:rsid w:val="00236F59"/>
    <w:rsid w:val="002370E7"/>
    <w:rsid w:val="002371E5"/>
    <w:rsid w:val="00237278"/>
    <w:rsid w:val="0023743B"/>
    <w:rsid w:val="00237472"/>
    <w:rsid w:val="00237526"/>
    <w:rsid w:val="00237661"/>
    <w:rsid w:val="002378E6"/>
    <w:rsid w:val="00237938"/>
    <w:rsid w:val="00237988"/>
    <w:rsid w:val="00237AF3"/>
    <w:rsid w:val="00237BA9"/>
    <w:rsid w:val="00237C05"/>
    <w:rsid w:val="00237E81"/>
    <w:rsid w:val="00240719"/>
    <w:rsid w:val="002408A5"/>
    <w:rsid w:val="00240AFD"/>
    <w:rsid w:val="00240C65"/>
    <w:rsid w:val="00240F03"/>
    <w:rsid w:val="0024102A"/>
    <w:rsid w:val="00241115"/>
    <w:rsid w:val="00241127"/>
    <w:rsid w:val="0024128F"/>
    <w:rsid w:val="002413C2"/>
    <w:rsid w:val="00241743"/>
    <w:rsid w:val="00241825"/>
    <w:rsid w:val="00241908"/>
    <w:rsid w:val="00241B8F"/>
    <w:rsid w:val="00241F8C"/>
    <w:rsid w:val="002420B4"/>
    <w:rsid w:val="00242153"/>
    <w:rsid w:val="002423A8"/>
    <w:rsid w:val="002424D2"/>
    <w:rsid w:val="002425C2"/>
    <w:rsid w:val="002425CE"/>
    <w:rsid w:val="00242641"/>
    <w:rsid w:val="0024278A"/>
    <w:rsid w:val="002427CA"/>
    <w:rsid w:val="00242857"/>
    <w:rsid w:val="002428B2"/>
    <w:rsid w:val="00242A39"/>
    <w:rsid w:val="00242A58"/>
    <w:rsid w:val="00242A93"/>
    <w:rsid w:val="00242B9C"/>
    <w:rsid w:val="00242BA8"/>
    <w:rsid w:val="00242C4D"/>
    <w:rsid w:val="00242C66"/>
    <w:rsid w:val="00242DF3"/>
    <w:rsid w:val="00242E51"/>
    <w:rsid w:val="00242E72"/>
    <w:rsid w:val="00242EA4"/>
    <w:rsid w:val="00243024"/>
    <w:rsid w:val="002430B5"/>
    <w:rsid w:val="0024328A"/>
    <w:rsid w:val="002432F0"/>
    <w:rsid w:val="00243460"/>
    <w:rsid w:val="002434D2"/>
    <w:rsid w:val="00243610"/>
    <w:rsid w:val="0024371F"/>
    <w:rsid w:val="0024377A"/>
    <w:rsid w:val="002437F2"/>
    <w:rsid w:val="0024380A"/>
    <w:rsid w:val="002438A2"/>
    <w:rsid w:val="002439AF"/>
    <w:rsid w:val="00243A68"/>
    <w:rsid w:val="00243A9C"/>
    <w:rsid w:val="00243B11"/>
    <w:rsid w:val="00243B6A"/>
    <w:rsid w:val="00243BB6"/>
    <w:rsid w:val="00243F6C"/>
    <w:rsid w:val="00243F9F"/>
    <w:rsid w:val="0024410B"/>
    <w:rsid w:val="0024419B"/>
    <w:rsid w:val="002442C1"/>
    <w:rsid w:val="002442CD"/>
    <w:rsid w:val="0024433A"/>
    <w:rsid w:val="0024447D"/>
    <w:rsid w:val="002446ED"/>
    <w:rsid w:val="0024479B"/>
    <w:rsid w:val="002447BB"/>
    <w:rsid w:val="002447DC"/>
    <w:rsid w:val="002447F4"/>
    <w:rsid w:val="00244816"/>
    <w:rsid w:val="0024496C"/>
    <w:rsid w:val="00244AD3"/>
    <w:rsid w:val="00244B8E"/>
    <w:rsid w:val="00244E5B"/>
    <w:rsid w:val="00245087"/>
    <w:rsid w:val="002450DC"/>
    <w:rsid w:val="0024522A"/>
    <w:rsid w:val="0024523F"/>
    <w:rsid w:val="002453FE"/>
    <w:rsid w:val="002454B7"/>
    <w:rsid w:val="0024564C"/>
    <w:rsid w:val="00245664"/>
    <w:rsid w:val="00245731"/>
    <w:rsid w:val="00245887"/>
    <w:rsid w:val="00245977"/>
    <w:rsid w:val="00245992"/>
    <w:rsid w:val="002459A0"/>
    <w:rsid w:val="002459A5"/>
    <w:rsid w:val="002459EA"/>
    <w:rsid w:val="00245ABB"/>
    <w:rsid w:val="00245C4C"/>
    <w:rsid w:val="00245CC8"/>
    <w:rsid w:val="00245D77"/>
    <w:rsid w:val="00245DBC"/>
    <w:rsid w:val="00245DFB"/>
    <w:rsid w:val="00245E51"/>
    <w:rsid w:val="00245EF7"/>
    <w:rsid w:val="00245FA4"/>
    <w:rsid w:val="0024620B"/>
    <w:rsid w:val="002462B4"/>
    <w:rsid w:val="0024642C"/>
    <w:rsid w:val="0024659A"/>
    <w:rsid w:val="002465A9"/>
    <w:rsid w:val="002465B4"/>
    <w:rsid w:val="002467B8"/>
    <w:rsid w:val="002468D3"/>
    <w:rsid w:val="00246908"/>
    <w:rsid w:val="00246975"/>
    <w:rsid w:val="0024699A"/>
    <w:rsid w:val="00246ACE"/>
    <w:rsid w:val="00246ADB"/>
    <w:rsid w:val="00246C8E"/>
    <w:rsid w:val="00246C9D"/>
    <w:rsid w:val="00247089"/>
    <w:rsid w:val="0024715E"/>
    <w:rsid w:val="00247206"/>
    <w:rsid w:val="00247249"/>
    <w:rsid w:val="002474B3"/>
    <w:rsid w:val="002476EF"/>
    <w:rsid w:val="00247980"/>
    <w:rsid w:val="00247990"/>
    <w:rsid w:val="00247A7D"/>
    <w:rsid w:val="00247B4B"/>
    <w:rsid w:val="00247CA9"/>
    <w:rsid w:val="00247CB2"/>
    <w:rsid w:val="00247D77"/>
    <w:rsid w:val="00247D9D"/>
    <w:rsid w:val="00247E25"/>
    <w:rsid w:val="00247F18"/>
    <w:rsid w:val="002502B8"/>
    <w:rsid w:val="002502B9"/>
    <w:rsid w:val="002503CF"/>
    <w:rsid w:val="002503D7"/>
    <w:rsid w:val="002504EA"/>
    <w:rsid w:val="00250564"/>
    <w:rsid w:val="002505F7"/>
    <w:rsid w:val="002505F8"/>
    <w:rsid w:val="00250695"/>
    <w:rsid w:val="0025089E"/>
    <w:rsid w:val="002508BA"/>
    <w:rsid w:val="002509F5"/>
    <w:rsid w:val="002509F9"/>
    <w:rsid w:val="00250A4D"/>
    <w:rsid w:val="00250A69"/>
    <w:rsid w:val="00250D0C"/>
    <w:rsid w:val="00250DDF"/>
    <w:rsid w:val="00250DF1"/>
    <w:rsid w:val="00250F11"/>
    <w:rsid w:val="00250F8D"/>
    <w:rsid w:val="00251015"/>
    <w:rsid w:val="0025111E"/>
    <w:rsid w:val="0025118B"/>
    <w:rsid w:val="002511CA"/>
    <w:rsid w:val="002511E7"/>
    <w:rsid w:val="00251227"/>
    <w:rsid w:val="00251264"/>
    <w:rsid w:val="002513FF"/>
    <w:rsid w:val="002515F3"/>
    <w:rsid w:val="00251A36"/>
    <w:rsid w:val="00251C6B"/>
    <w:rsid w:val="00251D22"/>
    <w:rsid w:val="00251ECD"/>
    <w:rsid w:val="0025201F"/>
    <w:rsid w:val="002520E8"/>
    <w:rsid w:val="00252123"/>
    <w:rsid w:val="00252195"/>
    <w:rsid w:val="0025221A"/>
    <w:rsid w:val="00252325"/>
    <w:rsid w:val="00252537"/>
    <w:rsid w:val="002525FD"/>
    <w:rsid w:val="0025278E"/>
    <w:rsid w:val="002527D1"/>
    <w:rsid w:val="002527F8"/>
    <w:rsid w:val="002529A4"/>
    <w:rsid w:val="00252B8F"/>
    <w:rsid w:val="00252C4A"/>
    <w:rsid w:val="0025306C"/>
    <w:rsid w:val="00253148"/>
    <w:rsid w:val="002531CA"/>
    <w:rsid w:val="002531F2"/>
    <w:rsid w:val="002532C2"/>
    <w:rsid w:val="002532D1"/>
    <w:rsid w:val="002533CA"/>
    <w:rsid w:val="0025348F"/>
    <w:rsid w:val="002534B7"/>
    <w:rsid w:val="002534EF"/>
    <w:rsid w:val="00253638"/>
    <w:rsid w:val="002537C4"/>
    <w:rsid w:val="00253843"/>
    <w:rsid w:val="0025388C"/>
    <w:rsid w:val="002538EA"/>
    <w:rsid w:val="00253976"/>
    <w:rsid w:val="00253A30"/>
    <w:rsid w:val="00253B90"/>
    <w:rsid w:val="00253C90"/>
    <w:rsid w:val="00253CD6"/>
    <w:rsid w:val="00253D1B"/>
    <w:rsid w:val="00253D3E"/>
    <w:rsid w:val="00253D68"/>
    <w:rsid w:val="00253DE8"/>
    <w:rsid w:val="00253E38"/>
    <w:rsid w:val="00253F6D"/>
    <w:rsid w:val="00254087"/>
    <w:rsid w:val="002540AC"/>
    <w:rsid w:val="00254307"/>
    <w:rsid w:val="002543DB"/>
    <w:rsid w:val="0025448B"/>
    <w:rsid w:val="002544F6"/>
    <w:rsid w:val="00254675"/>
    <w:rsid w:val="0025467B"/>
    <w:rsid w:val="002547DE"/>
    <w:rsid w:val="002548CD"/>
    <w:rsid w:val="002549B9"/>
    <w:rsid w:val="00254A53"/>
    <w:rsid w:val="00254E6A"/>
    <w:rsid w:val="00254E89"/>
    <w:rsid w:val="00254FA9"/>
    <w:rsid w:val="00254FD4"/>
    <w:rsid w:val="00255033"/>
    <w:rsid w:val="0025508A"/>
    <w:rsid w:val="002551A1"/>
    <w:rsid w:val="002552D8"/>
    <w:rsid w:val="0025534A"/>
    <w:rsid w:val="00255519"/>
    <w:rsid w:val="002555B6"/>
    <w:rsid w:val="0025561B"/>
    <w:rsid w:val="002557D0"/>
    <w:rsid w:val="00255A06"/>
    <w:rsid w:val="00255C39"/>
    <w:rsid w:val="00255D4A"/>
    <w:rsid w:val="00255E32"/>
    <w:rsid w:val="002562FC"/>
    <w:rsid w:val="002562FF"/>
    <w:rsid w:val="00256310"/>
    <w:rsid w:val="00256346"/>
    <w:rsid w:val="002563A4"/>
    <w:rsid w:val="002563E0"/>
    <w:rsid w:val="002564B9"/>
    <w:rsid w:val="002568F4"/>
    <w:rsid w:val="0025696A"/>
    <w:rsid w:val="00256990"/>
    <w:rsid w:val="00256F66"/>
    <w:rsid w:val="002570DA"/>
    <w:rsid w:val="0025723E"/>
    <w:rsid w:val="00257307"/>
    <w:rsid w:val="0025730B"/>
    <w:rsid w:val="00257368"/>
    <w:rsid w:val="00257406"/>
    <w:rsid w:val="002574C3"/>
    <w:rsid w:val="00257641"/>
    <w:rsid w:val="002576B2"/>
    <w:rsid w:val="002576F2"/>
    <w:rsid w:val="00257716"/>
    <w:rsid w:val="00257731"/>
    <w:rsid w:val="0025775E"/>
    <w:rsid w:val="00257763"/>
    <w:rsid w:val="002577CF"/>
    <w:rsid w:val="002577F1"/>
    <w:rsid w:val="00257989"/>
    <w:rsid w:val="002579F1"/>
    <w:rsid w:val="00257A10"/>
    <w:rsid w:val="00257A1F"/>
    <w:rsid w:val="00257A32"/>
    <w:rsid w:val="00257BAE"/>
    <w:rsid w:val="00257CBE"/>
    <w:rsid w:val="00257EC3"/>
    <w:rsid w:val="00257EF8"/>
    <w:rsid w:val="00257F26"/>
    <w:rsid w:val="00257F38"/>
    <w:rsid w:val="00257FF7"/>
    <w:rsid w:val="002600CB"/>
    <w:rsid w:val="002602FF"/>
    <w:rsid w:val="00260434"/>
    <w:rsid w:val="002604CE"/>
    <w:rsid w:val="00260544"/>
    <w:rsid w:val="00260553"/>
    <w:rsid w:val="00260632"/>
    <w:rsid w:val="0026065D"/>
    <w:rsid w:val="002607CD"/>
    <w:rsid w:val="00260821"/>
    <w:rsid w:val="002608C7"/>
    <w:rsid w:val="002609D0"/>
    <w:rsid w:val="00260ADE"/>
    <w:rsid w:val="00260B36"/>
    <w:rsid w:val="00260BA0"/>
    <w:rsid w:val="00260C4D"/>
    <w:rsid w:val="00261018"/>
    <w:rsid w:val="0026106F"/>
    <w:rsid w:val="002610F4"/>
    <w:rsid w:val="00261189"/>
    <w:rsid w:val="002612A4"/>
    <w:rsid w:val="0026143A"/>
    <w:rsid w:val="002614A6"/>
    <w:rsid w:val="002614D8"/>
    <w:rsid w:val="0026153F"/>
    <w:rsid w:val="00261604"/>
    <w:rsid w:val="00261610"/>
    <w:rsid w:val="00261895"/>
    <w:rsid w:val="00261897"/>
    <w:rsid w:val="00261995"/>
    <w:rsid w:val="002619A7"/>
    <w:rsid w:val="00261E2B"/>
    <w:rsid w:val="00261E7A"/>
    <w:rsid w:val="00261E94"/>
    <w:rsid w:val="00261EBD"/>
    <w:rsid w:val="00261F21"/>
    <w:rsid w:val="0026206E"/>
    <w:rsid w:val="002620F6"/>
    <w:rsid w:val="002621BD"/>
    <w:rsid w:val="00262319"/>
    <w:rsid w:val="00262417"/>
    <w:rsid w:val="0026254D"/>
    <w:rsid w:val="0026263E"/>
    <w:rsid w:val="002627AE"/>
    <w:rsid w:val="002627B2"/>
    <w:rsid w:val="002627E4"/>
    <w:rsid w:val="00262906"/>
    <w:rsid w:val="00262919"/>
    <w:rsid w:val="00262AF8"/>
    <w:rsid w:val="00262BE5"/>
    <w:rsid w:val="00262D18"/>
    <w:rsid w:val="00262D3F"/>
    <w:rsid w:val="00262D84"/>
    <w:rsid w:val="00262E35"/>
    <w:rsid w:val="002630C9"/>
    <w:rsid w:val="00263200"/>
    <w:rsid w:val="00263415"/>
    <w:rsid w:val="002634D8"/>
    <w:rsid w:val="00263543"/>
    <w:rsid w:val="002636C6"/>
    <w:rsid w:val="00263786"/>
    <w:rsid w:val="002638D1"/>
    <w:rsid w:val="00263C25"/>
    <w:rsid w:val="00263D2A"/>
    <w:rsid w:val="00263E2A"/>
    <w:rsid w:val="00263EA4"/>
    <w:rsid w:val="00264226"/>
    <w:rsid w:val="00264330"/>
    <w:rsid w:val="0026446B"/>
    <w:rsid w:val="0026453A"/>
    <w:rsid w:val="002647EC"/>
    <w:rsid w:val="00264AF0"/>
    <w:rsid w:val="00264C5D"/>
    <w:rsid w:val="00264CC6"/>
    <w:rsid w:val="00264D00"/>
    <w:rsid w:val="00265069"/>
    <w:rsid w:val="0026516D"/>
    <w:rsid w:val="00265207"/>
    <w:rsid w:val="002652A4"/>
    <w:rsid w:val="00265357"/>
    <w:rsid w:val="002654C0"/>
    <w:rsid w:val="002655F9"/>
    <w:rsid w:val="00265638"/>
    <w:rsid w:val="0026568E"/>
    <w:rsid w:val="00265785"/>
    <w:rsid w:val="002657FE"/>
    <w:rsid w:val="00265925"/>
    <w:rsid w:val="0026596D"/>
    <w:rsid w:val="00265A0A"/>
    <w:rsid w:val="00265A53"/>
    <w:rsid w:val="00265AAC"/>
    <w:rsid w:val="00265DC5"/>
    <w:rsid w:val="00265F1E"/>
    <w:rsid w:val="00265F80"/>
    <w:rsid w:val="00265F8A"/>
    <w:rsid w:val="00265FA4"/>
    <w:rsid w:val="00266001"/>
    <w:rsid w:val="002664C7"/>
    <w:rsid w:val="0026677D"/>
    <w:rsid w:val="002667BD"/>
    <w:rsid w:val="00266846"/>
    <w:rsid w:val="0026689C"/>
    <w:rsid w:val="002669F6"/>
    <w:rsid w:val="00266E03"/>
    <w:rsid w:val="00266FF8"/>
    <w:rsid w:val="00267268"/>
    <w:rsid w:val="0026726D"/>
    <w:rsid w:val="00267325"/>
    <w:rsid w:val="0026732C"/>
    <w:rsid w:val="00267480"/>
    <w:rsid w:val="00267589"/>
    <w:rsid w:val="00267601"/>
    <w:rsid w:val="0026769B"/>
    <w:rsid w:val="002676AB"/>
    <w:rsid w:val="002678E5"/>
    <w:rsid w:val="0026792A"/>
    <w:rsid w:val="00267D06"/>
    <w:rsid w:val="00267D52"/>
    <w:rsid w:val="00267D96"/>
    <w:rsid w:val="00267E8D"/>
    <w:rsid w:val="00267ECA"/>
    <w:rsid w:val="00267F10"/>
    <w:rsid w:val="00267F3F"/>
    <w:rsid w:val="0027030F"/>
    <w:rsid w:val="002704BE"/>
    <w:rsid w:val="0027087D"/>
    <w:rsid w:val="00270AEC"/>
    <w:rsid w:val="00270B0A"/>
    <w:rsid w:val="00270B3E"/>
    <w:rsid w:val="00271060"/>
    <w:rsid w:val="0027107A"/>
    <w:rsid w:val="0027107E"/>
    <w:rsid w:val="00271112"/>
    <w:rsid w:val="0027122E"/>
    <w:rsid w:val="00271302"/>
    <w:rsid w:val="0027134A"/>
    <w:rsid w:val="0027156B"/>
    <w:rsid w:val="002718FD"/>
    <w:rsid w:val="00271A3C"/>
    <w:rsid w:val="00271A86"/>
    <w:rsid w:val="00271AC9"/>
    <w:rsid w:val="00271BAA"/>
    <w:rsid w:val="00271CAF"/>
    <w:rsid w:val="00271D3E"/>
    <w:rsid w:val="00271D8F"/>
    <w:rsid w:val="00271E8E"/>
    <w:rsid w:val="00271F62"/>
    <w:rsid w:val="002720B5"/>
    <w:rsid w:val="00272264"/>
    <w:rsid w:val="0027229C"/>
    <w:rsid w:val="00272379"/>
    <w:rsid w:val="0027238F"/>
    <w:rsid w:val="002723D8"/>
    <w:rsid w:val="0027254F"/>
    <w:rsid w:val="0027256C"/>
    <w:rsid w:val="0027266A"/>
    <w:rsid w:val="00272850"/>
    <w:rsid w:val="002728CA"/>
    <w:rsid w:val="00272AC5"/>
    <w:rsid w:val="00272B37"/>
    <w:rsid w:val="00272B5E"/>
    <w:rsid w:val="00272C76"/>
    <w:rsid w:val="00272D6C"/>
    <w:rsid w:val="00272D71"/>
    <w:rsid w:val="00272D81"/>
    <w:rsid w:val="00272E51"/>
    <w:rsid w:val="002730AC"/>
    <w:rsid w:val="002731E0"/>
    <w:rsid w:val="00273208"/>
    <w:rsid w:val="002732FB"/>
    <w:rsid w:val="0027335D"/>
    <w:rsid w:val="002733F3"/>
    <w:rsid w:val="00273752"/>
    <w:rsid w:val="00273B72"/>
    <w:rsid w:val="00273C48"/>
    <w:rsid w:val="00273C75"/>
    <w:rsid w:val="00273CC2"/>
    <w:rsid w:val="00273D8D"/>
    <w:rsid w:val="00273DFC"/>
    <w:rsid w:val="00273E6B"/>
    <w:rsid w:val="0027409F"/>
    <w:rsid w:val="00274115"/>
    <w:rsid w:val="0027418B"/>
    <w:rsid w:val="00274200"/>
    <w:rsid w:val="00274356"/>
    <w:rsid w:val="002743F2"/>
    <w:rsid w:val="0027466B"/>
    <w:rsid w:val="0027478E"/>
    <w:rsid w:val="002748B0"/>
    <w:rsid w:val="00274A64"/>
    <w:rsid w:val="00274B63"/>
    <w:rsid w:val="00274CBA"/>
    <w:rsid w:val="00274E46"/>
    <w:rsid w:val="0027512C"/>
    <w:rsid w:val="00275157"/>
    <w:rsid w:val="0027517B"/>
    <w:rsid w:val="002754CA"/>
    <w:rsid w:val="0027553A"/>
    <w:rsid w:val="002756A1"/>
    <w:rsid w:val="002756C2"/>
    <w:rsid w:val="00275767"/>
    <w:rsid w:val="0027582A"/>
    <w:rsid w:val="0027582B"/>
    <w:rsid w:val="00275860"/>
    <w:rsid w:val="002758F1"/>
    <w:rsid w:val="00275997"/>
    <w:rsid w:val="002759A5"/>
    <w:rsid w:val="00275AB6"/>
    <w:rsid w:val="00275C01"/>
    <w:rsid w:val="00275C82"/>
    <w:rsid w:val="00275EDC"/>
    <w:rsid w:val="00275F5F"/>
    <w:rsid w:val="00275F7D"/>
    <w:rsid w:val="00275FDC"/>
    <w:rsid w:val="00276196"/>
    <w:rsid w:val="00276235"/>
    <w:rsid w:val="0027623C"/>
    <w:rsid w:val="00276304"/>
    <w:rsid w:val="00276316"/>
    <w:rsid w:val="00276365"/>
    <w:rsid w:val="00276514"/>
    <w:rsid w:val="0027658E"/>
    <w:rsid w:val="002766AB"/>
    <w:rsid w:val="002766EC"/>
    <w:rsid w:val="00276879"/>
    <w:rsid w:val="00276D09"/>
    <w:rsid w:val="00276D0F"/>
    <w:rsid w:val="00276E12"/>
    <w:rsid w:val="00276EAF"/>
    <w:rsid w:val="0027700E"/>
    <w:rsid w:val="0027701A"/>
    <w:rsid w:val="00277107"/>
    <w:rsid w:val="00277141"/>
    <w:rsid w:val="0027714F"/>
    <w:rsid w:val="002771E8"/>
    <w:rsid w:val="00277325"/>
    <w:rsid w:val="0027735E"/>
    <w:rsid w:val="0027751A"/>
    <w:rsid w:val="0027755B"/>
    <w:rsid w:val="00277595"/>
    <w:rsid w:val="00277624"/>
    <w:rsid w:val="002776B2"/>
    <w:rsid w:val="0027782A"/>
    <w:rsid w:val="00277933"/>
    <w:rsid w:val="00277A6D"/>
    <w:rsid w:val="00277A85"/>
    <w:rsid w:val="00277ADE"/>
    <w:rsid w:val="00277B36"/>
    <w:rsid w:val="00277BCC"/>
    <w:rsid w:val="00277C03"/>
    <w:rsid w:val="00277C74"/>
    <w:rsid w:val="00277CBD"/>
    <w:rsid w:val="00277D67"/>
    <w:rsid w:val="0028004E"/>
    <w:rsid w:val="00280190"/>
    <w:rsid w:val="002802BC"/>
    <w:rsid w:val="0028031C"/>
    <w:rsid w:val="00280348"/>
    <w:rsid w:val="00280537"/>
    <w:rsid w:val="0028072E"/>
    <w:rsid w:val="00280747"/>
    <w:rsid w:val="002807B7"/>
    <w:rsid w:val="002808BC"/>
    <w:rsid w:val="002809DB"/>
    <w:rsid w:val="00280B91"/>
    <w:rsid w:val="00280BFE"/>
    <w:rsid w:val="00280D88"/>
    <w:rsid w:val="00280DED"/>
    <w:rsid w:val="0028100E"/>
    <w:rsid w:val="002811E2"/>
    <w:rsid w:val="0028137E"/>
    <w:rsid w:val="00281698"/>
    <w:rsid w:val="00281758"/>
    <w:rsid w:val="002817B7"/>
    <w:rsid w:val="00281B37"/>
    <w:rsid w:val="00281C3F"/>
    <w:rsid w:val="00281D39"/>
    <w:rsid w:val="00281EF6"/>
    <w:rsid w:val="00281F55"/>
    <w:rsid w:val="00281F6E"/>
    <w:rsid w:val="00281FCC"/>
    <w:rsid w:val="00282010"/>
    <w:rsid w:val="002823AE"/>
    <w:rsid w:val="0028259D"/>
    <w:rsid w:val="0028261A"/>
    <w:rsid w:val="00282669"/>
    <w:rsid w:val="00282670"/>
    <w:rsid w:val="0028278C"/>
    <w:rsid w:val="0028280D"/>
    <w:rsid w:val="00282827"/>
    <w:rsid w:val="002829B3"/>
    <w:rsid w:val="002829CD"/>
    <w:rsid w:val="002829D6"/>
    <w:rsid w:val="00282C0F"/>
    <w:rsid w:val="00282CD9"/>
    <w:rsid w:val="00282E80"/>
    <w:rsid w:val="00282EA5"/>
    <w:rsid w:val="00282F77"/>
    <w:rsid w:val="00283097"/>
    <w:rsid w:val="00283231"/>
    <w:rsid w:val="00283347"/>
    <w:rsid w:val="00283417"/>
    <w:rsid w:val="0028355F"/>
    <w:rsid w:val="002835CA"/>
    <w:rsid w:val="002837AE"/>
    <w:rsid w:val="00283814"/>
    <w:rsid w:val="00283A43"/>
    <w:rsid w:val="00283A50"/>
    <w:rsid w:val="00283A53"/>
    <w:rsid w:val="00283B70"/>
    <w:rsid w:val="00283B72"/>
    <w:rsid w:val="00283B7C"/>
    <w:rsid w:val="00283B89"/>
    <w:rsid w:val="00283BAD"/>
    <w:rsid w:val="00283C2B"/>
    <w:rsid w:val="00283CA4"/>
    <w:rsid w:val="00283DD3"/>
    <w:rsid w:val="00283F1A"/>
    <w:rsid w:val="00283FEF"/>
    <w:rsid w:val="00284098"/>
    <w:rsid w:val="002842F1"/>
    <w:rsid w:val="0028452F"/>
    <w:rsid w:val="00284552"/>
    <w:rsid w:val="00284686"/>
    <w:rsid w:val="002846E6"/>
    <w:rsid w:val="0028482A"/>
    <w:rsid w:val="00284837"/>
    <w:rsid w:val="002848C6"/>
    <w:rsid w:val="0028490A"/>
    <w:rsid w:val="00284995"/>
    <w:rsid w:val="00284AC2"/>
    <w:rsid w:val="00284AF8"/>
    <w:rsid w:val="00284B62"/>
    <w:rsid w:val="00284BCB"/>
    <w:rsid w:val="00284C28"/>
    <w:rsid w:val="00284C3E"/>
    <w:rsid w:val="00284CDF"/>
    <w:rsid w:val="00284DCE"/>
    <w:rsid w:val="00284DDE"/>
    <w:rsid w:val="00284E47"/>
    <w:rsid w:val="00284F1A"/>
    <w:rsid w:val="00284F32"/>
    <w:rsid w:val="00284F88"/>
    <w:rsid w:val="00284F8A"/>
    <w:rsid w:val="00285089"/>
    <w:rsid w:val="0028508F"/>
    <w:rsid w:val="002850D6"/>
    <w:rsid w:val="002852E6"/>
    <w:rsid w:val="00285330"/>
    <w:rsid w:val="00285353"/>
    <w:rsid w:val="002853B4"/>
    <w:rsid w:val="002855E9"/>
    <w:rsid w:val="00285712"/>
    <w:rsid w:val="0028579C"/>
    <w:rsid w:val="002858F0"/>
    <w:rsid w:val="00285930"/>
    <w:rsid w:val="00285A29"/>
    <w:rsid w:val="00285A3D"/>
    <w:rsid w:val="00285BDD"/>
    <w:rsid w:val="00285C0B"/>
    <w:rsid w:val="00285C14"/>
    <w:rsid w:val="00285C32"/>
    <w:rsid w:val="00285C36"/>
    <w:rsid w:val="00285DE8"/>
    <w:rsid w:val="00286081"/>
    <w:rsid w:val="00286186"/>
    <w:rsid w:val="002862B7"/>
    <w:rsid w:val="002866D6"/>
    <w:rsid w:val="00286833"/>
    <w:rsid w:val="0028691C"/>
    <w:rsid w:val="0028699C"/>
    <w:rsid w:val="002869EA"/>
    <w:rsid w:val="00286A21"/>
    <w:rsid w:val="00286A6E"/>
    <w:rsid w:val="00286B46"/>
    <w:rsid w:val="00286BDF"/>
    <w:rsid w:val="00286C5E"/>
    <w:rsid w:val="00286E03"/>
    <w:rsid w:val="00286E6E"/>
    <w:rsid w:val="00286EBC"/>
    <w:rsid w:val="00286F50"/>
    <w:rsid w:val="00287014"/>
    <w:rsid w:val="002870D1"/>
    <w:rsid w:val="002870F7"/>
    <w:rsid w:val="00287212"/>
    <w:rsid w:val="00287223"/>
    <w:rsid w:val="00287364"/>
    <w:rsid w:val="002873C1"/>
    <w:rsid w:val="002873DD"/>
    <w:rsid w:val="002874F8"/>
    <w:rsid w:val="002875B1"/>
    <w:rsid w:val="002877D9"/>
    <w:rsid w:val="0028784C"/>
    <w:rsid w:val="00287BB2"/>
    <w:rsid w:val="00287DCF"/>
    <w:rsid w:val="00287E04"/>
    <w:rsid w:val="00287E33"/>
    <w:rsid w:val="00287E71"/>
    <w:rsid w:val="0029004A"/>
    <w:rsid w:val="00290134"/>
    <w:rsid w:val="0029015B"/>
    <w:rsid w:val="002902C6"/>
    <w:rsid w:val="00290429"/>
    <w:rsid w:val="00290447"/>
    <w:rsid w:val="00290505"/>
    <w:rsid w:val="0029052E"/>
    <w:rsid w:val="00290534"/>
    <w:rsid w:val="00290790"/>
    <w:rsid w:val="002909B7"/>
    <w:rsid w:val="00290A0E"/>
    <w:rsid w:val="00290B5B"/>
    <w:rsid w:val="00290BBC"/>
    <w:rsid w:val="00290BC2"/>
    <w:rsid w:val="00290C01"/>
    <w:rsid w:val="00290ECE"/>
    <w:rsid w:val="00290EFF"/>
    <w:rsid w:val="00290FFE"/>
    <w:rsid w:val="002911A8"/>
    <w:rsid w:val="002911B1"/>
    <w:rsid w:val="002911C3"/>
    <w:rsid w:val="00291239"/>
    <w:rsid w:val="0029127E"/>
    <w:rsid w:val="002912F5"/>
    <w:rsid w:val="00291308"/>
    <w:rsid w:val="00291333"/>
    <w:rsid w:val="00291573"/>
    <w:rsid w:val="002916A1"/>
    <w:rsid w:val="00291748"/>
    <w:rsid w:val="0029175F"/>
    <w:rsid w:val="0029177D"/>
    <w:rsid w:val="002917CA"/>
    <w:rsid w:val="0029184B"/>
    <w:rsid w:val="00291856"/>
    <w:rsid w:val="002918E0"/>
    <w:rsid w:val="00291971"/>
    <w:rsid w:val="002919CA"/>
    <w:rsid w:val="00291A31"/>
    <w:rsid w:val="00291A61"/>
    <w:rsid w:val="00291B9F"/>
    <w:rsid w:val="00291DD4"/>
    <w:rsid w:val="00291E83"/>
    <w:rsid w:val="00291FAE"/>
    <w:rsid w:val="00291FAF"/>
    <w:rsid w:val="00292119"/>
    <w:rsid w:val="00292197"/>
    <w:rsid w:val="00292313"/>
    <w:rsid w:val="00292363"/>
    <w:rsid w:val="0029245E"/>
    <w:rsid w:val="00292468"/>
    <w:rsid w:val="002925C8"/>
    <w:rsid w:val="0029268E"/>
    <w:rsid w:val="0029273B"/>
    <w:rsid w:val="002927D1"/>
    <w:rsid w:val="002927FC"/>
    <w:rsid w:val="00292938"/>
    <w:rsid w:val="00292ABF"/>
    <w:rsid w:val="00292BD1"/>
    <w:rsid w:val="00292C11"/>
    <w:rsid w:val="00292C35"/>
    <w:rsid w:val="00292C6F"/>
    <w:rsid w:val="00292C7C"/>
    <w:rsid w:val="00292DB7"/>
    <w:rsid w:val="00292F2D"/>
    <w:rsid w:val="00292FC6"/>
    <w:rsid w:val="00292FCE"/>
    <w:rsid w:val="00293154"/>
    <w:rsid w:val="002931B3"/>
    <w:rsid w:val="002933B8"/>
    <w:rsid w:val="0029345C"/>
    <w:rsid w:val="002934AB"/>
    <w:rsid w:val="002935C0"/>
    <w:rsid w:val="002936EA"/>
    <w:rsid w:val="002936FE"/>
    <w:rsid w:val="002937AB"/>
    <w:rsid w:val="00293B88"/>
    <w:rsid w:val="00293C2B"/>
    <w:rsid w:val="00293C90"/>
    <w:rsid w:val="00293C97"/>
    <w:rsid w:val="00293D56"/>
    <w:rsid w:val="00293D92"/>
    <w:rsid w:val="00293EFF"/>
    <w:rsid w:val="002940AA"/>
    <w:rsid w:val="002941D2"/>
    <w:rsid w:val="002941F1"/>
    <w:rsid w:val="002941FF"/>
    <w:rsid w:val="00294288"/>
    <w:rsid w:val="002942E3"/>
    <w:rsid w:val="002943EB"/>
    <w:rsid w:val="002943ED"/>
    <w:rsid w:val="00294450"/>
    <w:rsid w:val="00294494"/>
    <w:rsid w:val="00294509"/>
    <w:rsid w:val="00294700"/>
    <w:rsid w:val="00294717"/>
    <w:rsid w:val="002948FC"/>
    <w:rsid w:val="00294BB2"/>
    <w:rsid w:val="00294C9B"/>
    <w:rsid w:val="00294D5B"/>
    <w:rsid w:val="00294D91"/>
    <w:rsid w:val="00294DC4"/>
    <w:rsid w:val="00294DEC"/>
    <w:rsid w:val="00294E90"/>
    <w:rsid w:val="00294EBC"/>
    <w:rsid w:val="00294EF0"/>
    <w:rsid w:val="00294F40"/>
    <w:rsid w:val="00294F9F"/>
    <w:rsid w:val="002951B0"/>
    <w:rsid w:val="002951C3"/>
    <w:rsid w:val="0029527A"/>
    <w:rsid w:val="002954A0"/>
    <w:rsid w:val="002954E3"/>
    <w:rsid w:val="0029554C"/>
    <w:rsid w:val="00295815"/>
    <w:rsid w:val="00295881"/>
    <w:rsid w:val="00295A36"/>
    <w:rsid w:val="00295A5F"/>
    <w:rsid w:val="00295A8F"/>
    <w:rsid w:val="00295C67"/>
    <w:rsid w:val="00295C81"/>
    <w:rsid w:val="00295D1E"/>
    <w:rsid w:val="00295DF1"/>
    <w:rsid w:val="00295F48"/>
    <w:rsid w:val="00295F4C"/>
    <w:rsid w:val="002960C0"/>
    <w:rsid w:val="002961E4"/>
    <w:rsid w:val="0029622B"/>
    <w:rsid w:val="00296291"/>
    <w:rsid w:val="002964E4"/>
    <w:rsid w:val="0029661F"/>
    <w:rsid w:val="002967B2"/>
    <w:rsid w:val="002967C4"/>
    <w:rsid w:val="00296834"/>
    <w:rsid w:val="002968B3"/>
    <w:rsid w:val="00296A72"/>
    <w:rsid w:val="00296B0A"/>
    <w:rsid w:val="00296BB4"/>
    <w:rsid w:val="00296BBC"/>
    <w:rsid w:val="00296E66"/>
    <w:rsid w:val="00296EAB"/>
    <w:rsid w:val="00297049"/>
    <w:rsid w:val="00297365"/>
    <w:rsid w:val="00297412"/>
    <w:rsid w:val="00297678"/>
    <w:rsid w:val="00297714"/>
    <w:rsid w:val="002977DF"/>
    <w:rsid w:val="0029797A"/>
    <w:rsid w:val="0029799A"/>
    <w:rsid w:val="002979CC"/>
    <w:rsid w:val="00297C5B"/>
    <w:rsid w:val="00297CD5"/>
    <w:rsid w:val="00297E40"/>
    <w:rsid w:val="00297E4A"/>
    <w:rsid w:val="00297E6F"/>
    <w:rsid w:val="002A0137"/>
    <w:rsid w:val="002A0193"/>
    <w:rsid w:val="002A02CE"/>
    <w:rsid w:val="002A02FC"/>
    <w:rsid w:val="002A03AD"/>
    <w:rsid w:val="002A03CB"/>
    <w:rsid w:val="002A066E"/>
    <w:rsid w:val="002A06E9"/>
    <w:rsid w:val="002A07D8"/>
    <w:rsid w:val="002A086A"/>
    <w:rsid w:val="002A087A"/>
    <w:rsid w:val="002A08C8"/>
    <w:rsid w:val="002A095F"/>
    <w:rsid w:val="002A09F7"/>
    <w:rsid w:val="002A0A79"/>
    <w:rsid w:val="002A0B11"/>
    <w:rsid w:val="002A0B3E"/>
    <w:rsid w:val="002A0B4F"/>
    <w:rsid w:val="002A0BF6"/>
    <w:rsid w:val="002A105D"/>
    <w:rsid w:val="002A1127"/>
    <w:rsid w:val="002A1236"/>
    <w:rsid w:val="002A137E"/>
    <w:rsid w:val="002A13A6"/>
    <w:rsid w:val="002A1406"/>
    <w:rsid w:val="002A1413"/>
    <w:rsid w:val="002A1416"/>
    <w:rsid w:val="002A1426"/>
    <w:rsid w:val="002A1610"/>
    <w:rsid w:val="002A162D"/>
    <w:rsid w:val="002A1646"/>
    <w:rsid w:val="002A16B9"/>
    <w:rsid w:val="002A170A"/>
    <w:rsid w:val="002A1732"/>
    <w:rsid w:val="002A178F"/>
    <w:rsid w:val="002A1805"/>
    <w:rsid w:val="002A1845"/>
    <w:rsid w:val="002A1C5C"/>
    <w:rsid w:val="002A1D5B"/>
    <w:rsid w:val="002A1E20"/>
    <w:rsid w:val="002A1F2B"/>
    <w:rsid w:val="002A1F55"/>
    <w:rsid w:val="002A215D"/>
    <w:rsid w:val="002A2301"/>
    <w:rsid w:val="002A2392"/>
    <w:rsid w:val="002A23D7"/>
    <w:rsid w:val="002A2810"/>
    <w:rsid w:val="002A2A46"/>
    <w:rsid w:val="002A2AAA"/>
    <w:rsid w:val="002A2AF8"/>
    <w:rsid w:val="002A2D64"/>
    <w:rsid w:val="002A2DEE"/>
    <w:rsid w:val="002A2F4D"/>
    <w:rsid w:val="002A3114"/>
    <w:rsid w:val="002A3167"/>
    <w:rsid w:val="002A31AB"/>
    <w:rsid w:val="002A324A"/>
    <w:rsid w:val="002A333A"/>
    <w:rsid w:val="002A3482"/>
    <w:rsid w:val="002A3531"/>
    <w:rsid w:val="002A365C"/>
    <w:rsid w:val="002A36FF"/>
    <w:rsid w:val="002A3794"/>
    <w:rsid w:val="002A3888"/>
    <w:rsid w:val="002A388A"/>
    <w:rsid w:val="002A39BD"/>
    <w:rsid w:val="002A3A00"/>
    <w:rsid w:val="002A3DA2"/>
    <w:rsid w:val="002A3DA8"/>
    <w:rsid w:val="002A3E90"/>
    <w:rsid w:val="002A3EA8"/>
    <w:rsid w:val="002A3F09"/>
    <w:rsid w:val="002A3F85"/>
    <w:rsid w:val="002A446B"/>
    <w:rsid w:val="002A44A1"/>
    <w:rsid w:val="002A45CC"/>
    <w:rsid w:val="002A4631"/>
    <w:rsid w:val="002A47C7"/>
    <w:rsid w:val="002A47EF"/>
    <w:rsid w:val="002A4A4D"/>
    <w:rsid w:val="002A4D47"/>
    <w:rsid w:val="002A4D8A"/>
    <w:rsid w:val="002A4E4E"/>
    <w:rsid w:val="002A4F11"/>
    <w:rsid w:val="002A4F4D"/>
    <w:rsid w:val="002A5004"/>
    <w:rsid w:val="002A5027"/>
    <w:rsid w:val="002A5138"/>
    <w:rsid w:val="002A521C"/>
    <w:rsid w:val="002A5328"/>
    <w:rsid w:val="002A54BE"/>
    <w:rsid w:val="002A551A"/>
    <w:rsid w:val="002A558A"/>
    <w:rsid w:val="002A5948"/>
    <w:rsid w:val="002A59FD"/>
    <w:rsid w:val="002A5B35"/>
    <w:rsid w:val="002A5C20"/>
    <w:rsid w:val="002A5C3D"/>
    <w:rsid w:val="002A5DC1"/>
    <w:rsid w:val="002A60F6"/>
    <w:rsid w:val="002A61C9"/>
    <w:rsid w:val="002A6279"/>
    <w:rsid w:val="002A62A9"/>
    <w:rsid w:val="002A6343"/>
    <w:rsid w:val="002A6409"/>
    <w:rsid w:val="002A646C"/>
    <w:rsid w:val="002A654E"/>
    <w:rsid w:val="002A65EF"/>
    <w:rsid w:val="002A6609"/>
    <w:rsid w:val="002A6643"/>
    <w:rsid w:val="002A66A3"/>
    <w:rsid w:val="002A684A"/>
    <w:rsid w:val="002A69C7"/>
    <w:rsid w:val="002A6A16"/>
    <w:rsid w:val="002A6B99"/>
    <w:rsid w:val="002A6C99"/>
    <w:rsid w:val="002A6CB8"/>
    <w:rsid w:val="002A6D05"/>
    <w:rsid w:val="002A6DC4"/>
    <w:rsid w:val="002A6EBC"/>
    <w:rsid w:val="002A6EC1"/>
    <w:rsid w:val="002A6EC6"/>
    <w:rsid w:val="002A705D"/>
    <w:rsid w:val="002A7304"/>
    <w:rsid w:val="002A753E"/>
    <w:rsid w:val="002A75CA"/>
    <w:rsid w:val="002A75D0"/>
    <w:rsid w:val="002A76A5"/>
    <w:rsid w:val="002A76AB"/>
    <w:rsid w:val="002A76E4"/>
    <w:rsid w:val="002A77DE"/>
    <w:rsid w:val="002A77F1"/>
    <w:rsid w:val="002A798E"/>
    <w:rsid w:val="002A7AC8"/>
    <w:rsid w:val="002A7BD0"/>
    <w:rsid w:val="002A7BD5"/>
    <w:rsid w:val="002A7E42"/>
    <w:rsid w:val="002A7F48"/>
    <w:rsid w:val="002B0058"/>
    <w:rsid w:val="002B010F"/>
    <w:rsid w:val="002B0300"/>
    <w:rsid w:val="002B0378"/>
    <w:rsid w:val="002B039A"/>
    <w:rsid w:val="002B03B3"/>
    <w:rsid w:val="002B0405"/>
    <w:rsid w:val="002B0499"/>
    <w:rsid w:val="002B059C"/>
    <w:rsid w:val="002B05CA"/>
    <w:rsid w:val="002B060C"/>
    <w:rsid w:val="002B0628"/>
    <w:rsid w:val="002B063E"/>
    <w:rsid w:val="002B06D1"/>
    <w:rsid w:val="002B06DE"/>
    <w:rsid w:val="002B06F3"/>
    <w:rsid w:val="002B07B4"/>
    <w:rsid w:val="002B08AC"/>
    <w:rsid w:val="002B095A"/>
    <w:rsid w:val="002B0AEF"/>
    <w:rsid w:val="002B0B24"/>
    <w:rsid w:val="002B0B51"/>
    <w:rsid w:val="002B0DB2"/>
    <w:rsid w:val="002B0DF3"/>
    <w:rsid w:val="002B0DFF"/>
    <w:rsid w:val="002B0F40"/>
    <w:rsid w:val="002B0F71"/>
    <w:rsid w:val="002B0FCC"/>
    <w:rsid w:val="002B0FF4"/>
    <w:rsid w:val="002B10AB"/>
    <w:rsid w:val="002B10E4"/>
    <w:rsid w:val="002B137E"/>
    <w:rsid w:val="002B141B"/>
    <w:rsid w:val="002B14E5"/>
    <w:rsid w:val="002B14E8"/>
    <w:rsid w:val="002B1732"/>
    <w:rsid w:val="002B17DF"/>
    <w:rsid w:val="002B17FA"/>
    <w:rsid w:val="002B1871"/>
    <w:rsid w:val="002B1A2B"/>
    <w:rsid w:val="002B1AD8"/>
    <w:rsid w:val="002B1B2D"/>
    <w:rsid w:val="002B1B61"/>
    <w:rsid w:val="002B1BC4"/>
    <w:rsid w:val="002B1C2E"/>
    <w:rsid w:val="002B1C7F"/>
    <w:rsid w:val="002B1E14"/>
    <w:rsid w:val="002B1E64"/>
    <w:rsid w:val="002B1F3A"/>
    <w:rsid w:val="002B1FE2"/>
    <w:rsid w:val="002B20B5"/>
    <w:rsid w:val="002B2218"/>
    <w:rsid w:val="002B2287"/>
    <w:rsid w:val="002B232E"/>
    <w:rsid w:val="002B2346"/>
    <w:rsid w:val="002B23A1"/>
    <w:rsid w:val="002B2537"/>
    <w:rsid w:val="002B2569"/>
    <w:rsid w:val="002B25D6"/>
    <w:rsid w:val="002B2687"/>
    <w:rsid w:val="002B2689"/>
    <w:rsid w:val="002B26DF"/>
    <w:rsid w:val="002B2A46"/>
    <w:rsid w:val="002B2D56"/>
    <w:rsid w:val="002B2E5C"/>
    <w:rsid w:val="002B3095"/>
    <w:rsid w:val="002B30BF"/>
    <w:rsid w:val="002B314E"/>
    <w:rsid w:val="002B3211"/>
    <w:rsid w:val="002B32A2"/>
    <w:rsid w:val="002B32B4"/>
    <w:rsid w:val="002B35F6"/>
    <w:rsid w:val="002B38B4"/>
    <w:rsid w:val="002B3949"/>
    <w:rsid w:val="002B3A72"/>
    <w:rsid w:val="002B3B2C"/>
    <w:rsid w:val="002B3B52"/>
    <w:rsid w:val="002B3D49"/>
    <w:rsid w:val="002B3D80"/>
    <w:rsid w:val="002B3E0F"/>
    <w:rsid w:val="002B3F35"/>
    <w:rsid w:val="002B3FBF"/>
    <w:rsid w:val="002B42B9"/>
    <w:rsid w:val="002B4316"/>
    <w:rsid w:val="002B432B"/>
    <w:rsid w:val="002B433D"/>
    <w:rsid w:val="002B4483"/>
    <w:rsid w:val="002B46E0"/>
    <w:rsid w:val="002B47B9"/>
    <w:rsid w:val="002B4874"/>
    <w:rsid w:val="002B48AF"/>
    <w:rsid w:val="002B49B9"/>
    <w:rsid w:val="002B4A24"/>
    <w:rsid w:val="002B4BBC"/>
    <w:rsid w:val="002B4BD6"/>
    <w:rsid w:val="002B4EAF"/>
    <w:rsid w:val="002B4EE5"/>
    <w:rsid w:val="002B506C"/>
    <w:rsid w:val="002B5127"/>
    <w:rsid w:val="002B5131"/>
    <w:rsid w:val="002B51FB"/>
    <w:rsid w:val="002B5204"/>
    <w:rsid w:val="002B5289"/>
    <w:rsid w:val="002B5434"/>
    <w:rsid w:val="002B54F6"/>
    <w:rsid w:val="002B552F"/>
    <w:rsid w:val="002B561E"/>
    <w:rsid w:val="002B5638"/>
    <w:rsid w:val="002B56BA"/>
    <w:rsid w:val="002B56C5"/>
    <w:rsid w:val="002B588B"/>
    <w:rsid w:val="002B59D7"/>
    <w:rsid w:val="002B5C3B"/>
    <w:rsid w:val="002B5D7B"/>
    <w:rsid w:val="002B5D95"/>
    <w:rsid w:val="002B5E91"/>
    <w:rsid w:val="002B5EEA"/>
    <w:rsid w:val="002B5FA6"/>
    <w:rsid w:val="002B632A"/>
    <w:rsid w:val="002B63AA"/>
    <w:rsid w:val="002B63D7"/>
    <w:rsid w:val="002B6587"/>
    <w:rsid w:val="002B6659"/>
    <w:rsid w:val="002B67E0"/>
    <w:rsid w:val="002B689C"/>
    <w:rsid w:val="002B69EF"/>
    <w:rsid w:val="002B6A9D"/>
    <w:rsid w:val="002B6AB2"/>
    <w:rsid w:val="002B6ACA"/>
    <w:rsid w:val="002B6BAA"/>
    <w:rsid w:val="002B6BF7"/>
    <w:rsid w:val="002B6E6B"/>
    <w:rsid w:val="002B706C"/>
    <w:rsid w:val="002B707A"/>
    <w:rsid w:val="002B7252"/>
    <w:rsid w:val="002B72F2"/>
    <w:rsid w:val="002B7336"/>
    <w:rsid w:val="002B7356"/>
    <w:rsid w:val="002B7666"/>
    <w:rsid w:val="002B767B"/>
    <w:rsid w:val="002B768F"/>
    <w:rsid w:val="002B7960"/>
    <w:rsid w:val="002B7A20"/>
    <w:rsid w:val="002B7CB0"/>
    <w:rsid w:val="002B7DAC"/>
    <w:rsid w:val="002B7DD3"/>
    <w:rsid w:val="002C0153"/>
    <w:rsid w:val="002C019A"/>
    <w:rsid w:val="002C01DC"/>
    <w:rsid w:val="002C022C"/>
    <w:rsid w:val="002C02F0"/>
    <w:rsid w:val="002C0329"/>
    <w:rsid w:val="002C032D"/>
    <w:rsid w:val="002C0718"/>
    <w:rsid w:val="002C07BF"/>
    <w:rsid w:val="002C08E3"/>
    <w:rsid w:val="002C0ADF"/>
    <w:rsid w:val="002C0B0F"/>
    <w:rsid w:val="002C0CDE"/>
    <w:rsid w:val="002C0CE2"/>
    <w:rsid w:val="002C0FA2"/>
    <w:rsid w:val="002C10BA"/>
    <w:rsid w:val="002C12B0"/>
    <w:rsid w:val="002C134F"/>
    <w:rsid w:val="002C13AC"/>
    <w:rsid w:val="002C157D"/>
    <w:rsid w:val="002C15C6"/>
    <w:rsid w:val="002C171F"/>
    <w:rsid w:val="002C17EE"/>
    <w:rsid w:val="002C18C0"/>
    <w:rsid w:val="002C190B"/>
    <w:rsid w:val="002C1942"/>
    <w:rsid w:val="002C1C99"/>
    <w:rsid w:val="002C1CC8"/>
    <w:rsid w:val="002C1E09"/>
    <w:rsid w:val="002C207A"/>
    <w:rsid w:val="002C20E5"/>
    <w:rsid w:val="002C2123"/>
    <w:rsid w:val="002C2211"/>
    <w:rsid w:val="002C2280"/>
    <w:rsid w:val="002C22F4"/>
    <w:rsid w:val="002C232E"/>
    <w:rsid w:val="002C2331"/>
    <w:rsid w:val="002C2642"/>
    <w:rsid w:val="002C293D"/>
    <w:rsid w:val="002C29A0"/>
    <w:rsid w:val="002C2A9A"/>
    <w:rsid w:val="002C2AC3"/>
    <w:rsid w:val="002C2AC7"/>
    <w:rsid w:val="002C2C7A"/>
    <w:rsid w:val="002C2CB3"/>
    <w:rsid w:val="002C2D49"/>
    <w:rsid w:val="002C2DFB"/>
    <w:rsid w:val="002C2E36"/>
    <w:rsid w:val="002C2E6F"/>
    <w:rsid w:val="002C2F29"/>
    <w:rsid w:val="002C2F4C"/>
    <w:rsid w:val="002C2F6E"/>
    <w:rsid w:val="002C30AA"/>
    <w:rsid w:val="002C31DF"/>
    <w:rsid w:val="002C3227"/>
    <w:rsid w:val="002C3419"/>
    <w:rsid w:val="002C3668"/>
    <w:rsid w:val="002C36DD"/>
    <w:rsid w:val="002C37C3"/>
    <w:rsid w:val="002C38A1"/>
    <w:rsid w:val="002C3AB3"/>
    <w:rsid w:val="002C3C0C"/>
    <w:rsid w:val="002C3CA8"/>
    <w:rsid w:val="002C3D33"/>
    <w:rsid w:val="002C3D42"/>
    <w:rsid w:val="002C3D81"/>
    <w:rsid w:val="002C3D9B"/>
    <w:rsid w:val="002C413F"/>
    <w:rsid w:val="002C4171"/>
    <w:rsid w:val="002C4258"/>
    <w:rsid w:val="002C44C3"/>
    <w:rsid w:val="002C45E1"/>
    <w:rsid w:val="002C4638"/>
    <w:rsid w:val="002C47FA"/>
    <w:rsid w:val="002C49F8"/>
    <w:rsid w:val="002C4AF1"/>
    <w:rsid w:val="002C4DE2"/>
    <w:rsid w:val="002C4F56"/>
    <w:rsid w:val="002C4FA3"/>
    <w:rsid w:val="002C4FAD"/>
    <w:rsid w:val="002C501A"/>
    <w:rsid w:val="002C50EA"/>
    <w:rsid w:val="002C5101"/>
    <w:rsid w:val="002C523B"/>
    <w:rsid w:val="002C5288"/>
    <w:rsid w:val="002C5644"/>
    <w:rsid w:val="002C57C0"/>
    <w:rsid w:val="002C5807"/>
    <w:rsid w:val="002C582C"/>
    <w:rsid w:val="002C5851"/>
    <w:rsid w:val="002C590E"/>
    <w:rsid w:val="002C5924"/>
    <w:rsid w:val="002C5A3D"/>
    <w:rsid w:val="002C5A89"/>
    <w:rsid w:val="002C5AB9"/>
    <w:rsid w:val="002C5D2B"/>
    <w:rsid w:val="002C5D9B"/>
    <w:rsid w:val="002C5F08"/>
    <w:rsid w:val="002C6159"/>
    <w:rsid w:val="002C619C"/>
    <w:rsid w:val="002C61AD"/>
    <w:rsid w:val="002C621E"/>
    <w:rsid w:val="002C645A"/>
    <w:rsid w:val="002C657E"/>
    <w:rsid w:val="002C6A93"/>
    <w:rsid w:val="002C6AA4"/>
    <w:rsid w:val="002C6ADE"/>
    <w:rsid w:val="002C6BA9"/>
    <w:rsid w:val="002C6BCE"/>
    <w:rsid w:val="002C6C23"/>
    <w:rsid w:val="002C6C49"/>
    <w:rsid w:val="002C6CBE"/>
    <w:rsid w:val="002C6CD9"/>
    <w:rsid w:val="002C6EDA"/>
    <w:rsid w:val="002C7009"/>
    <w:rsid w:val="002C71F5"/>
    <w:rsid w:val="002C721A"/>
    <w:rsid w:val="002C7431"/>
    <w:rsid w:val="002C74AC"/>
    <w:rsid w:val="002C7516"/>
    <w:rsid w:val="002C754F"/>
    <w:rsid w:val="002C77F0"/>
    <w:rsid w:val="002C7942"/>
    <w:rsid w:val="002C79A6"/>
    <w:rsid w:val="002C79B5"/>
    <w:rsid w:val="002C7B38"/>
    <w:rsid w:val="002C7CE5"/>
    <w:rsid w:val="002C7D03"/>
    <w:rsid w:val="002C7DFD"/>
    <w:rsid w:val="002C7ED7"/>
    <w:rsid w:val="002C7F1B"/>
    <w:rsid w:val="002D01BB"/>
    <w:rsid w:val="002D04A0"/>
    <w:rsid w:val="002D04DE"/>
    <w:rsid w:val="002D0603"/>
    <w:rsid w:val="002D085B"/>
    <w:rsid w:val="002D0C76"/>
    <w:rsid w:val="002D0D33"/>
    <w:rsid w:val="002D0EFF"/>
    <w:rsid w:val="002D0F4C"/>
    <w:rsid w:val="002D0FC3"/>
    <w:rsid w:val="002D110A"/>
    <w:rsid w:val="002D1115"/>
    <w:rsid w:val="002D13E3"/>
    <w:rsid w:val="002D1463"/>
    <w:rsid w:val="002D1466"/>
    <w:rsid w:val="002D1496"/>
    <w:rsid w:val="002D162B"/>
    <w:rsid w:val="002D1673"/>
    <w:rsid w:val="002D1989"/>
    <w:rsid w:val="002D199F"/>
    <w:rsid w:val="002D19DD"/>
    <w:rsid w:val="002D1A24"/>
    <w:rsid w:val="002D1BD0"/>
    <w:rsid w:val="002D1C4B"/>
    <w:rsid w:val="002D204B"/>
    <w:rsid w:val="002D2111"/>
    <w:rsid w:val="002D2139"/>
    <w:rsid w:val="002D2286"/>
    <w:rsid w:val="002D22B4"/>
    <w:rsid w:val="002D233B"/>
    <w:rsid w:val="002D24A3"/>
    <w:rsid w:val="002D24B1"/>
    <w:rsid w:val="002D256D"/>
    <w:rsid w:val="002D2654"/>
    <w:rsid w:val="002D2669"/>
    <w:rsid w:val="002D2735"/>
    <w:rsid w:val="002D273F"/>
    <w:rsid w:val="002D274E"/>
    <w:rsid w:val="002D27E9"/>
    <w:rsid w:val="002D283C"/>
    <w:rsid w:val="002D2947"/>
    <w:rsid w:val="002D2ACC"/>
    <w:rsid w:val="002D2AE3"/>
    <w:rsid w:val="002D2BC2"/>
    <w:rsid w:val="002D2C40"/>
    <w:rsid w:val="002D2D0F"/>
    <w:rsid w:val="002D2DFD"/>
    <w:rsid w:val="002D2E70"/>
    <w:rsid w:val="002D2E98"/>
    <w:rsid w:val="002D2EE2"/>
    <w:rsid w:val="002D2F26"/>
    <w:rsid w:val="002D2F4C"/>
    <w:rsid w:val="002D2F4D"/>
    <w:rsid w:val="002D3096"/>
    <w:rsid w:val="002D3127"/>
    <w:rsid w:val="002D312C"/>
    <w:rsid w:val="002D3156"/>
    <w:rsid w:val="002D3181"/>
    <w:rsid w:val="002D3217"/>
    <w:rsid w:val="002D34C5"/>
    <w:rsid w:val="002D358A"/>
    <w:rsid w:val="002D35E3"/>
    <w:rsid w:val="002D3680"/>
    <w:rsid w:val="002D36AA"/>
    <w:rsid w:val="002D36E4"/>
    <w:rsid w:val="002D3703"/>
    <w:rsid w:val="002D372E"/>
    <w:rsid w:val="002D37D9"/>
    <w:rsid w:val="002D3A9F"/>
    <w:rsid w:val="002D3BC2"/>
    <w:rsid w:val="002D3BD9"/>
    <w:rsid w:val="002D3C91"/>
    <w:rsid w:val="002D3E59"/>
    <w:rsid w:val="002D3F00"/>
    <w:rsid w:val="002D4274"/>
    <w:rsid w:val="002D432F"/>
    <w:rsid w:val="002D437F"/>
    <w:rsid w:val="002D442D"/>
    <w:rsid w:val="002D444B"/>
    <w:rsid w:val="002D44C8"/>
    <w:rsid w:val="002D451C"/>
    <w:rsid w:val="002D459C"/>
    <w:rsid w:val="002D45E1"/>
    <w:rsid w:val="002D46CB"/>
    <w:rsid w:val="002D471D"/>
    <w:rsid w:val="002D4761"/>
    <w:rsid w:val="002D4861"/>
    <w:rsid w:val="002D4878"/>
    <w:rsid w:val="002D4970"/>
    <w:rsid w:val="002D4A56"/>
    <w:rsid w:val="002D4CB9"/>
    <w:rsid w:val="002D4E0F"/>
    <w:rsid w:val="002D4E5B"/>
    <w:rsid w:val="002D4E81"/>
    <w:rsid w:val="002D4F85"/>
    <w:rsid w:val="002D5057"/>
    <w:rsid w:val="002D509A"/>
    <w:rsid w:val="002D514C"/>
    <w:rsid w:val="002D5563"/>
    <w:rsid w:val="002D55E7"/>
    <w:rsid w:val="002D567B"/>
    <w:rsid w:val="002D5804"/>
    <w:rsid w:val="002D594B"/>
    <w:rsid w:val="002D5AB7"/>
    <w:rsid w:val="002D5B14"/>
    <w:rsid w:val="002D5B22"/>
    <w:rsid w:val="002D5D96"/>
    <w:rsid w:val="002D5F02"/>
    <w:rsid w:val="002D6203"/>
    <w:rsid w:val="002D62F2"/>
    <w:rsid w:val="002D64BB"/>
    <w:rsid w:val="002D65AD"/>
    <w:rsid w:val="002D669C"/>
    <w:rsid w:val="002D6731"/>
    <w:rsid w:val="002D67A7"/>
    <w:rsid w:val="002D67FB"/>
    <w:rsid w:val="002D6935"/>
    <w:rsid w:val="002D69A3"/>
    <w:rsid w:val="002D69C1"/>
    <w:rsid w:val="002D6AB6"/>
    <w:rsid w:val="002D6C1D"/>
    <w:rsid w:val="002D6ECE"/>
    <w:rsid w:val="002D6EEF"/>
    <w:rsid w:val="002D7051"/>
    <w:rsid w:val="002D7164"/>
    <w:rsid w:val="002D716F"/>
    <w:rsid w:val="002D71DA"/>
    <w:rsid w:val="002D7219"/>
    <w:rsid w:val="002D746C"/>
    <w:rsid w:val="002D74B4"/>
    <w:rsid w:val="002D79C7"/>
    <w:rsid w:val="002D7A45"/>
    <w:rsid w:val="002D7B66"/>
    <w:rsid w:val="002D7DA0"/>
    <w:rsid w:val="002D7E81"/>
    <w:rsid w:val="002D7EBB"/>
    <w:rsid w:val="002E00D5"/>
    <w:rsid w:val="002E0186"/>
    <w:rsid w:val="002E019A"/>
    <w:rsid w:val="002E024F"/>
    <w:rsid w:val="002E0274"/>
    <w:rsid w:val="002E0586"/>
    <w:rsid w:val="002E058D"/>
    <w:rsid w:val="002E05A4"/>
    <w:rsid w:val="002E066E"/>
    <w:rsid w:val="002E071B"/>
    <w:rsid w:val="002E0768"/>
    <w:rsid w:val="002E078D"/>
    <w:rsid w:val="002E07A8"/>
    <w:rsid w:val="002E0804"/>
    <w:rsid w:val="002E08CC"/>
    <w:rsid w:val="002E08FD"/>
    <w:rsid w:val="002E0983"/>
    <w:rsid w:val="002E0A35"/>
    <w:rsid w:val="002E0BF8"/>
    <w:rsid w:val="002E0C25"/>
    <w:rsid w:val="002E0DEA"/>
    <w:rsid w:val="002E0EE9"/>
    <w:rsid w:val="002E107A"/>
    <w:rsid w:val="002E10F4"/>
    <w:rsid w:val="002E1152"/>
    <w:rsid w:val="002E11BC"/>
    <w:rsid w:val="002E132B"/>
    <w:rsid w:val="002E170A"/>
    <w:rsid w:val="002E1861"/>
    <w:rsid w:val="002E18CB"/>
    <w:rsid w:val="002E1A84"/>
    <w:rsid w:val="002E1A90"/>
    <w:rsid w:val="002E1AA1"/>
    <w:rsid w:val="002E1B62"/>
    <w:rsid w:val="002E1B8F"/>
    <w:rsid w:val="002E1BDC"/>
    <w:rsid w:val="002E1C3E"/>
    <w:rsid w:val="002E1E53"/>
    <w:rsid w:val="002E1E5C"/>
    <w:rsid w:val="002E1EEA"/>
    <w:rsid w:val="002E1F5A"/>
    <w:rsid w:val="002E20BE"/>
    <w:rsid w:val="002E2251"/>
    <w:rsid w:val="002E2268"/>
    <w:rsid w:val="002E22FE"/>
    <w:rsid w:val="002E241B"/>
    <w:rsid w:val="002E2527"/>
    <w:rsid w:val="002E2557"/>
    <w:rsid w:val="002E27F9"/>
    <w:rsid w:val="002E2977"/>
    <w:rsid w:val="002E2AD7"/>
    <w:rsid w:val="002E2AE6"/>
    <w:rsid w:val="002E2B4F"/>
    <w:rsid w:val="002E2B95"/>
    <w:rsid w:val="002E2C2F"/>
    <w:rsid w:val="002E2D63"/>
    <w:rsid w:val="002E2DDA"/>
    <w:rsid w:val="002E2E85"/>
    <w:rsid w:val="002E30E6"/>
    <w:rsid w:val="002E3170"/>
    <w:rsid w:val="002E320B"/>
    <w:rsid w:val="002E32A3"/>
    <w:rsid w:val="002E32E2"/>
    <w:rsid w:val="002E3358"/>
    <w:rsid w:val="002E350B"/>
    <w:rsid w:val="002E36F6"/>
    <w:rsid w:val="002E378C"/>
    <w:rsid w:val="002E395C"/>
    <w:rsid w:val="002E3AC7"/>
    <w:rsid w:val="002E3C03"/>
    <w:rsid w:val="002E3DDA"/>
    <w:rsid w:val="002E3DDC"/>
    <w:rsid w:val="002E3E69"/>
    <w:rsid w:val="002E3ED2"/>
    <w:rsid w:val="002E402D"/>
    <w:rsid w:val="002E4162"/>
    <w:rsid w:val="002E446C"/>
    <w:rsid w:val="002E44FD"/>
    <w:rsid w:val="002E457E"/>
    <w:rsid w:val="002E47AC"/>
    <w:rsid w:val="002E4965"/>
    <w:rsid w:val="002E49B3"/>
    <w:rsid w:val="002E4A85"/>
    <w:rsid w:val="002E4AAC"/>
    <w:rsid w:val="002E4BD6"/>
    <w:rsid w:val="002E4C0D"/>
    <w:rsid w:val="002E4C3C"/>
    <w:rsid w:val="002E4CC9"/>
    <w:rsid w:val="002E4DF6"/>
    <w:rsid w:val="002E5070"/>
    <w:rsid w:val="002E52AD"/>
    <w:rsid w:val="002E530E"/>
    <w:rsid w:val="002E53A7"/>
    <w:rsid w:val="002E574E"/>
    <w:rsid w:val="002E57B4"/>
    <w:rsid w:val="002E57D6"/>
    <w:rsid w:val="002E587D"/>
    <w:rsid w:val="002E58AC"/>
    <w:rsid w:val="002E58C8"/>
    <w:rsid w:val="002E5980"/>
    <w:rsid w:val="002E5B8B"/>
    <w:rsid w:val="002E5BD8"/>
    <w:rsid w:val="002E5BF1"/>
    <w:rsid w:val="002E5C38"/>
    <w:rsid w:val="002E5C8C"/>
    <w:rsid w:val="002E5E84"/>
    <w:rsid w:val="002E5EBF"/>
    <w:rsid w:val="002E5FB3"/>
    <w:rsid w:val="002E60D4"/>
    <w:rsid w:val="002E6162"/>
    <w:rsid w:val="002E61A4"/>
    <w:rsid w:val="002E61EC"/>
    <w:rsid w:val="002E627C"/>
    <w:rsid w:val="002E6336"/>
    <w:rsid w:val="002E635D"/>
    <w:rsid w:val="002E650C"/>
    <w:rsid w:val="002E652D"/>
    <w:rsid w:val="002E6538"/>
    <w:rsid w:val="002E655C"/>
    <w:rsid w:val="002E664C"/>
    <w:rsid w:val="002E6703"/>
    <w:rsid w:val="002E68A3"/>
    <w:rsid w:val="002E68FE"/>
    <w:rsid w:val="002E6A60"/>
    <w:rsid w:val="002E6AA6"/>
    <w:rsid w:val="002E6AE6"/>
    <w:rsid w:val="002E6B22"/>
    <w:rsid w:val="002E6B72"/>
    <w:rsid w:val="002E6C3A"/>
    <w:rsid w:val="002E6C6D"/>
    <w:rsid w:val="002E6CB2"/>
    <w:rsid w:val="002E6CF1"/>
    <w:rsid w:val="002E6F54"/>
    <w:rsid w:val="002E706A"/>
    <w:rsid w:val="002E712A"/>
    <w:rsid w:val="002E7251"/>
    <w:rsid w:val="002E727D"/>
    <w:rsid w:val="002E7290"/>
    <w:rsid w:val="002E74DA"/>
    <w:rsid w:val="002E7539"/>
    <w:rsid w:val="002E7631"/>
    <w:rsid w:val="002E76BA"/>
    <w:rsid w:val="002E785B"/>
    <w:rsid w:val="002E7982"/>
    <w:rsid w:val="002E79CA"/>
    <w:rsid w:val="002E7A67"/>
    <w:rsid w:val="002E7B93"/>
    <w:rsid w:val="002E7CF1"/>
    <w:rsid w:val="002E7E1D"/>
    <w:rsid w:val="002E7E78"/>
    <w:rsid w:val="002F004A"/>
    <w:rsid w:val="002F0158"/>
    <w:rsid w:val="002F0181"/>
    <w:rsid w:val="002F02E2"/>
    <w:rsid w:val="002F0328"/>
    <w:rsid w:val="002F0427"/>
    <w:rsid w:val="002F0493"/>
    <w:rsid w:val="002F05ED"/>
    <w:rsid w:val="002F06DC"/>
    <w:rsid w:val="002F0858"/>
    <w:rsid w:val="002F0895"/>
    <w:rsid w:val="002F08D2"/>
    <w:rsid w:val="002F0BFF"/>
    <w:rsid w:val="002F0C5A"/>
    <w:rsid w:val="002F106F"/>
    <w:rsid w:val="002F1122"/>
    <w:rsid w:val="002F1142"/>
    <w:rsid w:val="002F129E"/>
    <w:rsid w:val="002F12A4"/>
    <w:rsid w:val="002F1341"/>
    <w:rsid w:val="002F1377"/>
    <w:rsid w:val="002F1452"/>
    <w:rsid w:val="002F14DB"/>
    <w:rsid w:val="002F1534"/>
    <w:rsid w:val="002F1645"/>
    <w:rsid w:val="002F164E"/>
    <w:rsid w:val="002F1695"/>
    <w:rsid w:val="002F16B1"/>
    <w:rsid w:val="002F1834"/>
    <w:rsid w:val="002F1C6C"/>
    <w:rsid w:val="002F1D25"/>
    <w:rsid w:val="002F213C"/>
    <w:rsid w:val="002F232B"/>
    <w:rsid w:val="002F2383"/>
    <w:rsid w:val="002F2417"/>
    <w:rsid w:val="002F24B6"/>
    <w:rsid w:val="002F2752"/>
    <w:rsid w:val="002F290A"/>
    <w:rsid w:val="002F2A21"/>
    <w:rsid w:val="002F2B59"/>
    <w:rsid w:val="002F2E42"/>
    <w:rsid w:val="002F2ECC"/>
    <w:rsid w:val="002F2F0C"/>
    <w:rsid w:val="002F2FDD"/>
    <w:rsid w:val="002F305A"/>
    <w:rsid w:val="002F309F"/>
    <w:rsid w:val="002F3229"/>
    <w:rsid w:val="002F32BD"/>
    <w:rsid w:val="002F339D"/>
    <w:rsid w:val="002F33B6"/>
    <w:rsid w:val="002F3448"/>
    <w:rsid w:val="002F35D1"/>
    <w:rsid w:val="002F3677"/>
    <w:rsid w:val="002F3685"/>
    <w:rsid w:val="002F387B"/>
    <w:rsid w:val="002F3B5D"/>
    <w:rsid w:val="002F3CB1"/>
    <w:rsid w:val="002F3D19"/>
    <w:rsid w:val="002F3D6A"/>
    <w:rsid w:val="002F3F28"/>
    <w:rsid w:val="002F3F48"/>
    <w:rsid w:val="002F4003"/>
    <w:rsid w:val="002F40BD"/>
    <w:rsid w:val="002F4208"/>
    <w:rsid w:val="002F4209"/>
    <w:rsid w:val="002F4485"/>
    <w:rsid w:val="002F452F"/>
    <w:rsid w:val="002F45B5"/>
    <w:rsid w:val="002F45DF"/>
    <w:rsid w:val="002F46A0"/>
    <w:rsid w:val="002F46AE"/>
    <w:rsid w:val="002F4734"/>
    <w:rsid w:val="002F4974"/>
    <w:rsid w:val="002F4A56"/>
    <w:rsid w:val="002F4AB1"/>
    <w:rsid w:val="002F4B65"/>
    <w:rsid w:val="002F4DD8"/>
    <w:rsid w:val="002F4E4E"/>
    <w:rsid w:val="002F4EA4"/>
    <w:rsid w:val="002F5123"/>
    <w:rsid w:val="002F5165"/>
    <w:rsid w:val="002F52C9"/>
    <w:rsid w:val="002F52CA"/>
    <w:rsid w:val="002F5388"/>
    <w:rsid w:val="002F5462"/>
    <w:rsid w:val="002F546A"/>
    <w:rsid w:val="002F5492"/>
    <w:rsid w:val="002F565A"/>
    <w:rsid w:val="002F5688"/>
    <w:rsid w:val="002F5799"/>
    <w:rsid w:val="002F57C6"/>
    <w:rsid w:val="002F58B7"/>
    <w:rsid w:val="002F5A84"/>
    <w:rsid w:val="002F5AB6"/>
    <w:rsid w:val="002F5B37"/>
    <w:rsid w:val="002F5BD1"/>
    <w:rsid w:val="002F5E78"/>
    <w:rsid w:val="002F5EA9"/>
    <w:rsid w:val="002F60BC"/>
    <w:rsid w:val="002F6197"/>
    <w:rsid w:val="002F627D"/>
    <w:rsid w:val="002F6459"/>
    <w:rsid w:val="002F6578"/>
    <w:rsid w:val="002F660F"/>
    <w:rsid w:val="002F6862"/>
    <w:rsid w:val="002F6974"/>
    <w:rsid w:val="002F6ABD"/>
    <w:rsid w:val="002F6B01"/>
    <w:rsid w:val="002F6CC3"/>
    <w:rsid w:val="002F6D9D"/>
    <w:rsid w:val="002F6DF3"/>
    <w:rsid w:val="002F6EB4"/>
    <w:rsid w:val="002F6F0B"/>
    <w:rsid w:val="002F6FBB"/>
    <w:rsid w:val="002F7033"/>
    <w:rsid w:val="002F70FB"/>
    <w:rsid w:val="002F7114"/>
    <w:rsid w:val="002F719D"/>
    <w:rsid w:val="002F71AF"/>
    <w:rsid w:val="002F71F2"/>
    <w:rsid w:val="002F71F4"/>
    <w:rsid w:val="002F7308"/>
    <w:rsid w:val="002F7421"/>
    <w:rsid w:val="002F7559"/>
    <w:rsid w:val="002F75E4"/>
    <w:rsid w:val="002F7911"/>
    <w:rsid w:val="002F7926"/>
    <w:rsid w:val="002F79FE"/>
    <w:rsid w:val="002F7A38"/>
    <w:rsid w:val="002F7A67"/>
    <w:rsid w:val="002F7B71"/>
    <w:rsid w:val="002F7B85"/>
    <w:rsid w:val="002F7C51"/>
    <w:rsid w:val="002F7D5E"/>
    <w:rsid w:val="002F7D6D"/>
    <w:rsid w:val="002F7E52"/>
    <w:rsid w:val="002F7EE4"/>
    <w:rsid w:val="002F7FDE"/>
    <w:rsid w:val="0030002C"/>
    <w:rsid w:val="0030004D"/>
    <w:rsid w:val="0030009E"/>
    <w:rsid w:val="00300278"/>
    <w:rsid w:val="003003A0"/>
    <w:rsid w:val="0030046B"/>
    <w:rsid w:val="003004D6"/>
    <w:rsid w:val="00300882"/>
    <w:rsid w:val="00300896"/>
    <w:rsid w:val="00300ABB"/>
    <w:rsid w:val="00300B68"/>
    <w:rsid w:val="00300B8C"/>
    <w:rsid w:val="00300BEC"/>
    <w:rsid w:val="00300DAD"/>
    <w:rsid w:val="00300E62"/>
    <w:rsid w:val="00300EB7"/>
    <w:rsid w:val="0030117D"/>
    <w:rsid w:val="003011CB"/>
    <w:rsid w:val="003011FB"/>
    <w:rsid w:val="003012A0"/>
    <w:rsid w:val="003012BB"/>
    <w:rsid w:val="00301308"/>
    <w:rsid w:val="00301345"/>
    <w:rsid w:val="003013AD"/>
    <w:rsid w:val="003016E9"/>
    <w:rsid w:val="00301803"/>
    <w:rsid w:val="00301884"/>
    <w:rsid w:val="00301A23"/>
    <w:rsid w:val="00301CDE"/>
    <w:rsid w:val="00301D89"/>
    <w:rsid w:val="00301E1D"/>
    <w:rsid w:val="00301E6A"/>
    <w:rsid w:val="00301F16"/>
    <w:rsid w:val="00301F24"/>
    <w:rsid w:val="00302096"/>
    <w:rsid w:val="003020E8"/>
    <w:rsid w:val="0030219E"/>
    <w:rsid w:val="00302220"/>
    <w:rsid w:val="003022EE"/>
    <w:rsid w:val="0030237C"/>
    <w:rsid w:val="00302395"/>
    <w:rsid w:val="0030245F"/>
    <w:rsid w:val="00302736"/>
    <w:rsid w:val="0030291C"/>
    <w:rsid w:val="00302A08"/>
    <w:rsid w:val="00302A64"/>
    <w:rsid w:val="00302A95"/>
    <w:rsid w:val="00302D5C"/>
    <w:rsid w:val="00302D85"/>
    <w:rsid w:val="00302E0D"/>
    <w:rsid w:val="00302E38"/>
    <w:rsid w:val="00302FB0"/>
    <w:rsid w:val="003030A7"/>
    <w:rsid w:val="00303318"/>
    <w:rsid w:val="00303424"/>
    <w:rsid w:val="00303478"/>
    <w:rsid w:val="00303684"/>
    <w:rsid w:val="0030375A"/>
    <w:rsid w:val="0030386D"/>
    <w:rsid w:val="0030393F"/>
    <w:rsid w:val="00303A61"/>
    <w:rsid w:val="00303A86"/>
    <w:rsid w:val="00303AAF"/>
    <w:rsid w:val="00303AE7"/>
    <w:rsid w:val="00303B6E"/>
    <w:rsid w:val="00303C09"/>
    <w:rsid w:val="00303D7D"/>
    <w:rsid w:val="00303EB7"/>
    <w:rsid w:val="00304113"/>
    <w:rsid w:val="00304196"/>
    <w:rsid w:val="003041AF"/>
    <w:rsid w:val="003041F8"/>
    <w:rsid w:val="00304233"/>
    <w:rsid w:val="003042D3"/>
    <w:rsid w:val="0030433F"/>
    <w:rsid w:val="00304388"/>
    <w:rsid w:val="00304415"/>
    <w:rsid w:val="003044A0"/>
    <w:rsid w:val="00304575"/>
    <w:rsid w:val="003045A1"/>
    <w:rsid w:val="00304A7B"/>
    <w:rsid w:val="00304AAA"/>
    <w:rsid w:val="00304CDE"/>
    <w:rsid w:val="00304D79"/>
    <w:rsid w:val="00304D9F"/>
    <w:rsid w:val="00304F51"/>
    <w:rsid w:val="00304F7D"/>
    <w:rsid w:val="00304F8F"/>
    <w:rsid w:val="00304FAA"/>
    <w:rsid w:val="00304FBA"/>
    <w:rsid w:val="00305205"/>
    <w:rsid w:val="00305250"/>
    <w:rsid w:val="003054B3"/>
    <w:rsid w:val="00305562"/>
    <w:rsid w:val="00305730"/>
    <w:rsid w:val="00305791"/>
    <w:rsid w:val="0030581A"/>
    <w:rsid w:val="00305954"/>
    <w:rsid w:val="003059DC"/>
    <w:rsid w:val="00305A5A"/>
    <w:rsid w:val="00305ABE"/>
    <w:rsid w:val="00305CAE"/>
    <w:rsid w:val="00305E46"/>
    <w:rsid w:val="00305E99"/>
    <w:rsid w:val="00305EBF"/>
    <w:rsid w:val="00305EFE"/>
    <w:rsid w:val="00305F90"/>
    <w:rsid w:val="00305FF8"/>
    <w:rsid w:val="003060C1"/>
    <w:rsid w:val="00306120"/>
    <w:rsid w:val="003062F3"/>
    <w:rsid w:val="00306336"/>
    <w:rsid w:val="0030655F"/>
    <w:rsid w:val="003066CA"/>
    <w:rsid w:val="00306996"/>
    <w:rsid w:val="00306A13"/>
    <w:rsid w:val="00306ACF"/>
    <w:rsid w:val="00306B24"/>
    <w:rsid w:val="00306B4C"/>
    <w:rsid w:val="00306B99"/>
    <w:rsid w:val="00306C87"/>
    <w:rsid w:val="00306CF1"/>
    <w:rsid w:val="00306E40"/>
    <w:rsid w:val="00306F94"/>
    <w:rsid w:val="003073E9"/>
    <w:rsid w:val="0030758C"/>
    <w:rsid w:val="0030770B"/>
    <w:rsid w:val="0030793D"/>
    <w:rsid w:val="00307999"/>
    <w:rsid w:val="003079CF"/>
    <w:rsid w:val="00307C40"/>
    <w:rsid w:val="00307C99"/>
    <w:rsid w:val="00307D2F"/>
    <w:rsid w:val="00307E21"/>
    <w:rsid w:val="00307E2D"/>
    <w:rsid w:val="00307EE5"/>
    <w:rsid w:val="003100A9"/>
    <w:rsid w:val="003100F4"/>
    <w:rsid w:val="00310114"/>
    <w:rsid w:val="0031027B"/>
    <w:rsid w:val="0031033B"/>
    <w:rsid w:val="00310405"/>
    <w:rsid w:val="003104E5"/>
    <w:rsid w:val="00310513"/>
    <w:rsid w:val="0031058C"/>
    <w:rsid w:val="003105FA"/>
    <w:rsid w:val="003106C3"/>
    <w:rsid w:val="003106E9"/>
    <w:rsid w:val="003106EA"/>
    <w:rsid w:val="00310702"/>
    <w:rsid w:val="00310789"/>
    <w:rsid w:val="0031084B"/>
    <w:rsid w:val="003108AB"/>
    <w:rsid w:val="00310A1B"/>
    <w:rsid w:val="00310B30"/>
    <w:rsid w:val="00310C24"/>
    <w:rsid w:val="00310C5D"/>
    <w:rsid w:val="00310DC6"/>
    <w:rsid w:val="00310EC2"/>
    <w:rsid w:val="00310EC6"/>
    <w:rsid w:val="00310F19"/>
    <w:rsid w:val="00310F5B"/>
    <w:rsid w:val="00311254"/>
    <w:rsid w:val="00311278"/>
    <w:rsid w:val="00311329"/>
    <w:rsid w:val="00311507"/>
    <w:rsid w:val="003115A3"/>
    <w:rsid w:val="00311774"/>
    <w:rsid w:val="00311B8B"/>
    <w:rsid w:val="00311C21"/>
    <w:rsid w:val="00311FFC"/>
    <w:rsid w:val="003120A7"/>
    <w:rsid w:val="00312121"/>
    <w:rsid w:val="00312225"/>
    <w:rsid w:val="0031230F"/>
    <w:rsid w:val="0031237C"/>
    <w:rsid w:val="003123B0"/>
    <w:rsid w:val="003124BF"/>
    <w:rsid w:val="00312551"/>
    <w:rsid w:val="003125E5"/>
    <w:rsid w:val="003127D9"/>
    <w:rsid w:val="00312958"/>
    <w:rsid w:val="0031295B"/>
    <w:rsid w:val="0031297E"/>
    <w:rsid w:val="00312A70"/>
    <w:rsid w:val="00312A8A"/>
    <w:rsid w:val="00312BD3"/>
    <w:rsid w:val="00312BE1"/>
    <w:rsid w:val="00312D0A"/>
    <w:rsid w:val="00312D16"/>
    <w:rsid w:val="00312D68"/>
    <w:rsid w:val="00312DB7"/>
    <w:rsid w:val="00312DD1"/>
    <w:rsid w:val="00312E25"/>
    <w:rsid w:val="00312F88"/>
    <w:rsid w:val="00313021"/>
    <w:rsid w:val="00313042"/>
    <w:rsid w:val="003131FE"/>
    <w:rsid w:val="00313227"/>
    <w:rsid w:val="003133F5"/>
    <w:rsid w:val="0031360D"/>
    <w:rsid w:val="003136FD"/>
    <w:rsid w:val="00313798"/>
    <w:rsid w:val="003138A0"/>
    <w:rsid w:val="003138E4"/>
    <w:rsid w:val="0031396E"/>
    <w:rsid w:val="0031399A"/>
    <w:rsid w:val="00313B3A"/>
    <w:rsid w:val="00313B59"/>
    <w:rsid w:val="00313C39"/>
    <w:rsid w:val="00313C4C"/>
    <w:rsid w:val="00313C9B"/>
    <w:rsid w:val="00313D1B"/>
    <w:rsid w:val="00313D98"/>
    <w:rsid w:val="00313DCA"/>
    <w:rsid w:val="00313E11"/>
    <w:rsid w:val="00313E6B"/>
    <w:rsid w:val="00313E7B"/>
    <w:rsid w:val="0031414D"/>
    <w:rsid w:val="003141FB"/>
    <w:rsid w:val="00314217"/>
    <w:rsid w:val="003143DF"/>
    <w:rsid w:val="0031440B"/>
    <w:rsid w:val="0031446A"/>
    <w:rsid w:val="003144B9"/>
    <w:rsid w:val="00314621"/>
    <w:rsid w:val="003148A7"/>
    <w:rsid w:val="0031498C"/>
    <w:rsid w:val="003149AD"/>
    <w:rsid w:val="00314A5B"/>
    <w:rsid w:val="00314ABA"/>
    <w:rsid w:val="00314BE1"/>
    <w:rsid w:val="00314C47"/>
    <w:rsid w:val="00314C49"/>
    <w:rsid w:val="00314C96"/>
    <w:rsid w:val="00314DD9"/>
    <w:rsid w:val="00314E69"/>
    <w:rsid w:val="00314F03"/>
    <w:rsid w:val="00314F24"/>
    <w:rsid w:val="00315054"/>
    <w:rsid w:val="0031510B"/>
    <w:rsid w:val="00315141"/>
    <w:rsid w:val="00315160"/>
    <w:rsid w:val="0031530E"/>
    <w:rsid w:val="00315447"/>
    <w:rsid w:val="00315550"/>
    <w:rsid w:val="00315581"/>
    <w:rsid w:val="003156FE"/>
    <w:rsid w:val="0031584A"/>
    <w:rsid w:val="00315953"/>
    <w:rsid w:val="00315B10"/>
    <w:rsid w:val="00315B3B"/>
    <w:rsid w:val="00315C97"/>
    <w:rsid w:val="00315D01"/>
    <w:rsid w:val="00315D6A"/>
    <w:rsid w:val="00315D71"/>
    <w:rsid w:val="00315F4F"/>
    <w:rsid w:val="00315F66"/>
    <w:rsid w:val="00315F9C"/>
    <w:rsid w:val="0031602D"/>
    <w:rsid w:val="00316208"/>
    <w:rsid w:val="0031625C"/>
    <w:rsid w:val="003162AA"/>
    <w:rsid w:val="0031639A"/>
    <w:rsid w:val="003163DA"/>
    <w:rsid w:val="00316408"/>
    <w:rsid w:val="003165A4"/>
    <w:rsid w:val="003166FA"/>
    <w:rsid w:val="00316762"/>
    <w:rsid w:val="0031689C"/>
    <w:rsid w:val="003168C0"/>
    <w:rsid w:val="003169B0"/>
    <w:rsid w:val="003169CA"/>
    <w:rsid w:val="00316A6E"/>
    <w:rsid w:val="00316AAD"/>
    <w:rsid w:val="00316B71"/>
    <w:rsid w:val="00316B95"/>
    <w:rsid w:val="0031719D"/>
    <w:rsid w:val="0031726D"/>
    <w:rsid w:val="003172BC"/>
    <w:rsid w:val="003173D3"/>
    <w:rsid w:val="003173FB"/>
    <w:rsid w:val="003174A7"/>
    <w:rsid w:val="0031761F"/>
    <w:rsid w:val="0031775A"/>
    <w:rsid w:val="003177A2"/>
    <w:rsid w:val="0031794C"/>
    <w:rsid w:val="00317B1F"/>
    <w:rsid w:val="00317B78"/>
    <w:rsid w:val="00317C0D"/>
    <w:rsid w:val="00317CA4"/>
    <w:rsid w:val="00317CFD"/>
    <w:rsid w:val="00317D97"/>
    <w:rsid w:val="003200A9"/>
    <w:rsid w:val="0032010C"/>
    <w:rsid w:val="0032012E"/>
    <w:rsid w:val="003201DD"/>
    <w:rsid w:val="00320301"/>
    <w:rsid w:val="00320400"/>
    <w:rsid w:val="00320414"/>
    <w:rsid w:val="003204AD"/>
    <w:rsid w:val="00320532"/>
    <w:rsid w:val="00320689"/>
    <w:rsid w:val="00320726"/>
    <w:rsid w:val="00320850"/>
    <w:rsid w:val="00320965"/>
    <w:rsid w:val="003209FB"/>
    <w:rsid w:val="00320A67"/>
    <w:rsid w:val="00320A8D"/>
    <w:rsid w:val="00320B2C"/>
    <w:rsid w:val="00320CF5"/>
    <w:rsid w:val="00320EC3"/>
    <w:rsid w:val="00320FF3"/>
    <w:rsid w:val="0032133A"/>
    <w:rsid w:val="00321382"/>
    <w:rsid w:val="003213D1"/>
    <w:rsid w:val="00321641"/>
    <w:rsid w:val="003217E1"/>
    <w:rsid w:val="003218C7"/>
    <w:rsid w:val="003218FB"/>
    <w:rsid w:val="00321A27"/>
    <w:rsid w:val="00321A39"/>
    <w:rsid w:val="00321AEE"/>
    <w:rsid w:val="00321B8C"/>
    <w:rsid w:val="00321BBA"/>
    <w:rsid w:val="00321C3C"/>
    <w:rsid w:val="00321EAB"/>
    <w:rsid w:val="00321EC0"/>
    <w:rsid w:val="00321F2F"/>
    <w:rsid w:val="00321FAB"/>
    <w:rsid w:val="00321FCB"/>
    <w:rsid w:val="00321FCE"/>
    <w:rsid w:val="003220E5"/>
    <w:rsid w:val="003220F3"/>
    <w:rsid w:val="0032223D"/>
    <w:rsid w:val="00322457"/>
    <w:rsid w:val="00322466"/>
    <w:rsid w:val="0032246E"/>
    <w:rsid w:val="00322481"/>
    <w:rsid w:val="003224AF"/>
    <w:rsid w:val="0032251D"/>
    <w:rsid w:val="003226A8"/>
    <w:rsid w:val="003226EC"/>
    <w:rsid w:val="00322836"/>
    <w:rsid w:val="0032286B"/>
    <w:rsid w:val="00322898"/>
    <w:rsid w:val="00322963"/>
    <w:rsid w:val="00322AC6"/>
    <w:rsid w:val="00322CCD"/>
    <w:rsid w:val="00322D6D"/>
    <w:rsid w:val="00322E17"/>
    <w:rsid w:val="00322F32"/>
    <w:rsid w:val="00322F33"/>
    <w:rsid w:val="00323139"/>
    <w:rsid w:val="00323232"/>
    <w:rsid w:val="003233C8"/>
    <w:rsid w:val="0032344B"/>
    <w:rsid w:val="0032372D"/>
    <w:rsid w:val="00323862"/>
    <w:rsid w:val="00323980"/>
    <w:rsid w:val="0032399A"/>
    <w:rsid w:val="00323A2D"/>
    <w:rsid w:val="00323A45"/>
    <w:rsid w:val="00323A87"/>
    <w:rsid w:val="00323AE9"/>
    <w:rsid w:val="00323AEA"/>
    <w:rsid w:val="00323B57"/>
    <w:rsid w:val="00323CB8"/>
    <w:rsid w:val="00323DAA"/>
    <w:rsid w:val="00323DBE"/>
    <w:rsid w:val="00323E82"/>
    <w:rsid w:val="00323F83"/>
    <w:rsid w:val="00323FEB"/>
    <w:rsid w:val="0032400C"/>
    <w:rsid w:val="0032402E"/>
    <w:rsid w:val="00324040"/>
    <w:rsid w:val="00324042"/>
    <w:rsid w:val="003241E9"/>
    <w:rsid w:val="00324342"/>
    <w:rsid w:val="00324416"/>
    <w:rsid w:val="003244D3"/>
    <w:rsid w:val="0032454D"/>
    <w:rsid w:val="0032469E"/>
    <w:rsid w:val="003247CF"/>
    <w:rsid w:val="00324871"/>
    <w:rsid w:val="00324919"/>
    <w:rsid w:val="0032496D"/>
    <w:rsid w:val="00324A0E"/>
    <w:rsid w:val="00324AFB"/>
    <w:rsid w:val="00324B05"/>
    <w:rsid w:val="00324BBE"/>
    <w:rsid w:val="00324E68"/>
    <w:rsid w:val="00324FA4"/>
    <w:rsid w:val="00324FAF"/>
    <w:rsid w:val="003250BF"/>
    <w:rsid w:val="0032528A"/>
    <w:rsid w:val="003253AE"/>
    <w:rsid w:val="003253C1"/>
    <w:rsid w:val="003254C5"/>
    <w:rsid w:val="003255B8"/>
    <w:rsid w:val="003255ED"/>
    <w:rsid w:val="003256AA"/>
    <w:rsid w:val="003256FC"/>
    <w:rsid w:val="00325720"/>
    <w:rsid w:val="00325A8C"/>
    <w:rsid w:val="00325A9A"/>
    <w:rsid w:val="00325E25"/>
    <w:rsid w:val="00325ECD"/>
    <w:rsid w:val="00326025"/>
    <w:rsid w:val="0032614A"/>
    <w:rsid w:val="003261A2"/>
    <w:rsid w:val="003261DA"/>
    <w:rsid w:val="003262CA"/>
    <w:rsid w:val="003264D9"/>
    <w:rsid w:val="003264F6"/>
    <w:rsid w:val="0032659B"/>
    <w:rsid w:val="0032661E"/>
    <w:rsid w:val="003266AC"/>
    <w:rsid w:val="00326700"/>
    <w:rsid w:val="0032674C"/>
    <w:rsid w:val="0032676A"/>
    <w:rsid w:val="00326932"/>
    <w:rsid w:val="003269AB"/>
    <w:rsid w:val="00326A4C"/>
    <w:rsid w:val="00326B60"/>
    <w:rsid w:val="00326BEE"/>
    <w:rsid w:val="00326C0B"/>
    <w:rsid w:val="00326CBC"/>
    <w:rsid w:val="00326CFB"/>
    <w:rsid w:val="00326E32"/>
    <w:rsid w:val="00327082"/>
    <w:rsid w:val="0032712A"/>
    <w:rsid w:val="0032736D"/>
    <w:rsid w:val="0032748C"/>
    <w:rsid w:val="003274CB"/>
    <w:rsid w:val="003274CE"/>
    <w:rsid w:val="003274D3"/>
    <w:rsid w:val="003276ED"/>
    <w:rsid w:val="00327759"/>
    <w:rsid w:val="003277A9"/>
    <w:rsid w:val="003277F4"/>
    <w:rsid w:val="0032790C"/>
    <w:rsid w:val="00327A5D"/>
    <w:rsid w:val="00327C08"/>
    <w:rsid w:val="00327C59"/>
    <w:rsid w:val="003300AF"/>
    <w:rsid w:val="0033018B"/>
    <w:rsid w:val="003303C4"/>
    <w:rsid w:val="00330414"/>
    <w:rsid w:val="003304C9"/>
    <w:rsid w:val="0033067E"/>
    <w:rsid w:val="0033082B"/>
    <w:rsid w:val="00330A70"/>
    <w:rsid w:val="00330B77"/>
    <w:rsid w:val="00330B95"/>
    <w:rsid w:val="00330CD1"/>
    <w:rsid w:val="00330CEE"/>
    <w:rsid w:val="00330D0F"/>
    <w:rsid w:val="00330DD2"/>
    <w:rsid w:val="00330DFB"/>
    <w:rsid w:val="003311F5"/>
    <w:rsid w:val="003313B3"/>
    <w:rsid w:val="0033145D"/>
    <w:rsid w:val="003315A7"/>
    <w:rsid w:val="003316BA"/>
    <w:rsid w:val="0033191D"/>
    <w:rsid w:val="00331989"/>
    <w:rsid w:val="00331A51"/>
    <w:rsid w:val="00331A90"/>
    <w:rsid w:val="00331AE0"/>
    <w:rsid w:val="00331BBC"/>
    <w:rsid w:val="00331C67"/>
    <w:rsid w:val="00331FCF"/>
    <w:rsid w:val="0033202F"/>
    <w:rsid w:val="003320B8"/>
    <w:rsid w:val="003321CC"/>
    <w:rsid w:val="003322CA"/>
    <w:rsid w:val="00332635"/>
    <w:rsid w:val="00332763"/>
    <w:rsid w:val="003329C7"/>
    <w:rsid w:val="00332A15"/>
    <w:rsid w:val="00332D55"/>
    <w:rsid w:val="00332F09"/>
    <w:rsid w:val="00332FAB"/>
    <w:rsid w:val="00333135"/>
    <w:rsid w:val="00333290"/>
    <w:rsid w:val="00333311"/>
    <w:rsid w:val="0033335E"/>
    <w:rsid w:val="00333365"/>
    <w:rsid w:val="0033341B"/>
    <w:rsid w:val="003336F6"/>
    <w:rsid w:val="00333712"/>
    <w:rsid w:val="00333748"/>
    <w:rsid w:val="003337E1"/>
    <w:rsid w:val="003339BE"/>
    <w:rsid w:val="00333A05"/>
    <w:rsid w:val="00333AD4"/>
    <w:rsid w:val="00333B58"/>
    <w:rsid w:val="00333CAA"/>
    <w:rsid w:val="00333DB1"/>
    <w:rsid w:val="00333E35"/>
    <w:rsid w:val="00333F67"/>
    <w:rsid w:val="00334057"/>
    <w:rsid w:val="00334173"/>
    <w:rsid w:val="00334209"/>
    <w:rsid w:val="00334238"/>
    <w:rsid w:val="003342AC"/>
    <w:rsid w:val="003342C2"/>
    <w:rsid w:val="003342E1"/>
    <w:rsid w:val="003343C3"/>
    <w:rsid w:val="00334615"/>
    <w:rsid w:val="003346F1"/>
    <w:rsid w:val="0033475A"/>
    <w:rsid w:val="003347EE"/>
    <w:rsid w:val="003347FC"/>
    <w:rsid w:val="00334823"/>
    <w:rsid w:val="0033483E"/>
    <w:rsid w:val="003348D7"/>
    <w:rsid w:val="003348D8"/>
    <w:rsid w:val="0033490B"/>
    <w:rsid w:val="00334A3F"/>
    <w:rsid w:val="00334D1A"/>
    <w:rsid w:val="00334EDB"/>
    <w:rsid w:val="00334F5D"/>
    <w:rsid w:val="00334F9B"/>
    <w:rsid w:val="003350BE"/>
    <w:rsid w:val="00335144"/>
    <w:rsid w:val="003353C5"/>
    <w:rsid w:val="00335531"/>
    <w:rsid w:val="003355F4"/>
    <w:rsid w:val="00335792"/>
    <w:rsid w:val="0033587F"/>
    <w:rsid w:val="00335888"/>
    <w:rsid w:val="0033599C"/>
    <w:rsid w:val="00335D24"/>
    <w:rsid w:val="00335D45"/>
    <w:rsid w:val="00335E13"/>
    <w:rsid w:val="00335FC1"/>
    <w:rsid w:val="00335FCE"/>
    <w:rsid w:val="003360F4"/>
    <w:rsid w:val="00336226"/>
    <w:rsid w:val="0033630F"/>
    <w:rsid w:val="003363E9"/>
    <w:rsid w:val="0033646A"/>
    <w:rsid w:val="003364C6"/>
    <w:rsid w:val="00336643"/>
    <w:rsid w:val="0033675B"/>
    <w:rsid w:val="003367DD"/>
    <w:rsid w:val="003369AD"/>
    <w:rsid w:val="00336C16"/>
    <w:rsid w:val="00336C3E"/>
    <w:rsid w:val="00336C6E"/>
    <w:rsid w:val="00336C96"/>
    <w:rsid w:val="00336DDB"/>
    <w:rsid w:val="00336EA0"/>
    <w:rsid w:val="00336EF6"/>
    <w:rsid w:val="00336F78"/>
    <w:rsid w:val="0033711F"/>
    <w:rsid w:val="00337204"/>
    <w:rsid w:val="00337226"/>
    <w:rsid w:val="00337269"/>
    <w:rsid w:val="0033727F"/>
    <w:rsid w:val="003375C3"/>
    <w:rsid w:val="00337668"/>
    <w:rsid w:val="003377DA"/>
    <w:rsid w:val="00337805"/>
    <w:rsid w:val="00337859"/>
    <w:rsid w:val="00337864"/>
    <w:rsid w:val="003378DD"/>
    <w:rsid w:val="003378FA"/>
    <w:rsid w:val="00337964"/>
    <w:rsid w:val="00337BD0"/>
    <w:rsid w:val="00337BEE"/>
    <w:rsid w:val="00337C1F"/>
    <w:rsid w:val="00337C68"/>
    <w:rsid w:val="00337E5B"/>
    <w:rsid w:val="00337F95"/>
    <w:rsid w:val="00337FFC"/>
    <w:rsid w:val="00340044"/>
    <w:rsid w:val="00340119"/>
    <w:rsid w:val="00340199"/>
    <w:rsid w:val="003403BD"/>
    <w:rsid w:val="00340437"/>
    <w:rsid w:val="00340459"/>
    <w:rsid w:val="003404AA"/>
    <w:rsid w:val="00340589"/>
    <w:rsid w:val="003405ED"/>
    <w:rsid w:val="003408D9"/>
    <w:rsid w:val="003409D8"/>
    <w:rsid w:val="00340ACF"/>
    <w:rsid w:val="00340B19"/>
    <w:rsid w:val="00340B3A"/>
    <w:rsid w:val="00340C0B"/>
    <w:rsid w:val="00340D2E"/>
    <w:rsid w:val="00340DBF"/>
    <w:rsid w:val="00340E54"/>
    <w:rsid w:val="00340E86"/>
    <w:rsid w:val="00340E92"/>
    <w:rsid w:val="00341151"/>
    <w:rsid w:val="00341253"/>
    <w:rsid w:val="00341439"/>
    <w:rsid w:val="0034160B"/>
    <w:rsid w:val="003416E7"/>
    <w:rsid w:val="00341919"/>
    <w:rsid w:val="00341A50"/>
    <w:rsid w:val="00341C38"/>
    <w:rsid w:val="00341E7C"/>
    <w:rsid w:val="00341FE4"/>
    <w:rsid w:val="00342035"/>
    <w:rsid w:val="00342176"/>
    <w:rsid w:val="00342203"/>
    <w:rsid w:val="00342214"/>
    <w:rsid w:val="0034222C"/>
    <w:rsid w:val="0034236B"/>
    <w:rsid w:val="003423A8"/>
    <w:rsid w:val="003423E9"/>
    <w:rsid w:val="003424C0"/>
    <w:rsid w:val="00342848"/>
    <w:rsid w:val="00342850"/>
    <w:rsid w:val="00342988"/>
    <w:rsid w:val="003429E0"/>
    <w:rsid w:val="00342B54"/>
    <w:rsid w:val="00342BEC"/>
    <w:rsid w:val="00342C72"/>
    <w:rsid w:val="00342CC7"/>
    <w:rsid w:val="00342DC3"/>
    <w:rsid w:val="00342F06"/>
    <w:rsid w:val="00343045"/>
    <w:rsid w:val="00343343"/>
    <w:rsid w:val="00343354"/>
    <w:rsid w:val="003434F7"/>
    <w:rsid w:val="00343533"/>
    <w:rsid w:val="0034362A"/>
    <w:rsid w:val="0034379A"/>
    <w:rsid w:val="0034387C"/>
    <w:rsid w:val="00343974"/>
    <w:rsid w:val="003439A2"/>
    <w:rsid w:val="003439B1"/>
    <w:rsid w:val="00343A10"/>
    <w:rsid w:val="00343AB1"/>
    <w:rsid w:val="00343C35"/>
    <w:rsid w:val="00343CBD"/>
    <w:rsid w:val="00343ED6"/>
    <w:rsid w:val="00343FB7"/>
    <w:rsid w:val="003441DE"/>
    <w:rsid w:val="00344284"/>
    <w:rsid w:val="00344297"/>
    <w:rsid w:val="003443B6"/>
    <w:rsid w:val="003443CD"/>
    <w:rsid w:val="003444CB"/>
    <w:rsid w:val="00344832"/>
    <w:rsid w:val="00344856"/>
    <w:rsid w:val="003448FB"/>
    <w:rsid w:val="003449D4"/>
    <w:rsid w:val="00344A42"/>
    <w:rsid w:val="00344AFE"/>
    <w:rsid w:val="00344BBD"/>
    <w:rsid w:val="00344DD3"/>
    <w:rsid w:val="00344EBE"/>
    <w:rsid w:val="00344F3B"/>
    <w:rsid w:val="00345035"/>
    <w:rsid w:val="00345061"/>
    <w:rsid w:val="0034509F"/>
    <w:rsid w:val="003450CF"/>
    <w:rsid w:val="003451D0"/>
    <w:rsid w:val="00345241"/>
    <w:rsid w:val="00345306"/>
    <w:rsid w:val="0034538B"/>
    <w:rsid w:val="003453B5"/>
    <w:rsid w:val="0034542B"/>
    <w:rsid w:val="00345453"/>
    <w:rsid w:val="00345574"/>
    <w:rsid w:val="00345580"/>
    <w:rsid w:val="0034565F"/>
    <w:rsid w:val="003458E6"/>
    <w:rsid w:val="00345941"/>
    <w:rsid w:val="00345989"/>
    <w:rsid w:val="003459D1"/>
    <w:rsid w:val="00345A28"/>
    <w:rsid w:val="00345A80"/>
    <w:rsid w:val="00345CA8"/>
    <w:rsid w:val="00345FD1"/>
    <w:rsid w:val="00346030"/>
    <w:rsid w:val="0034603D"/>
    <w:rsid w:val="0034621A"/>
    <w:rsid w:val="00346298"/>
    <w:rsid w:val="00346504"/>
    <w:rsid w:val="00346524"/>
    <w:rsid w:val="00346684"/>
    <w:rsid w:val="003467FF"/>
    <w:rsid w:val="00346931"/>
    <w:rsid w:val="00346A06"/>
    <w:rsid w:val="00346BC2"/>
    <w:rsid w:val="00346C3C"/>
    <w:rsid w:val="00346C8F"/>
    <w:rsid w:val="00346D08"/>
    <w:rsid w:val="00346D0F"/>
    <w:rsid w:val="00346D44"/>
    <w:rsid w:val="00346DD3"/>
    <w:rsid w:val="00346DEF"/>
    <w:rsid w:val="00346E5C"/>
    <w:rsid w:val="003470B4"/>
    <w:rsid w:val="00347129"/>
    <w:rsid w:val="003471D3"/>
    <w:rsid w:val="0034728C"/>
    <w:rsid w:val="00347492"/>
    <w:rsid w:val="0034790B"/>
    <w:rsid w:val="00347A8F"/>
    <w:rsid w:val="00347A94"/>
    <w:rsid w:val="00347AD9"/>
    <w:rsid w:val="00347C0B"/>
    <w:rsid w:val="00347C32"/>
    <w:rsid w:val="00347C6D"/>
    <w:rsid w:val="00347D52"/>
    <w:rsid w:val="00347D68"/>
    <w:rsid w:val="00347DA2"/>
    <w:rsid w:val="00347DE4"/>
    <w:rsid w:val="00347E39"/>
    <w:rsid w:val="00347EB9"/>
    <w:rsid w:val="00347F3C"/>
    <w:rsid w:val="00347F76"/>
    <w:rsid w:val="00347F79"/>
    <w:rsid w:val="00347FD3"/>
    <w:rsid w:val="00350159"/>
    <w:rsid w:val="003501AF"/>
    <w:rsid w:val="0035023F"/>
    <w:rsid w:val="003504AD"/>
    <w:rsid w:val="0035055A"/>
    <w:rsid w:val="00350690"/>
    <w:rsid w:val="00350706"/>
    <w:rsid w:val="00350749"/>
    <w:rsid w:val="003507E2"/>
    <w:rsid w:val="00350ACF"/>
    <w:rsid w:val="00350B24"/>
    <w:rsid w:val="00350B3C"/>
    <w:rsid w:val="00350B41"/>
    <w:rsid w:val="00350BF0"/>
    <w:rsid w:val="00350C6D"/>
    <w:rsid w:val="00350D80"/>
    <w:rsid w:val="0035102C"/>
    <w:rsid w:val="003510A4"/>
    <w:rsid w:val="00351172"/>
    <w:rsid w:val="00351190"/>
    <w:rsid w:val="00351193"/>
    <w:rsid w:val="003511A5"/>
    <w:rsid w:val="003511B6"/>
    <w:rsid w:val="003511D3"/>
    <w:rsid w:val="003511D7"/>
    <w:rsid w:val="00351286"/>
    <w:rsid w:val="003512A0"/>
    <w:rsid w:val="003513B0"/>
    <w:rsid w:val="003513D9"/>
    <w:rsid w:val="003513E1"/>
    <w:rsid w:val="003515D8"/>
    <w:rsid w:val="0035171B"/>
    <w:rsid w:val="003518EA"/>
    <w:rsid w:val="00351987"/>
    <w:rsid w:val="003519A7"/>
    <w:rsid w:val="00351C1A"/>
    <w:rsid w:val="00351CC8"/>
    <w:rsid w:val="00351D15"/>
    <w:rsid w:val="00351D47"/>
    <w:rsid w:val="00351DD4"/>
    <w:rsid w:val="00351EFB"/>
    <w:rsid w:val="0035203D"/>
    <w:rsid w:val="00352098"/>
    <w:rsid w:val="003521A9"/>
    <w:rsid w:val="00352269"/>
    <w:rsid w:val="003522A1"/>
    <w:rsid w:val="00352379"/>
    <w:rsid w:val="0035242B"/>
    <w:rsid w:val="00352591"/>
    <w:rsid w:val="003528EA"/>
    <w:rsid w:val="00352997"/>
    <w:rsid w:val="003529A3"/>
    <w:rsid w:val="00352A66"/>
    <w:rsid w:val="00352AC6"/>
    <w:rsid w:val="00352AE0"/>
    <w:rsid w:val="00352B10"/>
    <w:rsid w:val="00352C45"/>
    <w:rsid w:val="00352DB4"/>
    <w:rsid w:val="00352E57"/>
    <w:rsid w:val="00352E77"/>
    <w:rsid w:val="00353233"/>
    <w:rsid w:val="003532DD"/>
    <w:rsid w:val="00353550"/>
    <w:rsid w:val="00353555"/>
    <w:rsid w:val="00353565"/>
    <w:rsid w:val="003535CA"/>
    <w:rsid w:val="00353708"/>
    <w:rsid w:val="00353A2C"/>
    <w:rsid w:val="00353A9D"/>
    <w:rsid w:val="00353AA5"/>
    <w:rsid w:val="00353B22"/>
    <w:rsid w:val="00353B93"/>
    <w:rsid w:val="00353C4C"/>
    <w:rsid w:val="00353C86"/>
    <w:rsid w:val="00353D59"/>
    <w:rsid w:val="00353E63"/>
    <w:rsid w:val="00353EB7"/>
    <w:rsid w:val="00353F1C"/>
    <w:rsid w:val="00354054"/>
    <w:rsid w:val="0035405D"/>
    <w:rsid w:val="00354186"/>
    <w:rsid w:val="003541D2"/>
    <w:rsid w:val="003542AC"/>
    <w:rsid w:val="00354330"/>
    <w:rsid w:val="00354333"/>
    <w:rsid w:val="00354531"/>
    <w:rsid w:val="0035458F"/>
    <w:rsid w:val="00354590"/>
    <w:rsid w:val="0035460B"/>
    <w:rsid w:val="00354779"/>
    <w:rsid w:val="003547B8"/>
    <w:rsid w:val="003547CF"/>
    <w:rsid w:val="00354A5B"/>
    <w:rsid w:val="00354A97"/>
    <w:rsid w:val="00354AA0"/>
    <w:rsid w:val="00354B5F"/>
    <w:rsid w:val="00354CDA"/>
    <w:rsid w:val="00354D04"/>
    <w:rsid w:val="00354F45"/>
    <w:rsid w:val="0035511E"/>
    <w:rsid w:val="003554C7"/>
    <w:rsid w:val="003555D0"/>
    <w:rsid w:val="003557E2"/>
    <w:rsid w:val="00355871"/>
    <w:rsid w:val="0035591D"/>
    <w:rsid w:val="00355BDE"/>
    <w:rsid w:val="00355C24"/>
    <w:rsid w:val="00355D94"/>
    <w:rsid w:val="00355DC3"/>
    <w:rsid w:val="00355E62"/>
    <w:rsid w:val="00355E91"/>
    <w:rsid w:val="00355FE4"/>
    <w:rsid w:val="0035607E"/>
    <w:rsid w:val="0035608B"/>
    <w:rsid w:val="003560F0"/>
    <w:rsid w:val="00356144"/>
    <w:rsid w:val="0035616D"/>
    <w:rsid w:val="003563E0"/>
    <w:rsid w:val="0035662B"/>
    <w:rsid w:val="00356AC6"/>
    <w:rsid w:val="00356B75"/>
    <w:rsid w:val="00356DE9"/>
    <w:rsid w:val="00356E97"/>
    <w:rsid w:val="00356EFE"/>
    <w:rsid w:val="00356F53"/>
    <w:rsid w:val="003572D0"/>
    <w:rsid w:val="00357364"/>
    <w:rsid w:val="0035738B"/>
    <w:rsid w:val="003575FB"/>
    <w:rsid w:val="003577B1"/>
    <w:rsid w:val="0035786A"/>
    <w:rsid w:val="0035796D"/>
    <w:rsid w:val="00357971"/>
    <w:rsid w:val="00357D12"/>
    <w:rsid w:val="00357EFF"/>
    <w:rsid w:val="00360097"/>
    <w:rsid w:val="003600B6"/>
    <w:rsid w:val="003600C1"/>
    <w:rsid w:val="003600C2"/>
    <w:rsid w:val="003600DE"/>
    <w:rsid w:val="00360134"/>
    <w:rsid w:val="0036022D"/>
    <w:rsid w:val="00360345"/>
    <w:rsid w:val="003603D6"/>
    <w:rsid w:val="00360483"/>
    <w:rsid w:val="0036053E"/>
    <w:rsid w:val="003605BD"/>
    <w:rsid w:val="0036060E"/>
    <w:rsid w:val="003606E7"/>
    <w:rsid w:val="003608B8"/>
    <w:rsid w:val="00360966"/>
    <w:rsid w:val="003609F6"/>
    <w:rsid w:val="00360B19"/>
    <w:rsid w:val="00360B4E"/>
    <w:rsid w:val="00360C65"/>
    <w:rsid w:val="00360CAD"/>
    <w:rsid w:val="00360ED2"/>
    <w:rsid w:val="00361120"/>
    <w:rsid w:val="00361167"/>
    <w:rsid w:val="00361181"/>
    <w:rsid w:val="00361296"/>
    <w:rsid w:val="003612AB"/>
    <w:rsid w:val="00361305"/>
    <w:rsid w:val="00361531"/>
    <w:rsid w:val="00361667"/>
    <w:rsid w:val="00361767"/>
    <w:rsid w:val="00361806"/>
    <w:rsid w:val="003619A1"/>
    <w:rsid w:val="003619B2"/>
    <w:rsid w:val="00361A23"/>
    <w:rsid w:val="00361D37"/>
    <w:rsid w:val="00361E02"/>
    <w:rsid w:val="0036206D"/>
    <w:rsid w:val="0036213C"/>
    <w:rsid w:val="00362238"/>
    <w:rsid w:val="003623A4"/>
    <w:rsid w:val="003623BB"/>
    <w:rsid w:val="00362440"/>
    <w:rsid w:val="00362899"/>
    <w:rsid w:val="003629D6"/>
    <w:rsid w:val="00362BA8"/>
    <w:rsid w:val="00362E18"/>
    <w:rsid w:val="00362F40"/>
    <w:rsid w:val="00362F87"/>
    <w:rsid w:val="003630E4"/>
    <w:rsid w:val="003630F6"/>
    <w:rsid w:val="00363126"/>
    <w:rsid w:val="003631DA"/>
    <w:rsid w:val="00363233"/>
    <w:rsid w:val="00363577"/>
    <w:rsid w:val="00363918"/>
    <w:rsid w:val="0036391E"/>
    <w:rsid w:val="00363A89"/>
    <w:rsid w:val="00363ABA"/>
    <w:rsid w:val="00363B59"/>
    <w:rsid w:val="00363B7C"/>
    <w:rsid w:val="00363B9C"/>
    <w:rsid w:val="00363C39"/>
    <w:rsid w:val="00364215"/>
    <w:rsid w:val="003642C9"/>
    <w:rsid w:val="003643D8"/>
    <w:rsid w:val="00364959"/>
    <w:rsid w:val="00364999"/>
    <w:rsid w:val="00364A74"/>
    <w:rsid w:val="00364AB5"/>
    <w:rsid w:val="00364BA6"/>
    <w:rsid w:val="00364DBE"/>
    <w:rsid w:val="00364FFA"/>
    <w:rsid w:val="003651C5"/>
    <w:rsid w:val="003652CE"/>
    <w:rsid w:val="00365339"/>
    <w:rsid w:val="003653AF"/>
    <w:rsid w:val="003653CF"/>
    <w:rsid w:val="003654E0"/>
    <w:rsid w:val="0036551E"/>
    <w:rsid w:val="00365753"/>
    <w:rsid w:val="003657BA"/>
    <w:rsid w:val="003657C8"/>
    <w:rsid w:val="0036597C"/>
    <w:rsid w:val="00365A8D"/>
    <w:rsid w:val="00365C32"/>
    <w:rsid w:val="00365C83"/>
    <w:rsid w:val="00365CA3"/>
    <w:rsid w:val="00365CBB"/>
    <w:rsid w:val="00365CCD"/>
    <w:rsid w:val="00365E94"/>
    <w:rsid w:val="00365F88"/>
    <w:rsid w:val="0036603D"/>
    <w:rsid w:val="0036609C"/>
    <w:rsid w:val="003664FF"/>
    <w:rsid w:val="0036661A"/>
    <w:rsid w:val="0036679D"/>
    <w:rsid w:val="003667DC"/>
    <w:rsid w:val="0036690B"/>
    <w:rsid w:val="003669F8"/>
    <w:rsid w:val="00366A33"/>
    <w:rsid w:val="00366DF5"/>
    <w:rsid w:val="00366E07"/>
    <w:rsid w:val="00366E55"/>
    <w:rsid w:val="00366E9E"/>
    <w:rsid w:val="00366EF9"/>
    <w:rsid w:val="00366F64"/>
    <w:rsid w:val="00366F88"/>
    <w:rsid w:val="00367050"/>
    <w:rsid w:val="003670C1"/>
    <w:rsid w:val="00367300"/>
    <w:rsid w:val="00367398"/>
    <w:rsid w:val="003674A9"/>
    <w:rsid w:val="003674B6"/>
    <w:rsid w:val="003676B3"/>
    <w:rsid w:val="0036784A"/>
    <w:rsid w:val="00367A1D"/>
    <w:rsid w:val="00367BAE"/>
    <w:rsid w:val="00367BD3"/>
    <w:rsid w:val="00367BF7"/>
    <w:rsid w:val="00367C17"/>
    <w:rsid w:val="00367C1F"/>
    <w:rsid w:val="00367C88"/>
    <w:rsid w:val="00367D16"/>
    <w:rsid w:val="00367EE6"/>
    <w:rsid w:val="00370032"/>
    <w:rsid w:val="003700A8"/>
    <w:rsid w:val="003700C2"/>
    <w:rsid w:val="003700C3"/>
    <w:rsid w:val="003701CB"/>
    <w:rsid w:val="0037022D"/>
    <w:rsid w:val="003702D5"/>
    <w:rsid w:val="0037047C"/>
    <w:rsid w:val="00370574"/>
    <w:rsid w:val="003705E8"/>
    <w:rsid w:val="003707A1"/>
    <w:rsid w:val="003707CE"/>
    <w:rsid w:val="00370A40"/>
    <w:rsid w:val="00370B2C"/>
    <w:rsid w:val="00370BEE"/>
    <w:rsid w:val="00370BFE"/>
    <w:rsid w:val="00370CB1"/>
    <w:rsid w:val="00370CBF"/>
    <w:rsid w:val="00370D9D"/>
    <w:rsid w:val="00370E2C"/>
    <w:rsid w:val="00370E63"/>
    <w:rsid w:val="00370F06"/>
    <w:rsid w:val="00370F5C"/>
    <w:rsid w:val="00370FE6"/>
    <w:rsid w:val="00371135"/>
    <w:rsid w:val="00371153"/>
    <w:rsid w:val="00371166"/>
    <w:rsid w:val="003711B9"/>
    <w:rsid w:val="003712FE"/>
    <w:rsid w:val="003714B2"/>
    <w:rsid w:val="003714E2"/>
    <w:rsid w:val="0037156E"/>
    <w:rsid w:val="003715DC"/>
    <w:rsid w:val="00371708"/>
    <w:rsid w:val="0037177B"/>
    <w:rsid w:val="00371850"/>
    <w:rsid w:val="00371911"/>
    <w:rsid w:val="0037192A"/>
    <w:rsid w:val="00371A9D"/>
    <w:rsid w:val="00371AAF"/>
    <w:rsid w:val="00371ADD"/>
    <w:rsid w:val="00371B34"/>
    <w:rsid w:val="00371D54"/>
    <w:rsid w:val="00371DAB"/>
    <w:rsid w:val="00371E37"/>
    <w:rsid w:val="00371E3F"/>
    <w:rsid w:val="00371ED0"/>
    <w:rsid w:val="00371EEF"/>
    <w:rsid w:val="00371F80"/>
    <w:rsid w:val="00371FB0"/>
    <w:rsid w:val="00371FBC"/>
    <w:rsid w:val="00372241"/>
    <w:rsid w:val="0037226F"/>
    <w:rsid w:val="00372538"/>
    <w:rsid w:val="00372694"/>
    <w:rsid w:val="00372E00"/>
    <w:rsid w:val="00373180"/>
    <w:rsid w:val="00373353"/>
    <w:rsid w:val="003733F7"/>
    <w:rsid w:val="0037344A"/>
    <w:rsid w:val="003734C9"/>
    <w:rsid w:val="00373549"/>
    <w:rsid w:val="00373580"/>
    <w:rsid w:val="003737BF"/>
    <w:rsid w:val="003737D4"/>
    <w:rsid w:val="003737FD"/>
    <w:rsid w:val="00373833"/>
    <w:rsid w:val="003738ED"/>
    <w:rsid w:val="00373983"/>
    <w:rsid w:val="00373A27"/>
    <w:rsid w:val="00373A68"/>
    <w:rsid w:val="00373A8D"/>
    <w:rsid w:val="00373BD9"/>
    <w:rsid w:val="00373BE8"/>
    <w:rsid w:val="00373D02"/>
    <w:rsid w:val="00373DF0"/>
    <w:rsid w:val="00373F50"/>
    <w:rsid w:val="00373FC1"/>
    <w:rsid w:val="00374013"/>
    <w:rsid w:val="00374242"/>
    <w:rsid w:val="00374468"/>
    <w:rsid w:val="003744E0"/>
    <w:rsid w:val="003744FE"/>
    <w:rsid w:val="003745C6"/>
    <w:rsid w:val="003747FA"/>
    <w:rsid w:val="00374837"/>
    <w:rsid w:val="00374864"/>
    <w:rsid w:val="0037499F"/>
    <w:rsid w:val="00374B9D"/>
    <w:rsid w:val="00374BEB"/>
    <w:rsid w:val="00374BF0"/>
    <w:rsid w:val="0037508B"/>
    <w:rsid w:val="00375407"/>
    <w:rsid w:val="003755AB"/>
    <w:rsid w:val="00375739"/>
    <w:rsid w:val="0037580C"/>
    <w:rsid w:val="00375887"/>
    <w:rsid w:val="003758BE"/>
    <w:rsid w:val="003759E0"/>
    <w:rsid w:val="00375AA9"/>
    <w:rsid w:val="00375B2B"/>
    <w:rsid w:val="00375B90"/>
    <w:rsid w:val="00375C71"/>
    <w:rsid w:val="00375C96"/>
    <w:rsid w:val="00375F0B"/>
    <w:rsid w:val="00376046"/>
    <w:rsid w:val="0037613F"/>
    <w:rsid w:val="003762D7"/>
    <w:rsid w:val="00376337"/>
    <w:rsid w:val="00376375"/>
    <w:rsid w:val="00376422"/>
    <w:rsid w:val="0037643B"/>
    <w:rsid w:val="00376442"/>
    <w:rsid w:val="003764E3"/>
    <w:rsid w:val="00376535"/>
    <w:rsid w:val="00376555"/>
    <w:rsid w:val="003765A0"/>
    <w:rsid w:val="003765E6"/>
    <w:rsid w:val="0037664B"/>
    <w:rsid w:val="0037671C"/>
    <w:rsid w:val="003768A4"/>
    <w:rsid w:val="0037696B"/>
    <w:rsid w:val="00376BA8"/>
    <w:rsid w:val="00376C97"/>
    <w:rsid w:val="00376CAF"/>
    <w:rsid w:val="00376EEA"/>
    <w:rsid w:val="00376F2C"/>
    <w:rsid w:val="00376F43"/>
    <w:rsid w:val="00377224"/>
    <w:rsid w:val="0037741C"/>
    <w:rsid w:val="003776F1"/>
    <w:rsid w:val="00377977"/>
    <w:rsid w:val="00377979"/>
    <w:rsid w:val="003779D8"/>
    <w:rsid w:val="00377A34"/>
    <w:rsid w:val="00377B23"/>
    <w:rsid w:val="00377C08"/>
    <w:rsid w:val="00377D8E"/>
    <w:rsid w:val="00377F42"/>
    <w:rsid w:val="00377F66"/>
    <w:rsid w:val="003800F0"/>
    <w:rsid w:val="0038013C"/>
    <w:rsid w:val="003803A5"/>
    <w:rsid w:val="00380402"/>
    <w:rsid w:val="00380448"/>
    <w:rsid w:val="00380529"/>
    <w:rsid w:val="00380646"/>
    <w:rsid w:val="003806B2"/>
    <w:rsid w:val="003806C2"/>
    <w:rsid w:val="00380730"/>
    <w:rsid w:val="003807CB"/>
    <w:rsid w:val="00380842"/>
    <w:rsid w:val="0038086F"/>
    <w:rsid w:val="00380B4A"/>
    <w:rsid w:val="00380C85"/>
    <w:rsid w:val="00380D7A"/>
    <w:rsid w:val="00380DE8"/>
    <w:rsid w:val="00380F80"/>
    <w:rsid w:val="00381001"/>
    <w:rsid w:val="00381192"/>
    <w:rsid w:val="003811DC"/>
    <w:rsid w:val="00381245"/>
    <w:rsid w:val="0038149A"/>
    <w:rsid w:val="00381518"/>
    <w:rsid w:val="00381684"/>
    <w:rsid w:val="003817FC"/>
    <w:rsid w:val="0038187E"/>
    <w:rsid w:val="00381A36"/>
    <w:rsid w:val="00381A3D"/>
    <w:rsid w:val="00381A7C"/>
    <w:rsid w:val="00381AF1"/>
    <w:rsid w:val="00381AFB"/>
    <w:rsid w:val="00381C87"/>
    <w:rsid w:val="00381C9A"/>
    <w:rsid w:val="00381D98"/>
    <w:rsid w:val="00381EA6"/>
    <w:rsid w:val="00381F17"/>
    <w:rsid w:val="00381F58"/>
    <w:rsid w:val="00381F6B"/>
    <w:rsid w:val="00381F85"/>
    <w:rsid w:val="003820D0"/>
    <w:rsid w:val="0038220B"/>
    <w:rsid w:val="00382578"/>
    <w:rsid w:val="00382624"/>
    <w:rsid w:val="0038263A"/>
    <w:rsid w:val="00382660"/>
    <w:rsid w:val="00382663"/>
    <w:rsid w:val="00382811"/>
    <w:rsid w:val="00382A1F"/>
    <w:rsid w:val="00382A69"/>
    <w:rsid w:val="00382A79"/>
    <w:rsid w:val="00382B9D"/>
    <w:rsid w:val="00382D74"/>
    <w:rsid w:val="00382F67"/>
    <w:rsid w:val="00383142"/>
    <w:rsid w:val="0038318A"/>
    <w:rsid w:val="00383389"/>
    <w:rsid w:val="00383541"/>
    <w:rsid w:val="00383583"/>
    <w:rsid w:val="00383594"/>
    <w:rsid w:val="0038359B"/>
    <w:rsid w:val="00383858"/>
    <w:rsid w:val="00383AA3"/>
    <w:rsid w:val="00383AF3"/>
    <w:rsid w:val="00383BBE"/>
    <w:rsid w:val="00383E77"/>
    <w:rsid w:val="00383F37"/>
    <w:rsid w:val="003842D3"/>
    <w:rsid w:val="00384361"/>
    <w:rsid w:val="00384565"/>
    <w:rsid w:val="003846A8"/>
    <w:rsid w:val="003846CD"/>
    <w:rsid w:val="003846EB"/>
    <w:rsid w:val="00384786"/>
    <w:rsid w:val="00384A1C"/>
    <w:rsid w:val="00384B17"/>
    <w:rsid w:val="00384BBF"/>
    <w:rsid w:val="00384BF9"/>
    <w:rsid w:val="00384C2F"/>
    <w:rsid w:val="00384DA6"/>
    <w:rsid w:val="00384E48"/>
    <w:rsid w:val="0038504B"/>
    <w:rsid w:val="003850F4"/>
    <w:rsid w:val="00385247"/>
    <w:rsid w:val="00385256"/>
    <w:rsid w:val="0038531D"/>
    <w:rsid w:val="0038536E"/>
    <w:rsid w:val="003854CF"/>
    <w:rsid w:val="0038550A"/>
    <w:rsid w:val="0038552B"/>
    <w:rsid w:val="003855C7"/>
    <w:rsid w:val="003856A5"/>
    <w:rsid w:val="0038581E"/>
    <w:rsid w:val="00385A80"/>
    <w:rsid w:val="00385BA3"/>
    <w:rsid w:val="00385D87"/>
    <w:rsid w:val="00385EC8"/>
    <w:rsid w:val="00385F12"/>
    <w:rsid w:val="00385F14"/>
    <w:rsid w:val="00385F38"/>
    <w:rsid w:val="00385F76"/>
    <w:rsid w:val="00385F8C"/>
    <w:rsid w:val="00386051"/>
    <w:rsid w:val="00386155"/>
    <w:rsid w:val="00386226"/>
    <w:rsid w:val="00386243"/>
    <w:rsid w:val="003864F5"/>
    <w:rsid w:val="00386577"/>
    <w:rsid w:val="003865D2"/>
    <w:rsid w:val="00386951"/>
    <w:rsid w:val="00386AB1"/>
    <w:rsid w:val="00386B41"/>
    <w:rsid w:val="00386E7F"/>
    <w:rsid w:val="003870B8"/>
    <w:rsid w:val="0038723F"/>
    <w:rsid w:val="0038738C"/>
    <w:rsid w:val="00387497"/>
    <w:rsid w:val="003876AC"/>
    <w:rsid w:val="00387767"/>
    <w:rsid w:val="003877E4"/>
    <w:rsid w:val="00387993"/>
    <w:rsid w:val="00387A1B"/>
    <w:rsid w:val="00387AD8"/>
    <w:rsid w:val="00387CB7"/>
    <w:rsid w:val="00387CF5"/>
    <w:rsid w:val="00387DCD"/>
    <w:rsid w:val="00387E92"/>
    <w:rsid w:val="00390117"/>
    <w:rsid w:val="003903B8"/>
    <w:rsid w:val="003905E0"/>
    <w:rsid w:val="0039071D"/>
    <w:rsid w:val="003907CD"/>
    <w:rsid w:val="003908CB"/>
    <w:rsid w:val="00390927"/>
    <w:rsid w:val="00390A74"/>
    <w:rsid w:val="00390AA0"/>
    <w:rsid w:val="00390B18"/>
    <w:rsid w:val="00390B27"/>
    <w:rsid w:val="00390B47"/>
    <w:rsid w:val="00390DE4"/>
    <w:rsid w:val="003910B5"/>
    <w:rsid w:val="003910DC"/>
    <w:rsid w:val="00391434"/>
    <w:rsid w:val="00391574"/>
    <w:rsid w:val="003919FF"/>
    <w:rsid w:val="00391A92"/>
    <w:rsid w:val="00391B29"/>
    <w:rsid w:val="00391B80"/>
    <w:rsid w:val="00391C55"/>
    <w:rsid w:val="00391C83"/>
    <w:rsid w:val="00391CC0"/>
    <w:rsid w:val="00391D0B"/>
    <w:rsid w:val="00391F9B"/>
    <w:rsid w:val="00391FBF"/>
    <w:rsid w:val="00391FF3"/>
    <w:rsid w:val="0039206F"/>
    <w:rsid w:val="00392081"/>
    <w:rsid w:val="003921D0"/>
    <w:rsid w:val="003921FD"/>
    <w:rsid w:val="00392252"/>
    <w:rsid w:val="00392256"/>
    <w:rsid w:val="00392305"/>
    <w:rsid w:val="00392347"/>
    <w:rsid w:val="0039244E"/>
    <w:rsid w:val="003925FB"/>
    <w:rsid w:val="0039290F"/>
    <w:rsid w:val="00392E0C"/>
    <w:rsid w:val="00393893"/>
    <w:rsid w:val="0039391E"/>
    <w:rsid w:val="00393BB2"/>
    <w:rsid w:val="00393C84"/>
    <w:rsid w:val="00393DAC"/>
    <w:rsid w:val="00393E06"/>
    <w:rsid w:val="00393EF6"/>
    <w:rsid w:val="00393F26"/>
    <w:rsid w:val="00393FB3"/>
    <w:rsid w:val="003940A4"/>
    <w:rsid w:val="003940A8"/>
    <w:rsid w:val="0039416D"/>
    <w:rsid w:val="003941A7"/>
    <w:rsid w:val="003941EE"/>
    <w:rsid w:val="00394338"/>
    <w:rsid w:val="0039445D"/>
    <w:rsid w:val="00394502"/>
    <w:rsid w:val="00394798"/>
    <w:rsid w:val="003947AB"/>
    <w:rsid w:val="003947EB"/>
    <w:rsid w:val="00394893"/>
    <w:rsid w:val="003949AA"/>
    <w:rsid w:val="00394A0E"/>
    <w:rsid w:val="00394A6F"/>
    <w:rsid w:val="00394C2E"/>
    <w:rsid w:val="00394CFF"/>
    <w:rsid w:val="00394D02"/>
    <w:rsid w:val="00394D9B"/>
    <w:rsid w:val="00395014"/>
    <w:rsid w:val="003950FD"/>
    <w:rsid w:val="0039517B"/>
    <w:rsid w:val="00395218"/>
    <w:rsid w:val="00395256"/>
    <w:rsid w:val="003952CC"/>
    <w:rsid w:val="00395308"/>
    <w:rsid w:val="00395388"/>
    <w:rsid w:val="00395435"/>
    <w:rsid w:val="003954FB"/>
    <w:rsid w:val="00395514"/>
    <w:rsid w:val="00395600"/>
    <w:rsid w:val="00395720"/>
    <w:rsid w:val="00395794"/>
    <w:rsid w:val="003957A3"/>
    <w:rsid w:val="003957E3"/>
    <w:rsid w:val="00395804"/>
    <w:rsid w:val="0039587E"/>
    <w:rsid w:val="0039591C"/>
    <w:rsid w:val="003959FD"/>
    <w:rsid w:val="00395A9F"/>
    <w:rsid w:val="00395B59"/>
    <w:rsid w:val="00395D09"/>
    <w:rsid w:val="00395D40"/>
    <w:rsid w:val="00395E9E"/>
    <w:rsid w:val="00395F00"/>
    <w:rsid w:val="00395FC8"/>
    <w:rsid w:val="0039610C"/>
    <w:rsid w:val="003961A3"/>
    <w:rsid w:val="003961C7"/>
    <w:rsid w:val="003962A4"/>
    <w:rsid w:val="0039645D"/>
    <w:rsid w:val="0039656A"/>
    <w:rsid w:val="0039661B"/>
    <w:rsid w:val="003966B4"/>
    <w:rsid w:val="0039679B"/>
    <w:rsid w:val="0039684A"/>
    <w:rsid w:val="00396A9E"/>
    <w:rsid w:val="00396AA0"/>
    <w:rsid w:val="00396B25"/>
    <w:rsid w:val="00396B9A"/>
    <w:rsid w:val="00396E2C"/>
    <w:rsid w:val="00397102"/>
    <w:rsid w:val="0039710F"/>
    <w:rsid w:val="00397240"/>
    <w:rsid w:val="003973F2"/>
    <w:rsid w:val="00397418"/>
    <w:rsid w:val="00397486"/>
    <w:rsid w:val="003979A1"/>
    <w:rsid w:val="00397B0A"/>
    <w:rsid w:val="00397B8D"/>
    <w:rsid w:val="00397BE6"/>
    <w:rsid w:val="00397C56"/>
    <w:rsid w:val="00397CF5"/>
    <w:rsid w:val="00397D21"/>
    <w:rsid w:val="00397D9C"/>
    <w:rsid w:val="00397E54"/>
    <w:rsid w:val="003A041B"/>
    <w:rsid w:val="003A0516"/>
    <w:rsid w:val="003A0812"/>
    <w:rsid w:val="003A08F8"/>
    <w:rsid w:val="003A092F"/>
    <w:rsid w:val="003A095D"/>
    <w:rsid w:val="003A09D9"/>
    <w:rsid w:val="003A09E5"/>
    <w:rsid w:val="003A0FB5"/>
    <w:rsid w:val="003A1034"/>
    <w:rsid w:val="003A1069"/>
    <w:rsid w:val="003A108B"/>
    <w:rsid w:val="003A1090"/>
    <w:rsid w:val="003A10A7"/>
    <w:rsid w:val="003A10C3"/>
    <w:rsid w:val="003A10F6"/>
    <w:rsid w:val="003A1192"/>
    <w:rsid w:val="003A12DE"/>
    <w:rsid w:val="003A1652"/>
    <w:rsid w:val="003A1890"/>
    <w:rsid w:val="003A1920"/>
    <w:rsid w:val="003A1A84"/>
    <w:rsid w:val="003A1B07"/>
    <w:rsid w:val="003A1B76"/>
    <w:rsid w:val="003A1BCF"/>
    <w:rsid w:val="003A1E09"/>
    <w:rsid w:val="003A2333"/>
    <w:rsid w:val="003A235C"/>
    <w:rsid w:val="003A241E"/>
    <w:rsid w:val="003A24FC"/>
    <w:rsid w:val="003A2510"/>
    <w:rsid w:val="003A2647"/>
    <w:rsid w:val="003A2807"/>
    <w:rsid w:val="003A2833"/>
    <w:rsid w:val="003A28E6"/>
    <w:rsid w:val="003A2AE6"/>
    <w:rsid w:val="003A2AF1"/>
    <w:rsid w:val="003A2B3C"/>
    <w:rsid w:val="003A2B43"/>
    <w:rsid w:val="003A2B8B"/>
    <w:rsid w:val="003A2CAF"/>
    <w:rsid w:val="003A2ED2"/>
    <w:rsid w:val="003A316C"/>
    <w:rsid w:val="003A3222"/>
    <w:rsid w:val="003A367D"/>
    <w:rsid w:val="003A39BF"/>
    <w:rsid w:val="003A3BF8"/>
    <w:rsid w:val="003A3C0D"/>
    <w:rsid w:val="003A3CD3"/>
    <w:rsid w:val="003A3E5D"/>
    <w:rsid w:val="003A3F1A"/>
    <w:rsid w:val="003A4068"/>
    <w:rsid w:val="003A4098"/>
    <w:rsid w:val="003A415A"/>
    <w:rsid w:val="003A4192"/>
    <w:rsid w:val="003A4444"/>
    <w:rsid w:val="003A4703"/>
    <w:rsid w:val="003A4780"/>
    <w:rsid w:val="003A49F2"/>
    <w:rsid w:val="003A4A03"/>
    <w:rsid w:val="003A4A0A"/>
    <w:rsid w:val="003A4A60"/>
    <w:rsid w:val="003A4B91"/>
    <w:rsid w:val="003A4CAB"/>
    <w:rsid w:val="003A4D6F"/>
    <w:rsid w:val="003A505C"/>
    <w:rsid w:val="003A50A0"/>
    <w:rsid w:val="003A5199"/>
    <w:rsid w:val="003A5241"/>
    <w:rsid w:val="003A5357"/>
    <w:rsid w:val="003A5399"/>
    <w:rsid w:val="003A53DA"/>
    <w:rsid w:val="003A546C"/>
    <w:rsid w:val="003A54F3"/>
    <w:rsid w:val="003A55EA"/>
    <w:rsid w:val="003A564C"/>
    <w:rsid w:val="003A56FF"/>
    <w:rsid w:val="003A57CC"/>
    <w:rsid w:val="003A57CE"/>
    <w:rsid w:val="003A5945"/>
    <w:rsid w:val="003A5B40"/>
    <w:rsid w:val="003A5BA3"/>
    <w:rsid w:val="003A5BB2"/>
    <w:rsid w:val="003A5CA4"/>
    <w:rsid w:val="003A5ECA"/>
    <w:rsid w:val="003A5F72"/>
    <w:rsid w:val="003A5FA1"/>
    <w:rsid w:val="003A60A4"/>
    <w:rsid w:val="003A6134"/>
    <w:rsid w:val="003A6158"/>
    <w:rsid w:val="003A6343"/>
    <w:rsid w:val="003A64BB"/>
    <w:rsid w:val="003A6726"/>
    <w:rsid w:val="003A676C"/>
    <w:rsid w:val="003A67FB"/>
    <w:rsid w:val="003A6901"/>
    <w:rsid w:val="003A6B0D"/>
    <w:rsid w:val="003A6B31"/>
    <w:rsid w:val="003A6BDD"/>
    <w:rsid w:val="003A6CAC"/>
    <w:rsid w:val="003A6CF6"/>
    <w:rsid w:val="003A6DC7"/>
    <w:rsid w:val="003A6DCF"/>
    <w:rsid w:val="003A6DDA"/>
    <w:rsid w:val="003A7004"/>
    <w:rsid w:val="003A71CA"/>
    <w:rsid w:val="003A7225"/>
    <w:rsid w:val="003A727D"/>
    <w:rsid w:val="003A72B9"/>
    <w:rsid w:val="003A7329"/>
    <w:rsid w:val="003A73C5"/>
    <w:rsid w:val="003A741E"/>
    <w:rsid w:val="003A7572"/>
    <w:rsid w:val="003A75CE"/>
    <w:rsid w:val="003A75DC"/>
    <w:rsid w:val="003A760D"/>
    <w:rsid w:val="003A7620"/>
    <w:rsid w:val="003A7625"/>
    <w:rsid w:val="003A763E"/>
    <w:rsid w:val="003A7643"/>
    <w:rsid w:val="003A77E6"/>
    <w:rsid w:val="003A77ED"/>
    <w:rsid w:val="003A78BE"/>
    <w:rsid w:val="003A795F"/>
    <w:rsid w:val="003A7C61"/>
    <w:rsid w:val="003A7D34"/>
    <w:rsid w:val="003A7D96"/>
    <w:rsid w:val="003A7E5A"/>
    <w:rsid w:val="003A7E67"/>
    <w:rsid w:val="003A7E7C"/>
    <w:rsid w:val="003A7EFC"/>
    <w:rsid w:val="003A7FD7"/>
    <w:rsid w:val="003A7FE1"/>
    <w:rsid w:val="003B013C"/>
    <w:rsid w:val="003B03ED"/>
    <w:rsid w:val="003B040B"/>
    <w:rsid w:val="003B0479"/>
    <w:rsid w:val="003B04AA"/>
    <w:rsid w:val="003B0591"/>
    <w:rsid w:val="003B0619"/>
    <w:rsid w:val="003B0664"/>
    <w:rsid w:val="003B0800"/>
    <w:rsid w:val="003B0829"/>
    <w:rsid w:val="003B08DF"/>
    <w:rsid w:val="003B0A62"/>
    <w:rsid w:val="003B0A95"/>
    <w:rsid w:val="003B0AC1"/>
    <w:rsid w:val="003B0AEA"/>
    <w:rsid w:val="003B0B06"/>
    <w:rsid w:val="003B0B5D"/>
    <w:rsid w:val="003B0C5B"/>
    <w:rsid w:val="003B0D50"/>
    <w:rsid w:val="003B0E96"/>
    <w:rsid w:val="003B1033"/>
    <w:rsid w:val="003B109F"/>
    <w:rsid w:val="003B11EE"/>
    <w:rsid w:val="003B12BA"/>
    <w:rsid w:val="003B12E0"/>
    <w:rsid w:val="003B1342"/>
    <w:rsid w:val="003B161C"/>
    <w:rsid w:val="003B1867"/>
    <w:rsid w:val="003B1948"/>
    <w:rsid w:val="003B1A54"/>
    <w:rsid w:val="003B1A77"/>
    <w:rsid w:val="003B1B2D"/>
    <w:rsid w:val="003B1B74"/>
    <w:rsid w:val="003B1D15"/>
    <w:rsid w:val="003B1DFA"/>
    <w:rsid w:val="003B21AD"/>
    <w:rsid w:val="003B224A"/>
    <w:rsid w:val="003B243B"/>
    <w:rsid w:val="003B2507"/>
    <w:rsid w:val="003B267A"/>
    <w:rsid w:val="003B2734"/>
    <w:rsid w:val="003B2872"/>
    <w:rsid w:val="003B296F"/>
    <w:rsid w:val="003B2998"/>
    <w:rsid w:val="003B2AE1"/>
    <w:rsid w:val="003B2B1F"/>
    <w:rsid w:val="003B2B67"/>
    <w:rsid w:val="003B2C4C"/>
    <w:rsid w:val="003B2C8C"/>
    <w:rsid w:val="003B2D26"/>
    <w:rsid w:val="003B2D32"/>
    <w:rsid w:val="003B2D9F"/>
    <w:rsid w:val="003B2F00"/>
    <w:rsid w:val="003B30C1"/>
    <w:rsid w:val="003B3106"/>
    <w:rsid w:val="003B3238"/>
    <w:rsid w:val="003B33DF"/>
    <w:rsid w:val="003B35BC"/>
    <w:rsid w:val="003B35FD"/>
    <w:rsid w:val="003B38AC"/>
    <w:rsid w:val="003B39D6"/>
    <w:rsid w:val="003B39EB"/>
    <w:rsid w:val="003B3AE0"/>
    <w:rsid w:val="003B3B27"/>
    <w:rsid w:val="003B3BC7"/>
    <w:rsid w:val="003B3BE1"/>
    <w:rsid w:val="003B3C35"/>
    <w:rsid w:val="003B3CAD"/>
    <w:rsid w:val="003B3CF6"/>
    <w:rsid w:val="003B3FAF"/>
    <w:rsid w:val="003B4057"/>
    <w:rsid w:val="003B4195"/>
    <w:rsid w:val="003B41B5"/>
    <w:rsid w:val="003B41E5"/>
    <w:rsid w:val="003B438C"/>
    <w:rsid w:val="003B4463"/>
    <w:rsid w:val="003B44C6"/>
    <w:rsid w:val="003B4537"/>
    <w:rsid w:val="003B46D7"/>
    <w:rsid w:val="003B4826"/>
    <w:rsid w:val="003B4B72"/>
    <w:rsid w:val="003B4BF0"/>
    <w:rsid w:val="003B4EFA"/>
    <w:rsid w:val="003B4F95"/>
    <w:rsid w:val="003B501B"/>
    <w:rsid w:val="003B5102"/>
    <w:rsid w:val="003B539D"/>
    <w:rsid w:val="003B5450"/>
    <w:rsid w:val="003B5471"/>
    <w:rsid w:val="003B54F4"/>
    <w:rsid w:val="003B5794"/>
    <w:rsid w:val="003B57C0"/>
    <w:rsid w:val="003B599D"/>
    <w:rsid w:val="003B5A76"/>
    <w:rsid w:val="003B5A80"/>
    <w:rsid w:val="003B5D0F"/>
    <w:rsid w:val="003B5EBD"/>
    <w:rsid w:val="003B6057"/>
    <w:rsid w:val="003B6181"/>
    <w:rsid w:val="003B61FA"/>
    <w:rsid w:val="003B6490"/>
    <w:rsid w:val="003B657A"/>
    <w:rsid w:val="003B65DD"/>
    <w:rsid w:val="003B6758"/>
    <w:rsid w:val="003B6762"/>
    <w:rsid w:val="003B682F"/>
    <w:rsid w:val="003B6A36"/>
    <w:rsid w:val="003B6A5F"/>
    <w:rsid w:val="003B6ACA"/>
    <w:rsid w:val="003B6AD6"/>
    <w:rsid w:val="003B6E50"/>
    <w:rsid w:val="003B6F63"/>
    <w:rsid w:val="003B6F86"/>
    <w:rsid w:val="003B6F92"/>
    <w:rsid w:val="003B70BD"/>
    <w:rsid w:val="003B71B2"/>
    <w:rsid w:val="003B71F8"/>
    <w:rsid w:val="003B723E"/>
    <w:rsid w:val="003B72E8"/>
    <w:rsid w:val="003B72EB"/>
    <w:rsid w:val="003B734F"/>
    <w:rsid w:val="003B7428"/>
    <w:rsid w:val="003B745A"/>
    <w:rsid w:val="003B76B9"/>
    <w:rsid w:val="003B7723"/>
    <w:rsid w:val="003B779C"/>
    <w:rsid w:val="003B785E"/>
    <w:rsid w:val="003B7D8C"/>
    <w:rsid w:val="003B7E33"/>
    <w:rsid w:val="003B7EA9"/>
    <w:rsid w:val="003B7FE9"/>
    <w:rsid w:val="003C03AE"/>
    <w:rsid w:val="003C03F4"/>
    <w:rsid w:val="003C064F"/>
    <w:rsid w:val="003C06ED"/>
    <w:rsid w:val="003C0745"/>
    <w:rsid w:val="003C083D"/>
    <w:rsid w:val="003C0864"/>
    <w:rsid w:val="003C0960"/>
    <w:rsid w:val="003C0989"/>
    <w:rsid w:val="003C099F"/>
    <w:rsid w:val="003C0A40"/>
    <w:rsid w:val="003C0C16"/>
    <w:rsid w:val="003C0C4E"/>
    <w:rsid w:val="003C0E22"/>
    <w:rsid w:val="003C0EB0"/>
    <w:rsid w:val="003C10ED"/>
    <w:rsid w:val="003C1191"/>
    <w:rsid w:val="003C1195"/>
    <w:rsid w:val="003C1273"/>
    <w:rsid w:val="003C128A"/>
    <w:rsid w:val="003C12C7"/>
    <w:rsid w:val="003C14AF"/>
    <w:rsid w:val="003C152F"/>
    <w:rsid w:val="003C15F4"/>
    <w:rsid w:val="003C172A"/>
    <w:rsid w:val="003C173C"/>
    <w:rsid w:val="003C197C"/>
    <w:rsid w:val="003C19A0"/>
    <w:rsid w:val="003C19B2"/>
    <w:rsid w:val="003C1ABF"/>
    <w:rsid w:val="003C1B27"/>
    <w:rsid w:val="003C1BB3"/>
    <w:rsid w:val="003C1CB1"/>
    <w:rsid w:val="003C1CB7"/>
    <w:rsid w:val="003C1CC2"/>
    <w:rsid w:val="003C1CF3"/>
    <w:rsid w:val="003C1D49"/>
    <w:rsid w:val="003C1E11"/>
    <w:rsid w:val="003C1ED0"/>
    <w:rsid w:val="003C1F85"/>
    <w:rsid w:val="003C1F9A"/>
    <w:rsid w:val="003C1FC8"/>
    <w:rsid w:val="003C2233"/>
    <w:rsid w:val="003C22AA"/>
    <w:rsid w:val="003C23A3"/>
    <w:rsid w:val="003C23C3"/>
    <w:rsid w:val="003C2470"/>
    <w:rsid w:val="003C2564"/>
    <w:rsid w:val="003C2577"/>
    <w:rsid w:val="003C26A4"/>
    <w:rsid w:val="003C295E"/>
    <w:rsid w:val="003C29C6"/>
    <w:rsid w:val="003C2A5B"/>
    <w:rsid w:val="003C2AA5"/>
    <w:rsid w:val="003C2AE9"/>
    <w:rsid w:val="003C2B5D"/>
    <w:rsid w:val="003C2CEC"/>
    <w:rsid w:val="003C2D06"/>
    <w:rsid w:val="003C2D2C"/>
    <w:rsid w:val="003C2D39"/>
    <w:rsid w:val="003C2D59"/>
    <w:rsid w:val="003C2EA7"/>
    <w:rsid w:val="003C32F7"/>
    <w:rsid w:val="003C3365"/>
    <w:rsid w:val="003C3395"/>
    <w:rsid w:val="003C344A"/>
    <w:rsid w:val="003C35BB"/>
    <w:rsid w:val="003C360D"/>
    <w:rsid w:val="003C36C9"/>
    <w:rsid w:val="003C3709"/>
    <w:rsid w:val="003C3A86"/>
    <w:rsid w:val="003C3DD5"/>
    <w:rsid w:val="003C3E73"/>
    <w:rsid w:val="003C3F8A"/>
    <w:rsid w:val="003C4076"/>
    <w:rsid w:val="003C40B6"/>
    <w:rsid w:val="003C41B6"/>
    <w:rsid w:val="003C41E5"/>
    <w:rsid w:val="003C438F"/>
    <w:rsid w:val="003C45EA"/>
    <w:rsid w:val="003C4629"/>
    <w:rsid w:val="003C4999"/>
    <w:rsid w:val="003C49F8"/>
    <w:rsid w:val="003C4A08"/>
    <w:rsid w:val="003C4BC7"/>
    <w:rsid w:val="003C4C84"/>
    <w:rsid w:val="003C51A9"/>
    <w:rsid w:val="003C5346"/>
    <w:rsid w:val="003C5402"/>
    <w:rsid w:val="003C544D"/>
    <w:rsid w:val="003C5542"/>
    <w:rsid w:val="003C5580"/>
    <w:rsid w:val="003C56BD"/>
    <w:rsid w:val="003C56E4"/>
    <w:rsid w:val="003C59DC"/>
    <w:rsid w:val="003C59F5"/>
    <w:rsid w:val="003C5B70"/>
    <w:rsid w:val="003C5BD8"/>
    <w:rsid w:val="003C600F"/>
    <w:rsid w:val="003C606F"/>
    <w:rsid w:val="003C60E0"/>
    <w:rsid w:val="003C6134"/>
    <w:rsid w:val="003C6265"/>
    <w:rsid w:val="003C6318"/>
    <w:rsid w:val="003C63D9"/>
    <w:rsid w:val="003C6420"/>
    <w:rsid w:val="003C649F"/>
    <w:rsid w:val="003C64A8"/>
    <w:rsid w:val="003C64B8"/>
    <w:rsid w:val="003C6565"/>
    <w:rsid w:val="003C661A"/>
    <w:rsid w:val="003C6663"/>
    <w:rsid w:val="003C6743"/>
    <w:rsid w:val="003C6894"/>
    <w:rsid w:val="003C68DC"/>
    <w:rsid w:val="003C6920"/>
    <w:rsid w:val="003C692A"/>
    <w:rsid w:val="003C69B4"/>
    <w:rsid w:val="003C6A86"/>
    <w:rsid w:val="003C6AC1"/>
    <w:rsid w:val="003C6DC9"/>
    <w:rsid w:val="003C6F2F"/>
    <w:rsid w:val="003C6F95"/>
    <w:rsid w:val="003C6FCA"/>
    <w:rsid w:val="003C7086"/>
    <w:rsid w:val="003C7101"/>
    <w:rsid w:val="003C7114"/>
    <w:rsid w:val="003C71B2"/>
    <w:rsid w:val="003C722E"/>
    <w:rsid w:val="003C726A"/>
    <w:rsid w:val="003C7312"/>
    <w:rsid w:val="003C73D2"/>
    <w:rsid w:val="003C744D"/>
    <w:rsid w:val="003C7766"/>
    <w:rsid w:val="003C778B"/>
    <w:rsid w:val="003C7840"/>
    <w:rsid w:val="003C7A63"/>
    <w:rsid w:val="003C7ACF"/>
    <w:rsid w:val="003C7B5B"/>
    <w:rsid w:val="003C7C44"/>
    <w:rsid w:val="003C7C93"/>
    <w:rsid w:val="003CEAD5"/>
    <w:rsid w:val="003D0102"/>
    <w:rsid w:val="003D031C"/>
    <w:rsid w:val="003D035B"/>
    <w:rsid w:val="003D03EB"/>
    <w:rsid w:val="003D04BF"/>
    <w:rsid w:val="003D053E"/>
    <w:rsid w:val="003D056E"/>
    <w:rsid w:val="003D08B7"/>
    <w:rsid w:val="003D0A0B"/>
    <w:rsid w:val="003D0C4A"/>
    <w:rsid w:val="003D0C64"/>
    <w:rsid w:val="003D0D25"/>
    <w:rsid w:val="003D0E2B"/>
    <w:rsid w:val="003D1003"/>
    <w:rsid w:val="003D107D"/>
    <w:rsid w:val="003D1110"/>
    <w:rsid w:val="003D111E"/>
    <w:rsid w:val="003D1308"/>
    <w:rsid w:val="003D1377"/>
    <w:rsid w:val="003D157A"/>
    <w:rsid w:val="003D15BF"/>
    <w:rsid w:val="003D15C7"/>
    <w:rsid w:val="003D16D3"/>
    <w:rsid w:val="003D1813"/>
    <w:rsid w:val="003D184A"/>
    <w:rsid w:val="003D1876"/>
    <w:rsid w:val="003D1973"/>
    <w:rsid w:val="003D1A17"/>
    <w:rsid w:val="003D1B57"/>
    <w:rsid w:val="003D1BA4"/>
    <w:rsid w:val="003D1D2C"/>
    <w:rsid w:val="003D1D54"/>
    <w:rsid w:val="003D1D62"/>
    <w:rsid w:val="003D1F1E"/>
    <w:rsid w:val="003D202E"/>
    <w:rsid w:val="003D2092"/>
    <w:rsid w:val="003D2100"/>
    <w:rsid w:val="003D223C"/>
    <w:rsid w:val="003D23FA"/>
    <w:rsid w:val="003D2453"/>
    <w:rsid w:val="003D2615"/>
    <w:rsid w:val="003D2795"/>
    <w:rsid w:val="003D2B1D"/>
    <w:rsid w:val="003D2B64"/>
    <w:rsid w:val="003D2B67"/>
    <w:rsid w:val="003D2B8E"/>
    <w:rsid w:val="003D2C36"/>
    <w:rsid w:val="003D2DE6"/>
    <w:rsid w:val="003D2ECC"/>
    <w:rsid w:val="003D2F19"/>
    <w:rsid w:val="003D2FC2"/>
    <w:rsid w:val="003D3010"/>
    <w:rsid w:val="003D3064"/>
    <w:rsid w:val="003D30BF"/>
    <w:rsid w:val="003D313D"/>
    <w:rsid w:val="003D314B"/>
    <w:rsid w:val="003D31AA"/>
    <w:rsid w:val="003D3301"/>
    <w:rsid w:val="003D336B"/>
    <w:rsid w:val="003D35FC"/>
    <w:rsid w:val="003D36C5"/>
    <w:rsid w:val="003D39AE"/>
    <w:rsid w:val="003D3BE0"/>
    <w:rsid w:val="003D3BEF"/>
    <w:rsid w:val="003D3C42"/>
    <w:rsid w:val="003D3D25"/>
    <w:rsid w:val="003D3D51"/>
    <w:rsid w:val="003D3DCC"/>
    <w:rsid w:val="003D3DE4"/>
    <w:rsid w:val="003D3E2A"/>
    <w:rsid w:val="003D3E3E"/>
    <w:rsid w:val="003D3E62"/>
    <w:rsid w:val="003D3F34"/>
    <w:rsid w:val="003D4011"/>
    <w:rsid w:val="003D40B3"/>
    <w:rsid w:val="003D4197"/>
    <w:rsid w:val="003D41DD"/>
    <w:rsid w:val="003D4282"/>
    <w:rsid w:val="003D4363"/>
    <w:rsid w:val="003D4386"/>
    <w:rsid w:val="003D43BA"/>
    <w:rsid w:val="003D457E"/>
    <w:rsid w:val="003D465D"/>
    <w:rsid w:val="003D46BD"/>
    <w:rsid w:val="003D470C"/>
    <w:rsid w:val="003D4A06"/>
    <w:rsid w:val="003D4A4D"/>
    <w:rsid w:val="003D4AED"/>
    <w:rsid w:val="003D4B81"/>
    <w:rsid w:val="003D4BD2"/>
    <w:rsid w:val="003D4F28"/>
    <w:rsid w:val="003D4F92"/>
    <w:rsid w:val="003D5030"/>
    <w:rsid w:val="003D511F"/>
    <w:rsid w:val="003D5202"/>
    <w:rsid w:val="003D525E"/>
    <w:rsid w:val="003D5293"/>
    <w:rsid w:val="003D530C"/>
    <w:rsid w:val="003D531D"/>
    <w:rsid w:val="003D5358"/>
    <w:rsid w:val="003D5564"/>
    <w:rsid w:val="003D55E9"/>
    <w:rsid w:val="003D5663"/>
    <w:rsid w:val="003D586A"/>
    <w:rsid w:val="003D5A45"/>
    <w:rsid w:val="003D5B9F"/>
    <w:rsid w:val="003D5BB3"/>
    <w:rsid w:val="003D5C72"/>
    <w:rsid w:val="003D5CA9"/>
    <w:rsid w:val="003D5CC2"/>
    <w:rsid w:val="003D5CCF"/>
    <w:rsid w:val="003D5E33"/>
    <w:rsid w:val="003D5F22"/>
    <w:rsid w:val="003D5F4E"/>
    <w:rsid w:val="003D603E"/>
    <w:rsid w:val="003D6096"/>
    <w:rsid w:val="003D609B"/>
    <w:rsid w:val="003D611E"/>
    <w:rsid w:val="003D6125"/>
    <w:rsid w:val="003D612A"/>
    <w:rsid w:val="003D6285"/>
    <w:rsid w:val="003D62C1"/>
    <w:rsid w:val="003D6319"/>
    <w:rsid w:val="003D6376"/>
    <w:rsid w:val="003D63BD"/>
    <w:rsid w:val="003D63D5"/>
    <w:rsid w:val="003D6560"/>
    <w:rsid w:val="003D6682"/>
    <w:rsid w:val="003D677C"/>
    <w:rsid w:val="003D679A"/>
    <w:rsid w:val="003D680D"/>
    <w:rsid w:val="003D6876"/>
    <w:rsid w:val="003D6B81"/>
    <w:rsid w:val="003D6E0E"/>
    <w:rsid w:val="003D6F94"/>
    <w:rsid w:val="003D7010"/>
    <w:rsid w:val="003D71AC"/>
    <w:rsid w:val="003D7333"/>
    <w:rsid w:val="003D733A"/>
    <w:rsid w:val="003D7348"/>
    <w:rsid w:val="003D752F"/>
    <w:rsid w:val="003D7536"/>
    <w:rsid w:val="003D7711"/>
    <w:rsid w:val="003D7730"/>
    <w:rsid w:val="003D77B3"/>
    <w:rsid w:val="003D7824"/>
    <w:rsid w:val="003D789A"/>
    <w:rsid w:val="003D7981"/>
    <w:rsid w:val="003D7A74"/>
    <w:rsid w:val="003D7B2B"/>
    <w:rsid w:val="003D7C72"/>
    <w:rsid w:val="003D7D15"/>
    <w:rsid w:val="003D7D69"/>
    <w:rsid w:val="003D7DA9"/>
    <w:rsid w:val="003D7E3E"/>
    <w:rsid w:val="003D7FD7"/>
    <w:rsid w:val="003E00B5"/>
    <w:rsid w:val="003E00F3"/>
    <w:rsid w:val="003E019B"/>
    <w:rsid w:val="003E02D8"/>
    <w:rsid w:val="003E0423"/>
    <w:rsid w:val="003E045F"/>
    <w:rsid w:val="003E055C"/>
    <w:rsid w:val="003E0764"/>
    <w:rsid w:val="003E0778"/>
    <w:rsid w:val="003E07B9"/>
    <w:rsid w:val="003E0842"/>
    <w:rsid w:val="003E086D"/>
    <w:rsid w:val="003E08F8"/>
    <w:rsid w:val="003E0B4E"/>
    <w:rsid w:val="003E0BDC"/>
    <w:rsid w:val="003E0C05"/>
    <w:rsid w:val="003E0EA1"/>
    <w:rsid w:val="003E0EB7"/>
    <w:rsid w:val="003E0F07"/>
    <w:rsid w:val="003E0F39"/>
    <w:rsid w:val="003E0F98"/>
    <w:rsid w:val="003E1222"/>
    <w:rsid w:val="003E1276"/>
    <w:rsid w:val="003E1443"/>
    <w:rsid w:val="003E175A"/>
    <w:rsid w:val="003E1789"/>
    <w:rsid w:val="003E17BF"/>
    <w:rsid w:val="003E1804"/>
    <w:rsid w:val="003E1851"/>
    <w:rsid w:val="003E1897"/>
    <w:rsid w:val="003E18BF"/>
    <w:rsid w:val="003E1920"/>
    <w:rsid w:val="003E195C"/>
    <w:rsid w:val="003E199B"/>
    <w:rsid w:val="003E1A33"/>
    <w:rsid w:val="003E1BCD"/>
    <w:rsid w:val="003E1D2B"/>
    <w:rsid w:val="003E1E4C"/>
    <w:rsid w:val="003E1FCC"/>
    <w:rsid w:val="003E207A"/>
    <w:rsid w:val="003E2162"/>
    <w:rsid w:val="003E23CA"/>
    <w:rsid w:val="003E23DE"/>
    <w:rsid w:val="003E2470"/>
    <w:rsid w:val="003E2527"/>
    <w:rsid w:val="003E2599"/>
    <w:rsid w:val="003E25B6"/>
    <w:rsid w:val="003E26F8"/>
    <w:rsid w:val="003E2777"/>
    <w:rsid w:val="003E29E2"/>
    <w:rsid w:val="003E2A5C"/>
    <w:rsid w:val="003E2B45"/>
    <w:rsid w:val="003E2BE4"/>
    <w:rsid w:val="003E2DB4"/>
    <w:rsid w:val="003E2E5A"/>
    <w:rsid w:val="003E31A6"/>
    <w:rsid w:val="003E33F0"/>
    <w:rsid w:val="003E34F6"/>
    <w:rsid w:val="003E3517"/>
    <w:rsid w:val="003E351B"/>
    <w:rsid w:val="003E3583"/>
    <w:rsid w:val="003E3657"/>
    <w:rsid w:val="003E3825"/>
    <w:rsid w:val="003E3857"/>
    <w:rsid w:val="003E3916"/>
    <w:rsid w:val="003E3A09"/>
    <w:rsid w:val="003E3A2C"/>
    <w:rsid w:val="003E3B97"/>
    <w:rsid w:val="003E3BD9"/>
    <w:rsid w:val="003E3C31"/>
    <w:rsid w:val="003E3D09"/>
    <w:rsid w:val="003E3D2C"/>
    <w:rsid w:val="003E4089"/>
    <w:rsid w:val="003E40E2"/>
    <w:rsid w:val="003E41D9"/>
    <w:rsid w:val="003E4231"/>
    <w:rsid w:val="003E42A1"/>
    <w:rsid w:val="003E42BB"/>
    <w:rsid w:val="003E431C"/>
    <w:rsid w:val="003E4375"/>
    <w:rsid w:val="003E43D3"/>
    <w:rsid w:val="003E43E4"/>
    <w:rsid w:val="003E4573"/>
    <w:rsid w:val="003E4688"/>
    <w:rsid w:val="003E475B"/>
    <w:rsid w:val="003E47EA"/>
    <w:rsid w:val="003E48D2"/>
    <w:rsid w:val="003E4B54"/>
    <w:rsid w:val="003E4BFD"/>
    <w:rsid w:val="003E4C15"/>
    <w:rsid w:val="003E4C24"/>
    <w:rsid w:val="003E4E94"/>
    <w:rsid w:val="003E4EB7"/>
    <w:rsid w:val="003E4EDD"/>
    <w:rsid w:val="003E4F3B"/>
    <w:rsid w:val="003E4FBA"/>
    <w:rsid w:val="003E5120"/>
    <w:rsid w:val="003E5385"/>
    <w:rsid w:val="003E540F"/>
    <w:rsid w:val="003E549C"/>
    <w:rsid w:val="003E54F8"/>
    <w:rsid w:val="003E556D"/>
    <w:rsid w:val="003E5691"/>
    <w:rsid w:val="003E5750"/>
    <w:rsid w:val="003E5937"/>
    <w:rsid w:val="003E5992"/>
    <w:rsid w:val="003E5B53"/>
    <w:rsid w:val="003E5CD9"/>
    <w:rsid w:val="003E5D8E"/>
    <w:rsid w:val="003E5DA5"/>
    <w:rsid w:val="003E605A"/>
    <w:rsid w:val="003E615B"/>
    <w:rsid w:val="003E61AF"/>
    <w:rsid w:val="003E6208"/>
    <w:rsid w:val="003E62A1"/>
    <w:rsid w:val="003E640F"/>
    <w:rsid w:val="003E67A7"/>
    <w:rsid w:val="003E684C"/>
    <w:rsid w:val="003E68C6"/>
    <w:rsid w:val="003E6B13"/>
    <w:rsid w:val="003E6B96"/>
    <w:rsid w:val="003E6C2C"/>
    <w:rsid w:val="003E6C89"/>
    <w:rsid w:val="003E6D38"/>
    <w:rsid w:val="003E6E2D"/>
    <w:rsid w:val="003E6E6C"/>
    <w:rsid w:val="003E6F80"/>
    <w:rsid w:val="003E70BA"/>
    <w:rsid w:val="003E726A"/>
    <w:rsid w:val="003E7449"/>
    <w:rsid w:val="003E752F"/>
    <w:rsid w:val="003E7547"/>
    <w:rsid w:val="003E7587"/>
    <w:rsid w:val="003E7595"/>
    <w:rsid w:val="003E7599"/>
    <w:rsid w:val="003E75B8"/>
    <w:rsid w:val="003E771B"/>
    <w:rsid w:val="003E778A"/>
    <w:rsid w:val="003E7876"/>
    <w:rsid w:val="003E7972"/>
    <w:rsid w:val="003E7A15"/>
    <w:rsid w:val="003E7C94"/>
    <w:rsid w:val="003E7DB0"/>
    <w:rsid w:val="003E7F9D"/>
    <w:rsid w:val="003F00AC"/>
    <w:rsid w:val="003F010A"/>
    <w:rsid w:val="003F010D"/>
    <w:rsid w:val="003F021C"/>
    <w:rsid w:val="003F02E8"/>
    <w:rsid w:val="003F0401"/>
    <w:rsid w:val="003F0649"/>
    <w:rsid w:val="003F0663"/>
    <w:rsid w:val="003F073A"/>
    <w:rsid w:val="003F0894"/>
    <w:rsid w:val="003F08B8"/>
    <w:rsid w:val="003F090E"/>
    <w:rsid w:val="003F098C"/>
    <w:rsid w:val="003F0BAE"/>
    <w:rsid w:val="003F0E18"/>
    <w:rsid w:val="003F0EA3"/>
    <w:rsid w:val="003F0F3C"/>
    <w:rsid w:val="003F0F3D"/>
    <w:rsid w:val="003F0F8F"/>
    <w:rsid w:val="003F0F99"/>
    <w:rsid w:val="003F10BF"/>
    <w:rsid w:val="003F1120"/>
    <w:rsid w:val="003F11C3"/>
    <w:rsid w:val="003F12CC"/>
    <w:rsid w:val="003F1412"/>
    <w:rsid w:val="003F1607"/>
    <w:rsid w:val="003F160A"/>
    <w:rsid w:val="003F1619"/>
    <w:rsid w:val="003F1668"/>
    <w:rsid w:val="003F198E"/>
    <w:rsid w:val="003F1A31"/>
    <w:rsid w:val="003F1A90"/>
    <w:rsid w:val="003F1A96"/>
    <w:rsid w:val="003F1AA0"/>
    <w:rsid w:val="003F1ABC"/>
    <w:rsid w:val="003F1BD0"/>
    <w:rsid w:val="003F1C00"/>
    <w:rsid w:val="003F1DB8"/>
    <w:rsid w:val="003F1FA7"/>
    <w:rsid w:val="003F22D8"/>
    <w:rsid w:val="003F242C"/>
    <w:rsid w:val="003F2460"/>
    <w:rsid w:val="003F2551"/>
    <w:rsid w:val="003F2610"/>
    <w:rsid w:val="003F26E0"/>
    <w:rsid w:val="003F2717"/>
    <w:rsid w:val="003F2782"/>
    <w:rsid w:val="003F27B7"/>
    <w:rsid w:val="003F28ED"/>
    <w:rsid w:val="003F2941"/>
    <w:rsid w:val="003F2ABE"/>
    <w:rsid w:val="003F2AEA"/>
    <w:rsid w:val="003F2C0F"/>
    <w:rsid w:val="003F2C4B"/>
    <w:rsid w:val="003F2CA2"/>
    <w:rsid w:val="003F2E0E"/>
    <w:rsid w:val="003F2E53"/>
    <w:rsid w:val="003F30E4"/>
    <w:rsid w:val="003F32AD"/>
    <w:rsid w:val="003F3365"/>
    <w:rsid w:val="003F360F"/>
    <w:rsid w:val="003F3662"/>
    <w:rsid w:val="003F366D"/>
    <w:rsid w:val="003F3743"/>
    <w:rsid w:val="003F3778"/>
    <w:rsid w:val="003F37AF"/>
    <w:rsid w:val="003F3955"/>
    <w:rsid w:val="003F3A72"/>
    <w:rsid w:val="003F3ADE"/>
    <w:rsid w:val="003F3B26"/>
    <w:rsid w:val="003F3B84"/>
    <w:rsid w:val="003F3BAC"/>
    <w:rsid w:val="003F3C79"/>
    <w:rsid w:val="003F3DD1"/>
    <w:rsid w:val="003F3FC6"/>
    <w:rsid w:val="003F407A"/>
    <w:rsid w:val="003F413D"/>
    <w:rsid w:val="003F4257"/>
    <w:rsid w:val="003F43C9"/>
    <w:rsid w:val="003F4475"/>
    <w:rsid w:val="003F4532"/>
    <w:rsid w:val="003F4578"/>
    <w:rsid w:val="003F4667"/>
    <w:rsid w:val="003F469B"/>
    <w:rsid w:val="003F46EB"/>
    <w:rsid w:val="003F473A"/>
    <w:rsid w:val="003F4837"/>
    <w:rsid w:val="003F4CF4"/>
    <w:rsid w:val="003F4CFF"/>
    <w:rsid w:val="003F4D87"/>
    <w:rsid w:val="003F4DD7"/>
    <w:rsid w:val="003F4E87"/>
    <w:rsid w:val="003F4F6C"/>
    <w:rsid w:val="003F4FA0"/>
    <w:rsid w:val="003F535C"/>
    <w:rsid w:val="003F5397"/>
    <w:rsid w:val="003F53DE"/>
    <w:rsid w:val="003F5461"/>
    <w:rsid w:val="003F5551"/>
    <w:rsid w:val="003F5594"/>
    <w:rsid w:val="003F55D3"/>
    <w:rsid w:val="003F5769"/>
    <w:rsid w:val="003F582C"/>
    <w:rsid w:val="003F5A9E"/>
    <w:rsid w:val="003F5BB1"/>
    <w:rsid w:val="003F5CA0"/>
    <w:rsid w:val="003F5D6A"/>
    <w:rsid w:val="003F5DB0"/>
    <w:rsid w:val="003F5EB0"/>
    <w:rsid w:val="003F5F2F"/>
    <w:rsid w:val="003F5F57"/>
    <w:rsid w:val="003F603D"/>
    <w:rsid w:val="003F609B"/>
    <w:rsid w:val="003F613F"/>
    <w:rsid w:val="003F622B"/>
    <w:rsid w:val="003F6346"/>
    <w:rsid w:val="003F6389"/>
    <w:rsid w:val="003F63B2"/>
    <w:rsid w:val="003F63C5"/>
    <w:rsid w:val="003F6619"/>
    <w:rsid w:val="003F66E7"/>
    <w:rsid w:val="003F6826"/>
    <w:rsid w:val="003F685E"/>
    <w:rsid w:val="003F6961"/>
    <w:rsid w:val="003F6A73"/>
    <w:rsid w:val="003F6AA6"/>
    <w:rsid w:val="003F6BD4"/>
    <w:rsid w:val="003F6C17"/>
    <w:rsid w:val="003F6D21"/>
    <w:rsid w:val="003F6D45"/>
    <w:rsid w:val="003F6DB9"/>
    <w:rsid w:val="003F6FC3"/>
    <w:rsid w:val="003F707F"/>
    <w:rsid w:val="003F7081"/>
    <w:rsid w:val="003F7104"/>
    <w:rsid w:val="003F72B9"/>
    <w:rsid w:val="003F72DD"/>
    <w:rsid w:val="003F746D"/>
    <w:rsid w:val="003F74AA"/>
    <w:rsid w:val="003F761D"/>
    <w:rsid w:val="003F76E6"/>
    <w:rsid w:val="003F781B"/>
    <w:rsid w:val="003F7842"/>
    <w:rsid w:val="003F788A"/>
    <w:rsid w:val="003F795B"/>
    <w:rsid w:val="003F79AD"/>
    <w:rsid w:val="003F7AF8"/>
    <w:rsid w:val="003F7B96"/>
    <w:rsid w:val="003F7BB9"/>
    <w:rsid w:val="003F7EA6"/>
    <w:rsid w:val="003F7F13"/>
    <w:rsid w:val="00400147"/>
    <w:rsid w:val="0040019C"/>
    <w:rsid w:val="004003E2"/>
    <w:rsid w:val="004004F9"/>
    <w:rsid w:val="004005CA"/>
    <w:rsid w:val="00400717"/>
    <w:rsid w:val="00400772"/>
    <w:rsid w:val="00400953"/>
    <w:rsid w:val="00400A3C"/>
    <w:rsid w:val="00400A7A"/>
    <w:rsid w:val="00400AC2"/>
    <w:rsid w:val="00400AEC"/>
    <w:rsid w:val="00400AFB"/>
    <w:rsid w:val="00400B4B"/>
    <w:rsid w:val="00400BB0"/>
    <w:rsid w:val="00400D0C"/>
    <w:rsid w:val="00400D61"/>
    <w:rsid w:val="00400D6F"/>
    <w:rsid w:val="00400DB8"/>
    <w:rsid w:val="00400E49"/>
    <w:rsid w:val="00400E6D"/>
    <w:rsid w:val="00400E6E"/>
    <w:rsid w:val="00400E7F"/>
    <w:rsid w:val="00400F64"/>
    <w:rsid w:val="00401286"/>
    <w:rsid w:val="00401442"/>
    <w:rsid w:val="00401559"/>
    <w:rsid w:val="00401628"/>
    <w:rsid w:val="004018BD"/>
    <w:rsid w:val="00401912"/>
    <w:rsid w:val="0040193E"/>
    <w:rsid w:val="00401A44"/>
    <w:rsid w:val="00401B36"/>
    <w:rsid w:val="00401D9C"/>
    <w:rsid w:val="00401E08"/>
    <w:rsid w:val="00401E2E"/>
    <w:rsid w:val="00401E34"/>
    <w:rsid w:val="00402000"/>
    <w:rsid w:val="00402317"/>
    <w:rsid w:val="0040234F"/>
    <w:rsid w:val="004023B7"/>
    <w:rsid w:val="004024B6"/>
    <w:rsid w:val="004024C6"/>
    <w:rsid w:val="0040258A"/>
    <w:rsid w:val="004025B5"/>
    <w:rsid w:val="004026E2"/>
    <w:rsid w:val="00402743"/>
    <w:rsid w:val="004027AD"/>
    <w:rsid w:val="00402E98"/>
    <w:rsid w:val="00402EB4"/>
    <w:rsid w:val="00402ED7"/>
    <w:rsid w:val="00403178"/>
    <w:rsid w:val="0040319C"/>
    <w:rsid w:val="0040319F"/>
    <w:rsid w:val="004031C9"/>
    <w:rsid w:val="00403287"/>
    <w:rsid w:val="00403411"/>
    <w:rsid w:val="004035DB"/>
    <w:rsid w:val="0040377A"/>
    <w:rsid w:val="00403928"/>
    <w:rsid w:val="004039A3"/>
    <w:rsid w:val="004039C8"/>
    <w:rsid w:val="00403ACF"/>
    <w:rsid w:val="00403B10"/>
    <w:rsid w:val="00403BCE"/>
    <w:rsid w:val="00403C69"/>
    <w:rsid w:val="00403C82"/>
    <w:rsid w:val="00403D96"/>
    <w:rsid w:val="00403EC8"/>
    <w:rsid w:val="00403EE3"/>
    <w:rsid w:val="00403F97"/>
    <w:rsid w:val="0040401F"/>
    <w:rsid w:val="004041AF"/>
    <w:rsid w:val="004041F1"/>
    <w:rsid w:val="00404268"/>
    <w:rsid w:val="004042E6"/>
    <w:rsid w:val="004042F9"/>
    <w:rsid w:val="00404350"/>
    <w:rsid w:val="0040444B"/>
    <w:rsid w:val="00404596"/>
    <w:rsid w:val="00404735"/>
    <w:rsid w:val="00404853"/>
    <w:rsid w:val="00404861"/>
    <w:rsid w:val="004049B0"/>
    <w:rsid w:val="004049F3"/>
    <w:rsid w:val="00404A07"/>
    <w:rsid w:val="00404BF0"/>
    <w:rsid w:val="00404C63"/>
    <w:rsid w:val="00404D74"/>
    <w:rsid w:val="00404DF0"/>
    <w:rsid w:val="00404E31"/>
    <w:rsid w:val="00404E81"/>
    <w:rsid w:val="00405032"/>
    <w:rsid w:val="00405087"/>
    <w:rsid w:val="004050CF"/>
    <w:rsid w:val="0040516B"/>
    <w:rsid w:val="00405349"/>
    <w:rsid w:val="00405489"/>
    <w:rsid w:val="004054D8"/>
    <w:rsid w:val="0040580D"/>
    <w:rsid w:val="0040583B"/>
    <w:rsid w:val="00405895"/>
    <w:rsid w:val="004059DA"/>
    <w:rsid w:val="00405ADA"/>
    <w:rsid w:val="00405C4B"/>
    <w:rsid w:val="00405C57"/>
    <w:rsid w:val="00405DDB"/>
    <w:rsid w:val="00405DFB"/>
    <w:rsid w:val="00405EE2"/>
    <w:rsid w:val="00406244"/>
    <w:rsid w:val="00406274"/>
    <w:rsid w:val="004062B7"/>
    <w:rsid w:val="004062C3"/>
    <w:rsid w:val="0040632E"/>
    <w:rsid w:val="00406592"/>
    <w:rsid w:val="00406612"/>
    <w:rsid w:val="004067D0"/>
    <w:rsid w:val="00406904"/>
    <w:rsid w:val="00406CDA"/>
    <w:rsid w:val="00406D5F"/>
    <w:rsid w:val="00406E20"/>
    <w:rsid w:val="00406EE1"/>
    <w:rsid w:val="00406F88"/>
    <w:rsid w:val="004070AF"/>
    <w:rsid w:val="0040715E"/>
    <w:rsid w:val="004073D4"/>
    <w:rsid w:val="004074A0"/>
    <w:rsid w:val="00407597"/>
    <w:rsid w:val="00407706"/>
    <w:rsid w:val="004078BE"/>
    <w:rsid w:val="00407965"/>
    <w:rsid w:val="00407994"/>
    <w:rsid w:val="0040799E"/>
    <w:rsid w:val="00407B33"/>
    <w:rsid w:val="00407BE6"/>
    <w:rsid w:val="00407DDB"/>
    <w:rsid w:val="00407E0D"/>
    <w:rsid w:val="00407EBB"/>
    <w:rsid w:val="00407F06"/>
    <w:rsid w:val="00410071"/>
    <w:rsid w:val="004100EC"/>
    <w:rsid w:val="0041015C"/>
    <w:rsid w:val="0041016F"/>
    <w:rsid w:val="004102A7"/>
    <w:rsid w:val="0041030A"/>
    <w:rsid w:val="0041040C"/>
    <w:rsid w:val="004104BF"/>
    <w:rsid w:val="0041066E"/>
    <w:rsid w:val="004107AB"/>
    <w:rsid w:val="00410868"/>
    <w:rsid w:val="00410891"/>
    <w:rsid w:val="00410946"/>
    <w:rsid w:val="004109F9"/>
    <w:rsid w:val="00410B25"/>
    <w:rsid w:val="00410BF1"/>
    <w:rsid w:val="00410D22"/>
    <w:rsid w:val="00410DAC"/>
    <w:rsid w:val="00410E39"/>
    <w:rsid w:val="00410E6F"/>
    <w:rsid w:val="00410F6F"/>
    <w:rsid w:val="00410F8D"/>
    <w:rsid w:val="00411199"/>
    <w:rsid w:val="0041131C"/>
    <w:rsid w:val="0041133E"/>
    <w:rsid w:val="004113DF"/>
    <w:rsid w:val="0041142B"/>
    <w:rsid w:val="00411483"/>
    <w:rsid w:val="004115CF"/>
    <w:rsid w:val="004118D4"/>
    <w:rsid w:val="004119A9"/>
    <w:rsid w:val="00411B04"/>
    <w:rsid w:val="00411C55"/>
    <w:rsid w:val="00411EBF"/>
    <w:rsid w:val="0041202E"/>
    <w:rsid w:val="004120CA"/>
    <w:rsid w:val="0041224D"/>
    <w:rsid w:val="004122DF"/>
    <w:rsid w:val="00412453"/>
    <w:rsid w:val="004124F0"/>
    <w:rsid w:val="00412562"/>
    <w:rsid w:val="00412567"/>
    <w:rsid w:val="0041273C"/>
    <w:rsid w:val="0041282B"/>
    <w:rsid w:val="00412845"/>
    <w:rsid w:val="0041285D"/>
    <w:rsid w:val="00412897"/>
    <w:rsid w:val="00412A3A"/>
    <w:rsid w:val="00412A73"/>
    <w:rsid w:val="00412AA2"/>
    <w:rsid w:val="00412AB9"/>
    <w:rsid w:val="00412ABF"/>
    <w:rsid w:val="00412CB7"/>
    <w:rsid w:val="00412EE7"/>
    <w:rsid w:val="00412FCF"/>
    <w:rsid w:val="00412FE7"/>
    <w:rsid w:val="00413223"/>
    <w:rsid w:val="004132A5"/>
    <w:rsid w:val="004133F9"/>
    <w:rsid w:val="00413432"/>
    <w:rsid w:val="0041350A"/>
    <w:rsid w:val="00413528"/>
    <w:rsid w:val="00413562"/>
    <w:rsid w:val="00413575"/>
    <w:rsid w:val="004135C1"/>
    <w:rsid w:val="0041364A"/>
    <w:rsid w:val="00413672"/>
    <w:rsid w:val="004137A1"/>
    <w:rsid w:val="004137B7"/>
    <w:rsid w:val="00413846"/>
    <w:rsid w:val="00413A80"/>
    <w:rsid w:val="00413AF6"/>
    <w:rsid w:val="00413C61"/>
    <w:rsid w:val="00413D17"/>
    <w:rsid w:val="00413D24"/>
    <w:rsid w:val="00413D57"/>
    <w:rsid w:val="00413D60"/>
    <w:rsid w:val="00413D83"/>
    <w:rsid w:val="0041403F"/>
    <w:rsid w:val="004141A1"/>
    <w:rsid w:val="00414266"/>
    <w:rsid w:val="0041431E"/>
    <w:rsid w:val="0041439E"/>
    <w:rsid w:val="004143B6"/>
    <w:rsid w:val="00414429"/>
    <w:rsid w:val="00414431"/>
    <w:rsid w:val="00414478"/>
    <w:rsid w:val="004144FD"/>
    <w:rsid w:val="00414978"/>
    <w:rsid w:val="004149D2"/>
    <w:rsid w:val="004149F8"/>
    <w:rsid w:val="00414A27"/>
    <w:rsid w:val="00414AD9"/>
    <w:rsid w:val="00414B28"/>
    <w:rsid w:val="00414BC3"/>
    <w:rsid w:val="00414C8E"/>
    <w:rsid w:val="00414F25"/>
    <w:rsid w:val="00414F2B"/>
    <w:rsid w:val="00414F70"/>
    <w:rsid w:val="00414FB2"/>
    <w:rsid w:val="00415083"/>
    <w:rsid w:val="00415196"/>
    <w:rsid w:val="00415239"/>
    <w:rsid w:val="004152F7"/>
    <w:rsid w:val="00415335"/>
    <w:rsid w:val="004154F6"/>
    <w:rsid w:val="004156C5"/>
    <w:rsid w:val="004156DF"/>
    <w:rsid w:val="004157E1"/>
    <w:rsid w:val="004158A2"/>
    <w:rsid w:val="004159C7"/>
    <w:rsid w:val="00415A57"/>
    <w:rsid w:val="00415C03"/>
    <w:rsid w:val="00415C76"/>
    <w:rsid w:val="00415CD6"/>
    <w:rsid w:val="00415D5B"/>
    <w:rsid w:val="00415DAA"/>
    <w:rsid w:val="00415EBA"/>
    <w:rsid w:val="00415F66"/>
    <w:rsid w:val="00415FE8"/>
    <w:rsid w:val="0041620E"/>
    <w:rsid w:val="0041625E"/>
    <w:rsid w:val="00416294"/>
    <w:rsid w:val="00416351"/>
    <w:rsid w:val="00416538"/>
    <w:rsid w:val="0041682B"/>
    <w:rsid w:val="00416898"/>
    <w:rsid w:val="004168A7"/>
    <w:rsid w:val="00416904"/>
    <w:rsid w:val="0041697E"/>
    <w:rsid w:val="00416A59"/>
    <w:rsid w:val="00416AF7"/>
    <w:rsid w:val="00416B70"/>
    <w:rsid w:val="00416CEB"/>
    <w:rsid w:val="00416E5E"/>
    <w:rsid w:val="00416E84"/>
    <w:rsid w:val="00416EC7"/>
    <w:rsid w:val="00416F6F"/>
    <w:rsid w:val="00417076"/>
    <w:rsid w:val="00417108"/>
    <w:rsid w:val="00417115"/>
    <w:rsid w:val="0041747B"/>
    <w:rsid w:val="0041750B"/>
    <w:rsid w:val="00417648"/>
    <w:rsid w:val="00417977"/>
    <w:rsid w:val="00417A21"/>
    <w:rsid w:val="00417A99"/>
    <w:rsid w:val="00417B65"/>
    <w:rsid w:val="00417B9D"/>
    <w:rsid w:val="00417D9E"/>
    <w:rsid w:val="00417E48"/>
    <w:rsid w:val="00417E5E"/>
    <w:rsid w:val="00417E6A"/>
    <w:rsid w:val="004201A6"/>
    <w:rsid w:val="00420545"/>
    <w:rsid w:val="004205AC"/>
    <w:rsid w:val="004206EC"/>
    <w:rsid w:val="00420793"/>
    <w:rsid w:val="0042080C"/>
    <w:rsid w:val="0042081F"/>
    <w:rsid w:val="00420869"/>
    <w:rsid w:val="004208C0"/>
    <w:rsid w:val="004208EB"/>
    <w:rsid w:val="00420A07"/>
    <w:rsid w:val="00420C11"/>
    <w:rsid w:val="00420D45"/>
    <w:rsid w:val="00420D50"/>
    <w:rsid w:val="00420DFE"/>
    <w:rsid w:val="00420F1F"/>
    <w:rsid w:val="0042131C"/>
    <w:rsid w:val="0042131D"/>
    <w:rsid w:val="0042146D"/>
    <w:rsid w:val="00421522"/>
    <w:rsid w:val="0042172C"/>
    <w:rsid w:val="004217A3"/>
    <w:rsid w:val="004217C3"/>
    <w:rsid w:val="0042181E"/>
    <w:rsid w:val="00421871"/>
    <w:rsid w:val="0042188C"/>
    <w:rsid w:val="00421A26"/>
    <w:rsid w:val="00421A68"/>
    <w:rsid w:val="00421C28"/>
    <w:rsid w:val="00421C55"/>
    <w:rsid w:val="00421C81"/>
    <w:rsid w:val="00421C98"/>
    <w:rsid w:val="00421E08"/>
    <w:rsid w:val="00421E0B"/>
    <w:rsid w:val="00421F44"/>
    <w:rsid w:val="004220E1"/>
    <w:rsid w:val="004221F0"/>
    <w:rsid w:val="004222A4"/>
    <w:rsid w:val="004224F6"/>
    <w:rsid w:val="00422549"/>
    <w:rsid w:val="00422818"/>
    <w:rsid w:val="004228EE"/>
    <w:rsid w:val="00422B44"/>
    <w:rsid w:val="00422B55"/>
    <w:rsid w:val="00422C2C"/>
    <w:rsid w:val="00422C93"/>
    <w:rsid w:val="00422D1D"/>
    <w:rsid w:val="00422D23"/>
    <w:rsid w:val="00422E59"/>
    <w:rsid w:val="00422F2B"/>
    <w:rsid w:val="00423047"/>
    <w:rsid w:val="0042305B"/>
    <w:rsid w:val="0042314F"/>
    <w:rsid w:val="00423182"/>
    <w:rsid w:val="00423346"/>
    <w:rsid w:val="00423409"/>
    <w:rsid w:val="00423610"/>
    <w:rsid w:val="0042361D"/>
    <w:rsid w:val="00423689"/>
    <w:rsid w:val="0042378D"/>
    <w:rsid w:val="00423895"/>
    <w:rsid w:val="00423916"/>
    <w:rsid w:val="004239CC"/>
    <w:rsid w:val="004239D8"/>
    <w:rsid w:val="00423ECD"/>
    <w:rsid w:val="0042411A"/>
    <w:rsid w:val="0042412D"/>
    <w:rsid w:val="004243E5"/>
    <w:rsid w:val="00424486"/>
    <w:rsid w:val="0042450A"/>
    <w:rsid w:val="004246E4"/>
    <w:rsid w:val="0042477F"/>
    <w:rsid w:val="00424902"/>
    <w:rsid w:val="00424933"/>
    <w:rsid w:val="00424A0D"/>
    <w:rsid w:val="00424A18"/>
    <w:rsid w:val="00424B2D"/>
    <w:rsid w:val="00424B38"/>
    <w:rsid w:val="00424B61"/>
    <w:rsid w:val="00424DA7"/>
    <w:rsid w:val="00424E38"/>
    <w:rsid w:val="00425130"/>
    <w:rsid w:val="004251D2"/>
    <w:rsid w:val="004252E6"/>
    <w:rsid w:val="00425691"/>
    <w:rsid w:val="004256CC"/>
    <w:rsid w:val="004257AB"/>
    <w:rsid w:val="00425B02"/>
    <w:rsid w:val="00425B16"/>
    <w:rsid w:val="00425EA1"/>
    <w:rsid w:val="00426116"/>
    <w:rsid w:val="0042615D"/>
    <w:rsid w:val="00426174"/>
    <w:rsid w:val="004261A9"/>
    <w:rsid w:val="004261F1"/>
    <w:rsid w:val="00426301"/>
    <w:rsid w:val="0042641D"/>
    <w:rsid w:val="00426569"/>
    <w:rsid w:val="004265A6"/>
    <w:rsid w:val="0042660E"/>
    <w:rsid w:val="0042664F"/>
    <w:rsid w:val="00426653"/>
    <w:rsid w:val="00426738"/>
    <w:rsid w:val="00426755"/>
    <w:rsid w:val="004268DC"/>
    <w:rsid w:val="00426ACB"/>
    <w:rsid w:val="00426D0D"/>
    <w:rsid w:val="00426D13"/>
    <w:rsid w:val="00426D71"/>
    <w:rsid w:val="00426E50"/>
    <w:rsid w:val="00426FC8"/>
    <w:rsid w:val="0042705F"/>
    <w:rsid w:val="004270C0"/>
    <w:rsid w:val="00427104"/>
    <w:rsid w:val="00427105"/>
    <w:rsid w:val="0042715C"/>
    <w:rsid w:val="0042718A"/>
    <w:rsid w:val="004271B8"/>
    <w:rsid w:val="00427304"/>
    <w:rsid w:val="0042755A"/>
    <w:rsid w:val="004277BA"/>
    <w:rsid w:val="0042788A"/>
    <w:rsid w:val="004278E1"/>
    <w:rsid w:val="00427978"/>
    <w:rsid w:val="00427A11"/>
    <w:rsid w:val="00427A19"/>
    <w:rsid w:val="00427BBA"/>
    <w:rsid w:val="00427C1E"/>
    <w:rsid w:val="00427C21"/>
    <w:rsid w:val="00427C87"/>
    <w:rsid w:val="00427FB5"/>
    <w:rsid w:val="0043009E"/>
    <w:rsid w:val="004301D2"/>
    <w:rsid w:val="0043026B"/>
    <w:rsid w:val="00430740"/>
    <w:rsid w:val="00430856"/>
    <w:rsid w:val="0043091E"/>
    <w:rsid w:val="00430A7A"/>
    <w:rsid w:val="00430B93"/>
    <w:rsid w:val="00430D44"/>
    <w:rsid w:val="00430D72"/>
    <w:rsid w:val="00430DDB"/>
    <w:rsid w:val="00430EAC"/>
    <w:rsid w:val="00430F93"/>
    <w:rsid w:val="004310C4"/>
    <w:rsid w:val="0043129F"/>
    <w:rsid w:val="0043140C"/>
    <w:rsid w:val="0043143B"/>
    <w:rsid w:val="00431503"/>
    <w:rsid w:val="00431633"/>
    <w:rsid w:val="004317C2"/>
    <w:rsid w:val="004317CD"/>
    <w:rsid w:val="0043185C"/>
    <w:rsid w:val="00431913"/>
    <w:rsid w:val="0043198E"/>
    <w:rsid w:val="00431AC1"/>
    <w:rsid w:val="00431B0E"/>
    <w:rsid w:val="00431DDA"/>
    <w:rsid w:val="00431F3A"/>
    <w:rsid w:val="004321D4"/>
    <w:rsid w:val="0043223F"/>
    <w:rsid w:val="0043232C"/>
    <w:rsid w:val="004323AD"/>
    <w:rsid w:val="004323FE"/>
    <w:rsid w:val="004324BC"/>
    <w:rsid w:val="0043253F"/>
    <w:rsid w:val="004326F7"/>
    <w:rsid w:val="00432707"/>
    <w:rsid w:val="0043271C"/>
    <w:rsid w:val="00432774"/>
    <w:rsid w:val="004327D9"/>
    <w:rsid w:val="0043284D"/>
    <w:rsid w:val="004328F8"/>
    <w:rsid w:val="004329BF"/>
    <w:rsid w:val="00432AB1"/>
    <w:rsid w:val="00432C2E"/>
    <w:rsid w:val="00432C84"/>
    <w:rsid w:val="00432D8B"/>
    <w:rsid w:val="00432F36"/>
    <w:rsid w:val="00432F52"/>
    <w:rsid w:val="00433028"/>
    <w:rsid w:val="00433042"/>
    <w:rsid w:val="00433171"/>
    <w:rsid w:val="00433231"/>
    <w:rsid w:val="004333B7"/>
    <w:rsid w:val="004333C1"/>
    <w:rsid w:val="00433466"/>
    <w:rsid w:val="0043349E"/>
    <w:rsid w:val="00433560"/>
    <w:rsid w:val="004336D6"/>
    <w:rsid w:val="0043378F"/>
    <w:rsid w:val="004337AE"/>
    <w:rsid w:val="00433A33"/>
    <w:rsid w:val="00433AEB"/>
    <w:rsid w:val="00433B4E"/>
    <w:rsid w:val="00433BD3"/>
    <w:rsid w:val="00433C13"/>
    <w:rsid w:val="00433C82"/>
    <w:rsid w:val="00433D23"/>
    <w:rsid w:val="00433D85"/>
    <w:rsid w:val="00433DC1"/>
    <w:rsid w:val="00433EA8"/>
    <w:rsid w:val="00434126"/>
    <w:rsid w:val="00434252"/>
    <w:rsid w:val="00434266"/>
    <w:rsid w:val="00434463"/>
    <w:rsid w:val="00434504"/>
    <w:rsid w:val="00434583"/>
    <w:rsid w:val="004346A6"/>
    <w:rsid w:val="004346DF"/>
    <w:rsid w:val="00434755"/>
    <w:rsid w:val="004348CC"/>
    <w:rsid w:val="004348E4"/>
    <w:rsid w:val="0043490A"/>
    <w:rsid w:val="00434928"/>
    <w:rsid w:val="00434A85"/>
    <w:rsid w:val="00434C44"/>
    <w:rsid w:val="00434CC6"/>
    <w:rsid w:val="00434EC7"/>
    <w:rsid w:val="00434F22"/>
    <w:rsid w:val="00434FD0"/>
    <w:rsid w:val="00435567"/>
    <w:rsid w:val="004355FF"/>
    <w:rsid w:val="00435717"/>
    <w:rsid w:val="00435792"/>
    <w:rsid w:val="004358B3"/>
    <w:rsid w:val="004359C8"/>
    <w:rsid w:val="00435A3B"/>
    <w:rsid w:val="00435BBC"/>
    <w:rsid w:val="00435D5B"/>
    <w:rsid w:val="00435DEF"/>
    <w:rsid w:val="004360AA"/>
    <w:rsid w:val="004362D7"/>
    <w:rsid w:val="004363E1"/>
    <w:rsid w:val="004364C2"/>
    <w:rsid w:val="0043657E"/>
    <w:rsid w:val="0043669F"/>
    <w:rsid w:val="004366B0"/>
    <w:rsid w:val="004366BE"/>
    <w:rsid w:val="004367A3"/>
    <w:rsid w:val="0043681F"/>
    <w:rsid w:val="00436A53"/>
    <w:rsid w:val="00436A5D"/>
    <w:rsid w:val="00436C19"/>
    <w:rsid w:val="00436D88"/>
    <w:rsid w:val="00436E03"/>
    <w:rsid w:val="004371B9"/>
    <w:rsid w:val="0043737A"/>
    <w:rsid w:val="0043740F"/>
    <w:rsid w:val="0043752B"/>
    <w:rsid w:val="0043753C"/>
    <w:rsid w:val="00437691"/>
    <w:rsid w:val="0043772A"/>
    <w:rsid w:val="004377CC"/>
    <w:rsid w:val="00437863"/>
    <w:rsid w:val="004378CE"/>
    <w:rsid w:val="00437A55"/>
    <w:rsid w:val="00437AC4"/>
    <w:rsid w:val="00437AEF"/>
    <w:rsid w:val="00437B42"/>
    <w:rsid w:val="00437E09"/>
    <w:rsid w:val="00437E30"/>
    <w:rsid w:val="00437E52"/>
    <w:rsid w:val="00437FCE"/>
    <w:rsid w:val="00440074"/>
    <w:rsid w:val="00440090"/>
    <w:rsid w:val="004401CC"/>
    <w:rsid w:val="00440439"/>
    <w:rsid w:val="0044052B"/>
    <w:rsid w:val="00440622"/>
    <w:rsid w:val="00440915"/>
    <w:rsid w:val="00440941"/>
    <w:rsid w:val="004409F7"/>
    <w:rsid w:val="00440A1B"/>
    <w:rsid w:val="00440E9B"/>
    <w:rsid w:val="00440F33"/>
    <w:rsid w:val="00441163"/>
    <w:rsid w:val="004411CF"/>
    <w:rsid w:val="0044131C"/>
    <w:rsid w:val="00441379"/>
    <w:rsid w:val="004413D2"/>
    <w:rsid w:val="004414E8"/>
    <w:rsid w:val="0044165B"/>
    <w:rsid w:val="0044167F"/>
    <w:rsid w:val="00441745"/>
    <w:rsid w:val="00441820"/>
    <w:rsid w:val="00441866"/>
    <w:rsid w:val="004418D3"/>
    <w:rsid w:val="00441BCE"/>
    <w:rsid w:val="00441C37"/>
    <w:rsid w:val="00441CDE"/>
    <w:rsid w:val="004420B5"/>
    <w:rsid w:val="004421E1"/>
    <w:rsid w:val="0044228E"/>
    <w:rsid w:val="0044238F"/>
    <w:rsid w:val="004423EC"/>
    <w:rsid w:val="0044242E"/>
    <w:rsid w:val="004424FC"/>
    <w:rsid w:val="0044256B"/>
    <w:rsid w:val="004425EE"/>
    <w:rsid w:val="004426CE"/>
    <w:rsid w:val="00442714"/>
    <w:rsid w:val="004427F1"/>
    <w:rsid w:val="00442ADD"/>
    <w:rsid w:val="00442B22"/>
    <w:rsid w:val="00442BFD"/>
    <w:rsid w:val="00442C3B"/>
    <w:rsid w:val="00442E4D"/>
    <w:rsid w:val="00443030"/>
    <w:rsid w:val="00443174"/>
    <w:rsid w:val="00443228"/>
    <w:rsid w:val="00443657"/>
    <w:rsid w:val="0044366B"/>
    <w:rsid w:val="0044369D"/>
    <w:rsid w:val="00443745"/>
    <w:rsid w:val="00443816"/>
    <w:rsid w:val="00443840"/>
    <w:rsid w:val="00443862"/>
    <w:rsid w:val="0044389D"/>
    <w:rsid w:val="00443C01"/>
    <w:rsid w:val="00443CBB"/>
    <w:rsid w:val="00443D4B"/>
    <w:rsid w:val="00443EBD"/>
    <w:rsid w:val="00443FA4"/>
    <w:rsid w:val="00443FC8"/>
    <w:rsid w:val="00444392"/>
    <w:rsid w:val="004443CB"/>
    <w:rsid w:val="0044478E"/>
    <w:rsid w:val="0044481A"/>
    <w:rsid w:val="0044483F"/>
    <w:rsid w:val="00444942"/>
    <w:rsid w:val="00444A4F"/>
    <w:rsid w:val="00444A6F"/>
    <w:rsid w:val="00444AB6"/>
    <w:rsid w:val="00444B37"/>
    <w:rsid w:val="00444C20"/>
    <w:rsid w:val="00444CC0"/>
    <w:rsid w:val="00444CDB"/>
    <w:rsid w:val="00444D05"/>
    <w:rsid w:val="00444D68"/>
    <w:rsid w:val="00444DF0"/>
    <w:rsid w:val="00444E9D"/>
    <w:rsid w:val="00444F27"/>
    <w:rsid w:val="00444F2B"/>
    <w:rsid w:val="00444FC1"/>
    <w:rsid w:val="00445010"/>
    <w:rsid w:val="00445163"/>
    <w:rsid w:val="00445187"/>
    <w:rsid w:val="004451CF"/>
    <w:rsid w:val="00445257"/>
    <w:rsid w:val="0044541B"/>
    <w:rsid w:val="0044542C"/>
    <w:rsid w:val="004454DC"/>
    <w:rsid w:val="00445730"/>
    <w:rsid w:val="00445945"/>
    <w:rsid w:val="00445AB6"/>
    <w:rsid w:val="00445B32"/>
    <w:rsid w:val="00445BEF"/>
    <w:rsid w:val="00445DE9"/>
    <w:rsid w:val="00445ED3"/>
    <w:rsid w:val="00446070"/>
    <w:rsid w:val="00446079"/>
    <w:rsid w:val="0044618C"/>
    <w:rsid w:val="0044626B"/>
    <w:rsid w:val="004462D5"/>
    <w:rsid w:val="00446329"/>
    <w:rsid w:val="004463DC"/>
    <w:rsid w:val="00446510"/>
    <w:rsid w:val="0044655B"/>
    <w:rsid w:val="004465B6"/>
    <w:rsid w:val="004467AE"/>
    <w:rsid w:val="004469D6"/>
    <w:rsid w:val="00446F46"/>
    <w:rsid w:val="004470F8"/>
    <w:rsid w:val="0044719B"/>
    <w:rsid w:val="0044719D"/>
    <w:rsid w:val="004471C8"/>
    <w:rsid w:val="004472F0"/>
    <w:rsid w:val="004474A9"/>
    <w:rsid w:val="0044784A"/>
    <w:rsid w:val="004478C7"/>
    <w:rsid w:val="0044796D"/>
    <w:rsid w:val="00447A82"/>
    <w:rsid w:val="00447B93"/>
    <w:rsid w:val="00447CD3"/>
    <w:rsid w:val="00447D66"/>
    <w:rsid w:val="00447F4D"/>
    <w:rsid w:val="00447FE5"/>
    <w:rsid w:val="004500D3"/>
    <w:rsid w:val="0045013D"/>
    <w:rsid w:val="00450185"/>
    <w:rsid w:val="0045025B"/>
    <w:rsid w:val="004503E9"/>
    <w:rsid w:val="0045042B"/>
    <w:rsid w:val="00450503"/>
    <w:rsid w:val="0045067D"/>
    <w:rsid w:val="0045069E"/>
    <w:rsid w:val="004506D7"/>
    <w:rsid w:val="00450793"/>
    <w:rsid w:val="0045096E"/>
    <w:rsid w:val="00450A1C"/>
    <w:rsid w:val="00450AD0"/>
    <w:rsid w:val="00450B4A"/>
    <w:rsid w:val="00450B94"/>
    <w:rsid w:val="00450B9C"/>
    <w:rsid w:val="00450C21"/>
    <w:rsid w:val="00450C7C"/>
    <w:rsid w:val="00450D94"/>
    <w:rsid w:val="00450FAE"/>
    <w:rsid w:val="00451020"/>
    <w:rsid w:val="004510B1"/>
    <w:rsid w:val="004510EA"/>
    <w:rsid w:val="00451214"/>
    <w:rsid w:val="004513C0"/>
    <w:rsid w:val="0045140E"/>
    <w:rsid w:val="004516E0"/>
    <w:rsid w:val="00451949"/>
    <w:rsid w:val="00451A28"/>
    <w:rsid w:val="00451B29"/>
    <w:rsid w:val="00451B8B"/>
    <w:rsid w:val="00451BFF"/>
    <w:rsid w:val="00451D44"/>
    <w:rsid w:val="00451F74"/>
    <w:rsid w:val="00451F86"/>
    <w:rsid w:val="00451FC1"/>
    <w:rsid w:val="0045208C"/>
    <w:rsid w:val="00452110"/>
    <w:rsid w:val="00452271"/>
    <w:rsid w:val="00452280"/>
    <w:rsid w:val="00452560"/>
    <w:rsid w:val="004525B5"/>
    <w:rsid w:val="004525C0"/>
    <w:rsid w:val="004529E5"/>
    <w:rsid w:val="00452A54"/>
    <w:rsid w:val="00452D07"/>
    <w:rsid w:val="00452DF0"/>
    <w:rsid w:val="0045307D"/>
    <w:rsid w:val="0045342A"/>
    <w:rsid w:val="004535CE"/>
    <w:rsid w:val="0045366A"/>
    <w:rsid w:val="00453897"/>
    <w:rsid w:val="00453941"/>
    <w:rsid w:val="00453AB4"/>
    <w:rsid w:val="00453ABC"/>
    <w:rsid w:val="00453B78"/>
    <w:rsid w:val="00453C68"/>
    <w:rsid w:val="00453D2D"/>
    <w:rsid w:val="00453E7B"/>
    <w:rsid w:val="00454361"/>
    <w:rsid w:val="0045436C"/>
    <w:rsid w:val="00454391"/>
    <w:rsid w:val="004543FA"/>
    <w:rsid w:val="00454436"/>
    <w:rsid w:val="004544AC"/>
    <w:rsid w:val="0045453A"/>
    <w:rsid w:val="004546F7"/>
    <w:rsid w:val="00454915"/>
    <w:rsid w:val="004549C7"/>
    <w:rsid w:val="00454AD5"/>
    <w:rsid w:val="00454B7A"/>
    <w:rsid w:val="00454CD0"/>
    <w:rsid w:val="00454CE4"/>
    <w:rsid w:val="00454F20"/>
    <w:rsid w:val="00454F3F"/>
    <w:rsid w:val="00454F4D"/>
    <w:rsid w:val="0045505D"/>
    <w:rsid w:val="004553F3"/>
    <w:rsid w:val="00455405"/>
    <w:rsid w:val="00455445"/>
    <w:rsid w:val="00455464"/>
    <w:rsid w:val="00455572"/>
    <w:rsid w:val="0045564E"/>
    <w:rsid w:val="004556C2"/>
    <w:rsid w:val="0045574D"/>
    <w:rsid w:val="00455796"/>
    <w:rsid w:val="00455878"/>
    <w:rsid w:val="00455883"/>
    <w:rsid w:val="00455A1C"/>
    <w:rsid w:val="00455A7E"/>
    <w:rsid w:val="00455AA3"/>
    <w:rsid w:val="00455AF3"/>
    <w:rsid w:val="00455BFC"/>
    <w:rsid w:val="00455D12"/>
    <w:rsid w:val="00455E21"/>
    <w:rsid w:val="00455F5E"/>
    <w:rsid w:val="00455FB9"/>
    <w:rsid w:val="00455FD8"/>
    <w:rsid w:val="004560BB"/>
    <w:rsid w:val="00456142"/>
    <w:rsid w:val="0045636B"/>
    <w:rsid w:val="0045642C"/>
    <w:rsid w:val="0045649C"/>
    <w:rsid w:val="0045677B"/>
    <w:rsid w:val="0045678E"/>
    <w:rsid w:val="004567E8"/>
    <w:rsid w:val="00456845"/>
    <w:rsid w:val="0045689B"/>
    <w:rsid w:val="00456981"/>
    <w:rsid w:val="00456A7E"/>
    <w:rsid w:val="00456DF3"/>
    <w:rsid w:val="00456E11"/>
    <w:rsid w:val="00456E30"/>
    <w:rsid w:val="00456EFC"/>
    <w:rsid w:val="00456FCE"/>
    <w:rsid w:val="004572A3"/>
    <w:rsid w:val="004572AB"/>
    <w:rsid w:val="004572B6"/>
    <w:rsid w:val="004572CC"/>
    <w:rsid w:val="00457400"/>
    <w:rsid w:val="00457498"/>
    <w:rsid w:val="004574CB"/>
    <w:rsid w:val="0045765D"/>
    <w:rsid w:val="004577E1"/>
    <w:rsid w:val="0045792F"/>
    <w:rsid w:val="00457948"/>
    <w:rsid w:val="00457AF4"/>
    <w:rsid w:val="00457B3B"/>
    <w:rsid w:val="00457C8D"/>
    <w:rsid w:val="00457E96"/>
    <w:rsid w:val="00457F57"/>
    <w:rsid w:val="00460025"/>
    <w:rsid w:val="00460096"/>
    <w:rsid w:val="004600E1"/>
    <w:rsid w:val="00460181"/>
    <w:rsid w:val="004601B5"/>
    <w:rsid w:val="004602B5"/>
    <w:rsid w:val="00460355"/>
    <w:rsid w:val="00460375"/>
    <w:rsid w:val="00460495"/>
    <w:rsid w:val="00460522"/>
    <w:rsid w:val="00460528"/>
    <w:rsid w:val="004605CF"/>
    <w:rsid w:val="00460821"/>
    <w:rsid w:val="004609A8"/>
    <w:rsid w:val="004609C2"/>
    <w:rsid w:val="00460A9D"/>
    <w:rsid w:val="00460AA4"/>
    <w:rsid w:val="00460AFD"/>
    <w:rsid w:val="00460C13"/>
    <w:rsid w:val="00460D8F"/>
    <w:rsid w:val="00460DD3"/>
    <w:rsid w:val="00460FED"/>
    <w:rsid w:val="0046103C"/>
    <w:rsid w:val="0046117C"/>
    <w:rsid w:val="004611A4"/>
    <w:rsid w:val="004612AC"/>
    <w:rsid w:val="00461474"/>
    <w:rsid w:val="004614D2"/>
    <w:rsid w:val="00461936"/>
    <w:rsid w:val="00461A6F"/>
    <w:rsid w:val="00461B7C"/>
    <w:rsid w:val="00461BAA"/>
    <w:rsid w:val="00461D3E"/>
    <w:rsid w:val="00461FEC"/>
    <w:rsid w:val="00462030"/>
    <w:rsid w:val="0046213E"/>
    <w:rsid w:val="004621A0"/>
    <w:rsid w:val="004622A1"/>
    <w:rsid w:val="004622C6"/>
    <w:rsid w:val="00462312"/>
    <w:rsid w:val="00462331"/>
    <w:rsid w:val="00462375"/>
    <w:rsid w:val="0046249E"/>
    <w:rsid w:val="004625EA"/>
    <w:rsid w:val="004625FE"/>
    <w:rsid w:val="0046263D"/>
    <w:rsid w:val="004627F8"/>
    <w:rsid w:val="0046282C"/>
    <w:rsid w:val="00462A49"/>
    <w:rsid w:val="00462A92"/>
    <w:rsid w:val="00462BBC"/>
    <w:rsid w:val="00462BD2"/>
    <w:rsid w:val="00462D0D"/>
    <w:rsid w:val="00462DA6"/>
    <w:rsid w:val="00462E33"/>
    <w:rsid w:val="00462F21"/>
    <w:rsid w:val="004631B0"/>
    <w:rsid w:val="004633E3"/>
    <w:rsid w:val="0046353A"/>
    <w:rsid w:val="00463593"/>
    <w:rsid w:val="0046362B"/>
    <w:rsid w:val="0046363B"/>
    <w:rsid w:val="00463824"/>
    <w:rsid w:val="0046389F"/>
    <w:rsid w:val="004638E4"/>
    <w:rsid w:val="0046396A"/>
    <w:rsid w:val="00463BA4"/>
    <w:rsid w:val="00463CE8"/>
    <w:rsid w:val="00463DD4"/>
    <w:rsid w:val="00463E54"/>
    <w:rsid w:val="00463EB0"/>
    <w:rsid w:val="00463EE4"/>
    <w:rsid w:val="00463FF0"/>
    <w:rsid w:val="004640EE"/>
    <w:rsid w:val="0046411D"/>
    <w:rsid w:val="00464134"/>
    <w:rsid w:val="0046415B"/>
    <w:rsid w:val="0046419C"/>
    <w:rsid w:val="0046424E"/>
    <w:rsid w:val="00464305"/>
    <w:rsid w:val="0046431F"/>
    <w:rsid w:val="00464376"/>
    <w:rsid w:val="00464625"/>
    <w:rsid w:val="0046462C"/>
    <w:rsid w:val="00464673"/>
    <w:rsid w:val="004649A3"/>
    <w:rsid w:val="00464A5A"/>
    <w:rsid w:val="00464AE4"/>
    <w:rsid w:val="00464B96"/>
    <w:rsid w:val="00464BDC"/>
    <w:rsid w:val="00464C8B"/>
    <w:rsid w:val="00464D3E"/>
    <w:rsid w:val="00464E99"/>
    <w:rsid w:val="00464EE7"/>
    <w:rsid w:val="00464F30"/>
    <w:rsid w:val="00464F61"/>
    <w:rsid w:val="004651EC"/>
    <w:rsid w:val="00465263"/>
    <w:rsid w:val="00465414"/>
    <w:rsid w:val="004654D1"/>
    <w:rsid w:val="00465571"/>
    <w:rsid w:val="0046560A"/>
    <w:rsid w:val="00465808"/>
    <w:rsid w:val="0046585D"/>
    <w:rsid w:val="004658A8"/>
    <w:rsid w:val="004658EE"/>
    <w:rsid w:val="00465D23"/>
    <w:rsid w:val="00465D31"/>
    <w:rsid w:val="00465E25"/>
    <w:rsid w:val="00465EB0"/>
    <w:rsid w:val="0046601A"/>
    <w:rsid w:val="004661F0"/>
    <w:rsid w:val="0046620F"/>
    <w:rsid w:val="0046628B"/>
    <w:rsid w:val="004663A6"/>
    <w:rsid w:val="0046641F"/>
    <w:rsid w:val="00466611"/>
    <w:rsid w:val="004666C2"/>
    <w:rsid w:val="004666ED"/>
    <w:rsid w:val="004667AD"/>
    <w:rsid w:val="004667EB"/>
    <w:rsid w:val="004668A6"/>
    <w:rsid w:val="00466A94"/>
    <w:rsid w:val="00466BBB"/>
    <w:rsid w:val="00466C84"/>
    <w:rsid w:val="004670C4"/>
    <w:rsid w:val="004672B8"/>
    <w:rsid w:val="004672FF"/>
    <w:rsid w:val="00467489"/>
    <w:rsid w:val="0046764C"/>
    <w:rsid w:val="004676D6"/>
    <w:rsid w:val="0046771A"/>
    <w:rsid w:val="00467772"/>
    <w:rsid w:val="004679E0"/>
    <w:rsid w:val="00467D6E"/>
    <w:rsid w:val="00467DBE"/>
    <w:rsid w:val="00467E75"/>
    <w:rsid w:val="004700AD"/>
    <w:rsid w:val="004700B1"/>
    <w:rsid w:val="004701A5"/>
    <w:rsid w:val="004701D7"/>
    <w:rsid w:val="004703F5"/>
    <w:rsid w:val="00470531"/>
    <w:rsid w:val="0047064E"/>
    <w:rsid w:val="00470659"/>
    <w:rsid w:val="004707EC"/>
    <w:rsid w:val="0047087A"/>
    <w:rsid w:val="004709D5"/>
    <w:rsid w:val="00470C30"/>
    <w:rsid w:val="00470D13"/>
    <w:rsid w:val="00470D59"/>
    <w:rsid w:val="00470DFC"/>
    <w:rsid w:val="00470F41"/>
    <w:rsid w:val="004710D2"/>
    <w:rsid w:val="004712D3"/>
    <w:rsid w:val="0047130B"/>
    <w:rsid w:val="004713D7"/>
    <w:rsid w:val="00471422"/>
    <w:rsid w:val="004714B4"/>
    <w:rsid w:val="00471584"/>
    <w:rsid w:val="004715A6"/>
    <w:rsid w:val="004715AD"/>
    <w:rsid w:val="004715AF"/>
    <w:rsid w:val="004715D8"/>
    <w:rsid w:val="00471641"/>
    <w:rsid w:val="004716AF"/>
    <w:rsid w:val="0047176D"/>
    <w:rsid w:val="00471841"/>
    <w:rsid w:val="00471870"/>
    <w:rsid w:val="0047188C"/>
    <w:rsid w:val="004719B6"/>
    <w:rsid w:val="00471A4B"/>
    <w:rsid w:val="00471B8B"/>
    <w:rsid w:val="00471C20"/>
    <w:rsid w:val="00471D38"/>
    <w:rsid w:val="00471DC0"/>
    <w:rsid w:val="00471E10"/>
    <w:rsid w:val="00471E31"/>
    <w:rsid w:val="00471E8B"/>
    <w:rsid w:val="00472050"/>
    <w:rsid w:val="004720B1"/>
    <w:rsid w:val="004720BB"/>
    <w:rsid w:val="00472122"/>
    <w:rsid w:val="00472139"/>
    <w:rsid w:val="0047213C"/>
    <w:rsid w:val="00472291"/>
    <w:rsid w:val="004722E8"/>
    <w:rsid w:val="004724CF"/>
    <w:rsid w:val="00472657"/>
    <w:rsid w:val="004727EB"/>
    <w:rsid w:val="004729CB"/>
    <w:rsid w:val="00472B22"/>
    <w:rsid w:val="00472B6C"/>
    <w:rsid w:val="00472C9F"/>
    <w:rsid w:val="00472D53"/>
    <w:rsid w:val="00472ED9"/>
    <w:rsid w:val="00472EF9"/>
    <w:rsid w:val="00472F0C"/>
    <w:rsid w:val="00472F91"/>
    <w:rsid w:val="00472F98"/>
    <w:rsid w:val="004731F6"/>
    <w:rsid w:val="00473333"/>
    <w:rsid w:val="00473361"/>
    <w:rsid w:val="0047342D"/>
    <w:rsid w:val="004735EB"/>
    <w:rsid w:val="00473682"/>
    <w:rsid w:val="0047368E"/>
    <w:rsid w:val="0047386C"/>
    <w:rsid w:val="0047399C"/>
    <w:rsid w:val="004739F7"/>
    <w:rsid w:val="00473AD4"/>
    <w:rsid w:val="00473C70"/>
    <w:rsid w:val="00473D6D"/>
    <w:rsid w:val="00473D92"/>
    <w:rsid w:val="00473DA8"/>
    <w:rsid w:val="00473DF2"/>
    <w:rsid w:val="00473F14"/>
    <w:rsid w:val="00473F4F"/>
    <w:rsid w:val="00473F93"/>
    <w:rsid w:val="00473FF3"/>
    <w:rsid w:val="0047403D"/>
    <w:rsid w:val="004740A5"/>
    <w:rsid w:val="0047425A"/>
    <w:rsid w:val="0047426C"/>
    <w:rsid w:val="0047457B"/>
    <w:rsid w:val="0047468A"/>
    <w:rsid w:val="00474705"/>
    <w:rsid w:val="00474814"/>
    <w:rsid w:val="004748CA"/>
    <w:rsid w:val="004748DD"/>
    <w:rsid w:val="00474BB1"/>
    <w:rsid w:val="00474BD4"/>
    <w:rsid w:val="00474C15"/>
    <w:rsid w:val="00474C24"/>
    <w:rsid w:val="00474C8D"/>
    <w:rsid w:val="00474DBB"/>
    <w:rsid w:val="00474E37"/>
    <w:rsid w:val="00474E3A"/>
    <w:rsid w:val="00474F3A"/>
    <w:rsid w:val="004751F8"/>
    <w:rsid w:val="00475245"/>
    <w:rsid w:val="004752B7"/>
    <w:rsid w:val="004753FE"/>
    <w:rsid w:val="00475408"/>
    <w:rsid w:val="004754DA"/>
    <w:rsid w:val="004757AB"/>
    <w:rsid w:val="00475947"/>
    <w:rsid w:val="00475A1D"/>
    <w:rsid w:val="00475A78"/>
    <w:rsid w:val="00475B7C"/>
    <w:rsid w:val="00475B90"/>
    <w:rsid w:val="00475BEE"/>
    <w:rsid w:val="00475C54"/>
    <w:rsid w:val="00475CDC"/>
    <w:rsid w:val="00475E6D"/>
    <w:rsid w:val="0047609D"/>
    <w:rsid w:val="004760A1"/>
    <w:rsid w:val="00476111"/>
    <w:rsid w:val="004761F6"/>
    <w:rsid w:val="0047626C"/>
    <w:rsid w:val="00476380"/>
    <w:rsid w:val="004765B7"/>
    <w:rsid w:val="0047662C"/>
    <w:rsid w:val="004767FF"/>
    <w:rsid w:val="00476814"/>
    <w:rsid w:val="00476815"/>
    <w:rsid w:val="00476904"/>
    <w:rsid w:val="004769E3"/>
    <w:rsid w:val="00476B84"/>
    <w:rsid w:val="00476CD3"/>
    <w:rsid w:val="00476DB7"/>
    <w:rsid w:val="00476DE8"/>
    <w:rsid w:val="0047701D"/>
    <w:rsid w:val="00477041"/>
    <w:rsid w:val="00477047"/>
    <w:rsid w:val="00477122"/>
    <w:rsid w:val="004771A8"/>
    <w:rsid w:val="004772F1"/>
    <w:rsid w:val="0047734D"/>
    <w:rsid w:val="004774F7"/>
    <w:rsid w:val="00477574"/>
    <w:rsid w:val="004775E3"/>
    <w:rsid w:val="00477BDF"/>
    <w:rsid w:val="00477C12"/>
    <w:rsid w:val="00477CE3"/>
    <w:rsid w:val="00477D74"/>
    <w:rsid w:val="00477E9D"/>
    <w:rsid w:val="00477F38"/>
    <w:rsid w:val="00477F4E"/>
    <w:rsid w:val="00477F92"/>
    <w:rsid w:val="00480014"/>
    <w:rsid w:val="00480066"/>
    <w:rsid w:val="00480067"/>
    <w:rsid w:val="004800B3"/>
    <w:rsid w:val="0048012A"/>
    <w:rsid w:val="00480133"/>
    <w:rsid w:val="00480151"/>
    <w:rsid w:val="00480166"/>
    <w:rsid w:val="00480198"/>
    <w:rsid w:val="004803EA"/>
    <w:rsid w:val="004804E2"/>
    <w:rsid w:val="004805C0"/>
    <w:rsid w:val="0048065E"/>
    <w:rsid w:val="004806C9"/>
    <w:rsid w:val="00480827"/>
    <w:rsid w:val="00480846"/>
    <w:rsid w:val="00480855"/>
    <w:rsid w:val="00480A63"/>
    <w:rsid w:val="00480B8F"/>
    <w:rsid w:val="00480BC5"/>
    <w:rsid w:val="00480C3B"/>
    <w:rsid w:val="00480EAE"/>
    <w:rsid w:val="00480F9A"/>
    <w:rsid w:val="00481089"/>
    <w:rsid w:val="0048132E"/>
    <w:rsid w:val="0048133B"/>
    <w:rsid w:val="0048145B"/>
    <w:rsid w:val="004815D3"/>
    <w:rsid w:val="004816FE"/>
    <w:rsid w:val="0048175F"/>
    <w:rsid w:val="004817C0"/>
    <w:rsid w:val="004817CF"/>
    <w:rsid w:val="0048197A"/>
    <w:rsid w:val="0048198B"/>
    <w:rsid w:val="00481A51"/>
    <w:rsid w:val="00481B99"/>
    <w:rsid w:val="00481C98"/>
    <w:rsid w:val="00481D5F"/>
    <w:rsid w:val="00481E62"/>
    <w:rsid w:val="00481F5A"/>
    <w:rsid w:val="00481F6A"/>
    <w:rsid w:val="00481FBB"/>
    <w:rsid w:val="004821BE"/>
    <w:rsid w:val="004822C3"/>
    <w:rsid w:val="00482302"/>
    <w:rsid w:val="00482342"/>
    <w:rsid w:val="00482360"/>
    <w:rsid w:val="00482548"/>
    <w:rsid w:val="0048265D"/>
    <w:rsid w:val="0048267A"/>
    <w:rsid w:val="004827DC"/>
    <w:rsid w:val="00482B85"/>
    <w:rsid w:val="00482C7C"/>
    <w:rsid w:val="00482D1A"/>
    <w:rsid w:val="00482D88"/>
    <w:rsid w:val="00482DF6"/>
    <w:rsid w:val="00483018"/>
    <w:rsid w:val="0048306C"/>
    <w:rsid w:val="00483153"/>
    <w:rsid w:val="00483180"/>
    <w:rsid w:val="00483298"/>
    <w:rsid w:val="004833B8"/>
    <w:rsid w:val="004833DF"/>
    <w:rsid w:val="00483401"/>
    <w:rsid w:val="004835AD"/>
    <w:rsid w:val="00483635"/>
    <w:rsid w:val="00483723"/>
    <w:rsid w:val="0048372A"/>
    <w:rsid w:val="00483738"/>
    <w:rsid w:val="004837D1"/>
    <w:rsid w:val="0048382E"/>
    <w:rsid w:val="0048385F"/>
    <w:rsid w:val="0048388D"/>
    <w:rsid w:val="00483C61"/>
    <w:rsid w:val="00483CC7"/>
    <w:rsid w:val="00483D0D"/>
    <w:rsid w:val="00483D9A"/>
    <w:rsid w:val="00483FB4"/>
    <w:rsid w:val="00484083"/>
    <w:rsid w:val="0048464C"/>
    <w:rsid w:val="004847C6"/>
    <w:rsid w:val="0048482C"/>
    <w:rsid w:val="004849D4"/>
    <w:rsid w:val="00484A4C"/>
    <w:rsid w:val="00484BE9"/>
    <w:rsid w:val="00484CF6"/>
    <w:rsid w:val="00484E41"/>
    <w:rsid w:val="00484E7A"/>
    <w:rsid w:val="004851B5"/>
    <w:rsid w:val="00485293"/>
    <w:rsid w:val="0048543C"/>
    <w:rsid w:val="00485596"/>
    <w:rsid w:val="00485786"/>
    <w:rsid w:val="00485799"/>
    <w:rsid w:val="004858A9"/>
    <w:rsid w:val="00485B6F"/>
    <w:rsid w:val="00485C43"/>
    <w:rsid w:val="00485C51"/>
    <w:rsid w:val="00485DAC"/>
    <w:rsid w:val="00485DF1"/>
    <w:rsid w:val="00486004"/>
    <w:rsid w:val="00486142"/>
    <w:rsid w:val="004861C6"/>
    <w:rsid w:val="0048627E"/>
    <w:rsid w:val="0048627F"/>
    <w:rsid w:val="004862BD"/>
    <w:rsid w:val="00486313"/>
    <w:rsid w:val="00486350"/>
    <w:rsid w:val="00486554"/>
    <w:rsid w:val="00486597"/>
    <w:rsid w:val="00486A82"/>
    <w:rsid w:val="00486B70"/>
    <w:rsid w:val="00486C26"/>
    <w:rsid w:val="00486C69"/>
    <w:rsid w:val="00486D9F"/>
    <w:rsid w:val="00486E44"/>
    <w:rsid w:val="00486F96"/>
    <w:rsid w:val="00486FBD"/>
    <w:rsid w:val="00486FDD"/>
    <w:rsid w:val="00487085"/>
    <w:rsid w:val="004870B0"/>
    <w:rsid w:val="004870F9"/>
    <w:rsid w:val="004871F0"/>
    <w:rsid w:val="00487209"/>
    <w:rsid w:val="0048720F"/>
    <w:rsid w:val="0048731A"/>
    <w:rsid w:val="00487335"/>
    <w:rsid w:val="00487384"/>
    <w:rsid w:val="00487466"/>
    <w:rsid w:val="00487486"/>
    <w:rsid w:val="00487636"/>
    <w:rsid w:val="004876DE"/>
    <w:rsid w:val="00487834"/>
    <w:rsid w:val="00487B51"/>
    <w:rsid w:val="00487C6C"/>
    <w:rsid w:val="00487DB0"/>
    <w:rsid w:val="00487E93"/>
    <w:rsid w:val="00487FAE"/>
    <w:rsid w:val="00490085"/>
    <w:rsid w:val="00490202"/>
    <w:rsid w:val="00490262"/>
    <w:rsid w:val="004905F4"/>
    <w:rsid w:val="0049060B"/>
    <w:rsid w:val="00490619"/>
    <w:rsid w:val="004906F5"/>
    <w:rsid w:val="0049074E"/>
    <w:rsid w:val="0049086E"/>
    <w:rsid w:val="004908B4"/>
    <w:rsid w:val="00490A21"/>
    <w:rsid w:val="00490BDD"/>
    <w:rsid w:val="00490E1C"/>
    <w:rsid w:val="00490FE5"/>
    <w:rsid w:val="004910CD"/>
    <w:rsid w:val="00491246"/>
    <w:rsid w:val="004912BE"/>
    <w:rsid w:val="00491366"/>
    <w:rsid w:val="004913E9"/>
    <w:rsid w:val="00491481"/>
    <w:rsid w:val="004915A5"/>
    <w:rsid w:val="0049175B"/>
    <w:rsid w:val="00491858"/>
    <w:rsid w:val="004918D2"/>
    <w:rsid w:val="0049196B"/>
    <w:rsid w:val="004919A4"/>
    <w:rsid w:val="004919F8"/>
    <w:rsid w:val="00491E38"/>
    <w:rsid w:val="00491E50"/>
    <w:rsid w:val="00491EBC"/>
    <w:rsid w:val="00491F86"/>
    <w:rsid w:val="0049230E"/>
    <w:rsid w:val="0049243E"/>
    <w:rsid w:val="004925C2"/>
    <w:rsid w:val="00492685"/>
    <w:rsid w:val="004926CE"/>
    <w:rsid w:val="004927A1"/>
    <w:rsid w:val="004927F7"/>
    <w:rsid w:val="004929E6"/>
    <w:rsid w:val="00492A29"/>
    <w:rsid w:val="00492D2A"/>
    <w:rsid w:val="00492EAE"/>
    <w:rsid w:val="00492F3D"/>
    <w:rsid w:val="00492F4D"/>
    <w:rsid w:val="00493006"/>
    <w:rsid w:val="0049331D"/>
    <w:rsid w:val="004933BD"/>
    <w:rsid w:val="00493436"/>
    <w:rsid w:val="004934A8"/>
    <w:rsid w:val="004935D9"/>
    <w:rsid w:val="004935EC"/>
    <w:rsid w:val="004936CD"/>
    <w:rsid w:val="0049375D"/>
    <w:rsid w:val="00493764"/>
    <w:rsid w:val="00493817"/>
    <w:rsid w:val="00493867"/>
    <w:rsid w:val="004938EB"/>
    <w:rsid w:val="004939C6"/>
    <w:rsid w:val="004939EB"/>
    <w:rsid w:val="004939EE"/>
    <w:rsid w:val="00493B32"/>
    <w:rsid w:val="00493BC0"/>
    <w:rsid w:val="00493C99"/>
    <w:rsid w:val="00493D3D"/>
    <w:rsid w:val="00493E45"/>
    <w:rsid w:val="00493F0B"/>
    <w:rsid w:val="00494015"/>
    <w:rsid w:val="00494028"/>
    <w:rsid w:val="0049409B"/>
    <w:rsid w:val="00494340"/>
    <w:rsid w:val="004943F7"/>
    <w:rsid w:val="0049453C"/>
    <w:rsid w:val="00494549"/>
    <w:rsid w:val="00494623"/>
    <w:rsid w:val="00494689"/>
    <w:rsid w:val="004947C4"/>
    <w:rsid w:val="0049499C"/>
    <w:rsid w:val="00494B72"/>
    <w:rsid w:val="00494B7F"/>
    <w:rsid w:val="00494C5C"/>
    <w:rsid w:val="00494DF8"/>
    <w:rsid w:val="00494DF9"/>
    <w:rsid w:val="00494FD7"/>
    <w:rsid w:val="00495014"/>
    <w:rsid w:val="00495189"/>
    <w:rsid w:val="00495374"/>
    <w:rsid w:val="00495449"/>
    <w:rsid w:val="004954C7"/>
    <w:rsid w:val="0049564C"/>
    <w:rsid w:val="004956B6"/>
    <w:rsid w:val="004956DA"/>
    <w:rsid w:val="00495784"/>
    <w:rsid w:val="004959EF"/>
    <w:rsid w:val="00495A5F"/>
    <w:rsid w:val="00495AC3"/>
    <w:rsid w:val="00495ADD"/>
    <w:rsid w:val="00495BC2"/>
    <w:rsid w:val="00495D36"/>
    <w:rsid w:val="00495D59"/>
    <w:rsid w:val="00495E86"/>
    <w:rsid w:val="00495FE2"/>
    <w:rsid w:val="004960AE"/>
    <w:rsid w:val="00496162"/>
    <w:rsid w:val="00496285"/>
    <w:rsid w:val="00496581"/>
    <w:rsid w:val="0049680F"/>
    <w:rsid w:val="0049684D"/>
    <w:rsid w:val="004969F2"/>
    <w:rsid w:val="00496BF9"/>
    <w:rsid w:val="00496C98"/>
    <w:rsid w:val="00496E7B"/>
    <w:rsid w:val="00496EE8"/>
    <w:rsid w:val="0049709A"/>
    <w:rsid w:val="004970B8"/>
    <w:rsid w:val="004970BC"/>
    <w:rsid w:val="004972BF"/>
    <w:rsid w:val="00497378"/>
    <w:rsid w:val="0049741B"/>
    <w:rsid w:val="0049742E"/>
    <w:rsid w:val="004974F7"/>
    <w:rsid w:val="00497537"/>
    <w:rsid w:val="00497590"/>
    <w:rsid w:val="004978C6"/>
    <w:rsid w:val="00497A27"/>
    <w:rsid w:val="00497C37"/>
    <w:rsid w:val="00497C4C"/>
    <w:rsid w:val="00497D92"/>
    <w:rsid w:val="00497E19"/>
    <w:rsid w:val="00497E79"/>
    <w:rsid w:val="00497F68"/>
    <w:rsid w:val="004A0182"/>
    <w:rsid w:val="004A02A2"/>
    <w:rsid w:val="004A0337"/>
    <w:rsid w:val="004A05BF"/>
    <w:rsid w:val="004A05F5"/>
    <w:rsid w:val="004A0621"/>
    <w:rsid w:val="004A06EA"/>
    <w:rsid w:val="004A0707"/>
    <w:rsid w:val="004A0790"/>
    <w:rsid w:val="004A08E2"/>
    <w:rsid w:val="004A08FF"/>
    <w:rsid w:val="004A0925"/>
    <w:rsid w:val="004A0BD0"/>
    <w:rsid w:val="004A0C9B"/>
    <w:rsid w:val="004A0DAB"/>
    <w:rsid w:val="004A0E94"/>
    <w:rsid w:val="004A0F4D"/>
    <w:rsid w:val="004A10C5"/>
    <w:rsid w:val="004A1271"/>
    <w:rsid w:val="004A1433"/>
    <w:rsid w:val="004A1717"/>
    <w:rsid w:val="004A1768"/>
    <w:rsid w:val="004A177B"/>
    <w:rsid w:val="004A1A47"/>
    <w:rsid w:val="004A1A83"/>
    <w:rsid w:val="004A1B12"/>
    <w:rsid w:val="004A1B4C"/>
    <w:rsid w:val="004A1B84"/>
    <w:rsid w:val="004A1B9D"/>
    <w:rsid w:val="004A1F4A"/>
    <w:rsid w:val="004A214A"/>
    <w:rsid w:val="004A2230"/>
    <w:rsid w:val="004A22ED"/>
    <w:rsid w:val="004A23D8"/>
    <w:rsid w:val="004A252C"/>
    <w:rsid w:val="004A28FA"/>
    <w:rsid w:val="004A29E8"/>
    <w:rsid w:val="004A2A84"/>
    <w:rsid w:val="004A2A8D"/>
    <w:rsid w:val="004A2ADB"/>
    <w:rsid w:val="004A2B2C"/>
    <w:rsid w:val="004A2C9A"/>
    <w:rsid w:val="004A2CA5"/>
    <w:rsid w:val="004A2CD7"/>
    <w:rsid w:val="004A2CDC"/>
    <w:rsid w:val="004A2D74"/>
    <w:rsid w:val="004A2E32"/>
    <w:rsid w:val="004A311E"/>
    <w:rsid w:val="004A3166"/>
    <w:rsid w:val="004A319A"/>
    <w:rsid w:val="004A3318"/>
    <w:rsid w:val="004A3439"/>
    <w:rsid w:val="004A3487"/>
    <w:rsid w:val="004A34F1"/>
    <w:rsid w:val="004A3639"/>
    <w:rsid w:val="004A378E"/>
    <w:rsid w:val="004A38F3"/>
    <w:rsid w:val="004A3B4F"/>
    <w:rsid w:val="004A3C1D"/>
    <w:rsid w:val="004A3CB7"/>
    <w:rsid w:val="004A3D4F"/>
    <w:rsid w:val="004A3D61"/>
    <w:rsid w:val="004A3F48"/>
    <w:rsid w:val="004A41A2"/>
    <w:rsid w:val="004A4315"/>
    <w:rsid w:val="004A441B"/>
    <w:rsid w:val="004A443D"/>
    <w:rsid w:val="004A44D8"/>
    <w:rsid w:val="004A45B1"/>
    <w:rsid w:val="004A463A"/>
    <w:rsid w:val="004A4718"/>
    <w:rsid w:val="004A49C3"/>
    <w:rsid w:val="004A49CE"/>
    <w:rsid w:val="004A4A98"/>
    <w:rsid w:val="004A4B0A"/>
    <w:rsid w:val="004A4C13"/>
    <w:rsid w:val="004A4E04"/>
    <w:rsid w:val="004A4E3F"/>
    <w:rsid w:val="004A4F1D"/>
    <w:rsid w:val="004A5016"/>
    <w:rsid w:val="004A5084"/>
    <w:rsid w:val="004A50D7"/>
    <w:rsid w:val="004A5192"/>
    <w:rsid w:val="004A522A"/>
    <w:rsid w:val="004A5238"/>
    <w:rsid w:val="004A5307"/>
    <w:rsid w:val="004A539E"/>
    <w:rsid w:val="004A54B5"/>
    <w:rsid w:val="004A5748"/>
    <w:rsid w:val="004A574B"/>
    <w:rsid w:val="004A5756"/>
    <w:rsid w:val="004A5809"/>
    <w:rsid w:val="004A581F"/>
    <w:rsid w:val="004A5822"/>
    <w:rsid w:val="004A5908"/>
    <w:rsid w:val="004A5929"/>
    <w:rsid w:val="004A5A2D"/>
    <w:rsid w:val="004A5C06"/>
    <w:rsid w:val="004A5C37"/>
    <w:rsid w:val="004A5C52"/>
    <w:rsid w:val="004A5CF8"/>
    <w:rsid w:val="004A5EF4"/>
    <w:rsid w:val="004A6003"/>
    <w:rsid w:val="004A6045"/>
    <w:rsid w:val="004A607B"/>
    <w:rsid w:val="004A6247"/>
    <w:rsid w:val="004A6366"/>
    <w:rsid w:val="004A6538"/>
    <w:rsid w:val="004A65A8"/>
    <w:rsid w:val="004A668D"/>
    <w:rsid w:val="004A679A"/>
    <w:rsid w:val="004A68C6"/>
    <w:rsid w:val="004A68D6"/>
    <w:rsid w:val="004A6914"/>
    <w:rsid w:val="004A6C12"/>
    <w:rsid w:val="004A6D60"/>
    <w:rsid w:val="004A6DFF"/>
    <w:rsid w:val="004A6EA2"/>
    <w:rsid w:val="004A6EAE"/>
    <w:rsid w:val="004A7037"/>
    <w:rsid w:val="004A7073"/>
    <w:rsid w:val="004A70A6"/>
    <w:rsid w:val="004A7164"/>
    <w:rsid w:val="004A7373"/>
    <w:rsid w:val="004A7426"/>
    <w:rsid w:val="004A742D"/>
    <w:rsid w:val="004A744E"/>
    <w:rsid w:val="004A7450"/>
    <w:rsid w:val="004A75BF"/>
    <w:rsid w:val="004A7690"/>
    <w:rsid w:val="004A76B1"/>
    <w:rsid w:val="004A77CF"/>
    <w:rsid w:val="004A7861"/>
    <w:rsid w:val="004A78A2"/>
    <w:rsid w:val="004A7A4C"/>
    <w:rsid w:val="004A7A7D"/>
    <w:rsid w:val="004A7AE9"/>
    <w:rsid w:val="004A7B70"/>
    <w:rsid w:val="004A7CCB"/>
    <w:rsid w:val="004A7D3A"/>
    <w:rsid w:val="004A7DF4"/>
    <w:rsid w:val="004B0014"/>
    <w:rsid w:val="004B0189"/>
    <w:rsid w:val="004B0193"/>
    <w:rsid w:val="004B021C"/>
    <w:rsid w:val="004B037D"/>
    <w:rsid w:val="004B0382"/>
    <w:rsid w:val="004B03F6"/>
    <w:rsid w:val="004B044A"/>
    <w:rsid w:val="004B0800"/>
    <w:rsid w:val="004B0804"/>
    <w:rsid w:val="004B0825"/>
    <w:rsid w:val="004B0B54"/>
    <w:rsid w:val="004B0B73"/>
    <w:rsid w:val="004B0BC5"/>
    <w:rsid w:val="004B0CA6"/>
    <w:rsid w:val="004B0D9B"/>
    <w:rsid w:val="004B0DE7"/>
    <w:rsid w:val="004B0E3B"/>
    <w:rsid w:val="004B1172"/>
    <w:rsid w:val="004B11E8"/>
    <w:rsid w:val="004B1330"/>
    <w:rsid w:val="004B14C4"/>
    <w:rsid w:val="004B156B"/>
    <w:rsid w:val="004B15C7"/>
    <w:rsid w:val="004B1686"/>
    <w:rsid w:val="004B168E"/>
    <w:rsid w:val="004B196F"/>
    <w:rsid w:val="004B1B02"/>
    <w:rsid w:val="004B1CDD"/>
    <w:rsid w:val="004B1D36"/>
    <w:rsid w:val="004B1D7E"/>
    <w:rsid w:val="004B1FD9"/>
    <w:rsid w:val="004B2016"/>
    <w:rsid w:val="004B2264"/>
    <w:rsid w:val="004B2314"/>
    <w:rsid w:val="004B2624"/>
    <w:rsid w:val="004B26B1"/>
    <w:rsid w:val="004B271C"/>
    <w:rsid w:val="004B2756"/>
    <w:rsid w:val="004B27BC"/>
    <w:rsid w:val="004B2800"/>
    <w:rsid w:val="004B2A30"/>
    <w:rsid w:val="004B2A78"/>
    <w:rsid w:val="004B2B86"/>
    <w:rsid w:val="004B2BCF"/>
    <w:rsid w:val="004B2BEC"/>
    <w:rsid w:val="004B2DED"/>
    <w:rsid w:val="004B2F42"/>
    <w:rsid w:val="004B3033"/>
    <w:rsid w:val="004B312B"/>
    <w:rsid w:val="004B32C9"/>
    <w:rsid w:val="004B32D5"/>
    <w:rsid w:val="004B332F"/>
    <w:rsid w:val="004B33F8"/>
    <w:rsid w:val="004B3492"/>
    <w:rsid w:val="004B34F7"/>
    <w:rsid w:val="004B3567"/>
    <w:rsid w:val="004B35F3"/>
    <w:rsid w:val="004B363E"/>
    <w:rsid w:val="004B367C"/>
    <w:rsid w:val="004B3824"/>
    <w:rsid w:val="004B3B32"/>
    <w:rsid w:val="004B3B5E"/>
    <w:rsid w:val="004B3CA7"/>
    <w:rsid w:val="004B3CE8"/>
    <w:rsid w:val="004B3D12"/>
    <w:rsid w:val="004B3E38"/>
    <w:rsid w:val="004B3E8F"/>
    <w:rsid w:val="004B3F8B"/>
    <w:rsid w:val="004B3FD7"/>
    <w:rsid w:val="004B42B2"/>
    <w:rsid w:val="004B44AA"/>
    <w:rsid w:val="004B44FF"/>
    <w:rsid w:val="004B4566"/>
    <w:rsid w:val="004B45AC"/>
    <w:rsid w:val="004B45BE"/>
    <w:rsid w:val="004B4680"/>
    <w:rsid w:val="004B47A6"/>
    <w:rsid w:val="004B4953"/>
    <w:rsid w:val="004B495A"/>
    <w:rsid w:val="004B4972"/>
    <w:rsid w:val="004B4A12"/>
    <w:rsid w:val="004B4AF5"/>
    <w:rsid w:val="004B4C58"/>
    <w:rsid w:val="004B4C79"/>
    <w:rsid w:val="004B4DCF"/>
    <w:rsid w:val="004B5025"/>
    <w:rsid w:val="004B5064"/>
    <w:rsid w:val="004B506C"/>
    <w:rsid w:val="004B510E"/>
    <w:rsid w:val="004B51EA"/>
    <w:rsid w:val="004B5282"/>
    <w:rsid w:val="004B5370"/>
    <w:rsid w:val="004B558E"/>
    <w:rsid w:val="004B56B0"/>
    <w:rsid w:val="004B56D4"/>
    <w:rsid w:val="004B599F"/>
    <w:rsid w:val="004B5D4F"/>
    <w:rsid w:val="004B5D68"/>
    <w:rsid w:val="004B6022"/>
    <w:rsid w:val="004B607B"/>
    <w:rsid w:val="004B61D5"/>
    <w:rsid w:val="004B6249"/>
    <w:rsid w:val="004B62AD"/>
    <w:rsid w:val="004B62F5"/>
    <w:rsid w:val="004B641B"/>
    <w:rsid w:val="004B650A"/>
    <w:rsid w:val="004B656F"/>
    <w:rsid w:val="004B6708"/>
    <w:rsid w:val="004B685D"/>
    <w:rsid w:val="004B687A"/>
    <w:rsid w:val="004B6990"/>
    <w:rsid w:val="004B69A3"/>
    <w:rsid w:val="004B6A5B"/>
    <w:rsid w:val="004B6BC9"/>
    <w:rsid w:val="004B6C01"/>
    <w:rsid w:val="004B6D4B"/>
    <w:rsid w:val="004B6DC2"/>
    <w:rsid w:val="004B6DE3"/>
    <w:rsid w:val="004B6E96"/>
    <w:rsid w:val="004B6FE4"/>
    <w:rsid w:val="004B709E"/>
    <w:rsid w:val="004B722C"/>
    <w:rsid w:val="004B724E"/>
    <w:rsid w:val="004B72A0"/>
    <w:rsid w:val="004B750E"/>
    <w:rsid w:val="004B75B9"/>
    <w:rsid w:val="004B76B0"/>
    <w:rsid w:val="004B76E1"/>
    <w:rsid w:val="004B7820"/>
    <w:rsid w:val="004B784B"/>
    <w:rsid w:val="004B7947"/>
    <w:rsid w:val="004B7AA5"/>
    <w:rsid w:val="004B7B3D"/>
    <w:rsid w:val="004B7BF0"/>
    <w:rsid w:val="004B7E16"/>
    <w:rsid w:val="004B7FB1"/>
    <w:rsid w:val="004B7FE0"/>
    <w:rsid w:val="004C007E"/>
    <w:rsid w:val="004C01B8"/>
    <w:rsid w:val="004C01F9"/>
    <w:rsid w:val="004C024D"/>
    <w:rsid w:val="004C028A"/>
    <w:rsid w:val="004C02C9"/>
    <w:rsid w:val="004C0334"/>
    <w:rsid w:val="004C041F"/>
    <w:rsid w:val="004C0455"/>
    <w:rsid w:val="004C046C"/>
    <w:rsid w:val="004C05FB"/>
    <w:rsid w:val="004C0676"/>
    <w:rsid w:val="004C088C"/>
    <w:rsid w:val="004C0977"/>
    <w:rsid w:val="004C0A82"/>
    <w:rsid w:val="004C0DD3"/>
    <w:rsid w:val="004C0DEF"/>
    <w:rsid w:val="004C0EE6"/>
    <w:rsid w:val="004C0F64"/>
    <w:rsid w:val="004C0FE9"/>
    <w:rsid w:val="004C1010"/>
    <w:rsid w:val="004C112B"/>
    <w:rsid w:val="004C1234"/>
    <w:rsid w:val="004C1309"/>
    <w:rsid w:val="004C1321"/>
    <w:rsid w:val="004C132F"/>
    <w:rsid w:val="004C14FA"/>
    <w:rsid w:val="004C1543"/>
    <w:rsid w:val="004C1592"/>
    <w:rsid w:val="004C1599"/>
    <w:rsid w:val="004C159A"/>
    <w:rsid w:val="004C1650"/>
    <w:rsid w:val="004C1822"/>
    <w:rsid w:val="004C18B3"/>
    <w:rsid w:val="004C18DD"/>
    <w:rsid w:val="004C195C"/>
    <w:rsid w:val="004C19C2"/>
    <w:rsid w:val="004C1A3A"/>
    <w:rsid w:val="004C1BF3"/>
    <w:rsid w:val="004C1C4E"/>
    <w:rsid w:val="004C1CED"/>
    <w:rsid w:val="004C1D1D"/>
    <w:rsid w:val="004C1D50"/>
    <w:rsid w:val="004C1E70"/>
    <w:rsid w:val="004C1ED2"/>
    <w:rsid w:val="004C1F28"/>
    <w:rsid w:val="004C2046"/>
    <w:rsid w:val="004C2165"/>
    <w:rsid w:val="004C2207"/>
    <w:rsid w:val="004C22C9"/>
    <w:rsid w:val="004C24A5"/>
    <w:rsid w:val="004C24C0"/>
    <w:rsid w:val="004C24D4"/>
    <w:rsid w:val="004C250F"/>
    <w:rsid w:val="004C252E"/>
    <w:rsid w:val="004C25B1"/>
    <w:rsid w:val="004C25D4"/>
    <w:rsid w:val="004C26DF"/>
    <w:rsid w:val="004C2787"/>
    <w:rsid w:val="004C2808"/>
    <w:rsid w:val="004C2A53"/>
    <w:rsid w:val="004C2A56"/>
    <w:rsid w:val="004C2BAC"/>
    <w:rsid w:val="004C2C01"/>
    <w:rsid w:val="004C2CA1"/>
    <w:rsid w:val="004C2CA5"/>
    <w:rsid w:val="004C2DF7"/>
    <w:rsid w:val="004C2E33"/>
    <w:rsid w:val="004C3066"/>
    <w:rsid w:val="004C319E"/>
    <w:rsid w:val="004C31B3"/>
    <w:rsid w:val="004C3225"/>
    <w:rsid w:val="004C32B4"/>
    <w:rsid w:val="004C3348"/>
    <w:rsid w:val="004C334E"/>
    <w:rsid w:val="004C34F5"/>
    <w:rsid w:val="004C36B3"/>
    <w:rsid w:val="004C3A04"/>
    <w:rsid w:val="004C3A79"/>
    <w:rsid w:val="004C3B09"/>
    <w:rsid w:val="004C3B7E"/>
    <w:rsid w:val="004C3C50"/>
    <w:rsid w:val="004C3CEF"/>
    <w:rsid w:val="004C3D31"/>
    <w:rsid w:val="004C3ED3"/>
    <w:rsid w:val="004C3EE8"/>
    <w:rsid w:val="004C3F5B"/>
    <w:rsid w:val="004C4011"/>
    <w:rsid w:val="004C4107"/>
    <w:rsid w:val="004C41A7"/>
    <w:rsid w:val="004C41BA"/>
    <w:rsid w:val="004C478A"/>
    <w:rsid w:val="004C4792"/>
    <w:rsid w:val="004C48F4"/>
    <w:rsid w:val="004C4910"/>
    <w:rsid w:val="004C4A11"/>
    <w:rsid w:val="004C4A4F"/>
    <w:rsid w:val="004C4AE9"/>
    <w:rsid w:val="004C4AFE"/>
    <w:rsid w:val="004C4CEC"/>
    <w:rsid w:val="004C4D0E"/>
    <w:rsid w:val="004C4DC9"/>
    <w:rsid w:val="004C4E8D"/>
    <w:rsid w:val="004C4EDE"/>
    <w:rsid w:val="004C4EFA"/>
    <w:rsid w:val="004C4F5E"/>
    <w:rsid w:val="004C5030"/>
    <w:rsid w:val="004C50C6"/>
    <w:rsid w:val="004C50E9"/>
    <w:rsid w:val="004C5153"/>
    <w:rsid w:val="004C51C0"/>
    <w:rsid w:val="004C5344"/>
    <w:rsid w:val="004C53EE"/>
    <w:rsid w:val="004C5523"/>
    <w:rsid w:val="004C57AA"/>
    <w:rsid w:val="004C57DF"/>
    <w:rsid w:val="004C5B33"/>
    <w:rsid w:val="004C5B5D"/>
    <w:rsid w:val="004C5D83"/>
    <w:rsid w:val="004C5DE5"/>
    <w:rsid w:val="004C5E48"/>
    <w:rsid w:val="004C5F53"/>
    <w:rsid w:val="004C5F6B"/>
    <w:rsid w:val="004C600B"/>
    <w:rsid w:val="004C6188"/>
    <w:rsid w:val="004C61F5"/>
    <w:rsid w:val="004C6208"/>
    <w:rsid w:val="004C631B"/>
    <w:rsid w:val="004C6368"/>
    <w:rsid w:val="004C64BB"/>
    <w:rsid w:val="004C6550"/>
    <w:rsid w:val="004C6572"/>
    <w:rsid w:val="004C659B"/>
    <w:rsid w:val="004C6625"/>
    <w:rsid w:val="004C6635"/>
    <w:rsid w:val="004C6713"/>
    <w:rsid w:val="004C6964"/>
    <w:rsid w:val="004C69F5"/>
    <w:rsid w:val="004C6A35"/>
    <w:rsid w:val="004C6B4F"/>
    <w:rsid w:val="004C6B82"/>
    <w:rsid w:val="004C6B86"/>
    <w:rsid w:val="004C6C12"/>
    <w:rsid w:val="004C6D55"/>
    <w:rsid w:val="004C6D71"/>
    <w:rsid w:val="004C6D88"/>
    <w:rsid w:val="004C6F17"/>
    <w:rsid w:val="004C6FAA"/>
    <w:rsid w:val="004C707C"/>
    <w:rsid w:val="004C7099"/>
    <w:rsid w:val="004C70B8"/>
    <w:rsid w:val="004C70D1"/>
    <w:rsid w:val="004C70EC"/>
    <w:rsid w:val="004C7296"/>
    <w:rsid w:val="004C72F6"/>
    <w:rsid w:val="004C7427"/>
    <w:rsid w:val="004C7434"/>
    <w:rsid w:val="004C7523"/>
    <w:rsid w:val="004C75DB"/>
    <w:rsid w:val="004C7620"/>
    <w:rsid w:val="004C77CC"/>
    <w:rsid w:val="004C7875"/>
    <w:rsid w:val="004C7904"/>
    <w:rsid w:val="004C7A67"/>
    <w:rsid w:val="004C7BBA"/>
    <w:rsid w:val="004C7BEB"/>
    <w:rsid w:val="004C7CCF"/>
    <w:rsid w:val="004C7E81"/>
    <w:rsid w:val="004D00B9"/>
    <w:rsid w:val="004D00D3"/>
    <w:rsid w:val="004D042A"/>
    <w:rsid w:val="004D0576"/>
    <w:rsid w:val="004D0706"/>
    <w:rsid w:val="004D0B94"/>
    <w:rsid w:val="004D0BED"/>
    <w:rsid w:val="004D0C4E"/>
    <w:rsid w:val="004D0CFC"/>
    <w:rsid w:val="004D0DA1"/>
    <w:rsid w:val="004D0EC3"/>
    <w:rsid w:val="004D0F69"/>
    <w:rsid w:val="004D1009"/>
    <w:rsid w:val="004D1086"/>
    <w:rsid w:val="004D10B4"/>
    <w:rsid w:val="004D1167"/>
    <w:rsid w:val="004D119E"/>
    <w:rsid w:val="004D11BA"/>
    <w:rsid w:val="004D14BE"/>
    <w:rsid w:val="004D1666"/>
    <w:rsid w:val="004D16EF"/>
    <w:rsid w:val="004D1890"/>
    <w:rsid w:val="004D1966"/>
    <w:rsid w:val="004D1BC2"/>
    <w:rsid w:val="004D1D7C"/>
    <w:rsid w:val="004D2096"/>
    <w:rsid w:val="004D209C"/>
    <w:rsid w:val="004D20E5"/>
    <w:rsid w:val="004D20F0"/>
    <w:rsid w:val="004D274E"/>
    <w:rsid w:val="004D2798"/>
    <w:rsid w:val="004D28BE"/>
    <w:rsid w:val="004D2A6D"/>
    <w:rsid w:val="004D2AA9"/>
    <w:rsid w:val="004D2B61"/>
    <w:rsid w:val="004D2BC0"/>
    <w:rsid w:val="004D2F5D"/>
    <w:rsid w:val="004D2FFB"/>
    <w:rsid w:val="004D30D8"/>
    <w:rsid w:val="004D3136"/>
    <w:rsid w:val="004D3215"/>
    <w:rsid w:val="004D33B7"/>
    <w:rsid w:val="004D33C1"/>
    <w:rsid w:val="004D33EF"/>
    <w:rsid w:val="004D3582"/>
    <w:rsid w:val="004D3585"/>
    <w:rsid w:val="004D35BE"/>
    <w:rsid w:val="004D3638"/>
    <w:rsid w:val="004D3659"/>
    <w:rsid w:val="004D3662"/>
    <w:rsid w:val="004D3743"/>
    <w:rsid w:val="004D375B"/>
    <w:rsid w:val="004D3808"/>
    <w:rsid w:val="004D3835"/>
    <w:rsid w:val="004D385B"/>
    <w:rsid w:val="004D3891"/>
    <w:rsid w:val="004D3899"/>
    <w:rsid w:val="004D3980"/>
    <w:rsid w:val="004D3A8F"/>
    <w:rsid w:val="004D3ACA"/>
    <w:rsid w:val="004D3B2A"/>
    <w:rsid w:val="004D3B9A"/>
    <w:rsid w:val="004D3C39"/>
    <w:rsid w:val="004D3F57"/>
    <w:rsid w:val="004D3F91"/>
    <w:rsid w:val="004D40B4"/>
    <w:rsid w:val="004D412C"/>
    <w:rsid w:val="004D41A6"/>
    <w:rsid w:val="004D42A6"/>
    <w:rsid w:val="004D4378"/>
    <w:rsid w:val="004D4509"/>
    <w:rsid w:val="004D45CA"/>
    <w:rsid w:val="004D46AC"/>
    <w:rsid w:val="004D4733"/>
    <w:rsid w:val="004D482B"/>
    <w:rsid w:val="004D4966"/>
    <w:rsid w:val="004D49A7"/>
    <w:rsid w:val="004D4B43"/>
    <w:rsid w:val="004D4BD0"/>
    <w:rsid w:val="004D4CCB"/>
    <w:rsid w:val="004D4D3B"/>
    <w:rsid w:val="004D4F16"/>
    <w:rsid w:val="004D510B"/>
    <w:rsid w:val="004D520E"/>
    <w:rsid w:val="004D532E"/>
    <w:rsid w:val="004D537D"/>
    <w:rsid w:val="004D5535"/>
    <w:rsid w:val="004D5835"/>
    <w:rsid w:val="004D5840"/>
    <w:rsid w:val="004D58FD"/>
    <w:rsid w:val="004D5AA8"/>
    <w:rsid w:val="004D5AC0"/>
    <w:rsid w:val="004D5BB8"/>
    <w:rsid w:val="004D5C29"/>
    <w:rsid w:val="004D5E13"/>
    <w:rsid w:val="004D5E47"/>
    <w:rsid w:val="004D5E63"/>
    <w:rsid w:val="004D620B"/>
    <w:rsid w:val="004D63EE"/>
    <w:rsid w:val="004D63F3"/>
    <w:rsid w:val="004D6410"/>
    <w:rsid w:val="004D6640"/>
    <w:rsid w:val="004D66ED"/>
    <w:rsid w:val="004D67C4"/>
    <w:rsid w:val="004D6862"/>
    <w:rsid w:val="004D68C2"/>
    <w:rsid w:val="004D6931"/>
    <w:rsid w:val="004D6A76"/>
    <w:rsid w:val="004D6B7D"/>
    <w:rsid w:val="004D6C6E"/>
    <w:rsid w:val="004D6CF6"/>
    <w:rsid w:val="004D6E58"/>
    <w:rsid w:val="004D6E86"/>
    <w:rsid w:val="004D6EB7"/>
    <w:rsid w:val="004D6F6D"/>
    <w:rsid w:val="004D6FB5"/>
    <w:rsid w:val="004D70BB"/>
    <w:rsid w:val="004D70C6"/>
    <w:rsid w:val="004D71B0"/>
    <w:rsid w:val="004D71CD"/>
    <w:rsid w:val="004D7293"/>
    <w:rsid w:val="004D740D"/>
    <w:rsid w:val="004D74BC"/>
    <w:rsid w:val="004D751A"/>
    <w:rsid w:val="004D76E9"/>
    <w:rsid w:val="004D770D"/>
    <w:rsid w:val="004D7721"/>
    <w:rsid w:val="004D79A5"/>
    <w:rsid w:val="004D7AE3"/>
    <w:rsid w:val="004D7B2B"/>
    <w:rsid w:val="004D7BD6"/>
    <w:rsid w:val="004D7C75"/>
    <w:rsid w:val="004D7CEB"/>
    <w:rsid w:val="004D7D43"/>
    <w:rsid w:val="004D7EB0"/>
    <w:rsid w:val="004E022C"/>
    <w:rsid w:val="004E0457"/>
    <w:rsid w:val="004E05E5"/>
    <w:rsid w:val="004E06BE"/>
    <w:rsid w:val="004E06FD"/>
    <w:rsid w:val="004E0A71"/>
    <w:rsid w:val="004E0A9E"/>
    <w:rsid w:val="004E0CE5"/>
    <w:rsid w:val="004E0CEA"/>
    <w:rsid w:val="004E0E07"/>
    <w:rsid w:val="004E0EB3"/>
    <w:rsid w:val="004E0FE8"/>
    <w:rsid w:val="004E1362"/>
    <w:rsid w:val="004E1433"/>
    <w:rsid w:val="004E1494"/>
    <w:rsid w:val="004E15BB"/>
    <w:rsid w:val="004E15FD"/>
    <w:rsid w:val="004E16A9"/>
    <w:rsid w:val="004E172F"/>
    <w:rsid w:val="004E194E"/>
    <w:rsid w:val="004E19B2"/>
    <w:rsid w:val="004E1B8C"/>
    <w:rsid w:val="004E1BAF"/>
    <w:rsid w:val="004E1E7F"/>
    <w:rsid w:val="004E1ECF"/>
    <w:rsid w:val="004E1ED9"/>
    <w:rsid w:val="004E1F65"/>
    <w:rsid w:val="004E2274"/>
    <w:rsid w:val="004E2395"/>
    <w:rsid w:val="004E23E2"/>
    <w:rsid w:val="004E24DE"/>
    <w:rsid w:val="004E2684"/>
    <w:rsid w:val="004E275B"/>
    <w:rsid w:val="004E27C5"/>
    <w:rsid w:val="004E288E"/>
    <w:rsid w:val="004E2A10"/>
    <w:rsid w:val="004E2ABA"/>
    <w:rsid w:val="004E2BAE"/>
    <w:rsid w:val="004E2CB2"/>
    <w:rsid w:val="004E2D0C"/>
    <w:rsid w:val="004E2D91"/>
    <w:rsid w:val="004E2DF5"/>
    <w:rsid w:val="004E2ECA"/>
    <w:rsid w:val="004E2EE2"/>
    <w:rsid w:val="004E314F"/>
    <w:rsid w:val="004E3388"/>
    <w:rsid w:val="004E33E2"/>
    <w:rsid w:val="004E3460"/>
    <w:rsid w:val="004E353A"/>
    <w:rsid w:val="004E35A1"/>
    <w:rsid w:val="004E3601"/>
    <w:rsid w:val="004E3792"/>
    <w:rsid w:val="004E37A1"/>
    <w:rsid w:val="004E37BE"/>
    <w:rsid w:val="004E37D6"/>
    <w:rsid w:val="004E37F1"/>
    <w:rsid w:val="004E384A"/>
    <w:rsid w:val="004E385E"/>
    <w:rsid w:val="004E3862"/>
    <w:rsid w:val="004E3881"/>
    <w:rsid w:val="004E38F4"/>
    <w:rsid w:val="004E390F"/>
    <w:rsid w:val="004E3977"/>
    <w:rsid w:val="004E39CA"/>
    <w:rsid w:val="004E3AC9"/>
    <w:rsid w:val="004E3D60"/>
    <w:rsid w:val="004E4011"/>
    <w:rsid w:val="004E41A4"/>
    <w:rsid w:val="004E4255"/>
    <w:rsid w:val="004E4280"/>
    <w:rsid w:val="004E43AE"/>
    <w:rsid w:val="004E43E9"/>
    <w:rsid w:val="004E4471"/>
    <w:rsid w:val="004E4477"/>
    <w:rsid w:val="004E4771"/>
    <w:rsid w:val="004E47F4"/>
    <w:rsid w:val="004E497C"/>
    <w:rsid w:val="004E49FF"/>
    <w:rsid w:val="004E4C08"/>
    <w:rsid w:val="004E4C2C"/>
    <w:rsid w:val="004E4D76"/>
    <w:rsid w:val="004E4EB2"/>
    <w:rsid w:val="004E4F0F"/>
    <w:rsid w:val="004E50E9"/>
    <w:rsid w:val="004E51A1"/>
    <w:rsid w:val="004E54FD"/>
    <w:rsid w:val="004E5576"/>
    <w:rsid w:val="004E5609"/>
    <w:rsid w:val="004E57D3"/>
    <w:rsid w:val="004E5825"/>
    <w:rsid w:val="004E5C0F"/>
    <w:rsid w:val="004E5C7B"/>
    <w:rsid w:val="004E5D14"/>
    <w:rsid w:val="004E5D95"/>
    <w:rsid w:val="004E5E7C"/>
    <w:rsid w:val="004E6033"/>
    <w:rsid w:val="004E6124"/>
    <w:rsid w:val="004E63F5"/>
    <w:rsid w:val="004E646B"/>
    <w:rsid w:val="004E6641"/>
    <w:rsid w:val="004E66B4"/>
    <w:rsid w:val="004E67AA"/>
    <w:rsid w:val="004E695D"/>
    <w:rsid w:val="004E6C1E"/>
    <w:rsid w:val="004E6D38"/>
    <w:rsid w:val="004E6DC3"/>
    <w:rsid w:val="004E6EBB"/>
    <w:rsid w:val="004E71AF"/>
    <w:rsid w:val="004E72CD"/>
    <w:rsid w:val="004E7400"/>
    <w:rsid w:val="004E7485"/>
    <w:rsid w:val="004E74C1"/>
    <w:rsid w:val="004E7524"/>
    <w:rsid w:val="004E758C"/>
    <w:rsid w:val="004E761E"/>
    <w:rsid w:val="004E7634"/>
    <w:rsid w:val="004E76D4"/>
    <w:rsid w:val="004E777A"/>
    <w:rsid w:val="004E77FC"/>
    <w:rsid w:val="004E790D"/>
    <w:rsid w:val="004E7A49"/>
    <w:rsid w:val="004E7BE2"/>
    <w:rsid w:val="004E7C2A"/>
    <w:rsid w:val="004E7CCF"/>
    <w:rsid w:val="004E7D23"/>
    <w:rsid w:val="004E7E80"/>
    <w:rsid w:val="004E7F27"/>
    <w:rsid w:val="004F00B7"/>
    <w:rsid w:val="004F00E1"/>
    <w:rsid w:val="004F0207"/>
    <w:rsid w:val="004F021B"/>
    <w:rsid w:val="004F0234"/>
    <w:rsid w:val="004F0245"/>
    <w:rsid w:val="004F04C5"/>
    <w:rsid w:val="004F05D1"/>
    <w:rsid w:val="004F0871"/>
    <w:rsid w:val="004F0D17"/>
    <w:rsid w:val="004F0D4C"/>
    <w:rsid w:val="004F0E1C"/>
    <w:rsid w:val="004F0E96"/>
    <w:rsid w:val="004F0F4D"/>
    <w:rsid w:val="004F1089"/>
    <w:rsid w:val="004F10A4"/>
    <w:rsid w:val="004F10BC"/>
    <w:rsid w:val="004F1459"/>
    <w:rsid w:val="004F17E2"/>
    <w:rsid w:val="004F183C"/>
    <w:rsid w:val="004F1C7C"/>
    <w:rsid w:val="004F1C8F"/>
    <w:rsid w:val="004F1CAF"/>
    <w:rsid w:val="004F1D0C"/>
    <w:rsid w:val="004F1D66"/>
    <w:rsid w:val="004F1ED1"/>
    <w:rsid w:val="004F1F54"/>
    <w:rsid w:val="004F2048"/>
    <w:rsid w:val="004F2393"/>
    <w:rsid w:val="004F244A"/>
    <w:rsid w:val="004F246F"/>
    <w:rsid w:val="004F24AA"/>
    <w:rsid w:val="004F263F"/>
    <w:rsid w:val="004F2705"/>
    <w:rsid w:val="004F27FB"/>
    <w:rsid w:val="004F27FF"/>
    <w:rsid w:val="004F2800"/>
    <w:rsid w:val="004F290F"/>
    <w:rsid w:val="004F295E"/>
    <w:rsid w:val="004F29BF"/>
    <w:rsid w:val="004F2A41"/>
    <w:rsid w:val="004F2C56"/>
    <w:rsid w:val="004F2C77"/>
    <w:rsid w:val="004F2C95"/>
    <w:rsid w:val="004F2DA9"/>
    <w:rsid w:val="004F2E84"/>
    <w:rsid w:val="004F2F95"/>
    <w:rsid w:val="004F2FBE"/>
    <w:rsid w:val="004F303A"/>
    <w:rsid w:val="004F30BE"/>
    <w:rsid w:val="004F30E0"/>
    <w:rsid w:val="004F3163"/>
    <w:rsid w:val="004F3244"/>
    <w:rsid w:val="004F32A6"/>
    <w:rsid w:val="004F33A0"/>
    <w:rsid w:val="004F33DB"/>
    <w:rsid w:val="004F343D"/>
    <w:rsid w:val="004F35AC"/>
    <w:rsid w:val="004F3611"/>
    <w:rsid w:val="004F3697"/>
    <w:rsid w:val="004F3783"/>
    <w:rsid w:val="004F37C3"/>
    <w:rsid w:val="004F383B"/>
    <w:rsid w:val="004F3925"/>
    <w:rsid w:val="004F3A6B"/>
    <w:rsid w:val="004F3AA2"/>
    <w:rsid w:val="004F3B7C"/>
    <w:rsid w:val="004F3D7E"/>
    <w:rsid w:val="004F3EF1"/>
    <w:rsid w:val="004F409E"/>
    <w:rsid w:val="004F424E"/>
    <w:rsid w:val="004F427E"/>
    <w:rsid w:val="004F4448"/>
    <w:rsid w:val="004F453F"/>
    <w:rsid w:val="004F455B"/>
    <w:rsid w:val="004F4588"/>
    <w:rsid w:val="004F459E"/>
    <w:rsid w:val="004F461E"/>
    <w:rsid w:val="004F49D1"/>
    <w:rsid w:val="004F4A63"/>
    <w:rsid w:val="004F4AA3"/>
    <w:rsid w:val="004F4AB0"/>
    <w:rsid w:val="004F4BA8"/>
    <w:rsid w:val="004F4BCC"/>
    <w:rsid w:val="004F4D2B"/>
    <w:rsid w:val="004F4E5B"/>
    <w:rsid w:val="004F4F8E"/>
    <w:rsid w:val="004F5187"/>
    <w:rsid w:val="004F52BC"/>
    <w:rsid w:val="004F52FC"/>
    <w:rsid w:val="004F53A7"/>
    <w:rsid w:val="004F5403"/>
    <w:rsid w:val="004F54F5"/>
    <w:rsid w:val="004F5842"/>
    <w:rsid w:val="004F5869"/>
    <w:rsid w:val="004F595F"/>
    <w:rsid w:val="004F598B"/>
    <w:rsid w:val="004F5993"/>
    <w:rsid w:val="004F59B3"/>
    <w:rsid w:val="004F5A9B"/>
    <w:rsid w:val="004F5C1D"/>
    <w:rsid w:val="004F5C3E"/>
    <w:rsid w:val="004F5C8E"/>
    <w:rsid w:val="004F5CE0"/>
    <w:rsid w:val="004F5E4E"/>
    <w:rsid w:val="004F607A"/>
    <w:rsid w:val="004F611B"/>
    <w:rsid w:val="004F62FB"/>
    <w:rsid w:val="004F6427"/>
    <w:rsid w:val="004F653D"/>
    <w:rsid w:val="004F67ED"/>
    <w:rsid w:val="004F68AB"/>
    <w:rsid w:val="004F69E0"/>
    <w:rsid w:val="004F6ABA"/>
    <w:rsid w:val="004F6CBB"/>
    <w:rsid w:val="004F6D73"/>
    <w:rsid w:val="004F6D83"/>
    <w:rsid w:val="004F6D98"/>
    <w:rsid w:val="004F6DB7"/>
    <w:rsid w:val="004F6F1A"/>
    <w:rsid w:val="004F7020"/>
    <w:rsid w:val="004F70B1"/>
    <w:rsid w:val="004F711D"/>
    <w:rsid w:val="004F7145"/>
    <w:rsid w:val="004F73B2"/>
    <w:rsid w:val="004F7404"/>
    <w:rsid w:val="004F7474"/>
    <w:rsid w:val="004F7505"/>
    <w:rsid w:val="004F75E4"/>
    <w:rsid w:val="004F768E"/>
    <w:rsid w:val="004F777C"/>
    <w:rsid w:val="004F7782"/>
    <w:rsid w:val="004F77AA"/>
    <w:rsid w:val="004F7915"/>
    <w:rsid w:val="004F798C"/>
    <w:rsid w:val="004F79E4"/>
    <w:rsid w:val="004F7AAE"/>
    <w:rsid w:val="004F7B7B"/>
    <w:rsid w:val="004F7BB8"/>
    <w:rsid w:val="004F7C55"/>
    <w:rsid w:val="004F7E8C"/>
    <w:rsid w:val="004F7F0C"/>
    <w:rsid w:val="004F7F85"/>
    <w:rsid w:val="00500368"/>
    <w:rsid w:val="00500453"/>
    <w:rsid w:val="00500619"/>
    <w:rsid w:val="00500A10"/>
    <w:rsid w:val="00500B74"/>
    <w:rsid w:val="00500D11"/>
    <w:rsid w:val="0050101D"/>
    <w:rsid w:val="005011D7"/>
    <w:rsid w:val="005011E9"/>
    <w:rsid w:val="0050120A"/>
    <w:rsid w:val="0050129C"/>
    <w:rsid w:val="005013B2"/>
    <w:rsid w:val="00501599"/>
    <w:rsid w:val="005015DC"/>
    <w:rsid w:val="00501622"/>
    <w:rsid w:val="0050165E"/>
    <w:rsid w:val="0050182B"/>
    <w:rsid w:val="005019CE"/>
    <w:rsid w:val="005019D1"/>
    <w:rsid w:val="00501A53"/>
    <w:rsid w:val="00501B50"/>
    <w:rsid w:val="00501BFD"/>
    <w:rsid w:val="00501C00"/>
    <w:rsid w:val="00501C22"/>
    <w:rsid w:val="00501E49"/>
    <w:rsid w:val="00501E79"/>
    <w:rsid w:val="00501F27"/>
    <w:rsid w:val="00501F5E"/>
    <w:rsid w:val="00502168"/>
    <w:rsid w:val="0050220D"/>
    <w:rsid w:val="0050230C"/>
    <w:rsid w:val="005025E5"/>
    <w:rsid w:val="00502620"/>
    <w:rsid w:val="005026FB"/>
    <w:rsid w:val="00502756"/>
    <w:rsid w:val="00502862"/>
    <w:rsid w:val="00502958"/>
    <w:rsid w:val="00502968"/>
    <w:rsid w:val="005029E7"/>
    <w:rsid w:val="005029F4"/>
    <w:rsid w:val="00502A4E"/>
    <w:rsid w:val="00502A68"/>
    <w:rsid w:val="00502A6E"/>
    <w:rsid w:val="00502C58"/>
    <w:rsid w:val="00502D82"/>
    <w:rsid w:val="00502E02"/>
    <w:rsid w:val="00502E22"/>
    <w:rsid w:val="0050300D"/>
    <w:rsid w:val="0050301B"/>
    <w:rsid w:val="005030DF"/>
    <w:rsid w:val="005031DA"/>
    <w:rsid w:val="005031ED"/>
    <w:rsid w:val="005032FA"/>
    <w:rsid w:val="0050335D"/>
    <w:rsid w:val="005034DE"/>
    <w:rsid w:val="00503681"/>
    <w:rsid w:val="005038C6"/>
    <w:rsid w:val="005039D3"/>
    <w:rsid w:val="005039EE"/>
    <w:rsid w:val="00503A06"/>
    <w:rsid w:val="00503A5D"/>
    <w:rsid w:val="00503AD4"/>
    <w:rsid w:val="00503B2F"/>
    <w:rsid w:val="00503CD7"/>
    <w:rsid w:val="00503D3A"/>
    <w:rsid w:val="00503D7E"/>
    <w:rsid w:val="005040EC"/>
    <w:rsid w:val="005045F8"/>
    <w:rsid w:val="00504770"/>
    <w:rsid w:val="005047C5"/>
    <w:rsid w:val="00504BBF"/>
    <w:rsid w:val="00504DF7"/>
    <w:rsid w:val="005051A6"/>
    <w:rsid w:val="005052E1"/>
    <w:rsid w:val="005053B8"/>
    <w:rsid w:val="00505528"/>
    <w:rsid w:val="0050576C"/>
    <w:rsid w:val="00505905"/>
    <w:rsid w:val="00505AB0"/>
    <w:rsid w:val="00505D94"/>
    <w:rsid w:val="00505ED3"/>
    <w:rsid w:val="00505F02"/>
    <w:rsid w:val="00505F28"/>
    <w:rsid w:val="00505FA3"/>
    <w:rsid w:val="00505FAB"/>
    <w:rsid w:val="0050603F"/>
    <w:rsid w:val="00506069"/>
    <w:rsid w:val="005060AD"/>
    <w:rsid w:val="005061C1"/>
    <w:rsid w:val="00506366"/>
    <w:rsid w:val="005063DA"/>
    <w:rsid w:val="0050640A"/>
    <w:rsid w:val="005065B7"/>
    <w:rsid w:val="005065DA"/>
    <w:rsid w:val="0050679F"/>
    <w:rsid w:val="005067E5"/>
    <w:rsid w:val="005068E1"/>
    <w:rsid w:val="00506CB9"/>
    <w:rsid w:val="00506F85"/>
    <w:rsid w:val="00507029"/>
    <w:rsid w:val="0050707B"/>
    <w:rsid w:val="005071C6"/>
    <w:rsid w:val="005071D4"/>
    <w:rsid w:val="00507429"/>
    <w:rsid w:val="005074D9"/>
    <w:rsid w:val="00507626"/>
    <w:rsid w:val="005076A2"/>
    <w:rsid w:val="005077FB"/>
    <w:rsid w:val="0050794B"/>
    <w:rsid w:val="0050797B"/>
    <w:rsid w:val="005079FB"/>
    <w:rsid w:val="00507AD7"/>
    <w:rsid w:val="00507CB8"/>
    <w:rsid w:val="00507EA7"/>
    <w:rsid w:val="00507F5F"/>
    <w:rsid w:val="0051008D"/>
    <w:rsid w:val="005102F3"/>
    <w:rsid w:val="0051030B"/>
    <w:rsid w:val="0051038F"/>
    <w:rsid w:val="00510411"/>
    <w:rsid w:val="00510414"/>
    <w:rsid w:val="00510498"/>
    <w:rsid w:val="00510514"/>
    <w:rsid w:val="00510527"/>
    <w:rsid w:val="0051058A"/>
    <w:rsid w:val="00510C7D"/>
    <w:rsid w:val="00510CF1"/>
    <w:rsid w:val="00510E3D"/>
    <w:rsid w:val="00510F16"/>
    <w:rsid w:val="0051103C"/>
    <w:rsid w:val="0051116A"/>
    <w:rsid w:val="00511390"/>
    <w:rsid w:val="005113EB"/>
    <w:rsid w:val="0051141A"/>
    <w:rsid w:val="0051141C"/>
    <w:rsid w:val="0051145C"/>
    <w:rsid w:val="005114C1"/>
    <w:rsid w:val="00511596"/>
    <w:rsid w:val="00511664"/>
    <w:rsid w:val="005116CA"/>
    <w:rsid w:val="00511707"/>
    <w:rsid w:val="00511771"/>
    <w:rsid w:val="005117FF"/>
    <w:rsid w:val="00511904"/>
    <w:rsid w:val="00511941"/>
    <w:rsid w:val="005119FF"/>
    <w:rsid w:val="00511BC3"/>
    <w:rsid w:val="00511CA4"/>
    <w:rsid w:val="00511E43"/>
    <w:rsid w:val="0051213D"/>
    <w:rsid w:val="00512190"/>
    <w:rsid w:val="00512239"/>
    <w:rsid w:val="00512320"/>
    <w:rsid w:val="00512359"/>
    <w:rsid w:val="0051242C"/>
    <w:rsid w:val="00512478"/>
    <w:rsid w:val="0051252C"/>
    <w:rsid w:val="00512690"/>
    <w:rsid w:val="005126ED"/>
    <w:rsid w:val="005127A2"/>
    <w:rsid w:val="00512874"/>
    <w:rsid w:val="00512B34"/>
    <w:rsid w:val="00512B4C"/>
    <w:rsid w:val="00512B91"/>
    <w:rsid w:val="00512C21"/>
    <w:rsid w:val="00512C53"/>
    <w:rsid w:val="00512D8C"/>
    <w:rsid w:val="005130B7"/>
    <w:rsid w:val="0051340D"/>
    <w:rsid w:val="00513515"/>
    <w:rsid w:val="0051353C"/>
    <w:rsid w:val="00513544"/>
    <w:rsid w:val="005135E0"/>
    <w:rsid w:val="00513790"/>
    <w:rsid w:val="005137DC"/>
    <w:rsid w:val="0051398A"/>
    <w:rsid w:val="00513C61"/>
    <w:rsid w:val="00513D2C"/>
    <w:rsid w:val="00513D2F"/>
    <w:rsid w:val="00513DBE"/>
    <w:rsid w:val="00513FB7"/>
    <w:rsid w:val="00514073"/>
    <w:rsid w:val="005141C5"/>
    <w:rsid w:val="005141F2"/>
    <w:rsid w:val="00514208"/>
    <w:rsid w:val="0051422D"/>
    <w:rsid w:val="005142D7"/>
    <w:rsid w:val="0051439A"/>
    <w:rsid w:val="005144DB"/>
    <w:rsid w:val="005144E9"/>
    <w:rsid w:val="0051454B"/>
    <w:rsid w:val="00514569"/>
    <w:rsid w:val="00514598"/>
    <w:rsid w:val="00514603"/>
    <w:rsid w:val="00514699"/>
    <w:rsid w:val="005146AF"/>
    <w:rsid w:val="005146B2"/>
    <w:rsid w:val="005147E2"/>
    <w:rsid w:val="00514949"/>
    <w:rsid w:val="005149B9"/>
    <w:rsid w:val="005149E3"/>
    <w:rsid w:val="005149EE"/>
    <w:rsid w:val="005149F2"/>
    <w:rsid w:val="00514A4F"/>
    <w:rsid w:val="00514A90"/>
    <w:rsid w:val="00514CE0"/>
    <w:rsid w:val="00514DED"/>
    <w:rsid w:val="00514E17"/>
    <w:rsid w:val="00514E4F"/>
    <w:rsid w:val="00514FFE"/>
    <w:rsid w:val="0051514C"/>
    <w:rsid w:val="0051516F"/>
    <w:rsid w:val="005151AB"/>
    <w:rsid w:val="005151EE"/>
    <w:rsid w:val="00515213"/>
    <w:rsid w:val="00515281"/>
    <w:rsid w:val="005152C2"/>
    <w:rsid w:val="00515495"/>
    <w:rsid w:val="00515689"/>
    <w:rsid w:val="00515875"/>
    <w:rsid w:val="005158BB"/>
    <w:rsid w:val="005158C7"/>
    <w:rsid w:val="00515A0B"/>
    <w:rsid w:val="00515AA7"/>
    <w:rsid w:val="00515D44"/>
    <w:rsid w:val="00515DAA"/>
    <w:rsid w:val="00515E52"/>
    <w:rsid w:val="00515E98"/>
    <w:rsid w:val="00515F62"/>
    <w:rsid w:val="00515F71"/>
    <w:rsid w:val="00515F7B"/>
    <w:rsid w:val="00515FA4"/>
    <w:rsid w:val="00515FC5"/>
    <w:rsid w:val="00516089"/>
    <w:rsid w:val="00516180"/>
    <w:rsid w:val="0051627E"/>
    <w:rsid w:val="005162D7"/>
    <w:rsid w:val="00516389"/>
    <w:rsid w:val="00516484"/>
    <w:rsid w:val="005165A0"/>
    <w:rsid w:val="005168DB"/>
    <w:rsid w:val="005169F4"/>
    <w:rsid w:val="00516A43"/>
    <w:rsid w:val="00516C27"/>
    <w:rsid w:val="00516D18"/>
    <w:rsid w:val="00516D60"/>
    <w:rsid w:val="00516DDA"/>
    <w:rsid w:val="00516E2A"/>
    <w:rsid w:val="00516E45"/>
    <w:rsid w:val="00516F08"/>
    <w:rsid w:val="00516F42"/>
    <w:rsid w:val="00516FAE"/>
    <w:rsid w:val="00516FE8"/>
    <w:rsid w:val="005171DC"/>
    <w:rsid w:val="00517231"/>
    <w:rsid w:val="005174A9"/>
    <w:rsid w:val="00517563"/>
    <w:rsid w:val="0051797D"/>
    <w:rsid w:val="0051798E"/>
    <w:rsid w:val="00517AF0"/>
    <w:rsid w:val="00517AF5"/>
    <w:rsid w:val="00517AF9"/>
    <w:rsid w:val="00517BEC"/>
    <w:rsid w:val="00517F33"/>
    <w:rsid w:val="00517F3E"/>
    <w:rsid w:val="00517F80"/>
    <w:rsid w:val="00517FBF"/>
    <w:rsid w:val="00520147"/>
    <w:rsid w:val="005203AE"/>
    <w:rsid w:val="005204F3"/>
    <w:rsid w:val="0052056E"/>
    <w:rsid w:val="005208C1"/>
    <w:rsid w:val="00520F1C"/>
    <w:rsid w:val="00520F7F"/>
    <w:rsid w:val="00520F89"/>
    <w:rsid w:val="005213A8"/>
    <w:rsid w:val="005213B5"/>
    <w:rsid w:val="0052153E"/>
    <w:rsid w:val="005215AD"/>
    <w:rsid w:val="005218E0"/>
    <w:rsid w:val="00521903"/>
    <w:rsid w:val="00521A56"/>
    <w:rsid w:val="00521C03"/>
    <w:rsid w:val="00521DCF"/>
    <w:rsid w:val="00521EAA"/>
    <w:rsid w:val="0052213A"/>
    <w:rsid w:val="0052227A"/>
    <w:rsid w:val="0052241D"/>
    <w:rsid w:val="005224CC"/>
    <w:rsid w:val="00522574"/>
    <w:rsid w:val="005225F3"/>
    <w:rsid w:val="00522712"/>
    <w:rsid w:val="00522715"/>
    <w:rsid w:val="005229CD"/>
    <w:rsid w:val="005229D6"/>
    <w:rsid w:val="00522A2C"/>
    <w:rsid w:val="00522AD3"/>
    <w:rsid w:val="00522B12"/>
    <w:rsid w:val="00522B16"/>
    <w:rsid w:val="00522BF9"/>
    <w:rsid w:val="00522C8F"/>
    <w:rsid w:val="00522C90"/>
    <w:rsid w:val="00522CB4"/>
    <w:rsid w:val="00522EC3"/>
    <w:rsid w:val="00523021"/>
    <w:rsid w:val="00523087"/>
    <w:rsid w:val="0052323E"/>
    <w:rsid w:val="005232BA"/>
    <w:rsid w:val="005233A8"/>
    <w:rsid w:val="005234D8"/>
    <w:rsid w:val="0052355D"/>
    <w:rsid w:val="0052359E"/>
    <w:rsid w:val="005235FD"/>
    <w:rsid w:val="00523666"/>
    <w:rsid w:val="0052382A"/>
    <w:rsid w:val="005238F8"/>
    <w:rsid w:val="00523AB4"/>
    <w:rsid w:val="00523C24"/>
    <w:rsid w:val="00523C93"/>
    <w:rsid w:val="00523DCC"/>
    <w:rsid w:val="00523F67"/>
    <w:rsid w:val="005240EF"/>
    <w:rsid w:val="005242DF"/>
    <w:rsid w:val="00524401"/>
    <w:rsid w:val="005246AF"/>
    <w:rsid w:val="0052470E"/>
    <w:rsid w:val="0052476A"/>
    <w:rsid w:val="0052479C"/>
    <w:rsid w:val="0052483C"/>
    <w:rsid w:val="00524A41"/>
    <w:rsid w:val="00524AD9"/>
    <w:rsid w:val="00524C77"/>
    <w:rsid w:val="00524D0D"/>
    <w:rsid w:val="00524D16"/>
    <w:rsid w:val="00524D50"/>
    <w:rsid w:val="00524EE7"/>
    <w:rsid w:val="005251EA"/>
    <w:rsid w:val="00525299"/>
    <w:rsid w:val="005255DE"/>
    <w:rsid w:val="00525629"/>
    <w:rsid w:val="00525639"/>
    <w:rsid w:val="00525693"/>
    <w:rsid w:val="005256E0"/>
    <w:rsid w:val="00525755"/>
    <w:rsid w:val="0052582D"/>
    <w:rsid w:val="0052585C"/>
    <w:rsid w:val="00525956"/>
    <w:rsid w:val="00525A9F"/>
    <w:rsid w:val="00525B6E"/>
    <w:rsid w:val="00525E4A"/>
    <w:rsid w:val="00525E51"/>
    <w:rsid w:val="00525FD9"/>
    <w:rsid w:val="00526135"/>
    <w:rsid w:val="00526161"/>
    <w:rsid w:val="00526264"/>
    <w:rsid w:val="005265D3"/>
    <w:rsid w:val="005265F7"/>
    <w:rsid w:val="00526653"/>
    <w:rsid w:val="00526656"/>
    <w:rsid w:val="0052667E"/>
    <w:rsid w:val="005266F5"/>
    <w:rsid w:val="0052673B"/>
    <w:rsid w:val="00526766"/>
    <w:rsid w:val="005267EA"/>
    <w:rsid w:val="005268B0"/>
    <w:rsid w:val="00526905"/>
    <w:rsid w:val="0052690B"/>
    <w:rsid w:val="005269D7"/>
    <w:rsid w:val="00526A55"/>
    <w:rsid w:val="00526BA4"/>
    <w:rsid w:val="00526C50"/>
    <w:rsid w:val="00526D34"/>
    <w:rsid w:val="00526DF3"/>
    <w:rsid w:val="00526FB3"/>
    <w:rsid w:val="0052708A"/>
    <w:rsid w:val="0052709E"/>
    <w:rsid w:val="00527347"/>
    <w:rsid w:val="005274A8"/>
    <w:rsid w:val="005274F1"/>
    <w:rsid w:val="00527718"/>
    <w:rsid w:val="0052772A"/>
    <w:rsid w:val="005277AC"/>
    <w:rsid w:val="005277CD"/>
    <w:rsid w:val="00527812"/>
    <w:rsid w:val="0052786E"/>
    <w:rsid w:val="00527C4A"/>
    <w:rsid w:val="00527E39"/>
    <w:rsid w:val="0053007C"/>
    <w:rsid w:val="0053023A"/>
    <w:rsid w:val="005302F4"/>
    <w:rsid w:val="00530343"/>
    <w:rsid w:val="005304CB"/>
    <w:rsid w:val="00530591"/>
    <w:rsid w:val="0053065A"/>
    <w:rsid w:val="00530791"/>
    <w:rsid w:val="0053080E"/>
    <w:rsid w:val="00530955"/>
    <w:rsid w:val="005309D9"/>
    <w:rsid w:val="00530B45"/>
    <w:rsid w:val="00530B82"/>
    <w:rsid w:val="00530C31"/>
    <w:rsid w:val="00530E0F"/>
    <w:rsid w:val="00530F82"/>
    <w:rsid w:val="00530F8F"/>
    <w:rsid w:val="00530FF6"/>
    <w:rsid w:val="00531036"/>
    <w:rsid w:val="00531066"/>
    <w:rsid w:val="00531095"/>
    <w:rsid w:val="00531107"/>
    <w:rsid w:val="00531126"/>
    <w:rsid w:val="005311D6"/>
    <w:rsid w:val="005311E7"/>
    <w:rsid w:val="00531345"/>
    <w:rsid w:val="00531558"/>
    <w:rsid w:val="0053155E"/>
    <w:rsid w:val="0053163A"/>
    <w:rsid w:val="00531717"/>
    <w:rsid w:val="00531748"/>
    <w:rsid w:val="00531785"/>
    <w:rsid w:val="005319D6"/>
    <w:rsid w:val="00531A18"/>
    <w:rsid w:val="00531B13"/>
    <w:rsid w:val="00531B28"/>
    <w:rsid w:val="00531D39"/>
    <w:rsid w:val="00531D99"/>
    <w:rsid w:val="00531DEA"/>
    <w:rsid w:val="00531ED6"/>
    <w:rsid w:val="00531F68"/>
    <w:rsid w:val="005321E2"/>
    <w:rsid w:val="005324B5"/>
    <w:rsid w:val="00532530"/>
    <w:rsid w:val="00532589"/>
    <w:rsid w:val="0053262C"/>
    <w:rsid w:val="0053270B"/>
    <w:rsid w:val="00532820"/>
    <w:rsid w:val="00532925"/>
    <w:rsid w:val="00532998"/>
    <w:rsid w:val="00532A4F"/>
    <w:rsid w:val="00532CAB"/>
    <w:rsid w:val="00532DC2"/>
    <w:rsid w:val="00532DFE"/>
    <w:rsid w:val="00532E32"/>
    <w:rsid w:val="00532EA5"/>
    <w:rsid w:val="00532EB8"/>
    <w:rsid w:val="00532ED6"/>
    <w:rsid w:val="00532F67"/>
    <w:rsid w:val="005331D8"/>
    <w:rsid w:val="00533263"/>
    <w:rsid w:val="005332B6"/>
    <w:rsid w:val="0053342B"/>
    <w:rsid w:val="00533468"/>
    <w:rsid w:val="005336ED"/>
    <w:rsid w:val="00533797"/>
    <w:rsid w:val="005337AF"/>
    <w:rsid w:val="005337FD"/>
    <w:rsid w:val="0053384E"/>
    <w:rsid w:val="0053387C"/>
    <w:rsid w:val="00533A74"/>
    <w:rsid w:val="00533A8C"/>
    <w:rsid w:val="00533C5C"/>
    <w:rsid w:val="00533E7E"/>
    <w:rsid w:val="00533F17"/>
    <w:rsid w:val="00533F27"/>
    <w:rsid w:val="00533F36"/>
    <w:rsid w:val="00533F54"/>
    <w:rsid w:val="005340D3"/>
    <w:rsid w:val="00534287"/>
    <w:rsid w:val="005343DE"/>
    <w:rsid w:val="00534401"/>
    <w:rsid w:val="005344A0"/>
    <w:rsid w:val="0053468F"/>
    <w:rsid w:val="005347B2"/>
    <w:rsid w:val="0053482B"/>
    <w:rsid w:val="0053498D"/>
    <w:rsid w:val="00534C14"/>
    <w:rsid w:val="00535033"/>
    <w:rsid w:val="005350C9"/>
    <w:rsid w:val="005352C2"/>
    <w:rsid w:val="005353CA"/>
    <w:rsid w:val="005353ED"/>
    <w:rsid w:val="005355A8"/>
    <w:rsid w:val="00535672"/>
    <w:rsid w:val="005358E0"/>
    <w:rsid w:val="005359A6"/>
    <w:rsid w:val="00535A0B"/>
    <w:rsid w:val="00535ABE"/>
    <w:rsid w:val="00535C32"/>
    <w:rsid w:val="00535CC6"/>
    <w:rsid w:val="00535D4F"/>
    <w:rsid w:val="00535E48"/>
    <w:rsid w:val="00535F19"/>
    <w:rsid w:val="00535F2A"/>
    <w:rsid w:val="00536067"/>
    <w:rsid w:val="0053618D"/>
    <w:rsid w:val="00536213"/>
    <w:rsid w:val="005364B1"/>
    <w:rsid w:val="005369C7"/>
    <w:rsid w:val="005369F9"/>
    <w:rsid w:val="00536A66"/>
    <w:rsid w:val="00536C70"/>
    <w:rsid w:val="00536E43"/>
    <w:rsid w:val="00536F74"/>
    <w:rsid w:val="00537049"/>
    <w:rsid w:val="0053704A"/>
    <w:rsid w:val="0053713F"/>
    <w:rsid w:val="005371C5"/>
    <w:rsid w:val="0053724A"/>
    <w:rsid w:val="00537309"/>
    <w:rsid w:val="00537324"/>
    <w:rsid w:val="00537326"/>
    <w:rsid w:val="005373E2"/>
    <w:rsid w:val="00537514"/>
    <w:rsid w:val="00537848"/>
    <w:rsid w:val="00537975"/>
    <w:rsid w:val="005379BC"/>
    <w:rsid w:val="005379FA"/>
    <w:rsid w:val="00537A28"/>
    <w:rsid w:val="00537BC2"/>
    <w:rsid w:val="00537BE3"/>
    <w:rsid w:val="00537E7F"/>
    <w:rsid w:val="00537ECF"/>
    <w:rsid w:val="00537F83"/>
    <w:rsid w:val="0054034E"/>
    <w:rsid w:val="005403D9"/>
    <w:rsid w:val="00540498"/>
    <w:rsid w:val="0054053A"/>
    <w:rsid w:val="00540666"/>
    <w:rsid w:val="005406AC"/>
    <w:rsid w:val="005406C7"/>
    <w:rsid w:val="0054070B"/>
    <w:rsid w:val="00540766"/>
    <w:rsid w:val="0054092A"/>
    <w:rsid w:val="00540A84"/>
    <w:rsid w:val="00540D6B"/>
    <w:rsid w:val="00540D7C"/>
    <w:rsid w:val="00540EC5"/>
    <w:rsid w:val="00540FCA"/>
    <w:rsid w:val="005411E4"/>
    <w:rsid w:val="005412AF"/>
    <w:rsid w:val="0054133E"/>
    <w:rsid w:val="005413AD"/>
    <w:rsid w:val="005413F8"/>
    <w:rsid w:val="00541440"/>
    <w:rsid w:val="005414C4"/>
    <w:rsid w:val="00541519"/>
    <w:rsid w:val="0054183D"/>
    <w:rsid w:val="0054185F"/>
    <w:rsid w:val="00541A67"/>
    <w:rsid w:val="00541ABE"/>
    <w:rsid w:val="00541D01"/>
    <w:rsid w:val="00541E6F"/>
    <w:rsid w:val="00542172"/>
    <w:rsid w:val="00542294"/>
    <w:rsid w:val="0054243F"/>
    <w:rsid w:val="00542445"/>
    <w:rsid w:val="00542455"/>
    <w:rsid w:val="005424C3"/>
    <w:rsid w:val="00542663"/>
    <w:rsid w:val="005426A4"/>
    <w:rsid w:val="005426AB"/>
    <w:rsid w:val="005426C3"/>
    <w:rsid w:val="0054274C"/>
    <w:rsid w:val="005427A1"/>
    <w:rsid w:val="00542895"/>
    <w:rsid w:val="00542A02"/>
    <w:rsid w:val="00542D0F"/>
    <w:rsid w:val="00542ED8"/>
    <w:rsid w:val="0054305F"/>
    <w:rsid w:val="005430B1"/>
    <w:rsid w:val="005430F1"/>
    <w:rsid w:val="00543252"/>
    <w:rsid w:val="00543257"/>
    <w:rsid w:val="0054330A"/>
    <w:rsid w:val="00543335"/>
    <w:rsid w:val="00543371"/>
    <w:rsid w:val="00543492"/>
    <w:rsid w:val="00543564"/>
    <w:rsid w:val="0054398D"/>
    <w:rsid w:val="00543B8B"/>
    <w:rsid w:val="00543DCA"/>
    <w:rsid w:val="00543FCE"/>
    <w:rsid w:val="00544102"/>
    <w:rsid w:val="00544138"/>
    <w:rsid w:val="00544196"/>
    <w:rsid w:val="0054439B"/>
    <w:rsid w:val="0054440B"/>
    <w:rsid w:val="0054450A"/>
    <w:rsid w:val="005446CF"/>
    <w:rsid w:val="005446EE"/>
    <w:rsid w:val="00544774"/>
    <w:rsid w:val="00544844"/>
    <w:rsid w:val="00544876"/>
    <w:rsid w:val="00544941"/>
    <w:rsid w:val="00544997"/>
    <w:rsid w:val="005449B3"/>
    <w:rsid w:val="00544C50"/>
    <w:rsid w:val="00544CFB"/>
    <w:rsid w:val="005450E6"/>
    <w:rsid w:val="005451F2"/>
    <w:rsid w:val="00545453"/>
    <w:rsid w:val="00545790"/>
    <w:rsid w:val="0054592F"/>
    <w:rsid w:val="00545963"/>
    <w:rsid w:val="00545976"/>
    <w:rsid w:val="005459E1"/>
    <w:rsid w:val="00545A3C"/>
    <w:rsid w:val="00545B0B"/>
    <w:rsid w:val="00545BA5"/>
    <w:rsid w:val="00545BD4"/>
    <w:rsid w:val="00545CDE"/>
    <w:rsid w:val="00545D45"/>
    <w:rsid w:val="00545DA2"/>
    <w:rsid w:val="00545DC8"/>
    <w:rsid w:val="00545DFA"/>
    <w:rsid w:val="00545E48"/>
    <w:rsid w:val="00545FBC"/>
    <w:rsid w:val="0054606B"/>
    <w:rsid w:val="005461FA"/>
    <w:rsid w:val="0054630F"/>
    <w:rsid w:val="00546476"/>
    <w:rsid w:val="00546531"/>
    <w:rsid w:val="00546541"/>
    <w:rsid w:val="005465B9"/>
    <w:rsid w:val="005466D0"/>
    <w:rsid w:val="005466EC"/>
    <w:rsid w:val="00546700"/>
    <w:rsid w:val="00546986"/>
    <w:rsid w:val="005469D6"/>
    <w:rsid w:val="00546C69"/>
    <w:rsid w:val="00546D39"/>
    <w:rsid w:val="00546E2F"/>
    <w:rsid w:val="00546EAE"/>
    <w:rsid w:val="00546EE9"/>
    <w:rsid w:val="00547220"/>
    <w:rsid w:val="005472F8"/>
    <w:rsid w:val="00547373"/>
    <w:rsid w:val="005473C2"/>
    <w:rsid w:val="005473F2"/>
    <w:rsid w:val="0054744D"/>
    <w:rsid w:val="005474D6"/>
    <w:rsid w:val="0054772F"/>
    <w:rsid w:val="0054773D"/>
    <w:rsid w:val="00547799"/>
    <w:rsid w:val="00547BBE"/>
    <w:rsid w:val="00547CF2"/>
    <w:rsid w:val="00547E09"/>
    <w:rsid w:val="00547E0A"/>
    <w:rsid w:val="00547E6D"/>
    <w:rsid w:val="00547E81"/>
    <w:rsid w:val="00547EAF"/>
    <w:rsid w:val="00547ECD"/>
    <w:rsid w:val="00550012"/>
    <w:rsid w:val="00550170"/>
    <w:rsid w:val="0055035F"/>
    <w:rsid w:val="005504C4"/>
    <w:rsid w:val="005505E2"/>
    <w:rsid w:val="00550603"/>
    <w:rsid w:val="00550701"/>
    <w:rsid w:val="0055083F"/>
    <w:rsid w:val="0055091D"/>
    <w:rsid w:val="00550A80"/>
    <w:rsid w:val="00550BB3"/>
    <w:rsid w:val="00550BC8"/>
    <w:rsid w:val="00550BD3"/>
    <w:rsid w:val="00550CA7"/>
    <w:rsid w:val="00550CDE"/>
    <w:rsid w:val="00550D23"/>
    <w:rsid w:val="00550FC0"/>
    <w:rsid w:val="0055106C"/>
    <w:rsid w:val="0055112D"/>
    <w:rsid w:val="005512BE"/>
    <w:rsid w:val="00551423"/>
    <w:rsid w:val="00551514"/>
    <w:rsid w:val="00551578"/>
    <w:rsid w:val="00551588"/>
    <w:rsid w:val="00551618"/>
    <w:rsid w:val="0055163E"/>
    <w:rsid w:val="00551904"/>
    <w:rsid w:val="00551C48"/>
    <w:rsid w:val="00551EBC"/>
    <w:rsid w:val="00551F12"/>
    <w:rsid w:val="00552060"/>
    <w:rsid w:val="005520F3"/>
    <w:rsid w:val="00552169"/>
    <w:rsid w:val="005521AE"/>
    <w:rsid w:val="005521DF"/>
    <w:rsid w:val="0055220D"/>
    <w:rsid w:val="0055227F"/>
    <w:rsid w:val="0055233E"/>
    <w:rsid w:val="005524D6"/>
    <w:rsid w:val="005527FE"/>
    <w:rsid w:val="005528CC"/>
    <w:rsid w:val="00552984"/>
    <w:rsid w:val="005529A9"/>
    <w:rsid w:val="00552BF6"/>
    <w:rsid w:val="00552D1E"/>
    <w:rsid w:val="00552D6D"/>
    <w:rsid w:val="00552DC1"/>
    <w:rsid w:val="00552DD8"/>
    <w:rsid w:val="00552E51"/>
    <w:rsid w:val="00552E93"/>
    <w:rsid w:val="00552EC8"/>
    <w:rsid w:val="00552F66"/>
    <w:rsid w:val="00552FE5"/>
    <w:rsid w:val="00552FF9"/>
    <w:rsid w:val="00553127"/>
    <w:rsid w:val="0055330C"/>
    <w:rsid w:val="0055345C"/>
    <w:rsid w:val="0055374D"/>
    <w:rsid w:val="00553840"/>
    <w:rsid w:val="00553856"/>
    <w:rsid w:val="00553A09"/>
    <w:rsid w:val="00553BC2"/>
    <w:rsid w:val="00553BCD"/>
    <w:rsid w:val="00553BDE"/>
    <w:rsid w:val="00553D23"/>
    <w:rsid w:val="00553FCC"/>
    <w:rsid w:val="00554016"/>
    <w:rsid w:val="005542BE"/>
    <w:rsid w:val="00554520"/>
    <w:rsid w:val="00554564"/>
    <w:rsid w:val="005545EE"/>
    <w:rsid w:val="005548E0"/>
    <w:rsid w:val="0055494F"/>
    <w:rsid w:val="00554963"/>
    <w:rsid w:val="00554997"/>
    <w:rsid w:val="00554B1A"/>
    <w:rsid w:val="00554B9F"/>
    <w:rsid w:val="00554C67"/>
    <w:rsid w:val="00554CAF"/>
    <w:rsid w:val="00554E70"/>
    <w:rsid w:val="00554F8B"/>
    <w:rsid w:val="00554FB8"/>
    <w:rsid w:val="005550A0"/>
    <w:rsid w:val="005550E6"/>
    <w:rsid w:val="0055517B"/>
    <w:rsid w:val="005552E6"/>
    <w:rsid w:val="00555438"/>
    <w:rsid w:val="00555470"/>
    <w:rsid w:val="00555554"/>
    <w:rsid w:val="0055556C"/>
    <w:rsid w:val="00555802"/>
    <w:rsid w:val="00555832"/>
    <w:rsid w:val="00555845"/>
    <w:rsid w:val="00555968"/>
    <w:rsid w:val="00555B5B"/>
    <w:rsid w:val="00555C3F"/>
    <w:rsid w:val="00555C5F"/>
    <w:rsid w:val="00555D4E"/>
    <w:rsid w:val="00555E80"/>
    <w:rsid w:val="00556030"/>
    <w:rsid w:val="00556103"/>
    <w:rsid w:val="0055623E"/>
    <w:rsid w:val="00556243"/>
    <w:rsid w:val="0055625E"/>
    <w:rsid w:val="0055629F"/>
    <w:rsid w:val="005562C8"/>
    <w:rsid w:val="005562E7"/>
    <w:rsid w:val="0055638E"/>
    <w:rsid w:val="00556411"/>
    <w:rsid w:val="0055663B"/>
    <w:rsid w:val="005566A5"/>
    <w:rsid w:val="00556735"/>
    <w:rsid w:val="005568BF"/>
    <w:rsid w:val="00556A48"/>
    <w:rsid w:val="00556C02"/>
    <w:rsid w:val="00556C4E"/>
    <w:rsid w:val="00556DD9"/>
    <w:rsid w:val="00556E5A"/>
    <w:rsid w:val="005570F4"/>
    <w:rsid w:val="00557199"/>
    <w:rsid w:val="0055745A"/>
    <w:rsid w:val="0055756A"/>
    <w:rsid w:val="00557628"/>
    <w:rsid w:val="00557764"/>
    <w:rsid w:val="005577EC"/>
    <w:rsid w:val="005578F5"/>
    <w:rsid w:val="00557900"/>
    <w:rsid w:val="00557BED"/>
    <w:rsid w:val="00557FEE"/>
    <w:rsid w:val="0056006F"/>
    <w:rsid w:val="0056008D"/>
    <w:rsid w:val="0056012B"/>
    <w:rsid w:val="0056024D"/>
    <w:rsid w:val="005602B3"/>
    <w:rsid w:val="005602CE"/>
    <w:rsid w:val="00560341"/>
    <w:rsid w:val="0056041B"/>
    <w:rsid w:val="005604DF"/>
    <w:rsid w:val="00560664"/>
    <w:rsid w:val="005606DA"/>
    <w:rsid w:val="0056070E"/>
    <w:rsid w:val="00560745"/>
    <w:rsid w:val="005607F8"/>
    <w:rsid w:val="005608BB"/>
    <w:rsid w:val="005608C0"/>
    <w:rsid w:val="005608D3"/>
    <w:rsid w:val="00560AA9"/>
    <w:rsid w:val="00560F1D"/>
    <w:rsid w:val="00561171"/>
    <w:rsid w:val="00561307"/>
    <w:rsid w:val="005614AB"/>
    <w:rsid w:val="005614CE"/>
    <w:rsid w:val="00561608"/>
    <w:rsid w:val="00561785"/>
    <w:rsid w:val="00561786"/>
    <w:rsid w:val="00561856"/>
    <w:rsid w:val="005619A1"/>
    <w:rsid w:val="00561AAD"/>
    <w:rsid w:val="00561B07"/>
    <w:rsid w:val="00561D74"/>
    <w:rsid w:val="00561D84"/>
    <w:rsid w:val="00561DBC"/>
    <w:rsid w:val="00561E5D"/>
    <w:rsid w:val="00561EBE"/>
    <w:rsid w:val="00561EC4"/>
    <w:rsid w:val="00561F10"/>
    <w:rsid w:val="00562043"/>
    <w:rsid w:val="00562088"/>
    <w:rsid w:val="005620EE"/>
    <w:rsid w:val="00562146"/>
    <w:rsid w:val="00562246"/>
    <w:rsid w:val="005622BB"/>
    <w:rsid w:val="00562318"/>
    <w:rsid w:val="00562371"/>
    <w:rsid w:val="005624B2"/>
    <w:rsid w:val="005625D8"/>
    <w:rsid w:val="00562664"/>
    <w:rsid w:val="005628FE"/>
    <w:rsid w:val="00562DF5"/>
    <w:rsid w:val="00563010"/>
    <w:rsid w:val="005630FD"/>
    <w:rsid w:val="0056345F"/>
    <w:rsid w:val="00563496"/>
    <w:rsid w:val="0056359E"/>
    <w:rsid w:val="005635FD"/>
    <w:rsid w:val="0056360E"/>
    <w:rsid w:val="0056367B"/>
    <w:rsid w:val="0056371A"/>
    <w:rsid w:val="00563865"/>
    <w:rsid w:val="005638D1"/>
    <w:rsid w:val="005639EC"/>
    <w:rsid w:val="005639FE"/>
    <w:rsid w:val="00563A54"/>
    <w:rsid w:val="00563E79"/>
    <w:rsid w:val="00563E89"/>
    <w:rsid w:val="00563F1F"/>
    <w:rsid w:val="00563F5E"/>
    <w:rsid w:val="00563F73"/>
    <w:rsid w:val="0056408A"/>
    <w:rsid w:val="00564147"/>
    <w:rsid w:val="00564157"/>
    <w:rsid w:val="0056458B"/>
    <w:rsid w:val="00564606"/>
    <w:rsid w:val="00564612"/>
    <w:rsid w:val="005647BA"/>
    <w:rsid w:val="0056485B"/>
    <w:rsid w:val="00564896"/>
    <w:rsid w:val="00564941"/>
    <w:rsid w:val="005649B2"/>
    <w:rsid w:val="005649B7"/>
    <w:rsid w:val="005649F9"/>
    <w:rsid w:val="005649FB"/>
    <w:rsid w:val="00564B34"/>
    <w:rsid w:val="00564C45"/>
    <w:rsid w:val="00564DB5"/>
    <w:rsid w:val="00564EAB"/>
    <w:rsid w:val="00565084"/>
    <w:rsid w:val="005650E7"/>
    <w:rsid w:val="005653DA"/>
    <w:rsid w:val="00565522"/>
    <w:rsid w:val="005657A7"/>
    <w:rsid w:val="005658D3"/>
    <w:rsid w:val="00565A8E"/>
    <w:rsid w:val="00565C3D"/>
    <w:rsid w:val="00565CE8"/>
    <w:rsid w:val="00565DB6"/>
    <w:rsid w:val="00565FC1"/>
    <w:rsid w:val="005660EE"/>
    <w:rsid w:val="00566176"/>
    <w:rsid w:val="00566446"/>
    <w:rsid w:val="00566570"/>
    <w:rsid w:val="005666DC"/>
    <w:rsid w:val="005666EF"/>
    <w:rsid w:val="005667B5"/>
    <w:rsid w:val="0056685B"/>
    <w:rsid w:val="005668E6"/>
    <w:rsid w:val="005669E3"/>
    <w:rsid w:val="00566ABA"/>
    <w:rsid w:val="00566B1B"/>
    <w:rsid w:val="00566D50"/>
    <w:rsid w:val="00566DE1"/>
    <w:rsid w:val="00566E35"/>
    <w:rsid w:val="00567000"/>
    <w:rsid w:val="0056716C"/>
    <w:rsid w:val="005671D7"/>
    <w:rsid w:val="005673C0"/>
    <w:rsid w:val="00567469"/>
    <w:rsid w:val="00567583"/>
    <w:rsid w:val="00567647"/>
    <w:rsid w:val="00567885"/>
    <w:rsid w:val="00567AC8"/>
    <w:rsid w:val="00567AE2"/>
    <w:rsid w:val="00567AF6"/>
    <w:rsid w:val="00567B27"/>
    <w:rsid w:val="00567B37"/>
    <w:rsid w:val="00567B9E"/>
    <w:rsid w:val="00567C01"/>
    <w:rsid w:val="00567DC3"/>
    <w:rsid w:val="00567E4A"/>
    <w:rsid w:val="00567F2F"/>
    <w:rsid w:val="00567FD3"/>
    <w:rsid w:val="0057010D"/>
    <w:rsid w:val="0057013A"/>
    <w:rsid w:val="00570329"/>
    <w:rsid w:val="005703C5"/>
    <w:rsid w:val="00570434"/>
    <w:rsid w:val="005705A8"/>
    <w:rsid w:val="00570795"/>
    <w:rsid w:val="005709AC"/>
    <w:rsid w:val="00570C54"/>
    <w:rsid w:val="00570C6F"/>
    <w:rsid w:val="00570CD6"/>
    <w:rsid w:val="00570F21"/>
    <w:rsid w:val="00570F79"/>
    <w:rsid w:val="00570FD2"/>
    <w:rsid w:val="00571054"/>
    <w:rsid w:val="00571138"/>
    <w:rsid w:val="0057131B"/>
    <w:rsid w:val="00571372"/>
    <w:rsid w:val="0057141D"/>
    <w:rsid w:val="0057143A"/>
    <w:rsid w:val="005714B7"/>
    <w:rsid w:val="005714CA"/>
    <w:rsid w:val="00571514"/>
    <w:rsid w:val="005715C0"/>
    <w:rsid w:val="0057173E"/>
    <w:rsid w:val="00571B2E"/>
    <w:rsid w:val="00571C3E"/>
    <w:rsid w:val="00571C9F"/>
    <w:rsid w:val="00571D2B"/>
    <w:rsid w:val="00571D58"/>
    <w:rsid w:val="00571DE9"/>
    <w:rsid w:val="00571E8C"/>
    <w:rsid w:val="00571E97"/>
    <w:rsid w:val="00571EAA"/>
    <w:rsid w:val="00571EF2"/>
    <w:rsid w:val="00571F33"/>
    <w:rsid w:val="00571F83"/>
    <w:rsid w:val="0057203F"/>
    <w:rsid w:val="00572245"/>
    <w:rsid w:val="005723D6"/>
    <w:rsid w:val="005725C8"/>
    <w:rsid w:val="005725D6"/>
    <w:rsid w:val="005726D1"/>
    <w:rsid w:val="00572717"/>
    <w:rsid w:val="00572941"/>
    <w:rsid w:val="00572AA3"/>
    <w:rsid w:val="00572D10"/>
    <w:rsid w:val="00572D1C"/>
    <w:rsid w:val="00572D64"/>
    <w:rsid w:val="00572E00"/>
    <w:rsid w:val="00573050"/>
    <w:rsid w:val="00573220"/>
    <w:rsid w:val="0057328A"/>
    <w:rsid w:val="00573292"/>
    <w:rsid w:val="00573354"/>
    <w:rsid w:val="0057337C"/>
    <w:rsid w:val="00573477"/>
    <w:rsid w:val="0057347A"/>
    <w:rsid w:val="00573591"/>
    <w:rsid w:val="005735ED"/>
    <w:rsid w:val="00573662"/>
    <w:rsid w:val="005736E3"/>
    <w:rsid w:val="00573758"/>
    <w:rsid w:val="00573842"/>
    <w:rsid w:val="005738C9"/>
    <w:rsid w:val="00573901"/>
    <w:rsid w:val="00573990"/>
    <w:rsid w:val="00573A43"/>
    <w:rsid w:val="00573A8B"/>
    <w:rsid w:val="00573ABA"/>
    <w:rsid w:val="00573B3A"/>
    <w:rsid w:val="00573B52"/>
    <w:rsid w:val="00573B95"/>
    <w:rsid w:val="00573BA1"/>
    <w:rsid w:val="00573C23"/>
    <w:rsid w:val="00573D36"/>
    <w:rsid w:val="00573D49"/>
    <w:rsid w:val="00573D88"/>
    <w:rsid w:val="00573E5E"/>
    <w:rsid w:val="00573E77"/>
    <w:rsid w:val="00573E99"/>
    <w:rsid w:val="00573EC2"/>
    <w:rsid w:val="00573FD9"/>
    <w:rsid w:val="005740A4"/>
    <w:rsid w:val="00574113"/>
    <w:rsid w:val="005741E4"/>
    <w:rsid w:val="00574295"/>
    <w:rsid w:val="005742DD"/>
    <w:rsid w:val="00574362"/>
    <w:rsid w:val="0057447B"/>
    <w:rsid w:val="00574A77"/>
    <w:rsid w:val="00574EAC"/>
    <w:rsid w:val="00574ED4"/>
    <w:rsid w:val="0057508A"/>
    <w:rsid w:val="005751B2"/>
    <w:rsid w:val="00575350"/>
    <w:rsid w:val="005753BD"/>
    <w:rsid w:val="005753D9"/>
    <w:rsid w:val="00575476"/>
    <w:rsid w:val="00575500"/>
    <w:rsid w:val="0057552D"/>
    <w:rsid w:val="0057558A"/>
    <w:rsid w:val="00575650"/>
    <w:rsid w:val="005758C3"/>
    <w:rsid w:val="00575B13"/>
    <w:rsid w:val="00575B87"/>
    <w:rsid w:val="00575E1A"/>
    <w:rsid w:val="00575F45"/>
    <w:rsid w:val="005762CF"/>
    <w:rsid w:val="005762D4"/>
    <w:rsid w:val="00576322"/>
    <w:rsid w:val="0057633F"/>
    <w:rsid w:val="0057661B"/>
    <w:rsid w:val="005767AA"/>
    <w:rsid w:val="005767DD"/>
    <w:rsid w:val="00576852"/>
    <w:rsid w:val="00576869"/>
    <w:rsid w:val="00576A1B"/>
    <w:rsid w:val="00576C3F"/>
    <w:rsid w:val="00576CB5"/>
    <w:rsid w:val="00576F96"/>
    <w:rsid w:val="00577080"/>
    <w:rsid w:val="00577169"/>
    <w:rsid w:val="005771BD"/>
    <w:rsid w:val="00577339"/>
    <w:rsid w:val="00577385"/>
    <w:rsid w:val="0057751C"/>
    <w:rsid w:val="00577523"/>
    <w:rsid w:val="00577544"/>
    <w:rsid w:val="005775B6"/>
    <w:rsid w:val="005777CF"/>
    <w:rsid w:val="005777EA"/>
    <w:rsid w:val="005778A0"/>
    <w:rsid w:val="0057791B"/>
    <w:rsid w:val="00577988"/>
    <w:rsid w:val="00577B5B"/>
    <w:rsid w:val="00577B83"/>
    <w:rsid w:val="00577E8A"/>
    <w:rsid w:val="00577F52"/>
    <w:rsid w:val="00580096"/>
    <w:rsid w:val="00580301"/>
    <w:rsid w:val="005803B6"/>
    <w:rsid w:val="00580481"/>
    <w:rsid w:val="005804CC"/>
    <w:rsid w:val="005805CD"/>
    <w:rsid w:val="005807A4"/>
    <w:rsid w:val="005807E3"/>
    <w:rsid w:val="0058089F"/>
    <w:rsid w:val="005808CA"/>
    <w:rsid w:val="00580918"/>
    <w:rsid w:val="005809B0"/>
    <w:rsid w:val="00580A02"/>
    <w:rsid w:val="00580A6D"/>
    <w:rsid w:val="00580B47"/>
    <w:rsid w:val="00580BA7"/>
    <w:rsid w:val="00580BC1"/>
    <w:rsid w:val="00580C24"/>
    <w:rsid w:val="00580E5A"/>
    <w:rsid w:val="00580F2F"/>
    <w:rsid w:val="00580F80"/>
    <w:rsid w:val="00580F93"/>
    <w:rsid w:val="00581151"/>
    <w:rsid w:val="005811BA"/>
    <w:rsid w:val="00581856"/>
    <w:rsid w:val="00581922"/>
    <w:rsid w:val="0058199D"/>
    <w:rsid w:val="005819CA"/>
    <w:rsid w:val="00581A60"/>
    <w:rsid w:val="00581BF2"/>
    <w:rsid w:val="00581EAE"/>
    <w:rsid w:val="00581FB9"/>
    <w:rsid w:val="00581FBD"/>
    <w:rsid w:val="00582089"/>
    <w:rsid w:val="0058221B"/>
    <w:rsid w:val="00582228"/>
    <w:rsid w:val="00582361"/>
    <w:rsid w:val="005823CE"/>
    <w:rsid w:val="005823D1"/>
    <w:rsid w:val="0058246B"/>
    <w:rsid w:val="0058253D"/>
    <w:rsid w:val="00582749"/>
    <w:rsid w:val="005827F2"/>
    <w:rsid w:val="00582841"/>
    <w:rsid w:val="00582BD1"/>
    <w:rsid w:val="00582BFF"/>
    <w:rsid w:val="00582D58"/>
    <w:rsid w:val="00582E1F"/>
    <w:rsid w:val="00582F54"/>
    <w:rsid w:val="00582FA4"/>
    <w:rsid w:val="00582FD8"/>
    <w:rsid w:val="00583022"/>
    <w:rsid w:val="0058349C"/>
    <w:rsid w:val="005834B5"/>
    <w:rsid w:val="0058362C"/>
    <w:rsid w:val="005837B5"/>
    <w:rsid w:val="0058382D"/>
    <w:rsid w:val="005838CA"/>
    <w:rsid w:val="0058396E"/>
    <w:rsid w:val="005839F5"/>
    <w:rsid w:val="00583B5A"/>
    <w:rsid w:val="00583B61"/>
    <w:rsid w:val="00583C06"/>
    <w:rsid w:val="00583C92"/>
    <w:rsid w:val="00583CAD"/>
    <w:rsid w:val="00583EB6"/>
    <w:rsid w:val="00583EE3"/>
    <w:rsid w:val="00583F6B"/>
    <w:rsid w:val="00584011"/>
    <w:rsid w:val="0058404E"/>
    <w:rsid w:val="005840D6"/>
    <w:rsid w:val="005841DB"/>
    <w:rsid w:val="00584204"/>
    <w:rsid w:val="00584207"/>
    <w:rsid w:val="005842EC"/>
    <w:rsid w:val="00584401"/>
    <w:rsid w:val="00584783"/>
    <w:rsid w:val="005848FC"/>
    <w:rsid w:val="0058496A"/>
    <w:rsid w:val="0058498E"/>
    <w:rsid w:val="00584BB2"/>
    <w:rsid w:val="00584BCC"/>
    <w:rsid w:val="00584C6C"/>
    <w:rsid w:val="00584C91"/>
    <w:rsid w:val="00584CA4"/>
    <w:rsid w:val="00584CD1"/>
    <w:rsid w:val="00584E20"/>
    <w:rsid w:val="00584E23"/>
    <w:rsid w:val="00584FCC"/>
    <w:rsid w:val="0058507B"/>
    <w:rsid w:val="005850A0"/>
    <w:rsid w:val="0058515E"/>
    <w:rsid w:val="005851C3"/>
    <w:rsid w:val="005851DE"/>
    <w:rsid w:val="005855D4"/>
    <w:rsid w:val="00585798"/>
    <w:rsid w:val="005857BC"/>
    <w:rsid w:val="00585975"/>
    <w:rsid w:val="005859D6"/>
    <w:rsid w:val="00585B11"/>
    <w:rsid w:val="00585C10"/>
    <w:rsid w:val="00585D34"/>
    <w:rsid w:val="00585D92"/>
    <w:rsid w:val="00585ECC"/>
    <w:rsid w:val="00585F22"/>
    <w:rsid w:val="00585FDD"/>
    <w:rsid w:val="00586077"/>
    <w:rsid w:val="005860A9"/>
    <w:rsid w:val="0058615E"/>
    <w:rsid w:val="0058617F"/>
    <w:rsid w:val="005861FB"/>
    <w:rsid w:val="005865C0"/>
    <w:rsid w:val="00586659"/>
    <w:rsid w:val="00586985"/>
    <w:rsid w:val="00586CFA"/>
    <w:rsid w:val="00586D09"/>
    <w:rsid w:val="00586E23"/>
    <w:rsid w:val="00586FB6"/>
    <w:rsid w:val="00587045"/>
    <w:rsid w:val="0058713A"/>
    <w:rsid w:val="00587247"/>
    <w:rsid w:val="005873CD"/>
    <w:rsid w:val="005873D5"/>
    <w:rsid w:val="00587459"/>
    <w:rsid w:val="00587586"/>
    <w:rsid w:val="00587614"/>
    <w:rsid w:val="0058769B"/>
    <w:rsid w:val="005877E1"/>
    <w:rsid w:val="0058786D"/>
    <w:rsid w:val="005879CB"/>
    <w:rsid w:val="00587A30"/>
    <w:rsid w:val="00587A49"/>
    <w:rsid w:val="00587BA8"/>
    <w:rsid w:val="00587C93"/>
    <w:rsid w:val="00587D36"/>
    <w:rsid w:val="00587E7E"/>
    <w:rsid w:val="00587F54"/>
    <w:rsid w:val="00590094"/>
    <w:rsid w:val="0059039C"/>
    <w:rsid w:val="00590466"/>
    <w:rsid w:val="005904A2"/>
    <w:rsid w:val="005907E0"/>
    <w:rsid w:val="0059087B"/>
    <w:rsid w:val="00590A49"/>
    <w:rsid w:val="00590BF8"/>
    <w:rsid w:val="00590C50"/>
    <w:rsid w:val="00590EAE"/>
    <w:rsid w:val="00591130"/>
    <w:rsid w:val="005911DB"/>
    <w:rsid w:val="005911FB"/>
    <w:rsid w:val="00591340"/>
    <w:rsid w:val="00591411"/>
    <w:rsid w:val="005914D9"/>
    <w:rsid w:val="0059150A"/>
    <w:rsid w:val="00591988"/>
    <w:rsid w:val="005919ED"/>
    <w:rsid w:val="00591AD3"/>
    <w:rsid w:val="00591B7E"/>
    <w:rsid w:val="00591C1C"/>
    <w:rsid w:val="00591CB8"/>
    <w:rsid w:val="00591EA6"/>
    <w:rsid w:val="00591F98"/>
    <w:rsid w:val="00591FB4"/>
    <w:rsid w:val="00592127"/>
    <w:rsid w:val="005921CB"/>
    <w:rsid w:val="00592224"/>
    <w:rsid w:val="00592226"/>
    <w:rsid w:val="00592355"/>
    <w:rsid w:val="005923C8"/>
    <w:rsid w:val="0059244F"/>
    <w:rsid w:val="005924C7"/>
    <w:rsid w:val="00592521"/>
    <w:rsid w:val="00592581"/>
    <w:rsid w:val="005925CB"/>
    <w:rsid w:val="005927B1"/>
    <w:rsid w:val="00592A0B"/>
    <w:rsid w:val="00592A87"/>
    <w:rsid w:val="00592AC8"/>
    <w:rsid w:val="00592AEC"/>
    <w:rsid w:val="00592B3E"/>
    <w:rsid w:val="00592B40"/>
    <w:rsid w:val="00592C07"/>
    <w:rsid w:val="00592D23"/>
    <w:rsid w:val="00592F10"/>
    <w:rsid w:val="00592FE3"/>
    <w:rsid w:val="005933C6"/>
    <w:rsid w:val="005934D9"/>
    <w:rsid w:val="0059350D"/>
    <w:rsid w:val="00593597"/>
    <w:rsid w:val="005935FA"/>
    <w:rsid w:val="00593614"/>
    <w:rsid w:val="00593744"/>
    <w:rsid w:val="0059379D"/>
    <w:rsid w:val="0059382B"/>
    <w:rsid w:val="00593A93"/>
    <w:rsid w:val="00593A96"/>
    <w:rsid w:val="00593BFF"/>
    <w:rsid w:val="00593D09"/>
    <w:rsid w:val="00593EA1"/>
    <w:rsid w:val="00593EE1"/>
    <w:rsid w:val="00593F90"/>
    <w:rsid w:val="00593FF3"/>
    <w:rsid w:val="005940FC"/>
    <w:rsid w:val="005941BC"/>
    <w:rsid w:val="005941F6"/>
    <w:rsid w:val="0059421E"/>
    <w:rsid w:val="0059439A"/>
    <w:rsid w:val="00594585"/>
    <w:rsid w:val="0059463B"/>
    <w:rsid w:val="00594670"/>
    <w:rsid w:val="0059480D"/>
    <w:rsid w:val="00594864"/>
    <w:rsid w:val="005949EF"/>
    <w:rsid w:val="00594A1F"/>
    <w:rsid w:val="00594AD7"/>
    <w:rsid w:val="00594B83"/>
    <w:rsid w:val="00594C52"/>
    <w:rsid w:val="00594D13"/>
    <w:rsid w:val="00594ECF"/>
    <w:rsid w:val="00594F91"/>
    <w:rsid w:val="00594FAB"/>
    <w:rsid w:val="00595045"/>
    <w:rsid w:val="005950B7"/>
    <w:rsid w:val="00595195"/>
    <w:rsid w:val="0059564C"/>
    <w:rsid w:val="00595686"/>
    <w:rsid w:val="00595726"/>
    <w:rsid w:val="0059575A"/>
    <w:rsid w:val="0059575F"/>
    <w:rsid w:val="0059577F"/>
    <w:rsid w:val="005957DE"/>
    <w:rsid w:val="005958EB"/>
    <w:rsid w:val="005959AC"/>
    <w:rsid w:val="00595D3A"/>
    <w:rsid w:val="00596178"/>
    <w:rsid w:val="00596290"/>
    <w:rsid w:val="005967AA"/>
    <w:rsid w:val="00596900"/>
    <w:rsid w:val="0059693D"/>
    <w:rsid w:val="0059697F"/>
    <w:rsid w:val="00596994"/>
    <w:rsid w:val="005969D8"/>
    <w:rsid w:val="00596AA7"/>
    <w:rsid w:val="00596ADE"/>
    <w:rsid w:val="00596B55"/>
    <w:rsid w:val="00596B81"/>
    <w:rsid w:val="00596BC7"/>
    <w:rsid w:val="00596D31"/>
    <w:rsid w:val="00596D8A"/>
    <w:rsid w:val="00596E01"/>
    <w:rsid w:val="00596EF2"/>
    <w:rsid w:val="00596F47"/>
    <w:rsid w:val="00597053"/>
    <w:rsid w:val="0059718C"/>
    <w:rsid w:val="005971C2"/>
    <w:rsid w:val="005971E1"/>
    <w:rsid w:val="005971E4"/>
    <w:rsid w:val="0059720D"/>
    <w:rsid w:val="005972AD"/>
    <w:rsid w:val="005972D5"/>
    <w:rsid w:val="00597307"/>
    <w:rsid w:val="005975E1"/>
    <w:rsid w:val="005975F2"/>
    <w:rsid w:val="00597659"/>
    <w:rsid w:val="00597A4E"/>
    <w:rsid w:val="00597AA9"/>
    <w:rsid w:val="00597AEB"/>
    <w:rsid w:val="00597CF9"/>
    <w:rsid w:val="00597F63"/>
    <w:rsid w:val="005A0049"/>
    <w:rsid w:val="005A009E"/>
    <w:rsid w:val="005A00AE"/>
    <w:rsid w:val="005A0134"/>
    <w:rsid w:val="005A02D8"/>
    <w:rsid w:val="005A05AF"/>
    <w:rsid w:val="005A05FF"/>
    <w:rsid w:val="005A06E1"/>
    <w:rsid w:val="005A06ED"/>
    <w:rsid w:val="005A073D"/>
    <w:rsid w:val="005A0989"/>
    <w:rsid w:val="005A0A2B"/>
    <w:rsid w:val="005A0AA3"/>
    <w:rsid w:val="005A0AE0"/>
    <w:rsid w:val="005A0B42"/>
    <w:rsid w:val="005A0C0F"/>
    <w:rsid w:val="005A0CE5"/>
    <w:rsid w:val="005A0E0D"/>
    <w:rsid w:val="005A0E88"/>
    <w:rsid w:val="005A0F78"/>
    <w:rsid w:val="005A1150"/>
    <w:rsid w:val="005A11C0"/>
    <w:rsid w:val="005A1214"/>
    <w:rsid w:val="005A122C"/>
    <w:rsid w:val="005A126F"/>
    <w:rsid w:val="005A127D"/>
    <w:rsid w:val="005A135A"/>
    <w:rsid w:val="005A13B6"/>
    <w:rsid w:val="005A1475"/>
    <w:rsid w:val="005A14A5"/>
    <w:rsid w:val="005A184A"/>
    <w:rsid w:val="005A185C"/>
    <w:rsid w:val="005A18CC"/>
    <w:rsid w:val="005A1996"/>
    <w:rsid w:val="005A19A4"/>
    <w:rsid w:val="005A19ED"/>
    <w:rsid w:val="005A1A6B"/>
    <w:rsid w:val="005A1AFC"/>
    <w:rsid w:val="005A1C5D"/>
    <w:rsid w:val="005A1C6B"/>
    <w:rsid w:val="005A1D27"/>
    <w:rsid w:val="005A1D53"/>
    <w:rsid w:val="005A1DF0"/>
    <w:rsid w:val="005A2197"/>
    <w:rsid w:val="005A22BA"/>
    <w:rsid w:val="005A22E3"/>
    <w:rsid w:val="005A24F0"/>
    <w:rsid w:val="005A2747"/>
    <w:rsid w:val="005A288F"/>
    <w:rsid w:val="005A299F"/>
    <w:rsid w:val="005A2BB6"/>
    <w:rsid w:val="005A2BC3"/>
    <w:rsid w:val="005A2CAC"/>
    <w:rsid w:val="005A2CF3"/>
    <w:rsid w:val="005A2D63"/>
    <w:rsid w:val="005A2DEC"/>
    <w:rsid w:val="005A2DF9"/>
    <w:rsid w:val="005A2E39"/>
    <w:rsid w:val="005A2F8D"/>
    <w:rsid w:val="005A3004"/>
    <w:rsid w:val="005A31CD"/>
    <w:rsid w:val="005A3371"/>
    <w:rsid w:val="005A34AB"/>
    <w:rsid w:val="005A357F"/>
    <w:rsid w:val="005A36BC"/>
    <w:rsid w:val="005A3850"/>
    <w:rsid w:val="005A3907"/>
    <w:rsid w:val="005A39F3"/>
    <w:rsid w:val="005A3A36"/>
    <w:rsid w:val="005A3D03"/>
    <w:rsid w:val="005A3D86"/>
    <w:rsid w:val="005A3E96"/>
    <w:rsid w:val="005A3EC2"/>
    <w:rsid w:val="005A3F74"/>
    <w:rsid w:val="005A3F90"/>
    <w:rsid w:val="005A40A0"/>
    <w:rsid w:val="005A40C2"/>
    <w:rsid w:val="005A4128"/>
    <w:rsid w:val="005A42EC"/>
    <w:rsid w:val="005A4490"/>
    <w:rsid w:val="005A4592"/>
    <w:rsid w:val="005A474B"/>
    <w:rsid w:val="005A4756"/>
    <w:rsid w:val="005A47D3"/>
    <w:rsid w:val="005A47F9"/>
    <w:rsid w:val="005A480A"/>
    <w:rsid w:val="005A4914"/>
    <w:rsid w:val="005A4A30"/>
    <w:rsid w:val="005A4A4A"/>
    <w:rsid w:val="005A4BB0"/>
    <w:rsid w:val="005A4C18"/>
    <w:rsid w:val="005A4E41"/>
    <w:rsid w:val="005A507C"/>
    <w:rsid w:val="005A50B7"/>
    <w:rsid w:val="005A5181"/>
    <w:rsid w:val="005A5191"/>
    <w:rsid w:val="005A51C6"/>
    <w:rsid w:val="005A51F1"/>
    <w:rsid w:val="005A5317"/>
    <w:rsid w:val="005A53D4"/>
    <w:rsid w:val="005A5493"/>
    <w:rsid w:val="005A54A6"/>
    <w:rsid w:val="005A54A7"/>
    <w:rsid w:val="005A55BC"/>
    <w:rsid w:val="005A571C"/>
    <w:rsid w:val="005A57E7"/>
    <w:rsid w:val="005A58C5"/>
    <w:rsid w:val="005A5ADC"/>
    <w:rsid w:val="005A5B31"/>
    <w:rsid w:val="005A5CF0"/>
    <w:rsid w:val="005A5DAC"/>
    <w:rsid w:val="005A5ECC"/>
    <w:rsid w:val="005A5F3E"/>
    <w:rsid w:val="005A5FAB"/>
    <w:rsid w:val="005A5FAE"/>
    <w:rsid w:val="005A60D9"/>
    <w:rsid w:val="005A614E"/>
    <w:rsid w:val="005A61DC"/>
    <w:rsid w:val="005A623D"/>
    <w:rsid w:val="005A6537"/>
    <w:rsid w:val="005A6593"/>
    <w:rsid w:val="005A65B5"/>
    <w:rsid w:val="005A65D8"/>
    <w:rsid w:val="005A6802"/>
    <w:rsid w:val="005A6823"/>
    <w:rsid w:val="005A6A90"/>
    <w:rsid w:val="005A6AE0"/>
    <w:rsid w:val="005A6AFC"/>
    <w:rsid w:val="005A6C11"/>
    <w:rsid w:val="005A6C4A"/>
    <w:rsid w:val="005A6FF1"/>
    <w:rsid w:val="005A7023"/>
    <w:rsid w:val="005A718D"/>
    <w:rsid w:val="005A71C7"/>
    <w:rsid w:val="005A73DF"/>
    <w:rsid w:val="005A752D"/>
    <w:rsid w:val="005A754F"/>
    <w:rsid w:val="005A7629"/>
    <w:rsid w:val="005A762B"/>
    <w:rsid w:val="005A7654"/>
    <w:rsid w:val="005A7735"/>
    <w:rsid w:val="005A78E2"/>
    <w:rsid w:val="005A79E2"/>
    <w:rsid w:val="005A7DD9"/>
    <w:rsid w:val="005A7FF6"/>
    <w:rsid w:val="005B0115"/>
    <w:rsid w:val="005B027F"/>
    <w:rsid w:val="005B0297"/>
    <w:rsid w:val="005B02DC"/>
    <w:rsid w:val="005B033E"/>
    <w:rsid w:val="005B037A"/>
    <w:rsid w:val="005B037D"/>
    <w:rsid w:val="005B04EE"/>
    <w:rsid w:val="005B051C"/>
    <w:rsid w:val="005B057B"/>
    <w:rsid w:val="005B0743"/>
    <w:rsid w:val="005B0834"/>
    <w:rsid w:val="005B08BA"/>
    <w:rsid w:val="005B08ED"/>
    <w:rsid w:val="005B0AC0"/>
    <w:rsid w:val="005B0CD6"/>
    <w:rsid w:val="005B0DA9"/>
    <w:rsid w:val="005B0E68"/>
    <w:rsid w:val="005B0F4F"/>
    <w:rsid w:val="005B0FD1"/>
    <w:rsid w:val="005B100E"/>
    <w:rsid w:val="005B109A"/>
    <w:rsid w:val="005B1122"/>
    <w:rsid w:val="005B113A"/>
    <w:rsid w:val="005B1162"/>
    <w:rsid w:val="005B12F1"/>
    <w:rsid w:val="005B1572"/>
    <w:rsid w:val="005B1598"/>
    <w:rsid w:val="005B1655"/>
    <w:rsid w:val="005B16AA"/>
    <w:rsid w:val="005B1868"/>
    <w:rsid w:val="005B1BFF"/>
    <w:rsid w:val="005B1C3D"/>
    <w:rsid w:val="005B1C41"/>
    <w:rsid w:val="005B1D74"/>
    <w:rsid w:val="005B1D7C"/>
    <w:rsid w:val="005B1DC6"/>
    <w:rsid w:val="005B1E68"/>
    <w:rsid w:val="005B1F69"/>
    <w:rsid w:val="005B1FF1"/>
    <w:rsid w:val="005B2070"/>
    <w:rsid w:val="005B22BD"/>
    <w:rsid w:val="005B2645"/>
    <w:rsid w:val="005B274A"/>
    <w:rsid w:val="005B2780"/>
    <w:rsid w:val="005B2833"/>
    <w:rsid w:val="005B291F"/>
    <w:rsid w:val="005B2955"/>
    <w:rsid w:val="005B2A2B"/>
    <w:rsid w:val="005B2B45"/>
    <w:rsid w:val="005B2B91"/>
    <w:rsid w:val="005B2BA8"/>
    <w:rsid w:val="005B2CBD"/>
    <w:rsid w:val="005B2D95"/>
    <w:rsid w:val="005B3136"/>
    <w:rsid w:val="005B318C"/>
    <w:rsid w:val="005B3238"/>
    <w:rsid w:val="005B366D"/>
    <w:rsid w:val="005B36C3"/>
    <w:rsid w:val="005B3772"/>
    <w:rsid w:val="005B3805"/>
    <w:rsid w:val="005B3984"/>
    <w:rsid w:val="005B3A85"/>
    <w:rsid w:val="005B3A8A"/>
    <w:rsid w:val="005B3D06"/>
    <w:rsid w:val="005B3D8D"/>
    <w:rsid w:val="005B3FAD"/>
    <w:rsid w:val="005B3FCB"/>
    <w:rsid w:val="005B4006"/>
    <w:rsid w:val="005B4061"/>
    <w:rsid w:val="005B40B4"/>
    <w:rsid w:val="005B41B6"/>
    <w:rsid w:val="005B42A7"/>
    <w:rsid w:val="005B42BB"/>
    <w:rsid w:val="005B43C3"/>
    <w:rsid w:val="005B449F"/>
    <w:rsid w:val="005B463B"/>
    <w:rsid w:val="005B4820"/>
    <w:rsid w:val="005B4A4E"/>
    <w:rsid w:val="005B4A86"/>
    <w:rsid w:val="005B4AEA"/>
    <w:rsid w:val="005B4B1A"/>
    <w:rsid w:val="005B4B2C"/>
    <w:rsid w:val="005B4B60"/>
    <w:rsid w:val="005B4B82"/>
    <w:rsid w:val="005B4B9E"/>
    <w:rsid w:val="005B4D3E"/>
    <w:rsid w:val="005B4DE7"/>
    <w:rsid w:val="005B4E07"/>
    <w:rsid w:val="005B4E42"/>
    <w:rsid w:val="005B4FBB"/>
    <w:rsid w:val="005B4FD3"/>
    <w:rsid w:val="005B5003"/>
    <w:rsid w:val="005B5035"/>
    <w:rsid w:val="005B50BF"/>
    <w:rsid w:val="005B519D"/>
    <w:rsid w:val="005B51A8"/>
    <w:rsid w:val="005B51FA"/>
    <w:rsid w:val="005B520C"/>
    <w:rsid w:val="005B582F"/>
    <w:rsid w:val="005B585C"/>
    <w:rsid w:val="005B5979"/>
    <w:rsid w:val="005B59E8"/>
    <w:rsid w:val="005B5A65"/>
    <w:rsid w:val="005B5B44"/>
    <w:rsid w:val="005B5BE2"/>
    <w:rsid w:val="005B5CB6"/>
    <w:rsid w:val="005B5ED0"/>
    <w:rsid w:val="005B5ED6"/>
    <w:rsid w:val="005B5F0B"/>
    <w:rsid w:val="005B60A5"/>
    <w:rsid w:val="005B60AC"/>
    <w:rsid w:val="005B6203"/>
    <w:rsid w:val="005B63F7"/>
    <w:rsid w:val="005B644A"/>
    <w:rsid w:val="005B6687"/>
    <w:rsid w:val="005B66FE"/>
    <w:rsid w:val="005B6763"/>
    <w:rsid w:val="005B6767"/>
    <w:rsid w:val="005B679B"/>
    <w:rsid w:val="005B681C"/>
    <w:rsid w:val="005B6BE7"/>
    <w:rsid w:val="005B6D1A"/>
    <w:rsid w:val="005B6DE4"/>
    <w:rsid w:val="005B6E6F"/>
    <w:rsid w:val="005B6F59"/>
    <w:rsid w:val="005B706F"/>
    <w:rsid w:val="005B70F2"/>
    <w:rsid w:val="005B7257"/>
    <w:rsid w:val="005B7288"/>
    <w:rsid w:val="005B72CB"/>
    <w:rsid w:val="005B7311"/>
    <w:rsid w:val="005B745E"/>
    <w:rsid w:val="005B749A"/>
    <w:rsid w:val="005B7542"/>
    <w:rsid w:val="005B7582"/>
    <w:rsid w:val="005B75C4"/>
    <w:rsid w:val="005B7663"/>
    <w:rsid w:val="005B7688"/>
    <w:rsid w:val="005B76F6"/>
    <w:rsid w:val="005B790B"/>
    <w:rsid w:val="005B7A4A"/>
    <w:rsid w:val="005B7A93"/>
    <w:rsid w:val="005B7B0D"/>
    <w:rsid w:val="005B7C8A"/>
    <w:rsid w:val="005B7E99"/>
    <w:rsid w:val="005B7F1D"/>
    <w:rsid w:val="005B7FEF"/>
    <w:rsid w:val="005C012A"/>
    <w:rsid w:val="005C017B"/>
    <w:rsid w:val="005C027E"/>
    <w:rsid w:val="005C0319"/>
    <w:rsid w:val="005C03EE"/>
    <w:rsid w:val="005C0411"/>
    <w:rsid w:val="005C04EC"/>
    <w:rsid w:val="005C0555"/>
    <w:rsid w:val="005C0744"/>
    <w:rsid w:val="005C0787"/>
    <w:rsid w:val="005C083F"/>
    <w:rsid w:val="005C0886"/>
    <w:rsid w:val="005C08FD"/>
    <w:rsid w:val="005C09D1"/>
    <w:rsid w:val="005C0A11"/>
    <w:rsid w:val="005C0A44"/>
    <w:rsid w:val="005C0B98"/>
    <w:rsid w:val="005C0BFD"/>
    <w:rsid w:val="005C0CD5"/>
    <w:rsid w:val="005C0E60"/>
    <w:rsid w:val="005C0F3B"/>
    <w:rsid w:val="005C0F95"/>
    <w:rsid w:val="005C104B"/>
    <w:rsid w:val="005C1064"/>
    <w:rsid w:val="005C12D9"/>
    <w:rsid w:val="005C1541"/>
    <w:rsid w:val="005C16EE"/>
    <w:rsid w:val="005C188C"/>
    <w:rsid w:val="005C1916"/>
    <w:rsid w:val="005C1961"/>
    <w:rsid w:val="005C1B1A"/>
    <w:rsid w:val="005C1B4C"/>
    <w:rsid w:val="005C1B9A"/>
    <w:rsid w:val="005C1C25"/>
    <w:rsid w:val="005C1F2B"/>
    <w:rsid w:val="005C20A9"/>
    <w:rsid w:val="005C216B"/>
    <w:rsid w:val="005C21CF"/>
    <w:rsid w:val="005C2256"/>
    <w:rsid w:val="005C250F"/>
    <w:rsid w:val="005C2558"/>
    <w:rsid w:val="005C263E"/>
    <w:rsid w:val="005C2688"/>
    <w:rsid w:val="005C26E5"/>
    <w:rsid w:val="005C276E"/>
    <w:rsid w:val="005C2775"/>
    <w:rsid w:val="005C2786"/>
    <w:rsid w:val="005C295E"/>
    <w:rsid w:val="005C29A5"/>
    <w:rsid w:val="005C2A58"/>
    <w:rsid w:val="005C2AD7"/>
    <w:rsid w:val="005C2B5A"/>
    <w:rsid w:val="005C2CE8"/>
    <w:rsid w:val="005C2E54"/>
    <w:rsid w:val="005C2EDB"/>
    <w:rsid w:val="005C2F8F"/>
    <w:rsid w:val="005C2FB4"/>
    <w:rsid w:val="005C2FE8"/>
    <w:rsid w:val="005C2FEC"/>
    <w:rsid w:val="005C3030"/>
    <w:rsid w:val="005C315B"/>
    <w:rsid w:val="005C33C5"/>
    <w:rsid w:val="005C33D0"/>
    <w:rsid w:val="005C33D3"/>
    <w:rsid w:val="005C33F3"/>
    <w:rsid w:val="005C3497"/>
    <w:rsid w:val="005C35D8"/>
    <w:rsid w:val="005C35F8"/>
    <w:rsid w:val="005C364B"/>
    <w:rsid w:val="005C36F6"/>
    <w:rsid w:val="005C370F"/>
    <w:rsid w:val="005C37CE"/>
    <w:rsid w:val="005C3805"/>
    <w:rsid w:val="005C3848"/>
    <w:rsid w:val="005C3B70"/>
    <w:rsid w:val="005C3BBA"/>
    <w:rsid w:val="005C3CC2"/>
    <w:rsid w:val="005C3D1B"/>
    <w:rsid w:val="005C3D48"/>
    <w:rsid w:val="005C3DE0"/>
    <w:rsid w:val="005C3F48"/>
    <w:rsid w:val="005C411C"/>
    <w:rsid w:val="005C4240"/>
    <w:rsid w:val="005C428B"/>
    <w:rsid w:val="005C4373"/>
    <w:rsid w:val="005C438F"/>
    <w:rsid w:val="005C43C2"/>
    <w:rsid w:val="005C43DE"/>
    <w:rsid w:val="005C4509"/>
    <w:rsid w:val="005C46C1"/>
    <w:rsid w:val="005C475D"/>
    <w:rsid w:val="005C477A"/>
    <w:rsid w:val="005C4892"/>
    <w:rsid w:val="005C489B"/>
    <w:rsid w:val="005C4A8A"/>
    <w:rsid w:val="005C4B6D"/>
    <w:rsid w:val="005C4B76"/>
    <w:rsid w:val="005C4C1C"/>
    <w:rsid w:val="005C4C43"/>
    <w:rsid w:val="005C4C87"/>
    <w:rsid w:val="005C4D01"/>
    <w:rsid w:val="005C4D8B"/>
    <w:rsid w:val="005C4EB7"/>
    <w:rsid w:val="005C4EF4"/>
    <w:rsid w:val="005C5141"/>
    <w:rsid w:val="005C5269"/>
    <w:rsid w:val="005C52A9"/>
    <w:rsid w:val="005C52D8"/>
    <w:rsid w:val="005C5611"/>
    <w:rsid w:val="005C5642"/>
    <w:rsid w:val="005C56A2"/>
    <w:rsid w:val="005C5739"/>
    <w:rsid w:val="005C578E"/>
    <w:rsid w:val="005C5876"/>
    <w:rsid w:val="005C5A67"/>
    <w:rsid w:val="005C5BAD"/>
    <w:rsid w:val="005C5D2F"/>
    <w:rsid w:val="005C5D5D"/>
    <w:rsid w:val="005C5D86"/>
    <w:rsid w:val="005C5E77"/>
    <w:rsid w:val="005C5F71"/>
    <w:rsid w:val="005C607F"/>
    <w:rsid w:val="005C60D5"/>
    <w:rsid w:val="005C6102"/>
    <w:rsid w:val="005C61C6"/>
    <w:rsid w:val="005C6368"/>
    <w:rsid w:val="005C63BE"/>
    <w:rsid w:val="005C63F6"/>
    <w:rsid w:val="005C644F"/>
    <w:rsid w:val="005C649B"/>
    <w:rsid w:val="005C64B6"/>
    <w:rsid w:val="005C659D"/>
    <w:rsid w:val="005C6604"/>
    <w:rsid w:val="005C661A"/>
    <w:rsid w:val="005C674A"/>
    <w:rsid w:val="005C6793"/>
    <w:rsid w:val="005C67A8"/>
    <w:rsid w:val="005C67AE"/>
    <w:rsid w:val="005C69FD"/>
    <w:rsid w:val="005C6BB2"/>
    <w:rsid w:val="005C6E77"/>
    <w:rsid w:val="005C6EEE"/>
    <w:rsid w:val="005C6F44"/>
    <w:rsid w:val="005C7369"/>
    <w:rsid w:val="005C74EA"/>
    <w:rsid w:val="005C751B"/>
    <w:rsid w:val="005C7841"/>
    <w:rsid w:val="005C797D"/>
    <w:rsid w:val="005C7E0E"/>
    <w:rsid w:val="005C7E1D"/>
    <w:rsid w:val="005C7F97"/>
    <w:rsid w:val="005D0018"/>
    <w:rsid w:val="005D00AA"/>
    <w:rsid w:val="005D02E8"/>
    <w:rsid w:val="005D0451"/>
    <w:rsid w:val="005D0489"/>
    <w:rsid w:val="005D04DA"/>
    <w:rsid w:val="005D051E"/>
    <w:rsid w:val="005D0879"/>
    <w:rsid w:val="005D0A0C"/>
    <w:rsid w:val="005D0AEA"/>
    <w:rsid w:val="005D0B22"/>
    <w:rsid w:val="005D0B7D"/>
    <w:rsid w:val="005D0BAA"/>
    <w:rsid w:val="005D0D06"/>
    <w:rsid w:val="005D0E77"/>
    <w:rsid w:val="005D1253"/>
    <w:rsid w:val="005D12A6"/>
    <w:rsid w:val="005D12AA"/>
    <w:rsid w:val="005D1460"/>
    <w:rsid w:val="005D15D9"/>
    <w:rsid w:val="005D1608"/>
    <w:rsid w:val="005D1663"/>
    <w:rsid w:val="005D166D"/>
    <w:rsid w:val="005D1840"/>
    <w:rsid w:val="005D18C3"/>
    <w:rsid w:val="005D1A23"/>
    <w:rsid w:val="005D1A46"/>
    <w:rsid w:val="005D1B06"/>
    <w:rsid w:val="005D1C18"/>
    <w:rsid w:val="005D1DDA"/>
    <w:rsid w:val="005D1EC8"/>
    <w:rsid w:val="005D1ED8"/>
    <w:rsid w:val="005D203E"/>
    <w:rsid w:val="005D20F4"/>
    <w:rsid w:val="005D20F8"/>
    <w:rsid w:val="005D2212"/>
    <w:rsid w:val="005D2215"/>
    <w:rsid w:val="005D22C1"/>
    <w:rsid w:val="005D22F8"/>
    <w:rsid w:val="005D230A"/>
    <w:rsid w:val="005D239A"/>
    <w:rsid w:val="005D2685"/>
    <w:rsid w:val="005D274C"/>
    <w:rsid w:val="005D289C"/>
    <w:rsid w:val="005D28CC"/>
    <w:rsid w:val="005D28D1"/>
    <w:rsid w:val="005D2973"/>
    <w:rsid w:val="005D2AC8"/>
    <w:rsid w:val="005D2B1A"/>
    <w:rsid w:val="005D2CDA"/>
    <w:rsid w:val="005D2E8E"/>
    <w:rsid w:val="005D2FB8"/>
    <w:rsid w:val="005D30B3"/>
    <w:rsid w:val="005D3160"/>
    <w:rsid w:val="005D328F"/>
    <w:rsid w:val="005D32D7"/>
    <w:rsid w:val="005D3347"/>
    <w:rsid w:val="005D33CE"/>
    <w:rsid w:val="005D33FF"/>
    <w:rsid w:val="005D3597"/>
    <w:rsid w:val="005D36A0"/>
    <w:rsid w:val="005D3A83"/>
    <w:rsid w:val="005D3A9D"/>
    <w:rsid w:val="005D3ADF"/>
    <w:rsid w:val="005D3AF8"/>
    <w:rsid w:val="005D3B0C"/>
    <w:rsid w:val="005D3B63"/>
    <w:rsid w:val="005D3BFF"/>
    <w:rsid w:val="005D3C0E"/>
    <w:rsid w:val="005D3DA4"/>
    <w:rsid w:val="005D3E0D"/>
    <w:rsid w:val="005D3E17"/>
    <w:rsid w:val="005D4043"/>
    <w:rsid w:val="005D4338"/>
    <w:rsid w:val="005D4394"/>
    <w:rsid w:val="005D43B0"/>
    <w:rsid w:val="005D43FC"/>
    <w:rsid w:val="005D453E"/>
    <w:rsid w:val="005D477E"/>
    <w:rsid w:val="005D47B9"/>
    <w:rsid w:val="005D486E"/>
    <w:rsid w:val="005D49EC"/>
    <w:rsid w:val="005D4AF4"/>
    <w:rsid w:val="005D4B4A"/>
    <w:rsid w:val="005D4CAC"/>
    <w:rsid w:val="005D4CD3"/>
    <w:rsid w:val="005D4DC9"/>
    <w:rsid w:val="005D4E54"/>
    <w:rsid w:val="005D4E7E"/>
    <w:rsid w:val="005D4F7D"/>
    <w:rsid w:val="005D4F8E"/>
    <w:rsid w:val="005D5125"/>
    <w:rsid w:val="005D51E4"/>
    <w:rsid w:val="005D523D"/>
    <w:rsid w:val="005D5262"/>
    <w:rsid w:val="005D5288"/>
    <w:rsid w:val="005D5367"/>
    <w:rsid w:val="005D538B"/>
    <w:rsid w:val="005D545C"/>
    <w:rsid w:val="005D54E5"/>
    <w:rsid w:val="005D552E"/>
    <w:rsid w:val="005D559C"/>
    <w:rsid w:val="005D578C"/>
    <w:rsid w:val="005D57FA"/>
    <w:rsid w:val="005D582B"/>
    <w:rsid w:val="005D58FB"/>
    <w:rsid w:val="005D5A39"/>
    <w:rsid w:val="005D5AB3"/>
    <w:rsid w:val="005D5B63"/>
    <w:rsid w:val="005D5C10"/>
    <w:rsid w:val="005D5C8F"/>
    <w:rsid w:val="005D5CD7"/>
    <w:rsid w:val="005D5EA4"/>
    <w:rsid w:val="005D5EF4"/>
    <w:rsid w:val="005D606B"/>
    <w:rsid w:val="005D6112"/>
    <w:rsid w:val="005D6161"/>
    <w:rsid w:val="005D61EC"/>
    <w:rsid w:val="005D6307"/>
    <w:rsid w:val="005D6357"/>
    <w:rsid w:val="005D6379"/>
    <w:rsid w:val="005D643E"/>
    <w:rsid w:val="005D65A4"/>
    <w:rsid w:val="005D65E6"/>
    <w:rsid w:val="005D66B5"/>
    <w:rsid w:val="005D69BC"/>
    <w:rsid w:val="005D6B96"/>
    <w:rsid w:val="005D6C36"/>
    <w:rsid w:val="005D6C61"/>
    <w:rsid w:val="005D6F96"/>
    <w:rsid w:val="005D70C9"/>
    <w:rsid w:val="005D7118"/>
    <w:rsid w:val="005D71F5"/>
    <w:rsid w:val="005D7262"/>
    <w:rsid w:val="005D7396"/>
    <w:rsid w:val="005D739F"/>
    <w:rsid w:val="005D73C3"/>
    <w:rsid w:val="005D7511"/>
    <w:rsid w:val="005D7667"/>
    <w:rsid w:val="005D77B7"/>
    <w:rsid w:val="005D77DC"/>
    <w:rsid w:val="005D77E5"/>
    <w:rsid w:val="005D780A"/>
    <w:rsid w:val="005D794E"/>
    <w:rsid w:val="005D7A49"/>
    <w:rsid w:val="005D7B78"/>
    <w:rsid w:val="005D7C88"/>
    <w:rsid w:val="005D7D37"/>
    <w:rsid w:val="005D7DE5"/>
    <w:rsid w:val="005D7DF5"/>
    <w:rsid w:val="005D7E60"/>
    <w:rsid w:val="005D7E9F"/>
    <w:rsid w:val="005D7F33"/>
    <w:rsid w:val="005D7F46"/>
    <w:rsid w:val="005D7FA1"/>
    <w:rsid w:val="005E0064"/>
    <w:rsid w:val="005E00F7"/>
    <w:rsid w:val="005E01A1"/>
    <w:rsid w:val="005E02D0"/>
    <w:rsid w:val="005E030E"/>
    <w:rsid w:val="005E044D"/>
    <w:rsid w:val="005E0487"/>
    <w:rsid w:val="005E058E"/>
    <w:rsid w:val="005E05DB"/>
    <w:rsid w:val="005E0799"/>
    <w:rsid w:val="005E0865"/>
    <w:rsid w:val="005E093C"/>
    <w:rsid w:val="005E094D"/>
    <w:rsid w:val="005E09B6"/>
    <w:rsid w:val="005E09C2"/>
    <w:rsid w:val="005E09C8"/>
    <w:rsid w:val="005E0AD7"/>
    <w:rsid w:val="005E0C12"/>
    <w:rsid w:val="005E0D23"/>
    <w:rsid w:val="005E0DBC"/>
    <w:rsid w:val="005E0DFD"/>
    <w:rsid w:val="005E0F89"/>
    <w:rsid w:val="005E0FCA"/>
    <w:rsid w:val="005E0FE1"/>
    <w:rsid w:val="005E1119"/>
    <w:rsid w:val="005E114B"/>
    <w:rsid w:val="005E1179"/>
    <w:rsid w:val="005E1260"/>
    <w:rsid w:val="005E129D"/>
    <w:rsid w:val="005E133E"/>
    <w:rsid w:val="005E137F"/>
    <w:rsid w:val="005E1416"/>
    <w:rsid w:val="005E1620"/>
    <w:rsid w:val="005E1638"/>
    <w:rsid w:val="005E1647"/>
    <w:rsid w:val="005E169D"/>
    <w:rsid w:val="005E1893"/>
    <w:rsid w:val="005E195F"/>
    <w:rsid w:val="005E1AF0"/>
    <w:rsid w:val="005E1B3E"/>
    <w:rsid w:val="005E1C91"/>
    <w:rsid w:val="005E1F29"/>
    <w:rsid w:val="005E217C"/>
    <w:rsid w:val="005E229E"/>
    <w:rsid w:val="005E238E"/>
    <w:rsid w:val="005E2567"/>
    <w:rsid w:val="005E2626"/>
    <w:rsid w:val="005E26F1"/>
    <w:rsid w:val="005E2712"/>
    <w:rsid w:val="005E2869"/>
    <w:rsid w:val="005E2945"/>
    <w:rsid w:val="005E298D"/>
    <w:rsid w:val="005E2AC2"/>
    <w:rsid w:val="005E2BB1"/>
    <w:rsid w:val="005E2BDF"/>
    <w:rsid w:val="005E2C36"/>
    <w:rsid w:val="005E2C9F"/>
    <w:rsid w:val="005E2CDB"/>
    <w:rsid w:val="005E2E2E"/>
    <w:rsid w:val="005E2E67"/>
    <w:rsid w:val="005E305E"/>
    <w:rsid w:val="005E313B"/>
    <w:rsid w:val="005E317C"/>
    <w:rsid w:val="005E318A"/>
    <w:rsid w:val="005E34AD"/>
    <w:rsid w:val="005E34CE"/>
    <w:rsid w:val="005E3639"/>
    <w:rsid w:val="005E3908"/>
    <w:rsid w:val="005E3A1C"/>
    <w:rsid w:val="005E3A74"/>
    <w:rsid w:val="005E3B27"/>
    <w:rsid w:val="005E3C60"/>
    <w:rsid w:val="005E3D96"/>
    <w:rsid w:val="005E41B2"/>
    <w:rsid w:val="005E42FA"/>
    <w:rsid w:val="005E437F"/>
    <w:rsid w:val="005E45F6"/>
    <w:rsid w:val="005E4638"/>
    <w:rsid w:val="005E46E2"/>
    <w:rsid w:val="005E47ED"/>
    <w:rsid w:val="005E48A5"/>
    <w:rsid w:val="005E49F9"/>
    <w:rsid w:val="005E4A23"/>
    <w:rsid w:val="005E4A7A"/>
    <w:rsid w:val="005E4B23"/>
    <w:rsid w:val="005E4B31"/>
    <w:rsid w:val="005E4BCE"/>
    <w:rsid w:val="005E4CBD"/>
    <w:rsid w:val="005E4DAD"/>
    <w:rsid w:val="005E4DB8"/>
    <w:rsid w:val="005E4ED3"/>
    <w:rsid w:val="005E4F93"/>
    <w:rsid w:val="005E5062"/>
    <w:rsid w:val="005E50A7"/>
    <w:rsid w:val="005E5165"/>
    <w:rsid w:val="005E52C8"/>
    <w:rsid w:val="005E52D8"/>
    <w:rsid w:val="005E52F3"/>
    <w:rsid w:val="005E5383"/>
    <w:rsid w:val="005E53DC"/>
    <w:rsid w:val="005E5480"/>
    <w:rsid w:val="005E54A9"/>
    <w:rsid w:val="005E54F9"/>
    <w:rsid w:val="005E5643"/>
    <w:rsid w:val="005E567B"/>
    <w:rsid w:val="005E56AD"/>
    <w:rsid w:val="005E56F3"/>
    <w:rsid w:val="005E578A"/>
    <w:rsid w:val="005E57B9"/>
    <w:rsid w:val="005E588C"/>
    <w:rsid w:val="005E5B32"/>
    <w:rsid w:val="005E5BD5"/>
    <w:rsid w:val="005E5DDF"/>
    <w:rsid w:val="005E5E62"/>
    <w:rsid w:val="005E5F57"/>
    <w:rsid w:val="005E60FB"/>
    <w:rsid w:val="005E61A3"/>
    <w:rsid w:val="005E6258"/>
    <w:rsid w:val="005E6266"/>
    <w:rsid w:val="005E65A9"/>
    <w:rsid w:val="005E6838"/>
    <w:rsid w:val="005E69C5"/>
    <w:rsid w:val="005E6A28"/>
    <w:rsid w:val="005E6A65"/>
    <w:rsid w:val="005E6AA4"/>
    <w:rsid w:val="005E6C19"/>
    <w:rsid w:val="005E700A"/>
    <w:rsid w:val="005E7054"/>
    <w:rsid w:val="005E7115"/>
    <w:rsid w:val="005E712F"/>
    <w:rsid w:val="005E72DF"/>
    <w:rsid w:val="005E730B"/>
    <w:rsid w:val="005E735D"/>
    <w:rsid w:val="005E74BA"/>
    <w:rsid w:val="005E767C"/>
    <w:rsid w:val="005E7776"/>
    <w:rsid w:val="005E7781"/>
    <w:rsid w:val="005E7796"/>
    <w:rsid w:val="005E7AF5"/>
    <w:rsid w:val="005E7C5F"/>
    <w:rsid w:val="005E7CC8"/>
    <w:rsid w:val="005E7E7E"/>
    <w:rsid w:val="005E7F34"/>
    <w:rsid w:val="005F030F"/>
    <w:rsid w:val="005F0364"/>
    <w:rsid w:val="005F06F6"/>
    <w:rsid w:val="005F0789"/>
    <w:rsid w:val="005F0976"/>
    <w:rsid w:val="005F0A2B"/>
    <w:rsid w:val="005F0B04"/>
    <w:rsid w:val="005F0B9F"/>
    <w:rsid w:val="005F0C2B"/>
    <w:rsid w:val="005F0CA3"/>
    <w:rsid w:val="005F0D7F"/>
    <w:rsid w:val="005F100E"/>
    <w:rsid w:val="005F109C"/>
    <w:rsid w:val="005F10BC"/>
    <w:rsid w:val="005F10C5"/>
    <w:rsid w:val="005F11CC"/>
    <w:rsid w:val="005F150D"/>
    <w:rsid w:val="005F1597"/>
    <w:rsid w:val="005F15C5"/>
    <w:rsid w:val="005F16B1"/>
    <w:rsid w:val="005F1840"/>
    <w:rsid w:val="005F196F"/>
    <w:rsid w:val="005F1978"/>
    <w:rsid w:val="005F1C74"/>
    <w:rsid w:val="005F1D11"/>
    <w:rsid w:val="005F1D66"/>
    <w:rsid w:val="005F1DDD"/>
    <w:rsid w:val="005F2034"/>
    <w:rsid w:val="005F24B7"/>
    <w:rsid w:val="005F24EE"/>
    <w:rsid w:val="005F2544"/>
    <w:rsid w:val="005F257B"/>
    <w:rsid w:val="005F2619"/>
    <w:rsid w:val="005F2644"/>
    <w:rsid w:val="005F2709"/>
    <w:rsid w:val="005F2974"/>
    <w:rsid w:val="005F2A45"/>
    <w:rsid w:val="005F2B44"/>
    <w:rsid w:val="005F2C4F"/>
    <w:rsid w:val="005F2D4E"/>
    <w:rsid w:val="005F2D78"/>
    <w:rsid w:val="005F2E75"/>
    <w:rsid w:val="005F2F9F"/>
    <w:rsid w:val="005F304D"/>
    <w:rsid w:val="005F308C"/>
    <w:rsid w:val="005F30FA"/>
    <w:rsid w:val="005F3104"/>
    <w:rsid w:val="005F313E"/>
    <w:rsid w:val="005F3413"/>
    <w:rsid w:val="005F3469"/>
    <w:rsid w:val="005F3588"/>
    <w:rsid w:val="005F35BC"/>
    <w:rsid w:val="005F3748"/>
    <w:rsid w:val="005F39AF"/>
    <w:rsid w:val="005F3A60"/>
    <w:rsid w:val="005F3A90"/>
    <w:rsid w:val="005F3C07"/>
    <w:rsid w:val="005F3CF1"/>
    <w:rsid w:val="005F3CF9"/>
    <w:rsid w:val="005F3D1B"/>
    <w:rsid w:val="005F3D22"/>
    <w:rsid w:val="005F3EBC"/>
    <w:rsid w:val="005F3EE3"/>
    <w:rsid w:val="005F3F87"/>
    <w:rsid w:val="005F417E"/>
    <w:rsid w:val="005F4263"/>
    <w:rsid w:val="005F438A"/>
    <w:rsid w:val="005F43D6"/>
    <w:rsid w:val="005F461C"/>
    <w:rsid w:val="005F475E"/>
    <w:rsid w:val="005F4AA7"/>
    <w:rsid w:val="005F4E18"/>
    <w:rsid w:val="005F4E2F"/>
    <w:rsid w:val="005F5268"/>
    <w:rsid w:val="005F555B"/>
    <w:rsid w:val="005F560F"/>
    <w:rsid w:val="005F5738"/>
    <w:rsid w:val="005F5848"/>
    <w:rsid w:val="005F5864"/>
    <w:rsid w:val="005F58A6"/>
    <w:rsid w:val="005F590D"/>
    <w:rsid w:val="005F5A25"/>
    <w:rsid w:val="005F5A44"/>
    <w:rsid w:val="005F5B53"/>
    <w:rsid w:val="005F5D31"/>
    <w:rsid w:val="005F5D4C"/>
    <w:rsid w:val="005F5EF8"/>
    <w:rsid w:val="005F6002"/>
    <w:rsid w:val="005F6006"/>
    <w:rsid w:val="005F613E"/>
    <w:rsid w:val="005F63E3"/>
    <w:rsid w:val="005F6410"/>
    <w:rsid w:val="005F6561"/>
    <w:rsid w:val="005F65D5"/>
    <w:rsid w:val="005F65F9"/>
    <w:rsid w:val="005F68C8"/>
    <w:rsid w:val="005F6A5B"/>
    <w:rsid w:val="005F6A9A"/>
    <w:rsid w:val="005F6DD0"/>
    <w:rsid w:val="005F6E15"/>
    <w:rsid w:val="005F6EB4"/>
    <w:rsid w:val="005F6EC8"/>
    <w:rsid w:val="005F6FC0"/>
    <w:rsid w:val="005F7071"/>
    <w:rsid w:val="005F7264"/>
    <w:rsid w:val="005F75AE"/>
    <w:rsid w:val="005F7658"/>
    <w:rsid w:val="005F76A3"/>
    <w:rsid w:val="005F799C"/>
    <w:rsid w:val="005F7A98"/>
    <w:rsid w:val="005F7BCA"/>
    <w:rsid w:val="005F7BD7"/>
    <w:rsid w:val="005F7D8F"/>
    <w:rsid w:val="005F7DB1"/>
    <w:rsid w:val="005F7E0B"/>
    <w:rsid w:val="005F7F03"/>
    <w:rsid w:val="005F7F86"/>
    <w:rsid w:val="006001A3"/>
    <w:rsid w:val="00600253"/>
    <w:rsid w:val="006002CC"/>
    <w:rsid w:val="006002ED"/>
    <w:rsid w:val="00600317"/>
    <w:rsid w:val="0060040C"/>
    <w:rsid w:val="0060045E"/>
    <w:rsid w:val="006006FE"/>
    <w:rsid w:val="00600799"/>
    <w:rsid w:val="00600D16"/>
    <w:rsid w:val="00600DE3"/>
    <w:rsid w:val="00600E8C"/>
    <w:rsid w:val="00600EAD"/>
    <w:rsid w:val="00601024"/>
    <w:rsid w:val="006011C2"/>
    <w:rsid w:val="00601212"/>
    <w:rsid w:val="00601276"/>
    <w:rsid w:val="00601370"/>
    <w:rsid w:val="0060141F"/>
    <w:rsid w:val="00601525"/>
    <w:rsid w:val="00601625"/>
    <w:rsid w:val="00601783"/>
    <w:rsid w:val="00601831"/>
    <w:rsid w:val="00601A00"/>
    <w:rsid w:val="00601A2E"/>
    <w:rsid w:val="00601A56"/>
    <w:rsid w:val="00601B49"/>
    <w:rsid w:val="00601B6F"/>
    <w:rsid w:val="00601D99"/>
    <w:rsid w:val="00601DB0"/>
    <w:rsid w:val="00601EE0"/>
    <w:rsid w:val="00601EE3"/>
    <w:rsid w:val="0060215F"/>
    <w:rsid w:val="00602258"/>
    <w:rsid w:val="0060234D"/>
    <w:rsid w:val="006023B1"/>
    <w:rsid w:val="006024E2"/>
    <w:rsid w:val="0060251C"/>
    <w:rsid w:val="0060252A"/>
    <w:rsid w:val="00602619"/>
    <w:rsid w:val="00602735"/>
    <w:rsid w:val="00602823"/>
    <w:rsid w:val="006028D1"/>
    <w:rsid w:val="00602A00"/>
    <w:rsid w:val="00602ADC"/>
    <w:rsid w:val="00602B92"/>
    <w:rsid w:val="00602D50"/>
    <w:rsid w:val="00602ED6"/>
    <w:rsid w:val="006030D1"/>
    <w:rsid w:val="00603194"/>
    <w:rsid w:val="006031E3"/>
    <w:rsid w:val="006032A6"/>
    <w:rsid w:val="00603446"/>
    <w:rsid w:val="0060348A"/>
    <w:rsid w:val="0060349C"/>
    <w:rsid w:val="006036CE"/>
    <w:rsid w:val="00603733"/>
    <w:rsid w:val="006037DE"/>
    <w:rsid w:val="0060381F"/>
    <w:rsid w:val="006039D2"/>
    <w:rsid w:val="00603A8E"/>
    <w:rsid w:val="00603AC5"/>
    <w:rsid w:val="00603AED"/>
    <w:rsid w:val="00603B46"/>
    <w:rsid w:val="00603B58"/>
    <w:rsid w:val="00603BB9"/>
    <w:rsid w:val="00603EFF"/>
    <w:rsid w:val="00603FC5"/>
    <w:rsid w:val="006040E0"/>
    <w:rsid w:val="006041FB"/>
    <w:rsid w:val="0060424F"/>
    <w:rsid w:val="0060468D"/>
    <w:rsid w:val="006046CF"/>
    <w:rsid w:val="00604704"/>
    <w:rsid w:val="00604946"/>
    <w:rsid w:val="006049FA"/>
    <w:rsid w:val="00604A65"/>
    <w:rsid w:val="00604BB7"/>
    <w:rsid w:val="00604BD7"/>
    <w:rsid w:val="00604BFF"/>
    <w:rsid w:val="00604C6A"/>
    <w:rsid w:val="00604CE7"/>
    <w:rsid w:val="00604D19"/>
    <w:rsid w:val="00604D3B"/>
    <w:rsid w:val="00604ECA"/>
    <w:rsid w:val="00604F20"/>
    <w:rsid w:val="006051F2"/>
    <w:rsid w:val="006052C3"/>
    <w:rsid w:val="00605452"/>
    <w:rsid w:val="00605897"/>
    <w:rsid w:val="0060596D"/>
    <w:rsid w:val="00605AE7"/>
    <w:rsid w:val="00605BF0"/>
    <w:rsid w:val="00605C4E"/>
    <w:rsid w:val="00605CEB"/>
    <w:rsid w:val="00605D66"/>
    <w:rsid w:val="00605E3E"/>
    <w:rsid w:val="00605E9A"/>
    <w:rsid w:val="00605F97"/>
    <w:rsid w:val="006060D4"/>
    <w:rsid w:val="006061C5"/>
    <w:rsid w:val="0060625F"/>
    <w:rsid w:val="00606432"/>
    <w:rsid w:val="0060668A"/>
    <w:rsid w:val="006067F4"/>
    <w:rsid w:val="006068E7"/>
    <w:rsid w:val="00606915"/>
    <w:rsid w:val="0060691C"/>
    <w:rsid w:val="00606937"/>
    <w:rsid w:val="006069AE"/>
    <w:rsid w:val="00606A4C"/>
    <w:rsid w:val="00606A54"/>
    <w:rsid w:val="00606A69"/>
    <w:rsid w:val="00606B12"/>
    <w:rsid w:val="00606C28"/>
    <w:rsid w:val="00606C54"/>
    <w:rsid w:val="00606E02"/>
    <w:rsid w:val="00606F05"/>
    <w:rsid w:val="006070CE"/>
    <w:rsid w:val="00607158"/>
    <w:rsid w:val="00607314"/>
    <w:rsid w:val="0060733D"/>
    <w:rsid w:val="00607340"/>
    <w:rsid w:val="00607363"/>
    <w:rsid w:val="006074DE"/>
    <w:rsid w:val="00607859"/>
    <w:rsid w:val="0060787E"/>
    <w:rsid w:val="006079A4"/>
    <w:rsid w:val="006079B7"/>
    <w:rsid w:val="00607B01"/>
    <w:rsid w:val="00607B30"/>
    <w:rsid w:val="00607BDC"/>
    <w:rsid w:val="00607C23"/>
    <w:rsid w:val="00607D06"/>
    <w:rsid w:val="00607D0A"/>
    <w:rsid w:val="00607D22"/>
    <w:rsid w:val="00607D35"/>
    <w:rsid w:val="00607E6F"/>
    <w:rsid w:val="00607F2F"/>
    <w:rsid w:val="00607FB3"/>
    <w:rsid w:val="00607FE1"/>
    <w:rsid w:val="00610092"/>
    <w:rsid w:val="006101E2"/>
    <w:rsid w:val="0061028B"/>
    <w:rsid w:val="006102B3"/>
    <w:rsid w:val="00610471"/>
    <w:rsid w:val="006104E8"/>
    <w:rsid w:val="00610509"/>
    <w:rsid w:val="0061053E"/>
    <w:rsid w:val="0061073B"/>
    <w:rsid w:val="00610880"/>
    <w:rsid w:val="00610B90"/>
    <w:rsid w:val="00610C75"/>
    <w:rsid w:val="00610C83"/>
    <w:rsid w:val="00610CE6"/>
    <w:rsid w:val="00610D7F"/>
    <w:rsid w:val="00610ED4"/>
    <w:rsid w:val="00610EE9"/>
    <w:rsid w:val="00610FDD"/>
    <w:rsid w:val="006111A6"/>
    <w:rsid w:val="006114A9"/>
    <w:rsid w:val="006115DB"/>
    <w:rsid w:val="006118C9"/>
    <w:rsid w:val="00611994"/>
    <w:rsid w:val="00611A85"/>
    <w:rsid w:val="00611B0F"/>
    <w:rsid w:val="00611C0F"/>
    <w:rsid w:val="00611DD1"/>
    <w:rsid w:val="00611E3C"/>
    <w:rsid w:val="00611F17"/>
    <w:rsid w:val="00611FC0"/>
    <w:rsid w:val="0061205F"/>
    <w:rsid w:val="006120A4"/>
    <w:rsid w:val="00612214"/>
    <w:rsid w:val="0061234F"/>
    <w:rsid w:val="00612497"/>
    <w:rsid w:val="00612552"/>
    <w:rsid w:val="0061258B"/>
    <w:rsid w:val="00612902"/>
    <w:rsid w:val="0061297C"/>
    <w:rsid w:val="00612A03"/>
    <w:rsid w:val="00612F81"/>
    <w:rsid w:val="00613146"/>
    <w:rsid w:val="00613287"/>
    <w:rsid w:val="006132E8"/>
    <w:rsid w:val="00613435"/>
    <w:rsid w:val="00613513"/>
    <w:rsid w:val="0061353A"/>
    <w:rsid w:val="00613558"/>
    <w:rsid w:val="006135F1"/>
    <w:rsid w:val="00613689"/>
    <w:rsid w:val="00613A37"/>
    <w:rsid w:val="00613D47"/>
    <w:rsid w:val="00613E71"/>
    <w:rsid w:val="00613E88"/>
    <w:rsid w:val="00613EF8"/>
    <w:rsid w:val="00613F8B"/>
    <w:rsid w:val="00614034"/>
    <w:rsid w:val="006141AC"/>
    <w:rsid w:val="00614262"/>
    <w:rsid w:val="00614348"/>
    <w:rsid w:val="0061442E"/>
    <w:rsid w:val="0061447B"/>
    <w:rsid w:val="006144D5"/>
    <w:rsid w:val="0061452A"/>
    <w:rsid w:val="0061454D"/>
    <w:rsid w:val="00614610"/>
    <w:rsid w:val="00614795"/>
    <w:rsid w:val="006147D8"/>
    <w:rsid w:val="006147FD"/>
    <w:rsid w:val="00614901"/>
    <w:rsid w:val="00614A62"/>
    <w:rsid w:val="00614AD8"/>
    <w:rsid w:val="00614C2B"/>
    <w:rsid w:val="00614C4D"/>
    <w:rsid w:val="00614C81"/>
    <w:rsid w:val="00614CCF"/>
    <w:rsid w:val="00614D90"/>
    <w:rsid w:val="00614DE1"/>
    <w:rsid w:val="00614E95"/>
    <w:rsid w:val="00614F8B"/>
    <w:rsid w:val="00615022"/>
    <w:rsid w:val="0061504F"/>
    <w:rsid w:val="006151C3"/>
    <w:rsid w:val="00615226"/>
    <w:rsid w:val="006152FF"/>
    <w:rsid w:val="0061533F"/>
    <w:rsid w:val="00615450"/>
    <w:rsid w:val="00615578"/>
    <w:rsid w:val="00615773"/>
    <w:rsid w:val="006157D5"/>
    <w:rsid w:val="0061592D"/>
    <w:rsid w:val="00615B72"/>
    <w:rsid w:val="00615BBF"/>
    <w:rsid w:val="00615C52"/>
    <w:rsid w:val="00615CDA"/>
    <w:rsid w:val="00615D74"/>
    <w:rsid w:val="00615E24"/>
    <w:rsid w:val="00615F6B"/>
    <w:rsid w:val="00615F9D"/>
    <w:rsid w:val="00616069"/>
    <w:rsid w:val="006160B6"/>
    <w:rsid w:val="006160B9"/>
    <w:rsid w:val="0061612F"/>
    <w:rsid w:val="006161BF"/>
    <w:rsid w:val="006161CD"/>
    <w:rsid w:val="006162EC"/>
    <w:rsid w:val="006163F3"/>
    <w:rsid w:val="0061645F"/>
    <w:rsid w:val="006164B7"/>
    <w:rsid w:val="006165A4"/>
    <w:rsid w:val="00616610"/>
    <w:rsid w:val="00616742"/>
    <w:rsid w:val="00616928"/>
    <w:rsid w:val="00616940"/>
    <w:rsid w:val="00616B4B"/>
    <w:rsid w:val="00616C85"/>
    <w:rsid w:val="00616D01"/>
    <w:rsid w:val="00616DBC"/>
    <w:rsid w:val="00616E57"/>
    <w:rsid w:val="00616F0F"/>
    <w:rsid w:val="00616F3B"/>
    <w:rsid w:val="00616F70"/>
    <w:rsid w:val="00616F95"/>
    <w:rsid w:val="00616FDB"/>
    <w:rsid w:val="006170F6"/>
    <w:rsid w:val="0061726F"/>
    <w:rsid w:val="006172D3"/>
    <w:rsid w:val="0061738E"/>
    <w:rsid w:val="006174D8"/>
    <w:rsid w:val="006174F8"/>
    <w:rsid w:val="006174FE"/>
    <w:rsid w:val="00617693"/>
    <w:rsid w:val="0061770D"/>
    <w:rsid w:val="006177E2"/>
    <w:rsid w:val="00617AAE"/>
    <w:rsid w:val="00617B81"/>
    <w:rsid w:val="00617BBD"/>
    <w:rsid w:val="00617CC9"/>
    <w:rsid w:val="00617D7A"/>
    <w:rsid w:val="00617DE0"/>
    <w:rsid w:val="00617F6D"/>
    <w:rsid w:val="006201E7"/>
    <w:rsid w:val="006202CB"/>
    <w:rsid w:val="006205BE"/>
    <w:rsid w:val="00620722"/>
    <w:rsid w:val="00620751"/>
    <w:rsid w:val="006207FC"/>
    <w:rsid w:val="0062081E"/>
    <w:rsid w:val="00620854"/>
    <w:rsid w:val="006208AB"/>
    <w:rsid w:val="006208B5"/>
    <w:rsid w:val="00620948"/>
    <w:rsid w:val="00620A48"/>
    <w:rsid w:val="00620B15"/>
    <w:rsid w:val="00620DE7"/>
    <w:rsid w:val="00620F09"/>
    <w:rsid w:val="00620FBD"/>
    <w:rsid w:val="00620FD3"/>
    <w:rsid w:val="00620FFB"/>
    <w:rsid w:val="00621041"/>
    <w:rsid w:val="00621166"/>
    <w:rsid w:val="006212C9"/>
    <w:rsid w:val="00621420"/>
    <w:rsid w:val="00621435"/>
    <w:rsid w:val="006215CF"/>
    <w:rsid w:val="006216B6"/>
    <w:rsid w:val="006216B8"/>
    <w:rsid w:val="006216CD"/>
    <w:rsid w:val="00621811"/>
    <w:rsid w:val="00621822"/>
    <w:rsid w:val="006218E5"/>
    <w:rsid w:val="00621929"/>
    <w:rsid w:val="006219B5"/>
    <w:rsid w:val="00621AE5"/>
    <w:rsid w:val="00621AFA"/>
    <w:rsid w:val="00621BB7"/>
    <w:rsid w:val="00621BE8"/>
    <w:rsid w:val="00621C3C"/>
    <w:rsid w:val="00621F5C"/>
    <w:rsid w:val="00622042"/>
    <w:rsid w:val="006220CD"/>
    <w:rsid w:val="00622168"/>
    <w:rsid w:val="0062245B"/>
    <w:rsid w:val="00622478"/>
    <w:rsid w:val="006224BC"/>
    <w:rsid w:val="006224E6"/>
    <w:rsid w:val="00622504"/>
    <w:rsid w:val="00622522"/>
    <w:rsid w:val="00622568"/>
    <w:rsid w:val="00622628"/>
    <w:rsid w:val="0062267B"/>
    <w:rsid w:val="0062267D"/>
    <w:rsid w:val="0062270D"/>
    <w:rsid w:val="00622769"/>
    <w:rsid w:val="0062278B"/>
    <w:rsid w:val="00622829"/>
    <w:rsid w:val="00622AFA"/>
    <w:rsid w:val="00622C2D"/>
    <w:rsid w:val="00622CCC"/>
    <w:rsid w:val="00622DD7"/>
    <w:rsid w:val="00622E72"/>
    <w:rsid w:val="00622FF2"/>
    <w:rsid w:val="0062301D"/>
    <w:rsid w:val="006232B1"/>
    <w:rsid w:val="0062331B"/>
    <w:rsid w:val="006236C0"/>
    <w:rsid w:val="006236C6"/>
    <w:rsid w:val="0062383F"/>
    <w:rsid w:val="0062391A"/>
    <w:rsid w:val="006239F5"/>
    <w:rsid w:val="00623B94"/>
    <w:rsid w:val="00623BA0"/>
    <w:rsid w:val="00623DAB"/>
    <w:rsid w:val="00623E1F"/>
    <w:rsid w:val="00623E7B"/>
    <w:rsid w:val="00623FA8"/>
    <w:rsid w:val="00623FD0"/>
    <w:rsid w:val="00624102"/>
    <w:rsid w:val="006241C4"/>
    <w:rsid w:val="0062433F"/>
    <w:rsid w:val="00624579"/>
    <w:rsid w:val="006245B3"/>
    <w:rsid w:val="006245D8"/>
    <w:rsid w:val="00624690"/>
    <w:rsid w:val="006246E6"/>
    <w:rsid w:val="006247FF"/>
    <w:rsid w:val="00624852"/>
    <w:rsid w:val="006249AD"/>
    <w:rsid w:val="00624ACC"/>
    <w:rsid w:val="00624AD4"/>
    <w:rsid w:val="00624C1A"/>
    <w:rsid w:val="00624CC7"/>
    <w:rsid w:val="00624D07"/>
    <w:rsid w:val="00624ECA"/>
    <w:rsid w:val="00624FDF"/>
    <w:rsid w:val="006250E4"/>
    <w:rsid w:val="0062514E"/>
    <w:rsid w:val="0062515B"/>
    <w:rsid w:val="0062518D"/>
    <w:rsid w:val="0062525C"/>
    <w:rsid w:val="0062534C"/>
    <w:rsid w:val="0062535A"/>
    <w:rsid w:val="006253D2"/>
    <w:rsid w:val="00625662"/>
    <w:rsid w:val="00625678"/>
    <w:rsid w:val="00625805"/>
    <w:rsid w:val="00625952"/>
    <w:rsid w:val="006259A1"/>
    <w:rsid w:val="00625A2A"/>
    <w:rsid w:val="00625BC1"/>
    <w:rsid w:val="00625CE7"/>
    <w:rsid w:val="00625D04"/>
    <w:rsid w:val="00625D83"/>
    <w:rsid w:val="00625DF5"/>
    <w:rsid w:val="00625E94"/>
    <w:rsid w:val="00625F00"/>
    <w:rsid w:val="00625F1D"/>
    <w:rsid w:val="00625F36"/>
    <w:rsid w:val="0062601B"/>
    <w:rsid w:val="0062606D"/>
    <w:rsid w:val="00626161"/>
    <w:rsid w:val="006262D1"/>
    <w:rsid w:val="006262E3"/>
    <w:rsid w:val="006262E9"/>
    <w:rsid w:val="00626309"/>
    <w:rsid w:val="0062635E"/>
    <w:rsid w:val="00626578"/>
    <w:rsid w:val="00626706"/>
    <w:rsid w:val="006268AD"/>
    <w:rsid w:val="006268FF"/>
    <w:rsid w:val="006269B2"/>
    <w:rsid w:val="006269B6"/>
    <w:rsid w:val="006269C6"/>
    <w:rsid w:val="00626A5B"/>
    <w:rsid w:val="00626B7F"/>
    <w:rsid w:val="00626BEC"/>
    <w:rsid w:val="00626CD2"/>
    <w:rsid w:val="006270FD"/>
    <w:rsid w:val="006272FB"/>
    <w:rsid w:val="006273AA"/>
    <w:rsid w:val="006274BC"/>
    <w:rsid w:val="006275EE"/>
    <w:rsid w:val="006276B0"/>
    <w:rsid w:val="00627897"/>
    <w:rsid w:val="006279D1"/>
    <w:rsid w:val="00627D16"/>
    <w:rsid w:val="00627D1B"/>
    <w:rsid w:val="00627D4A"/>
    <w:rsid w:val="00627F14"/>
    <w:rsid w:val="00627F74"/>
    <w:rsid w:val="00627F7E"/>
    <w:rsid w:val="00627F8B"/>
    <w:rsid w:val="00630080"/>
    <w:rsid w:val="006301CE"/>
    <w:rsid w:val="00630354"/>
    <w:rsid w:val="00630515"/>
    <w:rsid w:val="00630526"/>
    <w:rsid w:val="006305C9"/>
    <w:rsid w:val="00630604"/>
    <w:rsid w:val="006306BF"/>
    <w:rsid w:val="00630866"/>
    <w:rsid w:val="00630AA6"/>
    <w:rsid w:val="00630B9E"/>
    <w:rsid w:val="00630D60"/>
    <w:rsid w:val="00630D98"/>
    <w:rsid w:val="00630E42"/>
    <w:rsid w:val="0063102F"/>
    <w:rsid w:val="006310C7"/>
    <w:rsid w:val="00631161"/>
    <w:rsid w:val="006311D3"/>
    <w:rsid w:val="006311E1"/>
    <w:rsid w:val="0063140B"/>
    <w:rsid w:val="006314E6"/>
    <w:rsid w:val="00631563"/>
    <w:rsid w:val="00631620"/>
    <w:rsid w:val="00631660"/>
    <w:rsid w:val="00631959"/>
    <w:rsid w:val="00631A26"/>
    <w:rsid w:val="00631CA1"/>
    <w:rsid w:val="00631D17"/>
    <w:rsid w:val="00631D59"/>
    <w:rsid w:val="00631E2F"/>
    <w:rsid w:val="00631F52"/>
    <w:rsid w:val="00631FD1"/>
    <w:rsid w:val="006321B5"/>
    <w:rsid w:val="006323CE"/>
    <w:rsid w:val="0063247D"/>
    <w:rsid w:val="00632482"/>
    <w:rsid w:val="00632528"/>
    <w:rsid w:val="0063267D"/>
    <w:rsid w:val="00632903"/>
    <w:rsid w:val="006329BE"/>
    <w:rsid w:val="00632A13"/>
    <w:rsid w:val="00632D7B"/>
    <w:rsid w:val="006330BD"/>
    <w:rsid w:val="006331EA"/>
    <w:rsid w:val="00633234"/>
    <w:rsid w:val="006332CA"/>
    <w:rsid w:val="006333D0"/>
    <w:rsid w:val="00633499"/>
    <w:rsid w:val="006335F3"/>
    <w:rsid w:val="00633636"/>
    <w:rsid w:val="00633699"/>
    <w:rsid w:val="006338A0"/>
    <w:rsid w:val="006338C6"/>
    <w:rsid w:val="00633984"/>
    <w:rsid w:val="00633B68"/>
    <w:rsid w:val="00633C90"/>
    <w:rsid w:val="00633F10"/>
    <w:rsid w:val="00633F29"/>
    <w:rsid w:val="00633F55"/>
    <w:rsid w:val="006340B1"/>
    <w:rsid w:val="0063415A"/>
    <w:rsid w:val="006342D2"/>
    <w:rsid w:val="006343CB"/>
    <w:rsid w:val="006343E9"/>
    <w:rsid w:val="00634482"/>
    <w:rsid w:val="006344CA"/>
    <w:rsid w:val="006344F5"/>
    <w:rsid w:val="006345A1"/>
    <w:rsid w:val="0063473C"/>
    <w:rsid w:val="006348CC"/>
    <w:rsid w:val="0063492F"/>
    <w:rsid w:val="006349B4"/>
    <w:rsid w:val="00634B8B"/>
    <w:rsid w:val="00634BF5"/>
    <w:rsid w:val="00634C24"/>
    <w:rsid w:val="00634CD9"/>
    <w:rsid w:val="00634EA2"/>
    <w:rsid w:val="00634EA3"/>
    <w:rsid w:val="00634F3E"/>
    <w:rsid w:val="006351E4"/>
    <w:rsid w:val="006351EA"/>
    <w:rsid w:val="00635299"/>
    <w:rsid w:val="006352E5"/>
    <w:rsid w:val="00635319"/>
    <w:rsid w:val="006353E2"/>
    <w:rsid w:val="00635427"/>
    <w:rsid w:val="006354FB"/>
    <w:rsid w:val="0063558D"/>
    <w:rsid w:val="006355AF"/>
    <w:rsid w:val="00635694"/>
    <w:rsid w:val="006357E4"/>
    <w:rsid w:val="006359AC"/>
    <w:rsid w:val="00635A11"/>
    <w:rsid w:val="00635B41"/>
    <w:rsid w:val="00635B5E"/>
    <w:rsid w:val="00635BC0"/>
    <w:rsid w:val="00635EE5"/>
    <w:rsid w:val="00635EE6"/>
    <w:rsid w:val="00635EEB"/>
    <w:rsid w:val="00636081"/>
    <w:rsid w:val="00636189"/>
    <w:rsid w:val="006363D5"/>
    <w:rsid w:val="0063652C"/>
    <w:rsid w:val="006365A7"/>
    <w:rsid w:val="006366EE"/>
    <w:rsid w:val="00636713"/>
    <w:rsid w:val="0063688E"/>
    <w:rsid w:val="006368C3"/>
    <w:rsid w:val="0063693F"/>
    <w:rsid w:val="00636AA8"/>
    <w:rsid w:val="00636C08"/>
    <w:rsid w:val="00636D00"/>
    <w:rsid w:val="00636D7A"/>
    <w:rsid w:val="00636D8E"/>
    <w:rsid w:val="00636DFF"/>
    <w:rsid w:val="00636E42"/>
    <w:rsid w:val="00636EBD"/>
    <w:rsid w:val="00636FBB"/>
    <w:rsid w:val="00637098"/>
    <w:rsid w:val="006371C0"/>
    <w:rsid w:val="0063734B"/>
    <w:rsid w:val="006373D3"/>
    <w:rsid w:val="00637530"/>
    <w:rsid w:val="006376FA"/>
    <w:rsid w:val="00637743"/>
    <w:rsid w:val="0063789A"/>
    <w:rsid w:val="00637955"/>
    <w:rsid w:val="00637A56"/>
    <w:rsid w:val="00637A7B"/>
    <w:rsid w:val="00637F49"/>
    <w:rsid w:val="00637F4F"/>
    <w:rsid w:val="00640035"/>
    <w:rsid w:val="0064016E"/>
    <w:rsid w:val="00640187"/>
    <w:rsid w:val="00640255"/>
    <w:rsid w:val="006402A5"/>
    <w:rsid w:val="0064031A"/>
    <w:rsid w:val="00640486"/>
    <w:rsid w:val="0064051F"/>
    <w:rsid w:val="006406BD"/>
    <w:rsid w:val="00640719"/>
    <w:rsid w:val="00640738"/>
    <w:rsid w:val="00640783"/>
    <w:rsid w:val="006408CF"/>
    <w:rsid w:val="00640938"/>
    <w:rsid w:val="00640AEF"/>
    <w:rsid w:val="00640BE7"/>
    <w:rsid w:val="00640CC0"/>
    <w:rsid w:val="00640E83"/>
    <w:rsid w:val="00640F13"/>
    <w:rsid w:val="00640FC9"/>
    <w:rsid w:val="00641148"/>
    <w:rsid w:val="00641290"/>
    <w:rsid w:val="006413D6"/>
    <w:rsid w:val="006414BB"/>
    <w:rsid w:val="00641726"/>
    <w:rsid w:val="00641862"/>
    <w:rsid w:val="0064186C"/>
    <w:rsid w:val="00641B68"/>
    <w:rsid w:val="00641B6F"/>
    <w:rsid w:val="00641B7F"/>
    <w:rsid w:val="00641C3A"/>
    <w:rsid w:val="00641DFF"/>
    <w:rsid w:val="00641E59"/>
    <w:rsid w:val="00641EA7"/>
    <w:rsid w:val="00642016"/>
    <w:rsid w:val="00642356"/>
    <w:rsid w:val="006423A4"/>
    <w:rsid w:val="006423AC"/>
    <w:rsid w:val="006424DC"/>
    <w:rsid w:val="0064254D"/>
    <w:rsid w:val="006425BC"/>
    <w:rsid w:val="00642636"/>
    <w:rsid w:val="00642A09"/>
    <w:rsid w:val="00642A24"/>
    <w:rsid w:val="00642AD1"/>
    <w:rsid w:val="00642AD6"/>
    <w:rsid w:val="00642B07"/>
    <w:rsid w:val="00642B85"/>
    <w:rsid w:val="00642C45"/>
    <w:rsid w:val="00642DAB"/>
    <w:rsid w:val="00642E40"/>
    <w:rsid w:val="00642EB0"/>
    <w:rsid w:val="00642EFE"/>
    <w:rsid w:val="00642F7B"/>
    <w:rsid w:val="006430CE"/>
    <w:rsid w:val="006430F6"/>
    <w:rsid w:val="006431C0"/>
    <w:rsid w:val="0064325D"/>
    <w:rsid w:val="00643597"/>
    <w:rsid w:val="006438F1"/>
    <w:rsid w:val="00643B25"/>
    <w:rsid w:val="00643B46"/>
    <w:rsid w:val="00643B7D"/>
    <w:rsid w:val="00643C9F"/>
    <w:rsid w:val="00643D93"/>
    <w:rsid w:val="00643E41"/>
    <w:rsid w:val="00643ED7"/>
    <w:rsid w:val="00643EE6"/>
    <w:rsid w:val="00643EEB"/>
    <w:rsid w:val="006441FF"/>
    <w:rsid w:val="00644202"/>
    <w:rsid w:val="006442D2"/>
    <w:rsid w:val="006446CC"/>
    <w:rsid w:val="00644892"/>
    <w:rsid w:val="006449EE"/>
    <w:rsid w:val="006449FF"/>
    <w:rsid w:val="00644E3D"/>
    <w:rsid w:val="006450AA"/>
    <w:rsid w:val="006450B9"/>
    <w:rsid w:val="0064537B"/>
    <w:rsid w:val="006453BB"/>
    <w:rsid w:val="00645419"/>
    <w:rsid w:val="00645443"/>
    <w:rsid w:val="006454AC"/>
    <w:rsid w:val="00645708"/>
    <w:rsid w:val="00645816"/>
    <w:rsid w:val="00645853"/>
    <w:rsid w:val="00645960"/>
    <w:rsid w:val="00645BA5"/>
    <w:rsid w:val="00645C11"/>
    <w:rsid w:val="00645DE5"/>
    <w:rsid w:val="00645E21"/>
    <w:rsid w:val="0064605C"/>
    <w:rsid w:val="006461AF"/>
    <w:rsid w:val="006463A4"/>
    <w:rsid w:val="00646431"/>
    <w:rsid w:val="0064656C"/>
    <w:rsid w:val="00646627"/>
    <w:rsid w:val="0064666C"/>
    <w:rsid w:val="006466A1"/>
    <w:rsid w:val="00646802"/>
    <w:rsid w:val="006468C3"/>
    <w:rsid w:val="006468C6"/>
    <w:rsid w:val="00646A91"/>
    <w:rsid w:val="00646B84"/>
    <w:rsid w:val="00646CCF"/>
    <w:rsid w:val="00646D97"/>
    <w:rsid w:val="00646E4A"/>
    <w:rsid w:val="00647270"/>
    <w:rsid w:val="006472AE"/>
    <w:rsid w:val="006473ED"/>
    <w:rsid w:val="006475E4"/>
    <w:rsid w:val="006476D4"/>
    <w:rsid w:val="00647703"/>
    <w:rsid w:val="006477DC"/>
    <w:rsid w:val="00647A65"/>
    <w:rsid w:val="00647AA6"/>
    <w:rsid w:val="00647B0D"/>
    <w:rsid w:val="00647C0A"/>
    <w:rsid w:val="00647CD0"/>
    <w:rsid w:val="00647E16"/>
    <w:rsid w:val="00647E41"/>
    <w:rsid w:val="00647E62"/>
    <w:rsid w:val="00647F24"/>
    <w:rsid w:val="00647FD3"/>
    <w:rsid w:val="00647FF0"/>
    <w:rsid w:val="006500CC"/>
    <w:rsid w:val="00650180"/>
    <w:rsid w:val="00650213"/>
    <w:rsid w:val="0065024E"/>
    <w:rsid w:val="0065034C"/>
    <w:rsid w:val="00650519"/>
    <w:rsid w:val="006508C4"/>
    <w:rsid w:val="0065096A"/>
    <w:rsid w:val="00650A25"/>
    <w:rsid w:val="00650B76"/>
    <w:rsid w:val="00650E04"/>
    <w:rsid w:val="00650F19"/>
    <w:rsid w:val="00650FF4"/>
    <w:rsid w:val="00651187"/>
    <w:rsid w:val="00651217"/>
    <w:rsid w:val="00651274"/>
    <w:rsid w:val="006512CB"/>
    <w:rsid w:val="006512D8"/>
    <w:rsid w:val="00651391"/>
    <w:rsid w:val="006513C8"/>
    <w:rsid w:val="006515A4"/>
    <w:rsid w:val="00651627"/>
    <w:rsid w:val="0065173B"/>
    <w:rsid w:val="0065177A"/>
    <w:rsid w:val="006519B8"/>
    <w:rsid w:val="00651ADA"/>
    <w:rsid w:val="00651B36"/>
    <w:rsid w:val="00651C54"/>
    <w:rsid w:val="00651D37"/>
    <w:rsid w:val="00651D70"/>
    <w:rsid w:val="00651DF7"/>
    <w:rsid w:val="00651E53"/>
    <w:rsid w:val="00651E82"/>
    <w:rsid w:val="00652188"/>
    <w:rsid w:val="006521AC"/>
    <w:rsid w:val="006521C7"/>
    <w:rsid w:val="006521F1"/>
    <w:rsid w:val="006523D5"/>
    <w:rsid w:val="00652469"/>
    <w:rsid w:val="00652489"/>
    <w:rsid w:val="00652496"/>
    <w:rsid w:val="006524EB"/>
    <w:rsid w:val="006525A5"/>
    <w:rsid w:val="006525CA"/>
    <w:rsid w:val="006526C1"/>
    <w:rsid w:val="00652766"/>
    <w:rsid w:val="0065297F"/>
    <w:rsid w:val="00652B22"/>
    <w:rsid w:val="00652B2D"/>
    <w:rsid w:val="00652B30"/>
    <w:rsid w:val="00652C98"/>
    <w:rsid w:val="00652C9B"/>
    <w:rsid w:val="00652CDD"/>
    <w:rsid w:val="00652E0D"/>
    <w:rsid w:val="00652F3F"/>
    <w:rsid w:val="00653031"/>
    <w:rsid w:val="00653085"/>
    <w:rsid w:val="006530CF"/>
    <w:rsid w:val="00653158"/>
    <w:rsid w:val="006532CB"/>
    <w:rsid w:val="0065336D"/>
    <w:rsid w:val="00653432"/>
    <w:rsid w:val="006534F8"/>
    <w:rsid w:val="0065354C"/>
    <w:rsid w:val="0065361E"/>
    <w:rsid w:val="0065371B"/>
    <w:rsid w:val="006538B9"/>
    <w:rsid w:val="00653926"/>
    <w:rsid w:val="0065394C"/>
    <w:rsid w:val="0065399C"/>
    <w:rsid w:val="006539D9"/>
    <w:rsid w:val="00653B68"/>
    <w:rsid w:val="00653CA6"/>
    <w:rsid w:val="00653D81"/>
    <w:rsid w:val="00653E97"/>
    <w:rsid w:val="006541FC"/>
    <w:rsid w:val="006543EC"/>
    <w:rsid w:val="006545C9"/>
    <w:rsid w:val="0065463E"/>
    <w:rsid w:val="00654642"/>
    <w:rsid w:val="00654826"/>
    <w:rsid w:val="00654937"/>
    <w:rsid w:val="006549A1"/>
    <w:rsid w:val="00654A09"/>
    <w:rsid w:val="00654A5B"/>
    <w:rsid w:val="00654B00"/>
    <w:rsid w:val="00654B35"/>
    <w:rsid w:val="00654BFA"/>
    <w:rsid w:val="00654BFD"/>
    <w:rsid w:val="00654C94"/>
    <w:rsid w:val="00654D90"/>
    <w:rsid w:val="00654DFB"/>
    <w:rsid w:val="00654E65"/>
    <w:rsid w:val="00654EDF"/>
    <w:rsid w:val="00655229"/>
    <w:rsid w:val="00655372"/>
    <w:rsid w:val="0065539B"/>
    <w:rsid w:val="00655445"/>
    <w:rsid w:val="006554EF"/>
    <w:rsid w:val="006556FC"/>
    <w:rsid w:val="0065573A"/>
    <w:rsid w:val="006557F6"/>
    <w:rsid w:val="0065592F"/>
    <w:rsid w:val="0065597B"/>
    <w:rsid w:val="0065598D"/>
    <w:rsid w:val="006559C5"/>
    <w:rsid w:val="00655A88"/>
    <w:rsid w:val="00655AC3"/>
    <w:rsid w:val="00655B80"/>
    <w:rsid w:val="00655C73"/>
    <w:rsid w:val="00655CEA"/>
    <w:rsid w:val="00655D10"/>
    <w:rsid w:val="00655E46"/>
    <w:rsid w:val="00655E4E"/>
    <w:rsid w:val="006560CD"/>
    <w:rsid w:val="00656224"/>
    <w:rsid w:val="0065623D"/>
    <w:rsid w:val="006562E7"/>
    <w:rsid w:val="00656331"/>
    <w:rsid w:val="00656434"/>
    <w:rsid w:val="006565B7"/>
    <w:rsid w:val="006565E4"/>
    <w:rsid w:val="00656776"/>
    <w:rsid w:val="00656833"/>
    <w:rsid w:val="006568A3"/>
    <w:rsid w:val="00656918"/>
    <w:rsid w:val="00656ACC"/>
    <w:rsid w:val="00656AEC"/>
    <w:rsid w:val="00656B6D"/>
    <w:rsid w:val="00656C03"/>
    <w:rsid w:val="00656D2A"/>
    <w:rsid w:val="00656D41"/>
    <w:rsid w:val="00656DA2"/>
    <w:rsid w:val="00656E1F"/>
    <w:rsid w:val="00656EB5"/>
    <w:rsid w:val="0065722F"/>
    <w:rsid w:val="006573B5"/>
    <w:rsid w:val="0065756E"/>
    <w:rsid w:val="0065764E"/>
    <w:rsid w:val="00657A56"/>
    <w:rsid w:val="00657ADC"/>
    <w:rsid w:val="00657B19"/>
    <w:rsid w:val="00657C1D"/>
    <w:rsid w:val="00657C5C"/>
    <w:rsid w:val="00657CC3"/>
    <w:rsid w:val="00657D9E"/>
    <w:rsid w:val="00657DE5"/>
    <w:rsid w:val="00657EFE"/>
    <w:rsid w:val="006601BA"/>
    <w:rsid w:val="00660240"/>
    <w:rsid w:val="00660299"/>
    <w:rsid w:val="006604B0"/>
    <w:rsid w:val="00660506"/>
    <w:rsid w:val="00660546"/>
    <w:rsid w:val="006605D3"/>
    <w:rsid w:val="00660774"/>
    <w:rsid w:val="006607E0"/>
    <w:rsid w:val="00660875"/>
    <w:rsid w:val="006608CD"/>
    <w:rsid w:val="0066097F"/>
    <w:rsid w:val="00660B06"/>
    <w:rsid w:val="00660B11"/>
    <w:rsid w:val="00660C74"/>
    <w:rsid w:val="00660C95"/>
    <w:rsid w:val="00660E10"/>
    <w:rsid w:val="00660FD5"/>
    <w:rsid w:val="006610B9"/>
    <w:rsid w:val="006610C1"/>
    <w:rsid w:val="0066110F"/>
    <w:rsid w:val="00661378"/>
    <w:rsid w:val="0066139C"/>
    <w:rsid w:val="006614DD"/>
    <w:rsid w:val="0066160E"/>
    <w:rsid w:val="006616C4"/>
    <w:rsid w:val="00661814"/>
    <w:rsid w:val="00661A24"/>
    <w:rsid w:val="00661A40"/>
    <w:rsid w:val="00661A6D"/>
    <w:rsid w:val="00661A98"/>
    <w:rsid w:val="00661A9C"/>
    <w:rsid w:val="00661AE1"/>
    <w:rsid w:val="00661C87"/>
    <w:rsid w:val="00661D17"/>
    <w:rsid w:val="00661E17"/>
    <w:rsid w:val="00662134"/>
    <w:rsid w:val="006624EB"/>
    <w:rsid w:val="006625E7"/>
    <w:rsid w:val="0066274D"/>
    <w:rsid w:val="0066283C"/>
    <w:rsid w:val="00662949"/>
    <w:rsid w:val="00662970"/>
    <w:rsid w:val="00662A44"/>
    <w:rsid w:val="00662ADD"/>
    <w:rsid w:val="00662B90"/>
    <w:rsid w:val="00662C0C"/>
    <w:rsid w:val="00662E36"/>
    <w:rsid w:val="00662E6A"/>
    <w:rsid w:val="00663275"/>
    <w:rsid w:val="0066337B"/>
    <w:rsid w:val="0066347E"/>
    <w:rsid w:val="00663581"/>
    <w:rsid w:val="006636FD"/>
    <w:rsid w:val="0066371E"/>
    <w:rsid w:val="00663762"/>
    <w:rsid w:val="00663942"/>
    <w:rsid w:val="00663998"/>
    <w:rsid w:val="00663A26"/>
    <w:rsid w:val="00663A36"/>
    <w:rsid w:val="00663B5F"/>
    <w:rsid w:val="00663BA0"/>
    <w:rsid w:val="00663BB0"/>
    <w:rsid w:val="00663DA0"/>
    <w:rsid w:val="00663E7B"/>
    <w:rsid w:val="006640EA"/>
    <w:rsid w:val="0066427D"/>
    <w:rsid w:val="0066448A"/>
    <w:rsid w:val="0066466F"/>
    <w:rsid w:val="006646BB"/>
    <w:rsid w:val="00664A5F"/>
    <w:rsid w:val="00664AC4"/>
    <w:rsid w:val="00664CA5"/>
    <w:rsid w:val="00664CDD"/>
    <w:rsid w:val="00664CF4"/>
    <w:rsid w:val="00664D50"/>
    <w:rsid w:val="00664D81"/>
    <w:rsid w:val="00664E1B"/>
    <w:rsid w:val="00664E41"/>
    <w:rsid w:val="00664E5B"/>
    <w:rsid w:val="00664EB1"/>
    <w:rsid w:val="00664F90"/>
    <w:rsid w:val="00664FC2"/>
    <w:rsid w:val="00664FFA"/>
    <w:rsid w:val="0066507B"/>
    <w:rsid w:val="00665259"/>
    <w:rsid w:val="0066536C"/>
    <w:rsid w:val="0066537B"/>
    <w:rsid w:val="00665445"/>
    <w:rsid w:val="006654C8"/>
    <w:rsid w:val="00665956"/>
    <w:rsid w:val="006659BA"/>
    <w:rsid w:val="00665A1E"/>
    <w:rsid w:val="00665A36"/>
    <w:rsid w:val="00665B66"/>
    <w:rsid w:val="00665CDA"/>
    <w:rsid w:val="00665EEA"/>
    <w:rsid w:val="00665F92"/>
    <w:rsid w:val="00665FF9"/>
    <w:rsid w:val="006660C5"/>
    <w:rsid w:val="00666189"/>
    <w:rsid w:val="00666260"/>
    <w:rsid w:val="0066628E"/>
    <w:rsid w:val="0066629D"/>
    <w:rsid w:val="006662DA"/>
    <w:rsid w:val="006663BD"/>
    <w:rsid w:val="00666436"/>
    <w:rsid w:val="00666555"/>
    <w:rsid w:val="00666664"/>
    <w:rsid w:val="0066667C"/>
    <w:rsid w:val="006666C1"/>
    <w:rsid w:val="006666DA"/>
    <w:rsid w:val="00666746"/>
    <w:rsid w:val="00666870"/>
    <w:rsid w:val="00666986"/>
    <w:rsid w:val="00666A53"/>
    <w:rsid w:val="00666A7D"/>
    <w:rsid w:val="00666B23"/>
    <w:rsid w:val="00666C32"/>
    <w:rsid w:val="00666C37"/>
    <w:rsid w:val="00666D74"/>
    <w:rsid w:val="00666DB1"/>
    <w:rsid w:val="00666F1E"/>
    <w:rsid w:val="00666F49"/>
    <w:rsid w:val="0066700C"/>
    <w:rsid w:val="00667082"/>
    <w:rsid w:val="00667167"/>
    <w:rsid w:val="0066718C"/>
    <w:rsid w:val="00667217"/>
    <w:rsid w:val="006673E6"/>
    <w:rsid w:val="006674DE"/>
    <w:rsid w:val="00667506"/>
    <w:rsid w:val="00667683"/>
    <w:rsid w:val="00667707"/>
    <w:rsid w:val="0066774C"/>
    <w:rsid w:val="0066790A"/>
    <w:rsid w:val="00667A90"/>
    <w:rsid w:val="00667AAF"/>
    <w:rsid w:val="00667AF5"/>
    <w:rsid w:val="00667B4E"/>
    <w:rsid w:val="00667B60"/>
    <w:rsid w:val="00667B7B"/>
    <w:rsid w:val="00667C98"/>
    <w:rsid w:val="00667DC2"/>
    <w:rsid w:val="00667DC6"/>
    <w:rsid w:val="00667E09"/>
    <w:rsid w:val="00667E51"/>
    <w:rsid w:val="00667E5B"/>
    <w:rsid w:val="00667FAA"/>
    <w:rsid w:val="00667FD0"/>
    <w:rsid w:val="006702B3"/>
    <w:rsid w:val="006702ED"/>
    <w:rsid w:val="006703FC"/>
    <w:rsid w:val="00670435"/>
    <w:rsid w:val="006704E6"/>
    <w:rsid w:val="006706C7"/>
    <w:rsid w:val="006706D2"/>
    <w:rsid w:val="00670803"/>
    <w:rsid w:val="0067085A"/>
    <w:rsid w:val="00670877"/>
    <w:rsid w:val="0067094B"/>
    <w:rsid w:val="00670A7D"/>
    <w:rsid w:val="00670D98"/>
    <w:rsid w:val="00670ECC"/>
    <w:rsid w:val="0067122F"/>
    <w:rsid w:val="00671318"/>
    <w:rsid w:val="0067131D"/>
    <w:rsid w:val="00671354"/>
    <w:rsid w:val="0067145F"/>
    <w:rsid w:val="006714EE"/>
    <w:rsid w:val="006715F1"/>
    <w:rsid w:val="0067166A"/>
    <w:rsid w:val="006716A3"/>
    <w:rsid w:val="00671964"/>
    <w:rsid w:val="0067197F"/>
    <w:rsid w:val="00671AE8"/>
    <w:rsid w:val="00671B0A"/>
    <w:rsid w:val="00671C0D"/>
    <w:rsid w:val="00671D58"/>
    <w:rsid w:val="00671DA3"/>
    <w:rsid w:val="00671E39"/>
    <w:rsid w:val="00671F53"/>
    <w:rsid w:val="00671F60"/>
    <w:rsid w:val="0067208D"/>
    <w:rsid w:val="00672119"/>
    <w:rsid w:val="0067232B"/>
    <w:rsid w:val="0067251A"/>
    <w:rsid w:val="0067256B"/>
    <w:rsid w:val="0067267B"/>
    <w:rsid w:val="0067285F"/>
    <w:rsid w:val="00672B53"/>
    <w:rsid w:val="00672DB5"/>
    <w:rsid w:val="00672E01"/>
    <w:rsid w:val="0067302D"/>
    <w:rsid w:val="00673169"/>
    <w:rsid w:val="0067335D"/>
    <w:rsid w:val="006734C6"/>
    <w:rsid w:val="00673749"/>
    <w:rsid w:val="006737C9"/>
    <w:rsid w:val="00673881"/>
    <w:rsid w:val="006738C0"/>
    <w:rsid w:val="00673A39"/>
    <w:rsid w:val="00673D5F"/>
    <w:rsid w:val="00673E44"/>
    <w:rsid w:val="00673EF5"/>
    <w:rsid w:val="00673F64"/>
    <w:rsid w:val="00673F7C"/>
    <w:rsid w:val="00673FE3"/>
    <w:rsid w:val="006740BD"/>
    <w:rsid w:val="006741E6"/>
    <w:rsid w:val="006742B1"/>
    <w:rsid w:val="0067434B"/>
    <w:rsid w:val="00674643"/>
    <w:rsid w:val="00674755"/>
    <w:rsid w:val="0067483F"/>
    <w:rsid w:val="00674923"/>
    <w:rsid w:val="00674A6B"/>
    <w:rsid w:val="00674B47"/>
    <w:rsid w:val="00674C8E"/>
    <w:rsid w:val="00674DF6"/>
    <w:rsid w:val="0067501B"/>
    <w:rsid w:val="006750EF"/>
    <w:rsid w:val="0067513B"/>
    <w:rsid w:val="00675197"/>
    <w:rsid w:val="0067538F"/>
    <w:rsid w:val="00675716"/>
    <w:rsid w:val="00675729"/>
    <w:rsid w:val="00675851"/>
    <w:rsid w:val="00675982"/>
    <w:rsid w:val="00675A7F"/>
    <w:rsid w:val="00675AC8"/>
    <w:rsid w:val="00675AEB"/>
    <w:rsid w:val="00675B34"/>
    <w:rsid w:val="00675E4C"/>
    <w:rsid w:val="00675F06"/>
    <w:rsid w:val="00675F5E"/>
    <w:rsid w:val="00675FDE"/>
    <w:rsid w:val="00676012"/>
    <w:rsid w:val="006762DC"/>
    <w:rsid w:val="00676396"/>
    <w:rsid w:val="00676397"/>
    <w:rsid w:val="00676514"/>
    <w:rsid w:val="006767D6"/>
    <w:rsid w:val="00676B4E"/>
    <w:rsid w:val="00676B84"/>
    <w:rsid w:val="00676E03"/>
    <w:rsid w:val="006770C0"/>
    <w:rsid w:val="00677149"/>
    <w:rsid w:val="006772B1"/>
    <w:rsid w:val="00677320"/>
    <w:rsid w:val="00677346"/>
    <w:rsid w:val="006774A0"/>
    <w:rsid w:val="006774B2"/>
    <w:rsid w:val="0067751B"/>
    <w:rsid w:val="00677574"/>
    <w:rsid w:val="006777D5"/>
    <w:rsid w:val="00677851"/>
    <w:rsid w:val="00677875"/>
    <w:rsid w:val="006778B9"/>
    <w:rsid w:val="00677B47"/>
    <w:rsid w:val="00677BAD"/>
    <w:rsid w:val="00677D90"/>
    <w:rsid w:val="00677E92"/>
    <w:rsid w:val="00677F0B"/>
    <w:rsid w:val="00677F92"/>
    <w:rsid w:val="00677FC6"/>
    <w:rsid w:val="006800E0"/>
    <w:rsid w:val="0068012D"/>
    <w:rsid w:val="00680410"/>
    <w:rsid w:val="00680502"/>
    <w:rsid w:val="00680532"/>
    <w:rsid w:val="00680559"/>
    <w:rsid w:val="00680578"/>
    <w:rsid w:val="006805B8"/>
    <w:rsid w:val="006805CE"/>
    <w:rsid w:val="006805E0"/>
    <w:rsid w:val="00680651"/>
    <w:rsid w:val="0068076F"/>
    <w:rsid w:val="00680B71"/>
    <w:rsid w:val="00680E2D"/>
    <w:rsid w:val="00680E30"/>
    <w:rsid w:val="00680E4C"/>
    <w:rsid w:val="006810D8"/>
    <w:rsid w:val="00681335"/>
    <w:rsid w:val="006813F6"/>
    <w:rsid w:val="00681417"/>
    <w:rsid w:val="0068143B"/>
    <w:rsid w:val="00681500"/>
    <w:rsid w:val="006815C7"/>
    <w:rsid w:val="006815FF"/>
    <w:rsid w:val="00681608"/>
    <w:rsid w:val="006817F1"/>
    <w:rsid w:val="00681888"/>
    <w:rsid w:val="00681930"/>
    <w:rsid w:val="0068196E"/>
    <w:rsid w:val="00681A11"/>
    <w:rsid w:val="00681AE7"/>
    <w:rsid w:val="00681AFE"/>
    <w:rsid w:val="00681B59"/>
    <w:rsid w:val="00681BF4"/>
    <w:rsid w:val="00681C56"/>
    <w:rsid w:val="00681E33"/>
    <w:rsid w:val="00681E3F"/>
    <w:rsid w:val="00681FF6"/>
    <w:rsid w:val="00682082"/>
    <w:rsid w:val="006821FB"/>
    <w:rsid w:val="0068227B"/>
    <w:rsid w:val="00682283"/>
    <w:rsid w:val="0068229F"/>
    <w:rsid w:val="00682307"/>
    <w:rsid w:val="00682389"/>
    <w:rsid w:val="00682538"/>
    <w:rsid w:val="006829C2"/>
    <w:rsid w:val="00682F87"/>
    <w:rsid w:val="00682FE1"/>
    <w:rsid w:val="0068300A"/>
    <w:rsid w:val="00683046"/>
    <w:rsid w:val="006830B2"/>
    <w:rsid w:val="006830F6"/>
    <w:rsid w:val="006831F6"/>
    <w:rsid w:val="0068323B"/>
    <w:rsid w:val="006832A6"/>
    <w:rsid w:val="0068333D"/>
    <w:rsid w:val="006833E3"/>
    <w:rsid w:val="0068361E"/>
    <w:rsid w:val="00683694"/>
    <w:rsid w:val="006836B7"/>
    <w:rsid w:val="006836CB"/>
    <w:rsid w:val="00683799"/>
    <w:rsid w:val="00683B68"/>
    <w:rsid w:val="00683C1E"/>
    <w:rsid w:val="00683C85"/>
    <w:rsid w:val="00683D17"/>
    <w:rsid w:val="00683ED4"/>
    <w:rsid w:val="00683EF1"/>
    <w:rsid w:val="00684051"/>
    <w:rsid w:val="0068453F"/>
    <w:rsid w:val="0068477A"/>
    <w:rsid w:val="00684792"/>
    <w:rsid w:val="006848AD"/>
    <w:rsid w:val="00684B12"/>
    <w:rsid w:val="00684C9A"/>
    <w:rsid w:val="00684DA3"/>
    <w:rsid w:val="00684FAC"/>
    <w:rsid w:val="006851AF"/>
    <w:rsid w:val="006851FC"/>
    <w:rsid w:val="0068527E"/>
    <w:rsid w:val="0068528D"/>
    <w:rsid w:val="00685353"/>
    <w:rsid w:val="006853E1"/>
    <w:rsid w:val="006854DF"/>
    <w:rsid w:val="0068554A"/>
    <w:rsid w:val="0068556E"/>
    <w:rsid w:val="00685615"/>
    <w:rsid w:val="0068561E"/>
    <w:rsid w:val="006856DC"/>
    <w:rsid w:val="006857BF"/>
    <w:rsid w:val="006858AB"/>
    <w:rsid w:val="00685A38"/>
    <w:rsid w:val="00685E1E"/>
    <w:rsid w:val="00685E69"/>
    <w:rsid w:val="00685E7F"/>
    <w:rsid w:val="00685F8B"/>
    <w:rsid w:val="00685F92"/>
    <w:rsid w:val="006860D0"/>
    <w:rsid w:val="0068613A"/>
    <w:rsid w:val="006863D1"/>
    <w:rsid w:val="006863D2"/>
    <w:rsid w:val="006863E2"/>
    <w:rsid w:val="00686477"/>
    <w:rsid w:val="006865C0"/>
    <w:rsid w:val="006865C4"/>
    <w:rsid w:val="00686694"/>
    <w:rsid w:val="006866CC"/>
    <w:rsid w:val="00686973"/>
    <w:rsid w:val="00686AC2"/>
    <w:rsid w:val="00686ACD"/>
    <w:rsid w:val="00686C61"/>
    <w:rsid w:val="00686DF8"/>
    <w:rsid w:val="00687158"/>
    <w:rsid w:val="006871CC"/>
    <w:rsid w:val="006871D3"/>
    <w:rsid w:val="0068741F"/>
    <w:rsid w:val="00687455"/>
    <w:rsid w:val="00687640"/>
    <w:rsid w:val="00687673"/>
    <w:rsid w:val="0068773B"/>
    <w:rsid w:val="006878EB"/>
    <w:rsid w:val="00687A85"/>
    <w:rsid w:val="00687E3E"/>
    <w:rsid w:val="00687F83"/>
    <w:rsid w:val="006900D9"/>
    <w:rsid w:val="00690113"/>
    <w:rsid w:val="006901C1"/>
    <w:rsid w:val="00690308"/>
    <w:rsid w:val="0069036B"/>
    <w:rsid w:val="006903CA"/>
    <w:rsid w:val="006905D1"/>
    <w:rsid w:val="00690A34"/>
    <w:rsid w:val="00690B18"/>
    <w:rsid w:val="00690CCD"/>
    <w:rsid w:val="00690CCF"/>
    <w:rsid w:val="00690CE0"/>
    <w:rsid w:val="00690CF4"/>
    <w:rsid w:val="00690D12"/>
    <w:rsid w:val="00690FCC"/>
    <w:rsid w:val="00690FFA"/>
    <w:rsid w:val="0069119B"/>
    <w:rsid w:val="006911A2"/>
    <w:rsid w:val="00691223"/>
    <w:rsid w:val="00691224"/>
    <w:rsid w:val="00691454"/>
    <w:rsid w:val="00691485"/>
    <w:rsid w:val="006914CA"/>
    <w:rsid w:val="006915D2"/>
    <w:rsid w:val="00691719"/>
    <w:rsid w:val="00691720"/>
    <w:rsid w:val="00691723"/>
    <w:rsid w:val="0069181E"/>
    <w:rsid w:val="0069196E"/>
    <w:rsid w:val="00691A05"/>
    <w:rsid w:val="00691A99"/>
    <w:rsid w:val="00691AE9"/>
    <w:rsid w:val="00691B25"/>
    <w:rsid w:val="00691C4B"/>
    <w:rsid w:val="00691C61"/>
    <w:rsid w:val="00691CBB"/>
    <w:rsid w:val="00691CD6"/>
    <w:rsid w:val="00691DB1"/>
    <w:rsid w:val="00691DC7"/>
    <w:rsid w:val="00691DCA"/>
    <w:rsid w:val="00691E73"/>
    <w:rsid w:val="006920CD"/>
    <w:rsid w:val="00692115"/>
    <w:rsid w:val="006921AA"/>
    <w:rsid w:val="0069221D"/>
    <w:rsid w:val="00692253"/>
    <w:rsid w:val="0069234A"/>
    <w:rsid w:val="0069236B"/>
    <w:rsid w:val="006923D4"/>
    <w:rsid w:val="00692504"/>
    <w:rsid w:val="00692510"/>
    <w:rsid w:val="006925C1"/>
    <w:rsid w:val="0069273F"/>
    <w:rsid w:val="006927AF"/>
    <w:rsid w:val="006928E7"/>
    <w:rsid w:val="00692958"/>
    <w:rsid w:val="00692965"/>
    <w:rsid w:val="00692AE0"/>
    <w:rsid w:val="00692BED"/>
    <w:rsid w:val="00692CC3"/>
    <w:rsid w:val="00692F65"/>
    <w:rsid w:val="00692FB1"/>
    <w:rsid w:val="00692FD5"/>
    <w:rsid w:val="006933BA"/>
    <w:rsid w:val="00693431"/>
    <w:rsid w:val="00693488"/>
    <w:rsid w:val="0069358A"/>
    <w:rsid w:val="006935D2"/>
    <w:rsid w:val="0069366F"/>
    <w:rsid w:val="006936E9"/>
    <w:rsid w:val="00693794"/>
    <w:rsid w:val="00693802"/>
    <w:rsid w:val="00693812"/>
    <w:rsid w:val="006939C7"/>
    <w:rsid w:val="006939CA"/>
    <w:rsid w:val="006939E9"/>
    <w:rsid w:val="00693A14"/>
    <w:rsid w:val="00693B4A"/>
    <w:rsid w:val="00693D6B"/>
    <w:rsid w:val="00693E42"/>
    <w:rsid w:val="00693E71"/>
    <w:rsid w:val="00693F1E"/>
    <w:rsid w:val="006940D6"/>
    <w:rsid w:val="006941C7"/>
    <w:rsid w:val="006942E3"/>
    <w:rsid w:val="0069469A"/>
    <w:rsid w:val="006946C8"/>
    <w:rsid w:val="006946CB"/>
    <w:rsid w:val="00694737"/>
    <w:rsid w:val="0069474B"/>
    <w:rsid w:val="0069482E"/>
    <w:rsid w:val="00694924"/>
    <w:rsid w:val="006949CF"/>
    <w:rsid w:val="00694E5A"/>
    <w:rsid w:val="00694E8C"/>
    <w:rsid w:val="00694F64"/>
    <w:rsid w:val="00694F7B"/>
    <w:rsid w:val="006950CB"/>
    <w:rsid w:val="00695105"/>
    <w:rsid w:val="00695111"/>
    <w:rsid w:val="0069533B"/>
    <w:rsid w:val="006954AF"/>
    <w:rsid w:val="0069558B"/>
    <w:rsid w:val="006955A7"/>
    <w:rsid w:val="0069579A"/>
    <w:rsid w:val="006958CB"/>
    <w:rsid w:val="0069595B"/>
    <w:rsid w:val="0069598D"/>
    <w:rsid w:val="006959D7"/>
    <w:rsid w:val="00695A6C"/>
    <w:rsid w:val="00695BBB"/>
    <w:rsid w:val="00695E17"/>
    <w:rsid w:val="00695F95"/>
    <w:rsid w:val="00696006"/>
    <w:rsid w:val="0069622D"/>
    <w:rsid w:val="006963D5"/>
    <w:rsid w:val="006964F1"/>
    <w:rsid w:val="006966AF"/>
    <w:rsid w:val="00696752"/>
    <w:rsid w:val="00696871"/>
    <w:rsid w:val="00696A83"/>
    <w:rsid w:val="00696B6B"/>
    <w:rsid w:val="00696C26"/>
    <w:rsid w:val="00696D41"/>
    <w:rsid w:val="00696D97"/>
    <w:rsid w:val="00696FBA"/>
    <w:rsid w:val="0069711F"/>
    <w:rsid w:val="006972FF"/>
    <w:rsid w:val="006976CD"/>
    <w:rsid w:val="00697767"/>
    <w:rsid w:val="00697795"/>
    <w:rsid w:val="00697841"/>
    <w:rsid w:val="00697933"/>
    <w:rsid w:val="0069799E"/>
    <w:rsid w:val="006979AF"/>
    <w:rsid w:val="00697AEF"/>
    <w:rsid w:val="00697D16"/>
    <w:rsid w:val="00697D48"/>
    <w:rsid w:val="00697E9E"/>
    <w:rsid w:val="00697F02"/>
    <w:rsid w:val="006A021D"/>
    <w:rsid w:val="006A03A7"/>
    <w:rsid w:val="006A047E"/>
    <w:rsid w:val="006A0490"/>
    <w:rsid w:val="006A04A2"/>
    <w:rsid w:val="006A0544"/>
    <w:rsid w:val="006A0570"/>
    <w:rsid w:val="006A07CA"/>
    <w:rsid w:val="006A0926"/>
    <w:rsid w:val="006A093A"/>
    <w:rsid w:val="006A0A44"/>
    <w:rsid w:val="006A0B8C"/>
    <w:rsid w:val="006A0BC5"/>
    <w:rsid w:val="006A0CB6"/>
    <w:rsid w:val="006A0EB5"/>
    <w:rsid w:val="006A0FE7"/>
    <w:rsid w:val="006A1072"/>
    <w:rsid w:val="006A1299"/>
    <w:rsid w:val="006A129E"/>
    <w:rsid w:val="006A1332"/>
    <w:rsid w:val="006A1449"/>
    <w:rsid w:val="006A1566"/>
    <w:rsid w:val="006A1616"/>
    <w:rsid w:val="006A16A1"/>
    <w:rsid w:val="006A16C4"/>
    <w:rsid w:val="006A1A80"/>
    <w:rsid w:val="006A1C7D"/>
    <w:rsid w:val="006A1CAC"/>
    <w:rsid w:val="006A1D66"/>
    <w:rsid w:val="006A1F31"/>
    <w:rsid w:val="006A1FDC"/>
    <w:rsid w:val="006A2099"/>
    <w:rsid w:val="006A20AF"/>
    <w:rsid w:val="006A22BF"/>
    <w:rsid w:val="006A232F"/>
    <w:rsid w:val="006A238C"/>
    <w:rsid w:val="006A255D"/>
    <w:rsid w:val="006A25AE"/>
    <w:rsid w:val="006A2603"/>
    <w:rsid w:val="006A26E4"/>
    <w:rsid w:val="006A285E"/>
    <w:rsid w:val="006A2B97"/>
    <w:rsid w:val="006A2BCF"/>
    <w:rsid w:val="006A2E3F"/>
    <w:rsid w:val="006A2EB9"/>
    <w:rsid w:val="006A2F20"/>
    <w:rsid w:val="006A2F9C"/>
    <w:rsid w:val="006A302A"/>
    <w:rsid w:val="006A30D7"/>
    <w:rsid w:val="006A3159"/>
    <w:rsid w:val="006A3338"/>
    <w:rsid w:val="006A333B"/>
    <w:rsid w:val="006A33A4"/>
    <w:rsid w:val="006A342D"/>
    <w:rsid w:val="006A3433"/>
    <w:rsid w:val="006A344F"/>
    <w:rsid w:val="006A3602"/>
    <w:rsid w:val="006A37C4"/>
    <w:rsid w:val="006A38F3"/>
    <w:rsid w:val="006A38F5"/>
    <w:rsid w:val="006A39AB"/>
    <w:rsid w:val="006A3CA0"/>
    <w:rsid w:val="006A3CFE"/>
    <w:rsid w:val="006A3D5A"/>
    <w:rsid w:val="006A3E63"/>
    <w:rsid w:val="006A3E84"/>
    <w:rsid w:val="006A3E9C"/>
    <w:rsid w:val="006A4001"/>
    <w:rsid w:val="006A4022"/>
    <w:rsid w:val="006A41ED"/>
    <w:rsid w:val="006A4390"/>
    <w:rsid w:val="006A4424"/>
    <w:rsid w:val="006A4693"/>
    <w:rsid w:val="006A4738"/>
    <w:rsid w:val="006A4832"/>
    <w:rsid w:val="006A4846"/>
    <w:rsid w:val="006A4B7C"/>
    <w:rsid w:val="006A4C30"/>
    <w:rsid w:val="006A4DAF"/>
    <w:rsid w:val="006A4E6E"/>
    <w:rsid w:val="006A4F92"/>
    <w:rsid w:val="006A5039"/>
    <w:rsid w:val="006A52BD"/>
    <w:rsid w:val="006A52E5"/>
    <w:rsid w:val="006A571F"/>
    <w:rsid w:val="006A5787"/>
    <w:rsid w:val="006A581A"/>
    <w:rsid w:val="006A5B24"/>
    <w:rsid w:val="006A5BD9"/>
    <w:rsid w:val="006A5D9A"/>
    <w:rsid w:val="006A5EDF"/>
    <w:rsid w:val="006A5FA2"/>
    <w:rsid w:val="006A5FD7"/>
    <w:rsid w:val="006A602D"/>
    <w:rsid w:val="006A6175"/>
    <w:rsid w:val="006A61C0"/>
    <w:rsid w:val="006A6328"/>
    <w:rsid w:val="006A63E4"/>
    <w:rsid w:val="006A6517"/>
    <w:rsid w:val="006A65B9"/>
    <w:rsid w:val="006A6602"/>
    <w:rsid w:val="006A669E"/>
    <w:rsid w:val="006A6854"/>
    <w:rsid w:val="006A695F"/>
    <w:rsid w:val="006A6986"/>
    <w:rsid w:val="006A6A32"/>
    <w:rsid w:val="006A6B53"/>
    <w:rsid w:val="006A6BED"/>
    <w:rsid w:val="006A6C85"/>
    <w:rsid w:val="006A6D3E"/>
    <w:rsid w:val="006A704D"/>
    <w:rsid w:val="006A70D8"/>
    <w:rsid w:val="006A74D2"/>
    <w:rsid w:val="006A74E3"/>
    <w:rsid w:val="006A765D"/>
    <w:rsid w:val="006A77D3"/>
    <w:rsid w:val="006A783E"/>
    <w:rsid w:val="006A793D"/>
    <w:rsid w:val="006A794B"/>
    <w:rsid w:val="006A79D4"/>
    <w:rsid w:val="006A7A52"/>
    <w:rsid w:val="006A7A97"/>
    <w:rsid w:val="006A7BAA"/>
    <w:rsid w:val="006A7C2A"/>
    <w:rsid w:val="006A7CBE"/>
    <w:rsid w:val="006A7D4F"/>
    <w:rsid w:val="006A7E04"/>
    <w:rsid w:val="006A7F47"/>
    <w:rsid w:val="006A7F8F"/>
    <w:rsid w:val="006AF860"/>
    <w:rsid w:val="006B0018"/>
    <w:rsid w:val="006B00C4"/>
    <w:rsid w:val="006B0163"/>
    <w:rsid w:val="006B0238"/>
    <w:rsid w:val="006B0399"/>
    <w:rsid w:val="006B04FC"/>
    <w:rsid w:val="006B05A1"/>
    <w:rsid w:val="006B0647"/>
    <w:rsid w:val="006B0703"/>
    <w:rsid w:val="006B0784"/>
    <w:rsid w:val="006B080A"/>
    <w:rsid w:val="006B095E"/>
    <w:rsid w:val="006B0A49"/>
    <w:rsid w:val="006B0B0A"/>
    <w:rsid w:val="006B0CF4"/>
    <w:rsid w:val="006B0E2F"/>
    <w:rsid w:val="006B0EE0"/>
    <w:rsid w:val="006B0FF8"/>
    <w:rsid w:val="006B0FFF"/>
    <w:rsid w:val="006B1013"/>
    <w:rsid w:val="006B114C"/>
    <w:rsid w:val="006B13AE"/>
    <w:rsid w:val="006B13C3"/>
    <w:rsid w:val="006B1628"/>
    <w:rsid w:val="006B1659"/>
    <w:rsid w:val="006B1966"/>
    <w:rsid w:val="006B19BF"/>
    <w:rsid w:val="006B1A20"/>
    <w:rsid w:val="006B1A96"/>
    <w:rsid w:val="006B1B01"/>
    <w:rsid w:val="006B1C5E"/>
    <w:rsid w:val="006B1CCE"/>
    <w:rsid w:val="006B1D8C"/>
    <w:rsid w:val="006B1F29"/>
    <w:rsid w:val="006B1F4D"/>
    <w:rsid w:val="006B1F91"/>
    <w:rsid w:val="006B21FA"/>
    <w:rsid w:val="006B246F"/>
    <w:rsid w:val="006B24B8"/>
    <w:rsid w:val="006B2685"/>
    <w:rsid w:val="006B2699"/>
    <w:rsid w:val="006B269E"/>
    <w:rsid w:val="006B2752"/>
    <w:rsid w:val="006B2862"/>
    <w:rsid w:val="006B29B9"/>
    <w:rsid w:val="006B29C8"/>
    <w:rsid w:val="006B2B56"/>
    <w:rsid w:val="006B2BCD"/>
    <w:rsid w:val="006B2C1C"/>
    <w:rsid w:val="006B2D23"/>
    <w:rsid w:val="006B2D44"/>
    <w:rsid w:val="006B2DE1"/>
    <w:rsid w:val="006B2E65"/>
    <w:rsid w:val="006B2EE4"/>
    <w:rsid w:val="006B3067"/>
    <w:rsid w:val="006B30E1"/>
    <w:rsid w:val="006B3192"/>
    <w:rsid w:val="006B31F9"/>
    <w:rsid w:val="006B32CC"/>
    <w:rsid w:val="006B32D1"/>
    <w:rsid w:val="006B36AA"/>
    <w:rsid w:val="006B3763"/>
    <w:rsid w:val="006B3857"/>
    <w:rsid w:val="006B387D"/>
    <w:rsid w:val="006B38B9"/>
    <w:rsid w:val="006B3A8C"/>
    <w:rsid w:val="006B3B57"/>
    <w:rsid w:val="006B3E00"/>
    <w:rsid w:val="006B3E66"/>
    <w:rsid w:val="006B3E9B"/>
    <w:rsid w:val="006B3F37"/>
    <w:rsid w:val="006B4024"/>
    <w:rsid w:val="006B4098"/>
    <w:rsid w:val="006B438B"/>
    <w:rsid w:val="006B46F5"/>
    <w:rsid w:val="006B4710"/>
    <w:rsid w:val="006B471B"/>
    <w:rsid w:val="006B48B8"/>
    <w:rsid w:val="006B49D4"/>
    <w:rsid w:val="006B4C2E"/>
    <w:rsid w:val="006B4CEE"/>
    <w:rsid w:val="006B4D4C"/>
    <w:rsid w:val="006B4DAD"/>
    <w:rsid w:val="006B4FDD"/>
    <w:rsid w:val="006B509B"/>
    <w:rsid w:val="006B51D7"/>
    <w:rsid w:val="006B5269"/>
    <w:rsid w:val="006B5322"/>
    <w:rsid w:val="006B5360"/>
    <w:rsid w:val="006B5591"/>
    <w:rsid w:val="006B5739"/>
    <w:rsid w:val="006B58B0"/>
    <w:rsid w:val="006B58CB"/>
    <w:rsid w:val="006B5A63"/>
    <w:rsid w:val="006B5B62"/>
    <w:rsid w:val="006B5C86"/>
    <w:rsid w:val="006B5D3C"/>
    <w:rsid w:val="006B5D66"/>
    <w:rsid w:val="006B5D89"/>
    <w:rsid w:val="006B602C"/>
    <w:rsid w:val="006B6127"/>
    <w:rsid w:val="006B62C4"/>
    <w:rsid w:val="006B63E2"/>
    <w:rsid w:val="006B6413"/>
    <w:rsid w:val="006B64E4"/>
    <w:rsid w:val="006B6597"/>
    <w:rsid w:val="006B66A6"/>
    <w:rsid w:val="006B6A87"/>
    <w:rsid w:val="006B6ABA"/>
    <w:rsid w:val="006B6ACD"/>
    <w:rsid w:val="006B6BFC"/>
    <w:rsid w:val="006B6CDC"/>
    <w:rsid w:val="006B6CED"/>
    <w:rsid w:val="006B6CEF"/>
    <w:rsid w:val="006B6E95"/>
    <w:rsid w:val="006B6F2F"/>
    <w:rsid w:val="006B7028"/>
    <w:rsid w:val="006B7053"/>
    <w:rsid w:val="006B7059"/>
    <w:rsid w:val="006B709E"/>
    <w:rsid w:val="006B70C9"/>
    <w:rsid w:val="006B7138"/>
    <w:rsid w:val="006B713C"/>
    <w:rsid w:val="006B71B7"/>
    <w:rsid w:val="006B71C0"/>
    <w:rsid w:val="006B73C0"/>
    <w:rsid w:val="006B7437"/>
    <w:rsid w:val="006B74E4"/>
    <w:rsid w:val="006B74FE"/>
    <w:rsid w:val="006B7521"/>
    <w:rsid w:val="006B7525"/>
    <w:rsid w:val="006B767F"/>
    <w:rsid w:val="006B78ED"/>
    <w:rsid w:val="006B7916"/>
    <w:rsid w:val="006B793A"/>
    <w:rsid w:val="006B7971"/>
    <w:rsid w:val="006B7A9B"/>
    <w:rsid w:val="006B7AE5"/>
    <w:rsid w:val="006B7B8E"/>
    <w:rsid w:val="006B7C2A"/>
    <w:rsid w:val="006B7C74"/>
    <w:rsid w:val="006B7D6D"/>
    <w:rsid w:val="006B7E31"/>
    <w:rsid w:val="006B7F1D"/>
    <w:rsid w:val="006C007E"/>
    <w:rsid w:val="006C00EA"/>
    <w:rsid w:val="006C01EF"/>
    <w:rsid w:val="006C029F"/>
    <w:rsid w:val="006C034E"/>
    <w:rsid w:val="006C03B5"/>
    <w:rsid w:val="006C05C9"/>
    <w:rsid w:val="006C06DC"/>
    <w:rsid w:val="006C0A58"/>
    <w:rsid w:val="006C0B45"/>
    <w:rsid w:val="006C0DE3"/>
    <w:rsid w:val="006C0E23"/>
    <w:rsid w:val="006C0EA2"/>
    <w:rsid w:val="006C0F44"/>
    <w:rsid w:val="006C1013"/>
    <w:rsid w:val="006C1066"/>
    <w:rsid w:val="006C1083"/>
    <w:rsid w:val="006C1148"/>
    <w:rsid w:val="006C1213"/>
    <w:rsid w:val="006C1252"/>
    <w:rsid w:val="006C125B"/>
    <w:rsid w:val="006C1266"/>
    <w:rsid w:val="006C15D6"/>
    <w:rsid w:val="006C1721"/>
    <w:rsid w:val="006C1A0A"/>
    <w:rsid w:val="006C1AD4"/>
    <w:rsid w:val="006C1BDA"/>
    <w:rsid w:val="006C1DC6"/>
    <w:rsid w:val="006C1EDD"/>
    <w:rsid w:val="006C1F6C"/>
    <w:rsid w:val="006C1F96"/>
    <w:rsid w:val="006C20B2"/>
    <w:rsid w:val="006C2127"/>
    <w:rsid w:val="006C2135"/>
    <w:rsid w:val="006C21AA"/>
    <w:rsid w:val="006C2220"/>
    <w:rsid w:val="006C226C"/>
    <w:rsid w:val="006C232B"/>
    <w:rsid w:val="006C2443"/>
    <w:rsid w:val="006C251D"/>
    <w:rsid w:val="006C2643"/>
    <w:rsid w:val="006C27EC"/>
    <w:rsid w:val="006C29D1"/>
    <w:rsid w:val="006C29F4"/>
    <w:rsid w:val="006C29F5"/>
    <w:rsid w:val="006C2C65"/>
    <w:rsid w:val="006C2E20"/>
    <w:rsid w:val="006C31DB"/>
    <w:rsid w:val="006C33AE"/>
    <w:rsid w:val="006C33E8"/>
    <w:rsid w:val="006C3501"/>
    <w:rsid w:val="006C367B"/>
    <w:rsid w:val="006C3793"/>
    <w:rsid w:val="006C3872"/>
    <w:rsid w:val="006C38D1"/>
    <w:rsid w:val="006C38DE"/>
    <w:rsid w:val="006C391B"/>
    <w:rsid w:val="006C39D2"/>
    <w:rsid w:val="006C3E6B"/>
    <w:rsid w:val="006C3F0B"/>
    <w:rsid w:val="006C42F5"/>
    <w:rsid w:val="006C4490"/>
    <w:rsid w:val="006C4572"/>
    <w:rsid w:val="006C4881"/>
    <w:rsid w:val="006C4A66"/>
    <w:rsid w:val="006C4AAF"/>
    <w:rsid w:val="006C4B75"/>
    <w:rsid w:val="006C4B8C"/>
    <w:rsid w:val="006C4BFF"/>
    <w:rsid w:val="006C4D26"/>
    <w:rsid w:val="006C4F6F"/>
    <w:rsid w:val="006C5007"/>
    <w:rsid w:val="006C500A"/>
    <w:rsid w:val="006C5055"/>
    <w:rsid w:val="006C531D"/>
    <w:rsid w:val="006C532E"/>
    <w:rsid w:val="006C5383"/>
    <w:rsid w:val="006C5464"/>
    <w:rsid w:val="006C5563"/>
    <w:rsid w:val="006C55FF"/>
    <w:rsid w:val="006C569B"/>
    <w:rsid w:val="006C56CB"/>
    <w:rsid w:val="006C5718"/>
    <w:rsid w:val="006C5798"/>
    <w:rsid w:val="006C5806"/>
    <w:rsid w:val="006C5929"/>
    <w:rsid w:val="006C59BA"/>
    <w:rsid w:val="006C59E3"/>
    <w:rsid w:val="006C59FA"/>
    <w:rsid w:val="006C5A09"/>
    <w:rsid w:val="006C5CE9"/>
    <w:rsid w:val="006C5CF7"/>
    <w:rsid w:val="006C5D74"/>
    <w:rsid w:val="006C5FA8"/>
    <w:rsid w:val="006C60C4"/>
    <w:rsid w:val="006C616E"/>
    <w:rsid w:val="006C619F"/>
    <w:rsid w:val="006C630B"/>
    <w:rsid w:val="006C6326"/>
    <w:rsid w:val="006C633A"/>
    <w:rsid w:val="006C638B"/>
    <w:rsid w:val="006C6527"/>
    <w:rsid w:val="006C660F"/>
    <w:rsid w:val="006C662F"/>
    <w:rsid w:val="006C6653"/>
    <w:rsid w:val="006C665A"/>
    <w:rsid w:val="006C66A2"/>
    <w:rsid w:val="006C6707"/>
    <w:rsid w:val="006C6868"/>
    <w:rsid w:val="006C696D"/>
    <w:rsid w:val="006C69BF"/>
    <w:rsid w:val="006C69F9"/>
    <w:rsid w:val="006C6A7F"/>
    <w:rsid w:val="006C6B7E"/>
    <w:rsid w:val="006C6C4D"/>
    <w:rsid w:val="006C6D91"/>
    <w:rsid w:val="006C6E99"/>
    <w:rsid w:val="006C6FA7"/>
    <w:rsid w:val="006C6FF5"/>
    <w:rsid w:val="006C7017"/>
    <w:rsid w:val="006C70FF"/>
    <w:rsid w:val="006C7168"/>
    <w:rsid w:val="006C7515"/>
    <w:rsid w:val="006C751F"/>
    <w:rsid w:val="006C7522"/>
    <w:rsid w:val="006C76CD"/>
    <w:rsid w:val="006C7725"/>
    <w:rsid w:val="006C7746"/>
    <w:rsid w:val="006C7913"/>
    <w:rsid w:val="006C7933"/>
    <w:rsid w:val="006C7981"/>
    <w:rsid w:val="006C79CA"/>
    <w:rsid w:val="006C7BFD"/>
    <w:rsid w:val="006C7C30"/>
    <w:rsid w:val="006C7E46"/>
    <w:rsid w:val="006C7EFE"/>
    <w:rsid w:val="006C7F23"/>
    <w:rsid w:val="006C7F94"/>
    <w:rsid w:val="006D00B6"/>
    <w:rsid w:val="006D0415"/>
    <w:rsid w:val="006D04A3"/>
    <w:rsid w:val="006D0628"/>
    <w:rsid w:val="006D064C"/>
    <w:rsid w:val="006D0697"/>
    <w:rsid w:val="006D0755"/>
    <w:rsid w:val="006D0BBF"/>
    <w:rsid w:val="006D0CBA"/>
    <w:rsid w:val="006D0CBC"/>
    <w:rsid w:val="006D0DD9"/>
    <w:rsid w:val="006D0DFE"/>
    <w:rsid w:val="006D0E93"/>
    <w:rsid w:val="006D0EC0"/>
    <w:rsid w:val="006D10C7"/>
    <w:rsid w:val="006D11F1"/>
    <w:rsid w:val="006D1205"/>
    <w:rsid w:val="006D1314"/>
    <w:rsid w:val="006D1334"/>
    <w:rsid w:val="006D136F"/>
    <w:rsid w:val="006D174C"/>
    <w:rsid w:val="006D1811"/>
    <w:rsid w:val="006D1821"/>
    <w:rsid w:val="006D19A1"/>
    <w:rsid w:val="006D1B1B"/>
    <w:rsid w:val="006D1D24"/>
    <w:rsid w:val="006D1D5A"/>
    <w:rsid w:val="006D1DCA"/>
    <w:rsid w:val="006D1DD6"/>
    <w:rsid w:val="006D1E85"/>
    <w:rsid w:val="006D1E8D"/>
    <w:rsid w:val="006D1F21"/>
    <w:rsid w:val="006D2045"/>
    <w:rsid w:val="006D218F"/>
    <w:rsid w:val="006D23D4"/>
    <w:rsid w:val="006D23F2"/>
    <w:rsid w:val="006D251C"/>
    <w:rsid w:val="006D2718"/>
    <w:rsid w:val="006D274E"/>
    <w:rsid w:val="006D2A7C"/>
    <w:rsid w:val="006D2A8B"/>
    <w:rsid w:val="006D2B10"/>
    <w:rsid w:val="006D2D41"/>
    <w:rsid w:val="006D2DF4"/>
    <w:rsid w:val="006D30A3"/>
    <w:rsid w:val="006D330B"/>
    <w:rsid w:val="006D347A"/>
    <w:rsid w:val="006D34A9"/>
    <w:rsid w:val="006D34BE"/>
    <w:rsid w:val="006D3518"/>
    <w:rsid w:val="006D35D7"/>
    <w:rsid w:val="006D386E"/>
    <w:rsid w:val="006D399F"/>
    <w:rsid w:val="006D3A47"/>
    <w:rsid w:val="006D3D08"/>
    <w:rsid w:val="006D3DC8"/>
    <w:rsid w:val="006D3FAD"/>
    <w:rsid w:val="006D3FBD"/>
    <w:rsid w:val="006D40BA"/>
    <w:rsid w:val="006D40E3"/>
    <w:rsid w:val="006D418F"/>
    <w:rsid w:val="006D419E"/>
    <w:rsid w:val="006D424B"/>
    <w:rsid w:val="006D4251"/>
    <w:rsid w:val="006D4279"/>
    <w:rsid w:val="006D42E5"/>
    <w:rsid w:val="006D451E"/>
    <w:rsid w:val="006D458B"/>
    <w:rsid w:val="006D45E7"/>
    <w:rsid w:val="006D45F4"/>
    <w:rsid w:val="006D4644"/>
    <w:rsid w:val="006D46BE"/>
    <w:rsid w:val="006D4886"/>
    <w:rsid w:val="006D49DC"/>
    <w:rsid w:val="006D49EB"/>
    <w:rsid w:val="006D4A38"/>
    <w:rsid w:val="006D4A61"/>
    <w:rsid w:val="006D4AD2"/>
    <w:rsid w:val="006D4BD1"/>
    <w:rsid w:val="006D4CBF"/>
    <w:rsid w:val="006D507D"/>
    <w:rsid w:val="006D5481"/>
    <w:rsid w:val="006D54FA"/>
    <w:rsid w:val="006D55BE"/>
    <w:rsid w:val="006D575A"/>
    <w:rsid w:val="006D58A8"/>
    <w:rsid w:val="006D5904"/>
    <w:rsid w:val="006D5A89"/>
    <w:rsid w:val="006D5B6A"/>
    <w:rsid w:val="006D5D82"/>
    <w:rsid w:val="006D606A"/>
    <w:rsid w:val="006D6145"/>
    <w:rsid w:val="006D61AA"/>
    <w:rsid w:val="006D6227"/>
    <w:rsid w:val="006D622E"/>
    <w:rsid w:val="006D64ED"/>
    <w:rsid w:val="006D6732"/>
    <w:rsid w:val="006D67DE"/>
    <w:rsid w:val="006D6887"/>
    <w:rsid w:val="006D689C"/>
    <w:rsid w:val="006D690C"/>
    <w:rsid w:val="006D69B6"/>
    <w:rsid w:val="006D6A67"/>
    <w:rsid w:val="006D6B79"/>
    <w:rsid w:val="006D6B9E"/>
    <w:rsid w:val="006D6E43"/>
    <w:rsid w:val="006D6FAF"/>
    <w:rsid w:val="006D706A"/>
    <w:rsid w:val="006D70D9"/>
    <w:rsid w:val="006D7204"/>
    <w:rsid w:val="006D72B9"/>
    <w:rsid w:val="006D734D"/>
    <w:rsid w:val="006D7513"/>
    <w:rsid w:val="006D77B8"/>
    <w:rsid w:val="006D780C"/>
    <w:rsid w:val="006D7912"/>
    <w:rsid w:val="006D794D"/>
    <w:rsid w:val="006D7988"/>
    <w:rsid w:val="006D79D8"/>
    <w:rsid w:val="006D7C59"/>
    <w:rsid w:val="006D7F03"/>
    <w:rsid w:val="006D7F13"/>
    <w:rsid w:val="006D7F8F"/>
    <w:rsid w:val="006D7FD3"/>
    <w:rsid w:val="006E0166"/>
    <w:rsid w:val="006E01A6"/>
    <w:rsid w:val="006E02E3"/>
    <w:rsid w:val="006E0312"/>
    <w:rsid w:val="006E058E"/>
    <w:rsid w:val="006E060D"/>
    <w:rsid w:val="006E064A"/>
    <w:rsid w:val="006E0686"/>
    <w:rsid w:val="006E06B6"/>
    <w:rsid w:val="006E0750"/>
    <w:rsid w:val="006E07B2"/>
    <w:rsid w:val="006E07D5"/>
    <w:rsid w:val="006E087B"/>
    <w:rsid w:val="006E08C2"/>
    <w:rsid w:val="006E09CA"/>
    <w:rsid w:val="006E0C6F"/>
    <w:rsid w:val="006E0C8C"/>
    <w:rsid w:val="006E0D04"/>
    <w:rsid w:val="006E0D0E"/>
    <w:rsid w:val="006E0D49"/>
    <w:rsid w:val="006E1072"/>
    <w:rsid w:val="006E1110"/>
    <w:rsid w:val="006E126E"/>
    <w:rsid w:val="006E12A1"/>
    <w:rsid w:val="006E1331"/>
    <w:rsid w:val="006E1413"/>
    <w:rsid w:val="006E1574"/>
    <w:rsid w:val="006E1755"/>
    <w:rsid w:val="006E1854"/>
    <w:rsid w:val="006E1871"/>
    <w:rsid w:val="006E18A8"/>
    <w:rsid w:val="006E1952"/>
    <w:rsid w:val="006E1B0B"/>
    <w:rsid w:val="006E1B60"/>
    <w:rsid w:val="006E1BC1"/>
    <w:rsid w:val="006E1BD7"/>
    <w:rsid w:val="006E1C2A"/>
    <w:rsid w:val="006E1C8C"/>
    <w:rsid w:val="006E1D76"/>
    <w:rsid w:val="006E1F3D"/>
    <w:rsid w:val="006E1FF3"/>
    <w:rsid w:val="006E202A"/>
    <w:rsid w:val="006E2032"/>
    <w:rsid w:val="006E20CD"/>
    <w:rsid w:val="006E22A2"/>
    <w:rsid w:val="006E22F2"/>
    <w:rsid w:val="006E233B"/>
    <w:rsid w:val="006E2378"/>
    <w:rsid w:val="006E23D1"/>
    <w:rsid w:val="006E24A8"/>
    <w:rsid w:val="006E254B"/>
    <w:rsid w:val="006E26C6"/>
    <w:rsid w:val="006E2A1C"/>
    <w:rsid w:val="006E2AD3"/>
    <w:rsid w:val="006E2B88"/>
    <w:rsid w:val="006E2D1C"/>
    <w:rsid w:val="006E2D5E"/>
    <w:rsid w:val="006E2DE9"/>
    <w:rsid w:val="006E2DFB"/>
    <w:rsid w:val="006E2EEC"/>
    <w:rsid w:val="006E2F8E"/>
    <w:rsid w:val="006E34D5"/>
    <w:rsid w:val="006E361D"/>
    <w:rsid w:val="006E3629"/>
    <w:rsid w:val="006E3636"/>
    <w:rsid w:val="006E36FD"/>
    <w:rsid w:val="006E371F"/>
    <w:rsid w:val="006E38C0"/>
    <w:rsid w:val="006E3959"/>
    <w:rsid w:val="006E39CE"/>
    <w:rsid w:val="006E39DE"/>
    <w:rsid w:val="006E3AA3"/>
    <w:rsid w:val="006E3C94"/>
    <w:rsid w:val="006E3CF0"/>
    <w:rsid w:val="006E3D57"/>
    <w:rsid w:val="006E3DD8"/>
    <w:rsid w:val="006E3DEA"/>
    <w:rsid w:val="006E4342"/>
    <w:rsid w:val="006E4456"/>
    <w:rsid w:val="006E4567"/>
    <w:rsid w:val="006E46AE"/>
    <w:rsid w:val="006E46F0"/>
    <w:rsid w:val="006E4718"/>
    <w:rsid w:val="006E4754"/>
    <w:rsid w:val="006E4767"/>
    <w:rsid w:val="006E47E0"/>
    <w:rsid w:val="006E47EF"/>
    <w:rsid w:val="006E4956"/>
    <w:rsid w:val="006E4A8B"/>
    <w:rsid w:val="006E4B19"/>
    <w:rsid w:val="006E4B20"/>
    <w:rsid w:val="006E4B5D"/>
    <w:rsid w:val="006E4B78"/>
    <w:rsid w:val="006E4BB2"/>
    <w:rsid w:val="006E4BE4"/>
    <w:rsid w:val="006E4BF8"/>
    <w:rsid w:val="006E4DA5"/>
    <w:rsid w:val="006E4DD4"/>
    <w:rsid w:val="006E4E5B"/>
    <w:rsid w:val="006E4F87"/>
    <w:rsid w:val="006E4FE2"/>
    <w:rsid w:val="006E50E4"/>
    <w:rsid w:val="006E5319"/>
    <w:rsid w:val="006E5333"/>
    <w:rsid w:val="006E54A1"/>
    <w:rsid w:val="006E5519"/>
    <w:rsid w:val="006E551D"/>
    <w:rsid w:val="006E5BCB"/>
    <w:rsid w:val="006E5BE3"/>
    <w:rsid w:val="006E5C5C"/>
    <w:rsid w:val="006E5D3F"/>
    <w:rsid w:val="006E5FB6"/>
    <w:rsid w:val="006E6066"/>
    <w:rsid w:val="006E60CD"/>
    <w:rsid w:val="006E620E"/>
    <w:rsid w:val="006E627B"/>
    <w:rsid w:val="006E6329"/>
    <w:rsid w:val="006E6523"/>
    <w:rsid w:val="006E659B"/>
    <w:rsid w:val="006E66D9"/>
    <w:rsid w:val="006E672A"/>
    <w:rsid w:val="006E6752"/>
    <w:rsid w:val="006E6888"/>
    <w:rsid w:val="006E68CE"/>
    <w:rsid w:val="006E6A60"/>
    <w:rsid w:val="006E7064"/>
    <w:rsid w:val="006E71E1"/>
    <w:rsid w:val="006E7207"/>
    <w:rsid w:val="006E722C"/>
    <w:rsid w:val="006E72A7"/>
    <w:rsid w:val="006E73BC"/>
    <w:rsid w:val="006E743B"/>
    <w:rsid w:val="006E7454"/>
    <w:rsid w:val="006E7568"/>
    <w:rsid w:val="006E78B3"/>
    <w:rsid w:val="006E7903"/>
    <w:rsid w:val="006E7AD8"/>
    <w:rsid w:val="006E7D28"/>
    <w:rsid w:val="006E7D2E"/>
    <w:rsid w:val="006E7D3F"/>
    <w:rsid w:val="006E7DCB"/>
    <w:rsid w:val="006E7DDA"/>
    <w:rsid w:val="006F0056"/>
    <w:rsid w:val="006F032C"/>
    <w:rsid w:val="006F0579"/>
    <w:rsid w:val="006F07C3"/>
    <w:rsid w:val="006F0854"/>
    <w:rsid w:val="006F0A9A"/>
    <w:rsid w:val="006F0BF7"/>
    <w:rsid w:val="006F0CCA"/>
    <w:rsid w:val="006F0EF0"/>
    <w:rsid w:val="006F1141"/>
    <w:rsid w:val="006F1192"/>
    <w:rsid w:val="006F11DC"/>
    <w:rsid w:val="006F1288"/>
    <w:rsid w:val="006F129B"/>
    <w:rsid w:val="006F12DC"/>
    <w:rsid w:val="006F12F4"/>
    <w:rsid w:val="006F154E"/>
    <w:rsid w:val="006F16B8"/>
    <w:rsid w:val="006F1725"/>
    <w:rsid w:val="006F19EF"/>
    <w:rsid w:val="006F1B03"/>
    <w:rsid w:val="006F1B39"/>
    <w:rsid w:val="006F1B6D"/>
    <w:rsid w:val="006F1F86"/>
    <w:rsid w:val="006F1FF2"/>
    <w:rsid w:val="006F2011"/>
    <w:rsid w:val="006F209D"/>
    <w:rsid w:val="006F23EB"/>
    <w:rsid w:val="006F2418"/>
    <w:rsid w:val="006F24C8"/>
    <w:rsid w:val="006F2519"/>
    <w:rsid w:val="006F2626"/>
    <w:rsid w:val="006F276D"/>
    <w:rsid w:val="006F2916"/>
    <w:rsid w:val="006F2946"/>
    <w:rsid w:val="006F2952"/>
    <w:rsid w:val="006F29E9"/>
    <w:rsid w:val="006F2A04"/>
    <w:rsid w:val="006F2AD3"/>
    <w:rsid w:val="006F2BB6"/>
    <w:rsid w:val="006F2D3B"/>
    <w:rsid w:val="006F2DA5"/>
    <w:rsid w:val="006F2F85"/>
    <w:rsid w:val="006F2FEE"/>
    <w:rsid w:val="006F3125"/>
    <w:rsid w:val="006F33A0"/>
    <w:rsid w:val="006F34ED"/>
    <w:rsid w:val="006F3575"/>
    <w:rsid w:val="006F363D"/>
    <w:rsid w:val="006F3666"/>
    <w:rsid w:val="006F3AAB"/>
    <w:rsid w:val="006F3CF1"/>
    <w:rsid w:val="006F3D4B"/>
    <w:rsid w:val="006F3D60"/>
    <w:rsid w:val="006F3F0C"/>
    <w:rsid w:val="006F3FC4"/>
    <w:rsid w:val="006F4057"/>
    <w:rsid w:val="006F409D"/>
    <w:rsid w:val="006F40FE"/>
    <w:rsid w:val="006F4148"/>
    <w:rsid w:val="006F4164"/>
    <w:rsid w:val="006F41CD"/>
    <w:rsid w:val="006F434F"/>
    <w:rsid w:val="006F4379"/>
    <w:rsid w:val="006F43A5"/>
    <w:rsid w:val="006F43F9"/>
    <w:rsid w:val="006F4549"/>
    <w:rsid w:val="006F45C0"/>
    <w:rsid w:val="006F45E2"/>
    <w:rsid w:val="006F4619"/>
    <w:rsid w:val="006F4687"/>
    <w:rsid w:val="006F4705"/>
    <w:rsid w:val="006F479A"/>
    <w:rsid w:val="006F47E4"/>
    <w:rsid w:val="006F481E"/>
    <w:rsid w:val="006F4861"/>
    <w:rsid w:val="006F4959"/>
    <w:rsid w:val="006F49C1"/>
    <w:rsid w:val="006F4A83"/>
    <w:rsid w:val="006F4ADC"/>
    <w:rsid w:val="006F4BC5"/>
    <w:rsid w:val="006F4CD7"/>
    <w:rsid w:val="006F4D90"/>
    <w:rsid w:val="006F4E26"/>
    <w:rsid w:val="006F4E45"/>
    <w:rsid w:val="006F4F7D"/>
    <w:rsid w:val="006F503D"/>
    <w:rsid w:val="006F5055"/>
    <w:rsid w:val="006F50F5"/>
    <w:rsid w:val="006F5291"/>
    <w:rsid w:val="006F53F3"/>
    <w:rsid w:val="006F54C5"/>
    <w:rsid w:val="006F54ED"/>
    <w:rsid w:val="006F57B0"/>
    <w:rsid w:val="006F586D"/>
    <w:rsid w:val="006F587C"/>
    <w:rsid w:val="006F5958"/>
    <w:rsid w:val="006F59AA"/>
    <w:rsid w:val="006F5A20"/>
    <w:rsid w:val="006F5A39"/>
    <w:rsid w:val="006F5BCD"/>
    <w:rsid w:val="006F5D56"/>
    <w:rsid w:val="006F5EB5"/>
    <w:rsid w:val="006F604B"/>
    <w:rsid w:val="006F60F1"/>
    <w:rsid w:val="006F62ED"/>
    <w:rsid w:val="006F62FF"/>
    <w:rsid w:val="006F6363"/>
    <w:rsid w:val="006F65B4"/>
    <w:rsid w:val="006F65D2"/>
    <w:rsid w:val="006F65E6"/>
    <w:rsid w:val="006F666F"/>
    <w:rsid w:val="006F66B2"/>
    <w:rsid w:val="006F6777"/>
    <w:rsid w:val="006F677F"/>
    <w:rsid w:val="006F679A"/>
    <w:rsid w:val="006F67A8"/>
    <w:rsid w:val="006F67B4"/>
    <w:rsid w:val="006F6914"/>
    <w:rsid w:val="006F6A1F"/>
    <w:rsid w:val="006F6AB0"/>
    <w:rsid w:val="006F6B92"/>
    <w:rsid w:val="006F6DA5"/>
    <w:rsid w:val="006F6E00"/>
    <w:rsid w:val="006F6E14"/>
    <w:rsid w:val="006F7007"/>
    <w:rsid w:val="006F7029"/>
    <w:rsid w:val="006F7319"/>
    <w:rsid w:val="006F73E0"/>
    <w:rsid w:val="006F73F1"/>
    <w:rsid w:val="006F749D"/>
    <w:rsid w:val="006F753F"/>
    <w:rsid w:val="006F764D"/>
    <w:rsid w:val="006F77BB"/>
    <w:rsid w:val="006F77EE"/>
    <w:rsid w:val="006F7904"/>
    <w:rsid w:val="006F7BB1"/>
    <w:rsid w:val="006F7BB3"/>
    <w:rsid w:val="00700080"/>
    <w:rsid w:val="00700185"/>
    <w:rsid w:val="007001E1"/>
    <w:rsid w:val="0070030B"/>
    <w:rsid w:val="00700388"/>
    <w:rsid w:val="007003C4"/>
    <w:rsid w:val="0070077A"/>
    <w:rsid w:val="007007AD"/>
    <w:rsid w:val="00700803"/>
    <w:rsid w:val="0070081E"/>
    <w:rsid w:val="0070085E"/>
    <w:rsid w:val="00700A65"/>
    <w:rsid w:val="00700BD3"/>
    <w:rsid w:val="00700D37"/>
    <w:rsid w:val="00700DCC"/>
    <w:rsid w:val="00700F3E"/>
    <w:rsid w:val="007010B0"/>
    <w:rsid w:val="0070129D"/>
    <w:rsid w:val="007012BD"/>
    <w:rsid w:val="007012E0"/>
    <w:rsid w:val="007016EA"/>
    <w:rsid w:val="00701797"/>
    <w:rsid w:val="007018B0"/>
    <w:rsid w:val="0070192E"/>
    <w:rsid w:val="00701B63"/>
    <w:rsid w:val="00701D6C"/>
    <w:rsid w:val="00701E56"/>
    <w:rsid w:val="00701ED6"/>
    <w:rsid w:val="00701EE3"/>
    <w:rsid w:val="007020D1"/>
    <w:rsid w:val="00702115"/>
    <w:rsid w:val="007021BE"/>
    <w:rsid w:val="00702372"/>
    <w:rsid w:val="0070244A"/>
    <w:rsid w:val="00702470"/>
    <w:rsid w:val="00702489"/>
    <w:rsid w:val="007024DE"/>
    <w:rsid w:val="00702655"/>
    <w:rsid w:val="007027DB"/>
    <w:rsid w:val="0070296C"/>
    <w:rsid w:val="00702A08"/>
    <w:rsid w:val="00702A94"/>
    <w:rsid w:val="00702E65"/>
    <w:rsid w:val="00702F2F"/>
    <w:rsid w:val="00702FBD"/>
    <w:rsid w:val="00702FC0"/>
    <w:rsid w:val="0070311C"/>
    <w:rsid w:val="0070328A"/>
    <w:rsid w:val="007033F2"/>
    <w:rsid w:val="00703427"/>
    <w:rsid w:val="00703554"/>
    <w:rsid w:val="007035C0"/>
    <w:rsid w:val="007035EB"/>
    <w:rsid w:val="007036E9"/>
    <w:rsid w:val="007037C9"/>
    <w:rsid w:val="00703805"/>
    <w:rsid w:val="00703950"/>
    <w:rsid w:val="00703A5B"/>
    <w:rsid w:val="00703B13"/>
    <w:rsid w:val="00703CF0"/>
    <w:rsid w:val="00703DDD"/>
    <w:rsid w:val="0070411F"/>
    <w:rsid w:val="00704123"/>
    <w:rsid w:val="007041CA"/>
    <w:rsid w:val="0070430E"/>
    <w:rsid w:val="00704338"/>
    <w:rsid w:val="0070447F"/>
    <w:rsid w:val="0070450D"/>
    <w:rsid w:val="0070453E"/>
    <w:rsid w:val="00704595"/>
    <w:rsid w:val="0070464D"/>
    <w:rsid w:val="007046FB"/>
    <w:rsid w:val="0070473B"/>
    <w:rsid w:val="00704790"/>
    <w:rsid w:val="00704DFC"/>
    <w:rsid w:val="00704E16"/>
    <w:rsid w:val="00704E5B"/>
    <w:rsid w:val="007050A8"/>
    <w:rsid w:val="0070510E"/>
    <w:rsid w:val="007055F3"/>
    <w:rsid w:val="0070586C"/>
    <w:rsid w:val="007058B5"/>
    <w:rsid w:val="00705A52"/>
    <w:rsid w:val="00705BB7"/>
    <w:rsid w:val="00705E2B"/>
    <w:rsid w:val="00705E6B"/>
    <w:rsid w:val="00705F7A"/>
    <w:rsid w:val="0070610C"/>
    <w:rsid w:val="007061F6"/>
    <w:rsid w:val="0070622C"/>
    <w:rsid w:val="00706638"/>
    <w:rsid w:val="00706764"/>
    <w:rsid w:val="007067D7"/>
    <w:rsid w:val="0070682D"/>
    <w:rsid w:val="007069CA"/>
    <w:rsid w:val="00706AA1"/>
    <w:rsid w:val="00706AED"/>
    <w:rsid w:val="00706C52"/>
    <w:rsid w:val="00706D60"/>
    <w:rsid w:val="00706E0E"/>
    <w:rsid w:val="00706F74"/>
    <w:rsid w:val="007070AC"/>
    <w:rsid w:val="007072DE"/>
    <w:rsid w:val="0070733F"/>
    <w:rsid w:val="00707498"/>
    <w:rsid w:val="007077A3"/>
    <w:rsid w:val="0070781F"/>
    <w:rsid w:val="00707EB4"/>
    <w:rsid w:val="00707F35"/>
    <w:rsid w:val="007101DC"/>
    <w:rsid w:val="00710420"/>
    <w:rsid w:val="00710539"/>
    <w:rsid w:val="00710689"/>
    <w:rsid w:val="00710764"/>
    <w:rsid w:val="007107DD"/>
    <w:rsid w:val="00710868"/>
    <w:rsid w:val="007109C0"/>
    <w:rsid w:val="00710BD0"/>
    <w:rsid w:val="00710D05"/>
    <w:rsid w:val="00710E17"/>
    <w:rsid w:val="00710E5C"/>
    <w:rsid w:val="00711029"/>
    <w:rsid w:val="007110D4"/>
    <w:rsid w:val="00711221"/>
    <w:rsid w:val="0071139E"/>
    <w:rsid w:val="0071147A"/>
    <w:rsid w:val="007114A9"/>
    <w:rsid w:val="00711523"/>
    <w:rsid w:val="00711566"/>
    <w:rsid w:val="007115DE"/>
    <w:rsid w:val="00711603"/>
    <w:rsid w:val="0071177F"/>
    <w:rsid w:val="007117B9"/>
    <w:rsid w:val="007117E8"/>
    <w:rsid w:val="00711ACA"/>
    <w:rsid w:val="00711AD0"/>
    <w:rsid w:val="00711C07"/>
    <w:rsid w:val="00711D08"/>
    <w:rsid w:val="00711EA5"/>
    <w:rsid w:val="00712068"/>
    <w:rsid w:val="00712143"/>
    <w:rsid w:val="00712763"/>
    <w:rsid w:val="00712798"/>
    <w:rsid w:val="007127A4"/>
    <w:rsid w:val="00712B2D"/>
    <w:rsid w:val="00712B5B"/>
    <w:rsid w:val="00712E0B"/>
    <w:rsid w:val="00712E60"/>
    <w:rsid w:val="00712FE3"/>
    <w:rsid w:val="007130A8"/>
    <w:rsid w:val="007130B9"/>
    <w:rsid w:val="007130F8"/>
    <w:rsid w:val="00713149"/>
    <w:rsid w:val="00713217"/>
    <w:rsid w:val="00713297"/>
    <w:rsid w:val="00713298"/>
    <w:rsid w:val="007132B0"/>
    <w:rsid w:val="007137C5"/>
    <w:rsid w:val="007137DF"/>
    <w:rsid w:val="007137EC"/>
    <w:rsid w:val="00713871"/>
    <w:rsid w:val="0071387D"/>
    <w:rsid w:val="00713921"/>
    <w:rsid w:val="00713A03"/>
    <w:rsid w:val="00713AB5"/>
    <w:rsid w:val="00713AB7"/>
    <w:rsid w:val="00713ADD"/>
    <w:rsid w:val="00713B44"/>
    <w:rsid w:val="00713CFE"/>
    <w:rsid w:val="00713CFF"/>
    <w:rsid w:val="00713DA7"/>
    <w:rsid w:val="00713E2A"/>
    <w:rsid w:val="00713EED"/>
    <w:rsid w:val="0071418A"/>
    <w:rsid w:val="0071420C"/>
    <w:rsid w:val="0071442E"/>
    <w:rsid w:val="00714466"/>
    <w:rsid w:val="007144A2"/>
    <w:rsid w:val="00714522"/>
    <w:rsid w:val="00714553"/>
    <w:rsid w:val="00714724"/>
    <w:rsid w:val="007147A2"/>
    <w:rsid w:val="007147B4"/>
    <w:rsid w:val="0071484F"/>
    <w:rsid w:val="00714A66"/>
    <w:rsid w:val="00714A81"/>
    <w:rsid w:val="00714B0E"/>
    <w:rsid w:val="00714BA8"/>
    <w:rsid w:val="00714C1D"/>
    <w:rsid w:val="00714CC1"/>
    <w:rsid w:val="00714D71"/>
    <w:rsid w:val="00714DBB"/>
    <w:rsid w:val="00714EBB"/>
    <w:rsid w:val="007150E3"/>
    <w:rsid w:val="007150E8"/>
    <w:rsid w:val="007152BB"/>
    <w:rsid w:val="007152D6"/>
    <w:rsid w:val="007153CF"/>
    <w:rsid w:val="00715417"/>
    <w:rsid w:val="007155EB"/>
    <w:rsid w:val="0071563F"/>
    <w:rsid w:val="0071573B"/>
    <w:rsid w:val="0071574E"/>
    <w:rsid w:val="00715A1D"/>
    <w:rsid w:val="00715AB6"/>
    <w:rsid w:val="00715B1F"/>
    <w:rsid w:val="00715B24"/>
    <w:rsid w:val="00715BC8"/>
    <w:rsid w:val="00715DA9"/>
    <w:rsid w:val="00715F24"/>
    <w:rsid w:val="0071614A"/>
    <w:rsid w:val="0071619C"/>
    <w:rsid w:val="007161B4"/>
    <w:rsid w:val="00716262"/>
    <w:rsid w:val="00716294"/>
    <w:rsid w:val="007164BF"/>
    <w:rsid w:val="007164DB"/>
    <w:rsid w:val="007165F2"/>
    <w:rsid w:val="00716648"/>
    <w:rsid w:val="00716674"/>
    <w:rsid w:val="00716839"/>
    <w:rsid w:val="00716A57"/>
    <w:rsid w:val="00716B60"/>
    <w:rsid w:val="00716CAB"/>
    <w:rsid w:val="00716D95"/>
    <w:rsid w:val="00716E1B"/>
    <w:rsid w:val="00716ECC"/>
    <w:rsid w:val="00716EF5"/>
    <w:rsid w:val="00717115"/>
    <w:rsid w:val="00717139"/>
    <w:rsid w:val="0071714B"/>
    <w:rsid w:val="0071714E"/>
    <w:rsid w:val="007171A9"/>
    <w:rsid w:val="007171E7"/>
    <w:rsid w:val="007172B2"/>
    <w:rsid w:val="00717329"/>
    <w:rsid w:val="007173E7"/>
    <w:rsid w:val="007173EF"/>
    <w:rsid w:val="007174BC"/>
    <w:rsid w:val="007176C5"/>
    <w:rsid w:val="007176E4"/>
    <w:rsid w:val="007177E4"/>
    <w:rsid w:val="00717811"/>
    <w:rsid w:val="0071781B"/>
    <w:rsid w:val="00717AD5"/>
    <w:rsid w:val="00717AFE"/>
    <w:rsid w:val="00717DD9"/>
    <w:rsid w:val="00717EB6"/>
    <w:rsid w:val="007200E6"/>
    <w:rsid w:val="0072024A"/>
    <w:rsid w:val="007203B2"/>
    <w:rsid w:val="007203B5"/>
    <w:rsid w:val="007205A0"/>
    <w:rsid w:val="0072069E"/>
    <w:rsid w:val="007206C6"/>
    <w:rsid w:val="007207EB"/>
    <w:rsid w:val="007208AE"/>
    <w:rsid w:val="00720B93"/>
    <w:rsid w:val="00720C0A"/>
    <w:rsid w:val="00721032"/>
    <w:rsid w:val="00721381"/>
    <w:rsid w:val="00721388"/>
    <w:rsid w:val="007213A3"/>
    <w:rsid w:val="007213E8"/>
    <w:rsid w:val="00721775"/>
    <w:rsid w:val="007217F9"/>
    <w:rsid w:val="0072183A"/>
    <w:rsid w:val="0072196C"/>
    <w:rsid w:val="00721AC0"/>
    <w:rsid w:val="00721CA4"/>
    <w:rsid w:val="00721CAA"/>
    <w:rsid w:val="00721CD9"/>
    <w:rsid w:val="00721DE9"/>
    <w:rsid w:val="00721E3A"/>
    <w:rsid w:val="00721E7B"/>
    <w:rsid w:val="00721F8E"/>
    <w:rsid w:val="0072207C"/>
    <w:rsid w:val="00722217"/>
    <w:rsid w:val="00722394"/>
    <w:rsid w:val="007223ED"/>
    <w:rsid w:val="007224EC"/>
    <w:rsid w:val="007225C6"/>
    <w:rsid w:val="00722975"/>
    <w:rsid w:val="00722A2D"/>
    <w:rsid w:val="00722AA3"/>
    <w:rsid w:val="00722ACC"/>
    <w:rsid w:val="00722ADF"/>
    <w:rsid w:val="00722DD0"/>
    <w:rsid w:val="00722E1F"/>
    <w:rsid w:val="00722E6A"/>
    <w:rsid w:val="00722FA0"/>
    <w:rsid w:val="00722FAA"/>
    <w:rsid w:val="00723054"/>
    <w:rsid w:val="0072307C"/>
    <w:rsid w:val="007231BA"/>
    <w:rsid w:val="007231CA"/>
    <w:rsid w:val="00723260"/>
    <w:rsid w:val="0072331D"/>
    <w:rsid w:val="007233E8"/>
    <w:rsid w:val="0072346C"/>
    <w:rsid w:val="00723621"/>
    <w:rsid w:val="007236E1"/>
    <w:rsid w:val="0072393C"/>
    <w:rsid w:val="007239C0"/>
    <w:rsid w:val="007239E2"/>
    <w:rsid w:val="00723AEA"/>
    <w:rsid w:val="00723B06"/>
    <w:rsid w:val="00723BE8"/>
    <w:rsid w:val="00723E90"/>
    <w:rsid w:val="0072408E"/>
    <w:rsid w:val="00724263"/>
    <w:rsid w:val="007242E9"/>
    <w:rsid w:val="0072433B"/>
    <w:rsid w:val="00724404"/>
    <w:rsid w:val="00724507"/>
    <w:rsid w:val="0072452C"/>
    <w:rsid w:val="007245E2"/>
    <w:rsid w:val="00724616"/>
    <w:rsid w:val="00724683"/>
    <w:rsid w:val="00724760"/>
    <w:rsid w:val="0072480D"/>
    <w:rsid w:val="007249A7"/>
    <w:rsid w:val="00724B71"/>
    <w:rsid w:val="00724BFA"/>
    <w:rsid w:val="00724D7C"/>
    <w:rsid w:val="00725033"/>
    <w:rsid w:val="00725089"/>
    <w:rsid w:val="0072519C"/>
    <w:rsid w:val="007251A1"/>
    <w:rsid w:val="007252A3"/>
    <w:rsid w:val="007252AB"/>
    <w:rsid w:val="007253F8"/>
    <w:rsid w:val="0072555B"/>
    <w:rsid w:val="00725562"/>
    <w:rsid w:val="00725669"/>
    <w:rsid w:val="00725750"/>
    <w:rsid w:val="007257AF"/>
    <w:rsid w:val="00725815"/>
    <w:rsid w:val="007258C0"/>
    <w:rsid w:val="00725A28"/>
    <w:rsid w:val="00725A86"/>
    <w:rsid w:val="00725A8B"/>
    <w:rsid w:val="00725CF0"/>
    <w:rsid w:val="00725D40"/>
    <w:rsid w:val="00725D84"/>
    <w:rsid w:val="00725D89"/>
    <w:rsid w:val="00725E31"/>
    <w:rsid w:val="00725EFC"/>
    <w:rsid w:val="00725F5B"/>
    <w:rsid w:val="00725F80"/>
    <w:rsid w:val="007260F5"/>
    <w:rsid w:val="0072611B"/>
    <w:rsid w:val="007263C2"/>
    <w:rsid w:val="007263C3"/>
    <w:rsid w:val="007263FB"/>
    <w:rsid w:val="00726426"/>
    <w:rsid w:val="007265BB"/>
    <w:rsid w:val="007266AB"/>
    <w:rsid w:val="00726707"/>
    <w:rsid w:val="00726730"/>
    <w:rsid w:val="007267FC"/>
    <w:rsid w:val="0072684E"/>
    <w:rsid w:val="00726851"/>
    <w:rsid w:val="00726852"/>
    <w:rsid w:val="007269A5"/>
    <w:rsid w:val="00726AA2"/>
    <w:rsid w:val="00726DAF"/>
    <w:rsid w:val="00726E77"/>
    <w:rsid w:val="00726F92"/>
    <w:rsid w:val="00727002"/>
    <w:rsid w:val="00727146"/>
    <w:rsid w:val="00727162"/>
    <w:rsid w:val="00727438"/>
    <w:rsid w:val="00727481"/>
    <w:rsid w:val="0072752B"/>
    <w:rsid w:val="0072753D"/>
    <w:rsid w:val="007275D3"/>
    <w:rsid w:val="007275D9"/>
    <w:rsid w:val="00727611"/>
    <w:rsid w:val="00727687"/>
    <w:rsid w:val="007276D2"/>
    <w:rsid w:val="007276F9"/>
    <w:rsid w:val="0072775C"/>
    <w:rsid w:val="0072779D"/>
    <w:rsid w:val="0072794C"/>
    <w:rsid w:val="0072795D"/>
    <w:rsid w:val="007279D7"/>
    <w:rsid w:val="00727C73"/>
    <w:rsid w:val="00727D77"/>
    <w:rsid w:val="00727E73"/>
    <w:rsid w:val="00730033"/>
    <w:rsid w:val="00730156"/>
    <w:rsid w:val="007302C9"/>
    <w:rsid w:val="0073032B"/>
    <w:rsid w:val="00730444"/>
    <w:rsid w:val="007305BE"/>
    <w:rsid w:val="007306A1"/>
    <w:rsid w:val="007307C8"/>
    <w:rsid w:val="007307E3"/>
    <w:rsid w:val="00730AA3"/>
    <w:rsid w:val="00730B07"/>
    <w:rsid w:val="00730C6B"/>
    <w:rsid w:val="00730DDF"/>
    <w:rsid w:val="00730F27"/>
    <w:rsid w:val="00731046"/>
    <w:rsid w:val="0073129A"/>
    <w:rsid w:val="007312DD"/>
    <w:rsid w:val="00731393"/>
    <w:rsid w:val="007313A3"/>
    <w:rsid w:val="007313D1"/>
    <w:rsid w:val="007313E6"/>
    <w:rsid w:val="007317A4"/>
    <w:rsid w:val="007317AF"/>
    <w:rsid w:val="00731808"/>
    <w:rsid w:val="007319EA"/>
    <w:rsid w:val="00731B0C"/>
    <w:rsid w:val="00731DB1"/>
    <w:rsid w:val="00731DBF"/>
    <w:rsid w:val="00731DFD"/>
    <w:rsid w:val="0073207E"/>
    <w:rsid w:val="0073209D"/>
    <w:rsid w:val="00732290"/>
    <w:rsid w:val="007322F2"/>
    <w:rsid w:val="00732454"/>
    <w:rsid w:val="0073251E"/>
    <w:rsid w:val="007325A2"/>
    <w:rsid w:val="007326BA"/>
    <w:rsid w:val="007326C6"/>
    <w:rsid w:val="00732800"/>
    <w:rsid w:val="00732BBC"/>
    <w:rsid w:val="00732BDA"/>
    <w:rsid w:val="00732C0D"/>
    <w:rsid w:val="00732CBF"/>
    <w:rsid w:val="00732E4D"/>
    <w:rsid w:val="00732FA0"/>
    <w:rsid w:val="007330AB"/>
    <w:rsid w:val="007330D5"/>
    <w:rsid w:val="0073318C"/>
    <w:rsid w:val="00733280"/>
    <w:rsid w:val="007334EB"/>
    <w:rsid w:val="00733502"/>
    <w:rsid w:val="0073358D"/>
    <w:rsid w:val="007335C8"/>
    <w:rsid w:val="007336BF"/>
    <w:rsid w:val="00733764"/>
    <w:rsid w:val="007337DC"/>
    <w:rsid w:val="00733931"/>
    <w:rsid w:val="00733D48"/>
    <w:rsid w:val="00733D76"/>
    <w:rsid w:val="00733D8F"/>
    <w:rsid w:val="00733EB3"/>
    <w:rsid w:val="00733F67"/>
    <w:rsid w:val="00733F84"/>
    <w:rsid w:val="00733FCE"/>
    <w:rsid w:val="007340CF"/>
    <w:rsid w:val="00734252"/>
    <w:rsid w:val="0073428D"/>
    <w:rsid w:val="0073429F"/>
    <w:rsid w:val="007342AA"/>
    <w:rsid w:val="0073436F"/>
    <w:rsid w:val="007344A6"/>
    <w:rsid w:val="0073456B"/>
    <w:rsid w:val="007346FF"/>
    <w:rsid w:val="0073471E"/>
    <w:rsid w:val="00734D61"/>
    <w:rsid w:val="00734DFF"/>
    <w:rsid w:val="00734E23"/>
    <w:rsid w:val="00734FB3"/>
    <w:rsid w:val="00735044"/>
    <w:rsid w:val="00735215"/>
    <w:rsid w:val="007353A0"/>
    <w:rsid w:val="007353FF"/>
    <w:rsid w:val="0073544D"/>
    <w:rsid w:val="00735479"/>
    <w:rsid w:val="007356B5"/>
    <w:rsid w:val="007358CF"/>
    <w:rsid w:val="007358E2"/>
    <w:rsid w:val="0073597A"/>
    <w:rsid w:val="00735993"/>
    <w:rsid w:val="00735997"/>
    <w:rsid w:val="007359C2"/>
    <w:rsid w:val="00735AA9"/>
    <w:rsid w:val="00735BB8"/>
    <w:rsid w:val="00735C14"/>
    <w:rsid w:val="00735D3F"/>
    <w:rsid w:val="00735E90"/>
    <w:rsid w:val="00735EC3"/>
    <w:rsid w:val="00735F5D"/>
    <w:rsid w:val="00735FAF"/>
    <w:rsid w:val="00735FCB"/>
    <w:rsid w:val="00736343"/>
    <w:rsid w:val="00736482"/>
    <w:rsid w:val="00736559"/>
    <w:rsid w:val="007365B4"/>
    <w:rsid w:val="00736631"/>
    <w:rsid w:val="00736661"/>
    <w:rsid w:val="007366C5"/>
    <w:rsid w:val="0073670F"/>
    <w:rsid w:val="007367E6"/>
    <w:rsid w:val="00736916"/>
    <w:rsid w:val="00736A3C"/>
    <w:rsid w:val="00736AE0"/>
    <w:rsid w:val="00736BF8"/>
    <w:rsid w:val="00736E15"/>
    <w:rsid w:val="00737010"/>
    <w:rsid w:val="007370A4"/>
    <w:rsid w:val="007376C7"/>
    <w:rsid w:val="00737799"/>
    <w:rsid w:val="00737AC4"/>
    <w:rsid w:val="00737AD5"/>
    <w:rsid w:val="00737B35"/>
    <w:rsid w:val="00737CE4"/>
    <w:rsid w:val="00737F03"/>
    <w:rsid w:val="007400C9"/>
    <w:rsid w:val="007403A4"/>
    <w:rsid w:val="007403EA"/>
    <w:rsid w:val="0074044C"/>
    <w:rsid w:val="00740622"/>
    <w:rsid w:val="007406EE"/>
    <w:rsid w:val="0074080C"/>
    <w:rsid w:val="007408A1"/>
    <w:rsid w:val="00740A6C"/>
    <w:rsid w:val="00740A74"/>
    <w:rsid w:val="00740AD5"/>
    <w:rsid w:val="00740C0E"/>
    <w:rsid w:val="00740F25"/>
    <w:rsid w:val="0074107A"/>
    <w:rsid w:val="007411CA"/>
    <w:rsid w:val="0074125D"/>
    <w:rsid w:val="0074127F"/>
    <w:rsid w:val="0074128D"/>
    <w:rsid w:val="00741312"/>
    <w:rsid w:val="00741417"/>
    <w:rsid w:val="00741498"/>
    <w:rsid w:val="00741522"/>
    <w:rsid w:val="007416EE"/>
    <w:rsid w:val="00741807"/>
    <w:rsid w:val="0074183C"/>
    <w:rsid w:val="0074185D"/>
    <w:rsid w:val="00741A4B"/>
    <w:rsid w:val="00741AAE"/>
    <w:rsid w:val="00741B49"/>
    <w:rsid w:val="00741B86"/>
    <w:rsid w:val="00741CEC"/>
    <w:rsid w:val="00741E45"/>
    <w:rsid w:val="00741F48"/>
    <w:rsid w:val="00741FBE"/>
    <w:rsid w:val="00741FFD"/>
    <w:rsid w:val="0074203A"/>
    <w:rsid w:val="00742135"/>
    <w:rsid w:val="00742273"/>
    <w:rsid w:val="0074228E"/>
    <w:rsid w:val="0074245B"/>
    <w:rsid w:val="00742650"/>
    <w:rsid w:val="007426BF"/>
    <w:rsid w:val="007427C9"/>
    <w:rsid w:val="00742883"/>
    <w:rsid w:val="00742BE9"/>
    <w:rsid w:val="00742D2B"/>
    <w:rsid w:val="00742DFD"/>
    <w:rsid w:val="00743064"/>
    <w:rsid w:val="0074323E"/>
    <w:rsid w:val="00743270"/>
    <w:rsid w:val="007432E6"/>
    <w:rsid w:val="0074333A"/>
    <w:rsid w:val="007433CC"/>
    <w:rsid w:val="00743465"/>
    <w:rsid w:val="00743568"/>
    <w:rsid w:val="00743640"/>
    <w:rsid w:val="00743753"/>
    <w:rsid w:val="007438A7"/>
    <w:rsid w:val="007438BA"/>
    <w:rsid w:val="00743928"/>
    <w:rsid w:val="007439C5"/>
    <w:rsid w:val="00743A50"/>
    <w:rsid w:val="00743DCE"/>
    <w:rsid w:val="00743E29"/>
    <w:rsid w:val="00743EBD"/>
    <w:rsid w:val="00743F4B"/>
    <w:rsid w:val="00743FD2"/>
    <w:rsid w:val="00744149"/>
    <w:rsid w:val="007441EA"/>
    <w:rsid w:val="00744222"/>
    <w:rsid w:val="0074422C"/>
    <w:rsid w:val="00744387"/>
    <w:rsid w:val="00744450"/>
    <w:rsid w:val="007445C4"/>
    <w:rsid w:val="0074471C"/>
    <w:rsid w:val="00744A2C"/>
    <w:rsid w:val="00744B90"/>
    <w:rsid w:val="00744D80"/>
    <w:rsid w:val="00744DDE"/>
    <w:rsid w:val="00744E12"/>
    <w:rsid w:val="00744E27"/>
    <w:rsid w:val="00744E54"/>
    <w:rsid w:val="00744F71"/>
    <w:rsid w:val="00744F9F"/>
    <w:rsid w:val="00745061"/>
    <w:rsid w:val="00745114"/>
    <w:rsid w:val="0074519E"/>
    <w:rsid w:val="007451EF"/>
    <w:rsid w:val="007452A8"/>
    <w:rsid w:val="0074532F"/>
    <w:rsid w:val="00745376"/>
    <w:rsid w:val="00745525"/>
    <w:rsid w:val="00745636"/>
    <w:rsid w:val="0074568F"/>
    <w:rsid w:val="007457C1"/>
    <w:rsid w:val="007457D2"/>
    <w:rsid w:val="0074593B"/>
    <w:rsid w:val="007459D1"/>
    <w:rsid w:val="007459F2"/>
    <w:rsid w:val="00745A83"/>
    <w:rsid w:val="00745C9B"/>
    <w:rsid w:val="00745DB4"/>
    <w:rsid w:val="00745DE6"/>
    <w:rsid w:val="00745E09"/>
    <w:rsid w:val="00745FA5"/>
    <w:rsid w:val="00746027"/>
    <w:rsid w:val="00746051"/>
    <w:rsid w:val="00746062"/>
    <w:rsid w:val="007460D0"/>
    <w:rsid w:val="007461F4"/>
    <w:rsid w:val="00746386"/>
    <w:rsid w:val="00746387"/>
    <w:rsid w:val="007463C3"/>
    <w:rsid w:val="00746446"/>
    <w:rsid w:val="0074648F"/>
    <w:rsid w:val="00746525"/>
    <w:rsid w:val="00746599"/>
    <w:rsid w:val="00746860"/>
    <w:rsid w:val="00746A27"/>
    <w:rsid w:val="00746AC8"/>
    <w:rsid w:val="00746B87"/>
    <w:rsid w:val="00746B9E"/>
    <w:rsid w:val="00746BBC"/>
    <w:rsid w:val="00746DA6"/>
    <w:rsid w:val="00746FC3"/>
    <w:rsid w:val="00746FE0"/>
    <w:rsid w:val="00747040"/>
    <w:rsid w:val="00747067"/>
    <w:rsid w:val="007471AD"/>
    <w:rsid w:val="00747334"/>
    <w:rsid w:val="0074742D"/>
    <w:rsid w:val="0074745D"/>
    <w:rsid w:val="007474E7"/>
    <w:rsid w:val="00747540"/>
    <w:rsid w:val="007475A2"/>
    <w:rsid w:val="007475E7"/>
    <w:rsid w:val="00747675"/>
    <w:rsid w:val="00747736"/>
    <w:rsid w:val="007477D8"/>
    <w:rsid w:val="00747801"/>
    <w:rsid w:val="00747864"/>
    <w:rsid w:val="00747B78"/>
    <w:rsid w:val="00747C7A"/>
    <w:rsid w:val="00747E2B"/>
    <w:rsid w:val="00747FC7"/>
    <w:rsid w:val="00750183"/>
    <w:rsid w:val="00750194"/>
    <w:rsid w:val="00750206"/>
    <w:rsid w:val="00750241"/>
    <w:rsid w:val="00750242"/>
    <w:rsid w:val="007502A8"/>
    <w:rsid w:val="00750367"/>
    <w:rsid w:val="00750386"/>
    <w:rsid w:val="00750424"/>
    <w:rsid w:val="007504DF"/>
    <w:rsid w:val="007504FA"/>
    <w:rsid w:val="00750614"/>
    <w:rsid w:val="007506A7"/>
    <w:rsid w:val="007507A9"/>
    <w:rsid w:val="00750B8C"/>
    <w:rsid w:val="00750C4D"/>
    <w:rsid w:val="00750DBA"/>
    <w:rsid w:val="00750EB1"/>
    <w:rsid w:val="00750EB8"/>
    <w:rsid w:val="00750F67"/>
    <w:rsid w:val="0075103B"/>
    <w:rsid w:val="0075105F"/>
    <w:rsid w:val="00751080"/>
    <w:rsid w:val="007510E1"/>
    <w:rsid w:val="00751178"/>
    <w:rsid w:val="0075124C"/>
    <w:rsid w:val="0075125D"/>
    <w:rsid w:val="007512D1"/>
    <w:rsid w:val="007512EF"/>
    <w:rsid w:val="00751329"/>
    <w:rsid w:val="00751426"/>
    <w:rsid w:val="0075149B"/>
    <w:rsid w:val="007514B4"/>
    <w:rsid w:val="0075166E"/>
    <w:rsid w:val="00751670"/>
    <w:rsid w:val="00751686"/>
    <w:rsid w:val="00751864"/>
    <w:rsid w:val="007519E3"/>
    <w:rsid w:val="00751A44"/>
    <w:rsid w:val="00751A8F"/>
    <w:rsid w:val="00751AC6"/>
    <w:rsid w:val="00751D4D"/>
    <w:rsid w:val="00751E7A"/>
    <w:rsid w:val="00751F18"/>
    <w:rsid w:val="00751F79"/>
    <w:rsid w:val="00751FDC"/>
    <w:rsid w:val="00751FF0"/>
    <w:rsid w:val="00752182"/>
    <w:rsid w:val="007521D1"/>
    <w:rsid w:val="0075220A"/>
    <w:rsid w:val="0075234C"/>
    <w:rsid w:val="00752363"/>
    <w:rsid w:val="0075244B"/>
    <w:rsid w:val="007526CE"/>
    <w:rsid w:val="00752807"/>
    <w:rsid w:val="00752872"/>
    <w:rsid w:val="007528E3"/>
    <w:rsid w:val="0075291B"/>
    <w:rsid w:val="007529AD"/>
    <w:rsid w:val="00752AB7"/>
    <w:rsid w:val="00752AFF"/>
    <w:rsid w:val="00752C3F"/>
    <w:rsid w:val="00752CA6"/>
    <w:rsid w:val="00752D5E"/>
    <w:rsid w:val="00752E1C"/>
    <w:rsid w:val="00752E2C"/>
    <w:rsid w:val="00752E50"/>
    <w:rsid w:val="00752F03"/>
    <w:rsid w:val="00753150"/>
    <w:rsid w:val="00753236"/>
    <w:rsid w:val="0075328E"/>
    <w:rsid w:val="00753366"/>
    <w:rsid w:val="007533BD"/>
    <w:rsid w:val="00753418"/>
    <w:rsid w:val="0075344A"/>
    <w:rsid w:val="00753560"/>
    <w:rsid w:val="00753600"/>
    <w:rsid w:val="0075370A"/>
    <w:rsid w:val="0075373C"/>
    <w:rsid w:val="00753780"/>
    <w:rsid w:val="0075379B"/>
    <w:rsid w:val="00753851"/>
    <w:rsid w:val="0075394F"/>
    <w:rsid w:val="00753A6F"/>
    <w:rsid w:val="00753ABF"/>
    <w:rsid w:val="00753B6C"/>
    <w:rsid w:val="00753C4A"/>
    <w:rsid w:val="00753D37"/>
    <w:rsid w:val="00753E67"/>
    <w:rsid w:val="00753F61"/>
    <w:rsid w:val="00753FAB"/>
    <w:rsid w:val="00753FE6"/>
    <w:rsid w:val="00753FEC"/>
    <w:rsid w:val="007540A3"/>
    <w:rsid w:val="007541F8"/>
    <w:rsid w:val="00754397"/>
    <w:rsid w:val="0075444F"/>
    <w:rsid w:val="007544F7"/>
    <w:rsid w:val="00754558"/>
    <w:rsid w:val="007546FE"/>
    <w:rsid w:val="00754865"/>
    <w:rsid w:val="00754C7A"/>
    <w:rsid w:val="00754D78"/>
    <w:rsid w:val="007550AF"/>
    <w:rsid w:val="007550B2"/>
    <w:rsid w:val="0075521E"/>
    <w:rsid w:val="007554D2"/>
    <w:rsid w:val="00755563"/>
    <w:rsid w:val="007556E7"/>
    <w:rsid w:val="00755783"/>
    <w:rsid w:val="007557E0"/>
    <w:rsid w:val="00755BD1"/>
    <w:rsid w:val="00755C69"/>
    <w:rsid w:val="00755CC8"/>
    <w:rsid w:val="00755F12"/>
    <w:rsid w:val="00755F62"/>
    <w:rsid w:val="00756247"/>
    <w:rsid w:val="00756288"/>
    <w:rsid w:val="00756498"/>
    <w:rsid w:val="00756639"/>
    <w:rsid w:val="007567DA"/>
    <w:rsid w:val="00756A91"/>
    <w:rsid w:val="00756AAD"/>
    <w:rsid w:val="00756B8C"/>
    <w:rsid w:val="00756C86"/>
    <w:rsid w:val="00756CAA"/>
    <w:rsid w:val="00756D00"/>
    <w:rsid w:val="00756ED1"/>
    <w:rsid w:val="0075701D"/>
    <w:rsid w:val="00757057"/>
    <w:rsid w:val="00757091"/>
    <w:rsid w:val="00757096"/>
    <w:rsid w:val="00757143"/>
    <w:rsid w:val="00757255"/>
    <w:rsid w:val="00757315"/>
    <w:rsid w:val="00757436"/>
    <w:rsid w:val="00757532"/>
    <w:rsid w:val="00757710"/>
    <w:rsid w:val="0075791A"/>
    <w:rsid w:val="00757997"/>
    <w:rsid w:val="007579C5"/>
    <w:rsid w:val="00757A4D"/>
    <w:rsid w:val="00757BE2"/>
    <w:rsid w:val="00757C38"/>
    <w:rsid w:val="00757C6D"/>
    <w:rsid w:val="00757CC2"/>
    <w:rsid w:val="00757DFF"/>
    <w:rsid w:val="00757F61"/>
    <w:rsid w:val="00757FAB"/>
    <w:rsid w:val="007600BA"/>
    <w:rsid w:val="0076015E"/>
    <w:rsid w:val="0076016B"/>
    <w:rsid w:val="007601AD"/>
    <w:rsid w:val="00760268"/>
    <w:rsid w:val="0076031B"/>
    <w:rsid w:val="00760372"/>
    <w:rsid w:val="007603E4"/>
    <w:rsid w:val="0076042A"/>
    <w:rsid w:val="007605B9"/>
    <w:rsid w:val="007607D0"/>
    <w:rsid w:val="00760A70"/>
    <w:rsid w:val="00760A7A"/>
    <w:rsid w:val="00760A82"/>
    <w:rsid w:val="00760A94"/>
    <w:rsid w:val="00760C19"/>
    <w:rsid w:val="00760D20"/>
    <w:rsid w:val="00760F1A"/>
    <w:rsid w:val="00760FF0"/>
    <w:rsid w:val="00761093"/>
    <w:rsid w:val="00761115"/>
    <w:rsid w:val="007611DF"/>
    <w:rsid w:val="0076148F"/>
    <w:rsid w:val="007615D9"/>
    <w:rsid w:val="007616A0"/>
    <w:rsid w:val="00761A4D"/>
    <w:rsid w:val="00761BF3"/>
    <w:rsid w:val="00761C87"/>
    <w:rsid w:val="00761CA2"/>
    <w:rsid w:val="00761DB3"/>
    <w:rsid w:val="00761DCA"/>
    <w:rsid w:val="00761F4E"/>
    <w:rsid w:val="00761FB2"/>
    <w:rsid w:val="00762003"/>
    <w:rsid w:val="00762095"/>
    <w:rsid w:val="007621B4"/>
    <w:rsid w:val="0076223B"/>
    <w:rsid w:val="00762264"/>
    <w:rsid w:val="00762304"/>
    <w:rsid w:val="007623E2"/>
    <w:rsid w:val="007624BA"/>
    <w:rsid w:val="007624E6"/>
    <w:rsid w:val="0076256E"/>
    <w:rsid w:val="007625CD"/>
    <w:rsid w:val="007625EC"/>
    <w:rsid w:val="00762815"/>
    <w:rsid w:val="00762955"/>
    <w:rsid w:val="0076295C"/>
    <w:rsid w:val="00762AAD"/>
    <w:rsid w:val="00762AFB"/>
    <w:rsid w:val="00762C00"/>
    <w:rsid w:val="00762D10"/>
    <w:rsid w:val="00762D8C"/>
    <w:rsid w:val="00762DDF"/>
    <w:rsid w:val="00763033"/>
    <w:rsid w:val="007631CA"/>
    <w:rsid w:val="00763649"/>
    <w:rsid w:val="0076367D"/>
    <w:rsid w:val="0076371C"/>
    <w:rsid w:val="007637C0"/>
    <w:rsid w:val="0076383F"/>
    <w:rsid w:val="007638EF"/>
    <w:rsid w:val="00763A09"/>
    <w:rsid w:val="00763A7F"/>
    <w:rsid w:val="00763D4B"/>
    <w:rsid w:val="00763E9B"/>
    <w:rsid w:val="00763FE6"/>
    <w:rsid w:val="00764060"/>
    <w:rsid w:val="007640CE"/>
    <w:rsid w:val="00764135"/>
    <w:rsid w:val="0076425C"/>
    <w:rsid w:val="007642F0"/>
    <w:rsid w:val="0076437E"/>
    <w:rsid w:val="0076468E"/>
    <w:rsid w:val="00764754"/>
    <w:rsid w:val="00764A71"/>
    <w:rsid w:val="00764B38"/>
    <w:rsid w:val="00764B8A"/>
    <w:rsid w:val="00764C08"/>
    <w:rsid w:val="00764C16"/>
    <w:rsid w:val="00764CB9"/>
    <w:rsid w:val="00765019"/>
    <w:rsid w:val="007650BC"/>
    <w:rsid w:val="00765148"/>
    <w:rsid w:val="00765155"/>
    <w:rsid w:val="007652F6"/>
    <w:rsid w:val="00765605"/>
    <w:rsid w:val="007657EB"/>
    <w:rsid w:val="00765897"/>
    <w:rsid w:val="00765A55"/>
    <w:rsid w:val="00765B1E"/>
    <w:rsid w:val="00765BA1"/>
    <w:rsid w:val="00765DE7"/>
    <w:rsid w:val="00765E81"/>
    <w:rsid w:val="007660A5"/>
    <w:rsid w:val="0076619E"/>
    <w:rsid w:val="0076654E"/>
    <w:rsid w:val="00766583"/>
    <w:rsid w:val="00766697"/>
    <w:rsid w:val="00766AF2"/>
    <w:rsid w:val="00766B36"/>
    <w:rsid w:val="00766BF8"/>
    <w:rsid w:val="00766C16"/>
    <w:rsid w:val="00766CCF"/>
    <w:rsid w:val="00766E5C"/>
    <w:rsid w:val="00766E8F"/>
    <w:rsid w:val="00766EAF"/>
    <w:rsid w:val="00766EC5"/>
    <w:rsid w:val="00766F47"/>
    <w:rsid w:val="00767007"/>
    <w:rsid w:val="007670BC"/>
    <w:rsid w:val="007670F3"/>
    <w:rsid w:val="00767188"/>
    <w:rsid w:val="007672BB"/>
    <w:rsid w:val="007672D9"/>
    <w:rsid w:val="007672E3"/>
    <w:rsid w:val="00767352"/>
    <w:rsid w:val="007673B0"/>
    <w:rsid w:val="00767702"/>
    <w:rsid w:val="00767779"/>
    <w:rsid w:val="0076780A"/>
    <w:rsid w:val="00767826"/>
    <w:rsid w:val="007678E9"/>
    <w:rsid w:val="007679C4"/>
    <w:rsid w:val="00767A92"/>
    <w:rsid w:val="00767AC3"/>
    <w:rsid w:val="00767CCF"/>
    <w:rsid w:val="00767FFD"/>
    <w:rsid w:val="00770107"/>
    <w:rsid w:val="00770236"/>
    <w:rsid w:val="00770250"/>
    <w:rsid w:val="00770260"/>
    <w:rsid w:val="00770438"/>
    <w:rsid w:val="00770564"/>
    <w:rsid w:val="007705F8"/>
    <w:rsid w:val="00770727"/>
    <w:rsid w:val="007707CC"/>
    <w:rsid w:val="007707F0"/>
    <w:rsid w:val="0077084A"/>
    <w:rsid w:val="007708C2"/>
    <w:rsid w:val="0077094B"/>
    <w:rsid w:val="00770AC0"/>
    <w:rsid w:val="00770AEA"/>
    <w:rsid w:val="00770E09"/>
    <w:rsid w:val="00770E6A"/>
    <w:rsid w:val="00770F3D"/>
    <w:rsid w:val="00770FF2"/>
    <w:rsid w:val="00771000"/>
    <w:rsid w:val="007710EB"/>
    <w:rsid w:val="007710FD"/>
    <w:rsid w:val="00771236"/>
    <w:rsid w:val="00771516"/>
    <w:rsid w:val="00771524"/>
    <w:rsid w:val="0077160D"/>
    <w:rsid w:val="00771B33"/>
    <w:rsid w:val="00771C30"/>
    <w:rsid w:val="00771D3A"/>
    <w:rsid w:val="00771DBC"/>
    <w:rsid w:val="0077206C"/>
    <w:rsid w:val="0077225A"/>
    <w:rsid w:val="00772323"/>
    <w:rsid w:val="0077232D"/>
    <w:rsid w:val="0077233A"/>
    <w:rsid w:val="00772418"/>
    <w:rsid w:val="007724A3"/>
    <w:rsid w:val="0077274E"/>
    <w:rsid w:val="007727D1"/>
    <w:rsid w:val="0077281B"/>
    <w:rsid w:val="0077295C"/>
    <w:rsid w:val="00772A66"/>
    <w:rsid w:val="00772B6C"/>
    <w:rsid w:val="00772BEE"/>
    <w:rsid w:val="00772C2E"/>
    <w:rsid w:val="00772CAB"/>
    <w:rsid w:val="00772D74"/>
    <w:rsid w:val="00772DEE"/>
    <w:rsid w:val="00772F91"/>
    <w:rsid w:val="007730F0"/>
    <w:rsid w:val="00773151"/>
    <w:rsid w:val="00773167"/>
    <w:rsid w:val="00773315"/>
    <w:rsid w:val="007733A9"/>
    <w:rsid w:val="007734E0"/>
    <w:rsid w:val="0077350E"/>
    <w:rsid w:val="0077353E"/>
    <w:rsid w:val="0077368C"/>
    <w:rsid w:val="0077369E"/>
    <w:rsid w:val="0077374D"/>
    <w:rsid w:val="007737BD"/>
    <w:rsid w:val="00773883"/>
    <w:rsid w:val="007738E9"/>
    <w:rsid w:val="0077399E"/>
    <w:rsid w:val="00773DFC"/>
    <w:rsid w:val="00773EA9"/>
    <w:rsid w:val="00773EE8"/>
    <w:rsid w:val="0077401A"/>
    <w:rsid w:val="00774121"/>
    <w:rsid w:val="007742D6"/>
    <w:rsid w:val="00774493"/>
    <w:rsid w:val="00774494"/>
    <w:rsid w:val="007744C4"/>
    <w:rsid w:val="0077457C"/>
    <w:rsid w:val="0077469D"/>
    <w:rsid w:val="00774706"/>
    <w:rsid w:val="007747C7"/>
    <w:rsid w:val="0077489C"/>
    <w:rsid w:val="0077494F"/>
    <w:rsid w:val="00774AC2"/>
    <w:rsid w:val="00774BB2"/>
    <w:rsid w:val="00774C91"/>
    <w:rsid w:val="00774D0E"/>
    <w:rsid w:val="00774DD1"/>
    <w:rsid w:val="00774E0E"/>
    <w:rsid w:val="00774E53"/>
    <w:rsid w:val="00774FE1"/>
    <w:rsid w:val="00775170"/>
    <w:rsid w:val="007751EE"/>
    <w:rsid w:val="0077520B"/>
    <w:rsid w:val="0077521F"/>
    <w:rsid w:val="007752B1"/>
    <w:rsid w:val="007752D8"/>
    <w:rsid w:val="0077533D"/>
    <w:rsid w:val="0077535F"/>
    <w:rsid w:val="00775402"/>
    <w:rsid w:val="00775462"/>
    <w:rsid w:val="00775527"/>
    <w:rsid w:val="00775582"/>
    <w:rsid w:val="007755E2"/>
    <w:rsid w:val="00775676"/>
    <w:rsid w:val="007759D2"/>
    <w:rsid w:val="00775B66"/>
    <w:rsid w:val="00775B9C"/>
    <w:rsid w:val="00775DA1"/>
    <w:rsid w:val="00775DE3"/>
    <w:rsid w:val="00775E0E"/>
    <w:rsid w:val="00775E83"/>
    <w:rsid w:val="00775ECC"/>
    <w:rsid w:val="00776036"/>
    <w:rsid w:val="007760CD"/>
    <w:rsid w:val="00776167"/>
    <w:rsid w:val="0077616B"/>
    <w:rsid w:val="0077620B"/>
    <w:rsid w:val="007762C6"/>
    <w:rsid w:val="007762F6"/>
    <w:rsid w:val="00776398"/>
    <w:rsid w:val="007763AE"/>
    <w:rsid w:val="007763C0"/>
    <w:rsid w:val="007763DD"/>
    <w:rsid w:val="00776458"/>
    <w:rsid w:val="007764B1"/>
    <w:rsid w:val="00776779"/>
    <w:rsid w:val="007767AE"/>
    <w:rsid w:val="00776BF7"/>
    <w:rsid w:val="00776C92"/>
    <w:rsid w:val="00776F77"/>
    <w:rsid w:val="00777184"/>
    <w:rsid w:val="0077733F"/>
    <w:rsid w:val="0077735C"/>
    <w:rsid w:val="00777453"/>
    <w:rsid w:val="00777579"/>
    <w:rsid w:val="0077759B"/>
    <w:rsid w:val="007775F5"/>
    <w:rsid w:val="007778B5"/>
    <w:rsid w:val="00777980"/>
    <w:rsid w:val="00777A67"/>
    <w:rsid w:val="00777AD8"/>
    <w:rsid w:val="00777B54"/>
    <w:rsid w:val="00777B7F"/>
    <w:rsid w:val="00777D21"/>
    <w:rsid w:val="00777D6B"/>
    <w:rsid w:val="00777F04"/>
    <w:rsid w:val="00777F5C"/>
    <w:rsid w:val="007800CD"/>
    <w:rsid w:val="0078012C"/>
    <w:rsid w:val="00780131"/>
    <w:rsid w:val="00780164"/>
    <w:rsid w:val="007801B9"/>
    <w:rsid w:val="007801C8"/>
    <w:rsid w:val="007802ED"/>
    <w:rsid w:val="00780302"/>
    <w:rsid w:val="0078047D"/>
    <w:rsid w:val="007805D5"/>
    <w:rsid w:val="00780631"/>
    <w:rsid w:val="0078067F"/>
    <w:rsid w:val="00780707"/>
    <w:rsid w:val="007809C5"/>
    <w:rsid w:val="00780AB6"/>
    <w:rsid w:val="00780D0D"/>
    <w:rsid w:val="00780D4B"/>
    <w:rsid w:val="00780DB6"/>
    <w:rsid w:val="00780E3E"/>
    <w:rsid w:val="00780F91"/>
    <w:rsid w:val="00780FC0"/>
    <w:rsid w:val="007810D6"/>
    <w:rsid w:val="007811FE"/>
    <w:rsid w:val="00781378"/>
    <w:rsid w:val="00781474"/>
    <w:rsid w:val="007814EC"/>
    <w:rsid w:val="0078157E"/>
    <w:rsid w:val="0078164B"/>
    <w:rsid w:val="00781707"/>
    <w:rsid w:val="00781779"/>
    <w:rsid w:val="007818E1"/>
    <w:rsid w:val="00781935"/>
    <w:rsid w:val="007819C6"/>
    <w:rsid w:val="00781A39"/>
    <w:rsid w:val="00781AED"/>
    <w:rsid w:val="00781AF4"/>
    <w:rsid w:val="00781B31"/>
    <w:rsid w:val="00781B50"/>
    <w:rsid w:val="00781BC9"/>
    <w:rsid w:val="00781BED"/>
    <w:rsid w:val="00781C11"/>
    <w:rsid w:val="00781C2F"/>
    <w:rsid w:val="00781D18"/>
    <w:rsid w:val="00781E67"/>
    <w:rsid w:val="00781F22"/>
    <w:rsid w:val="00781F99"/>
    <w:rsid w:val="007820CB"/>
    <w:rsid w:val="0078211D"/>
    <w:rsid w:val="007821B1"/>
    <w:rsid w:val="00782391"/>
    <w:rsid w:val="00782571"/>
    <w:rsid w:val="00782573"/>
    <w:rsid w:val="007825AD"/>
    <w:rsid w:val="007826DA"/>
    <w:rsid w:val="00782757"/>
    <w:rsid w:val="007827F7"/>
    <w:rsid w:val="0078288E"/>
    <w:rsid w:val="007828E3"/>
    <w:rsid w:val="0078291E"/>
    <w:rsid w:val="00782A01"/>
    <w:rsid w:val="00782ABE"/>
    <w:rsid w:val="00782AC1"/>
    <w:rsid w:val="00783002"/>
    <w:rsid w:val="007830AF"/>
    <w:rsid w:val="007830D0"/>
    <w:rsid w:val="007831D9"/>
    <w:rsid w:val="0078321E"/>
    <w:rsid w:val="00783396"/>
    <w:rsid w:val="00783430"/>
    <w:rsid w:val="0078348D"/>
    <w:rsid w:val="007835E1"/>
    <w:rsid w:val="0078361C"/>
    <w:rsid w:val="00783677"/>
    <w:rsid w:val="007836C7"/>
    <w:rsid w:val="007836D7"/>
    <w:rsid w:val="00783A69"/>
    <w:rsid w:val="00783AB7"/>
    <w:rsid w:val="00783B4E"/>
    <w:rsid w:val="00783B7E"/>
    <w:rsid w:val="00783BE1"/>
    <w:rsid w:val="00783C5E"/>
    <w:rsid w:val="00783E21"/>
    <w:rsid w:val="00783EB0"/>
    <w:rsid w:val="00783FCE"/>
    <w:rsid w:val="00783FE1"/>
    <w:rsid w:val="00784086"/>
    <w:rsid w:val="007841E4"/>
    <w:rsid w:val="007843D4"/>
    <w:rsid w:val="007844B9"/>
    <w:rsid w:val="00784560"/>
    <w:rsid w:val="0078462F"/>
    <w:rsid w:val="007846C3"/>
    <w:rsid w:val="0078483F"/>
    <w:rsid w:val="00784889"/>
    <w:rsid w:val="0078495D"/>
    <w:rsid w:val="00784963"/>
    <w:rsid w:val="00784A57"/>
    <w:rsid w:val="00784B69"/>
    <w:rsid w:val="00784DC0"/>
    <w:rsid w:val="00784E83"/>
    <w:rsid w:val="00784EF8"/>
    <w:rsid w:val="00784F1F"/>
    <w:rsid w:val="00785006"/>
    <w:rsid w:val="007850A3"/>
    <w:rsid w:val="00785216"/>
    <w:rsid w:val="00785258"/>
    <w:rsid w:val="00785450"/>
    <w:rsid w:val="007854A1"/>
    <w:rsid w:val="007855EB"/>
    <w:rsid w:val="0078561E"/>
    <w:rsid w:val="0078570A"/>
    <w:rsid w:val="0078571D"/>
    <w:rsid w:val="00785805"/>
    <w:rsid w:val="00785818"/>
    <w:rsid w:val="007859D1"/>
    <w:rsid w:val="00785A6C"/>
    <w:rsid w:val="00785ABE"/>
    <w:rsid w:val="00785ACD"/>
    <w:rsid w:val="00785BD9"/>
    <w:rsid w:val="00785D91"/>
    <w:rsid w:val="00785DB9"/>
    <w:rsid w:val="00785E5E"/>
    <w:rsid w:val="00785E6A"/>
    <w:rsid w:val="00785F5C"/>
    <w:rsid w:val="00786009"/>
    <w:rsid w:val="0078628C"/>
    <w:rsid w:val="00786383"/>
    <w:rsid w:val="00786434"/>
    <w:rsid w:val="0078668E"/>
    <w:rsid w:val="0078676E"/>
    <w:rsid w:val="0078681F"/>
    <w:rsid w:val="00786954"/>
    <w:rsid w:val="007869F2"/>
    <w:rsid w:val="007869F3"/>
    <w:rsid w:val="00786A69"/>
    <w:rsid w:val="00786AFD"/>
    <w:rsid w:val="00786B28"/>
    <w:rsid w:val="00786DF2"/>
    <w:rsid w:val="00786E2F"/>
    <w:rsid w:val="00786F08"/>
    <w:rsid w:val="00787558"/>
    <w:rsid w:val="007876CD"/>
    <w:rsid w:val="007876D5"/>
    <w:rsid w:val="007879E4"/>
    <w:rsid w:val="00787B20"/>
    <w:rsid w:val="00787B7D"/>
    <w:rsid w:val="00787C29"/>
    <w:rsid w:val="007900DF"/>
    <w:rsid w:val="0079017F"/>
    <w:rsid w:val="007901C7"/>
    <w:rsid w:val="00790348"/>
    <w:rsid w:val="007903D5"/>
    <w:rsid w:val="00790448"/>
    <w:rsid w:val="0079049C"/>
    <w:rsid w:val="00790620"/>
    <w:rsid w:val="007906C7"/>
    <w:rsid w:val="00790744"/>
    <w:rsid w:val="0079088E"/>
    <w:rsid w:val="007908C6"/>
    <w:rsid w:val="00790A91"/>
    <w:rsid w:val="00790AA0"/>
    <w:rsid w:val="00790AF6"/>
    <w:rsid w:val="00790B4B"/>
    <w:rsid w:val="00790BC0"/>
    <w:rsid w:val="00790C55"/>
    <w:rsid w:val="00790ECD"/>
    <w:rsid w:val="00790EF3"/>
    <w:rsid w:val="00790F17"/>
    <w:rsid w:val="0079124C"/>
    <w:rsid w:val="007914BA"/>
    <w:rsid w:val="007914D0"/>
    <w:rsid w:val="007914DC"/>
    <w:rsid w:val="00791775"/>
    <w:rsid w:val="007918A8"/>
    <w:rsid w:val="00791B1F"/>
    <w:rsid w:val="00791C07"/>
    <w:rsid w:val="00791C7B"/>
    <w:rsid w:val="00791F14"/>
    <w:rsid w:val="00791F3E"/>
    <w:rsid w:val="00792056"/>
    <w:rsid w:val="00792151"/>
    <w:rsid w:val="0079235B"/>
    <w:rsid w:val="00792375"/>
    <w:rsid w:val="007924F8"/>
    <w:rsid w:val="00792534"/>
    <w:rsid w:val="00792629"/>
    <w:rsid w:val="00792643"/>
    <w:rsid w:val="007926ED"/>
    <w:rsid w:val="0079278C"/>
    <w:rsid w:val="0079281F"/>
    <w:rsid w:val="007928FA"/>
    <w:rsid w:val="0079295B"/>
    <w:rsid w:val="00792A17"/>
    <w:rsid w:val="00792B32"/>
    <w:rsid w:val="00792B4E"/>
    <w:rsid w:val="00792B71"/>
    <w:rsid w:val="00792BA6"/>
    <w:rsid w:val="00792BCF"/>
    <w:rsid w:val="00792D67"/>
    <w:rsid w:val="00792D97"/>
    <w:rsid w:val="00792DB3"/>
    <w:rsid w:val="00792E45"/>
    <w:rsid w:val="00793017"/>
    <w:rsid w:val="0079309D"/>
    <w:rsid w:val="007930A5"/>
    <w:rsid w:val="00793278"/>
    <w:rsid w:val="00793350"/>
    <w:rsid w:val="00793380"/>
    <w:rsid w:val="0079341E"/>
    <w:rsid w:val="00793452"/>
    <w:rsid w:val="00793566"/>
    <w:rsid w:val="00793590"/>
    <w:rsid w:val="00793698"/>
    <w:rsid w:val="00793766"/>
    <w:rsid w:val="007937B5"/>
    <w:rsid w:val="00793826"/>
    <w:rsid w:val="007939B8"/>
    <w:rsid w:val="00793A79"/>
    <w:rsid w:val="00793B26"/>
    <w:rsid w:val="00793B9A"/>
    <w:rsid w:val="00793BA6"/>
    <w:rsid w:val="00793BD5"/>
    <w:rsid w:val="00793C76"/>
    <w:rsid w:val="00793C88"/>
    <w:rsid w:val="00793EC0"/>
    <w:rsid w:val="00793FD5"/>
    <w:rsid w:val="00793FFC"/>
    <w:rsid w:val="00794051"/>
    <w:rsid w:val="007940D2"/>
    <w:rsid w:val="007940E8"/>
    <w:rsid w:val="007941FF"/>
    <w:rsid w:val="0079433E"/>
    <w:rsid w:val="0079438D"/>
    <w:rsid w:val="007943B4"/>
    <w:rsid w:val="0079445D"/>
    <w:rsid w:val="00794630"/>
    <w:rsid w:val="007946CC"/>
    <w:rsid w:val="0079472B"/>
    <w:rsid w:val="00794773"/>
    <w:rsid w:val="00794790"/>
    <w:rsid w:val="0079485C"/>
    <w:rsid w:val="007948CA"/>
    <w:rsid w:val="007949A6"/>
    <w:rsid w:val="00794A93"/>
    <w:rsid w:val="00794AFB"/>
    <w:rsid w:val="00794D2C"/>
    <w:rsid w:val="00794F40"/>
    <w:rsid w:val="0079529E"/>
    <w:rsid w:val="00795532"/>
    <w:rsid w:val="00795615"/>
    <w:rsid w:val="00795714"/>
    <w:rsid w:val="00795865"/>
    <w:rsid w:val="00795A67"/>
    <w:rsid w:val="00795DD4"/>
    <w:rsid w:val="00795DFD"/>
    <w:rsid w:val="00795FD0"/>
    <w:rsid w:val="00796054"/>
    <w:rsid w:val="007960F2"/>
    <w:rsid w:val="007963E7"/>
    <w:rsid w:val="0079651A"/>
    <w:rsid w:val="0079657D"/>
    <w:rsid w:val="00796692"/>
    <w:rsid w:val="007966A9"/>
    <w:rsid w:val="007966DA"/>
    <w:rsid w:val="0079683F"/>
    <w:rsid w:val="00796851"/>
    <w:rsid w:val="00796883"/>
    <w:rsid w:val="00796958"/>
    <w:rsid w:val="00796D36"/>
    <w:rsid w:val="00796E90"/>
    <w:rsid w:val="00797094"/>
    <w:rsid w:val="007970E3"/>
    <w:rsid w:val="00797107"/>
    <w:rsid w:val="0079719E"/>
    <w:rsid w:val="0079742C"/>
    <w:rsid w:val="00797472"/>
    <w:rsid w:val="00797597"/>
    <w:rsid w:val="00797747"/>
    <w:rsid w:val="0079797C"/>
    <w:rsid w:val="00797988"/>
    <w:rsid w:val="007979A2"/>
    <w:rsid w:val="00797B02"/>
    <w:rsid w:val="00797C6D"/>
    <w:rsid w:val="00797E88"/>
    <w:rsid w:val="00797E96"/>
    <w:rsid w:val="00797F5D"/>
    <w:rsid w:val="007A004B"/>
    <w:rsid w:val="007A0095"/>
    <w:rsid w:val="007A02B1"/>
    <w:rsid w:val="007A03A5"/>
    <w:rsid w:val="007A056B"/>
    <w:rsid w:val="007A0721"/>
    <w:rsid w:val="007A08D6"/>
    <w:rsid w:val="007A098C"/>
    <w:rsid w:val="007A0D35"/>
    <w:rsid w:val="007A0E2E"/>
    <w:rsid w:val="007A0F64"/>
    <w:rsid w:val="007A1029"/>
    <w:rsid w:val="007A1148"/>
    <w:rsid w:val="007A11C1"/>
    <w:rsid w:val="007A1233"/>
    <w:rsid w:val="007A130D"/>
    <w:rsid w:val="007A13FB"/>
    <w:rsid w:val="007A143E"/>
    <w:rsid w:val="007A14DC"/>
    <w:rsid w:val="007A15EF"/>
    <w:rsid w:val="007A17C3"/>
    <w:rsid w:val="007A17D8"/>
    <w:rsid w:val="007A18C4"/>
    <w:rsid w:val="007A19AC"/>
    <w:rsid w:val="007A1BA8"/>
    <w:rsid w:val="007A1C4C"/>
    <w:rsid w:val="007A1CA0"/>
    <w:rsid w:val="007A1D7C"/>
    <w:rsid w:val="007A1DCB"/>
    <w:rsid w:val="007A1EA6"/>
    <w:rsid w:val="007A201B"/>
    <w:rsid w:val="007A2286"/>
    <w:rsid w:val="007A256C"/>
    <w:rsid w:val="007A27B3"/>
    <w:rsid w:val="007A2901"/>
    <w:rsid w:val="007A2918"/>
    <w:rsid w:val="007A2A3E"/>
    <w:rsid w:val="007A2A6D"/>
    <w:rsid w:val="007A2CF0"/>
    <w:rsid w:val="007A2FAE"/>
    <w:rsid w:val="007A30D8"/>
    <w:rsid w:val="007A30E4"/>
    <w:rsid w:val="007A31DE"/>
    <w:rsid w:val="007A33AE"/>
    <w:rsid w:val="007A33F6"/>
    <w:rsid w:val="007A35C1"/>
    <w:rsid w:val="007A363C"/>
    <w:rsid w:val="007A3877"/>
    <w:rsid w:val="007A3975"/>
    <w:rsid w:val="007A39C1"/>
    <w:rsid w:val="007A39D9"/>
    <w:rsid w:val="007A3A09"/>
    <w:rsid w:val="007A3A0F"/>
    <w:rsid w:val="007A3A50"/>
    <w:rsid w:val="007A3AB7"/>
    <w:rsid w:val="007A3BD9"/>
    <w:rsid w:val="007A3D29"/>
    <w:rsid w:val="007A3D2F"/>
    <w:rsid w:val="007A3D6E"/>
    <w:rsid w:val="007A3DB0"/>
    <w:rsid w:val="007A3F0E"/>
    <w:rsid w:val="007A4069"/>
    <w:rsid w:val="007A41CC"/>
    <w:rsid w:val="007A42CE"/>
    <w:rsid w:val="007A459E"/>
    <w:rsid w:val="007A466B"/>
    <w:rsid w:val="007A4963"/>
    <w:rsid w:val="007A4979"/>
    <w:rsid w:val="007A4A23"/>
    <w:rsid w:val="007A4F13"/>
    <w:rsid w:val="007A4F2D"/>
    <w:rsid w:val="007A4F80"/>
    <w:rsid w:val="007A51C6"/>
    <w:rsid w:val="007A5354"/>
    <w:rsid w:val="007A5373"/>
    <w:rsid w:val="007A5430"/>
    <w:rsid w:val="007A5494"/>
    <w:rsid w:val="007A5529"/>
    <w:rsid w:val="007A5633"/>
    <w:rsid w:val="007A578F"/>
    <w:rsid w:val="007A5809"/>
    <w:rsid w:val="007A58D0"/>
    <w:rsid w:val="007A5955"/>
    <w:rsid w:val="007A5ACC"/>
    <w:rsid w:val="007A5BB7"/>
    <w:rsid w:val="007A6070"/>
    <w:rsid w:val="007A6344"/>
    <w:rsid w:val="007A636D"/>
    <w:rsid w:val="007A643A"/>
    <w:rsid w:val="007A6465"/>
    <w:rsid w:val="007A65B8"/>
    <w:rsid w:val="007A6763"/>
    <w:rsid w:val="007A67B6"/>
    <w:rsid w:val="007A6934"/>
    <w:rsid w:val="007A6BE3"/>
    <w:rsid w:val="007A6C16"/>
    <w:rsid w:val="007A6EFF"/>
    <w:rsid w:val="007A71C0"/>
    <w:rsid w:val="007A721B"/>
    <w:rsid w:val="007A7299"/>
    <w:rsid w:val="007A72E4"/>
    <w:rsid w:val="007A732C"/>
    <w:rsid w:val="007A75A0"/>
    <w:rsid w:val="007A7817"/>
    <w:rsid w:val="007A78A0"/>
    <w:rsid w:val="007A792D"/>
    <w:rsid w:val="007A7A4F"/>
    <w:rsid w:val="007A7B18"/>
    <w:rsid w:val="007A7BAB"/>
    <w:rsid w:val="007A7C3E"/>
    <w:rsid w:val="007A7E15"/>
    <w:rsid w:val="007B00C2"/>
    <w:rsid w:val="007B0138"/>
    <w:rsid w:val="007B046F"/>
    <w:rsid w:val="007B0533"/>
    <w:rsid w:val="007B05BB"/>
    <w:rsid w:val="007B0652"/>
    <w:rsid w:val="007B06AA"/>
    <w:rsid w:val="007B0837"/>
    <w:rsid w:val="007B092E"/>
    <w:rsid w:val="007B0BC4"/>
    <w:rsid w:val="007B0E09"/>
    <w:rsid w:val="007B0E50"/>
    <w:rsid w:val="007B0E68"/>
    <w:rsid w:val="007B0F1B"/>
    <w:rsid w:val="007B0FC3"/>
    <w:rsid w:val="007B10F9"/>
    <w:rsid w:val="007B115E"/>
    <w:rsid w:val="007B1177"/>
    <w:rsid w:val="007B121C"/>
    <w:rsid w:val="007B12C8"/>
    <w:rsid w:val="007B1419"/>
    <w:rsid w:val="007B1421"/>
    <w:rsid w:val="007B1740"/>
    <w:rsid w:val="007B1869"/>
    <w:rsid w:val="007B18AD"/>
    <w:rsid w:val="007B19A0"/>
    <w:rsid w:val="007B19F1"/>
    <w:rsid w:val="007B19FC"/>
    <w:rsid w:val="007B1B0F"/>
    <w:rsid w:val="007B1C2C"/>
    <w:rsid w:val="007B1CEE"/>
    <w:rsid w:val="007B1DEF"/>
    <w:rsid w:val="007B1DFB"/>
    <w:rsid w:val="007B1E05"/>
    <w:rsid w:val="007B1E67"/>
    <w:rsid w:val="007B22FB"/>
    <w:rsid w:val="007B23CD"/>
    <w:rsid w:val="007B2659"/>
    <w:rsid w:val="007B2676"/>
    <w:rsid w:val="007B2682"/>
    <w:rsid w:val="007B28CE"/>
    <w:rsid w:val="007B2933"/>
    <w:rsid w:val="007B293C"/>
    <w:rsid w:val="007B29E6"/>
    <w:rsid w:val="007B2AB6"/>
    <w:rsid w:val="007B2B74"/>
    <w:rsid w:val="007B2C30"/>
    <w:rsid w:val="007B2D3A"/>
    <w:rsid w:val="007B2DCD"/>
    <w:rsid w:val="007B2E45"/>
    <w:rsid w:val="007B30E3"/>
    <w:rsid w:val="007B311A"/>
    <w:rsid w:val="007B3168"/>
    <w:rsid w:val="007B31D3"/>
    <w:rsid w:val="007B3231"/>
    <w:rsid w:val="007B3341"/>
    <w:rsid w:val="007B38C9"/>
    <w:rsid w:val="007B38EF"/>
    <w:rsid w:val="007B398D"/>
    <w:rsid w:val="007B39AE"/>
    <w:rsid w:val="007B3A79"/>
    <w:rsid w:val="007B3BA7"/>
    <w:rsid w:val="007B3C01"/>
    <w:rsid w:val="007B3CB2"/>
    <w:rsid w:val="007B3D6C"/>
    <w:rsid w:val="007B3F57"/>
    <w:rsid w:val="007B3FED"/>
    <w:rsid w:val="007B413A"/>
    <w:rsid w:val="007B43A4"/>
    <w:rsid w:val="007B43BE"/>
    <w:rsid w:val="007B44C5"/>
    <w:rsid w:val="007B459E"/>
    <w:rsid w:val="007B462E"/>
    <w:rsid w:val="007B4738"/>
    <w:rsid w:val="007B4A14"/>
    <w:rsid w:val="007B4ACE"/>
    <w:rsid w:val="007B4AFE"/>
    <w:rsid w:val="007B4B00"/>
    <w:rsid w:val="007B4B4C"/>
    <w:rsid w:val="007B4B5E"/>
    <w:rsid w:val="007B4BCC"/>
    <w:rsid w:val="007B4CB1"/>
    <w:rsid w:val="007B4DD0"/>
    <w:rsid w:val="007B4E5B"/>
    <w:rsid w:val="007B4E85"/>
    <w:rsid w:val="007B4EE0"/>
    <w:rsid w:val="007B4F80"/>
    <w:rsid w:val="007B52D4"/>
    <w:rsid w:val="007B5331"/>
    <w:rsid w:val="007B5380"/>
    <w:rsid w:val="007B5413"/>
    <w:rsid w:val="007B54A4"/>
    <w:rsid w:val="007B566D"/>
    <w:rsid w:val="007B56ED"/>
    <w:rsid w:val="007B5720"/>
    <w:rsid w:val="007B57AC"/>
    <w:rsid w:val="007B5878"/>
    <w:rsid w:val="007B5BE6"/>
    <w:rsid w:val="007B5C05"/>
    <w:rsid w:val="007B5E62"/>
    <w:rsid w:val="007B5F16"/>
    <w:rsid w:val="007B624D"/>
    <w:rsid w:val="007B62B7"/>
    <w:rsid w:val="007B6407"/>
    <w:rsid w:val="007B6493"/>
    <w:rsid w:val="007B6863"/>
    <w:rsid w:val="007B6B30"/>
    <w:rsid w:val="007B6BE1"/>
    <w:rsid w:val="007B6ED8"/>
    <w:rsid w:val="007B7028"/>
    <w:rsid w:val="007B704E"/>
    <w:rsid w:val="007B7109"/>
    <w:rsid w:val="007B71F3"/>
    <w:rsid w:val="007B7425"/>
    <w:rsid w:val="007B751D"/>
    <w:rsid w:val="007B7531"/>
    <w:rsid w:val="007B76DC"/>
    <w:rsid w:val="007B7706"/>
    <w:rsid w:val="007B7709"/>
    <w:rsid w:val="007B787E"/>
    <w:rsid w:val="007B793B"/>
    <w:rsid w:val="007B7959"/>
    <w:rsid w:val="007B7C2C"/>
    <w:rsid w:val="007B7D1C"/>
    <w:rsid w:val="007B7F0E"/>
    <w:rsid w:val="007C0055"/>
    <w:rsid w:val="007C0180"/>
    <w:rsid w:val="007C0383"/>
    <w:rsid w:val="007C03B6"/>
    <w:rsid w:val="007C04BB"/>
    <w:rsid w:val="007C04F4"/>
    <w:rsid w:val="007C0554"/>
    <w:rsid w:val="007C0612"/>
    <w:rsid w:val="007C0798"/>
    <w:rsid w:val="007C091D"/>
    <w:rsid w:val="007C0999"/>
    <w:rsid w:val="007C0A36"/>
    <w:rsid w:val="007C0AB0"/>
    <w:rsid w:val="007C0ACB"/>
    <w:rsid w:val="007C0AE4"/>
    <w:rsid w:val="007C0B1B"/>
    <w:rsid w:val="007C0CB9"/>
    <w:rsid w:val="007C0D15"/>
    <w:rsid w:val="007C0E3B"/>
    <w:rsid w:val="007C0E4C"/>
    <w:rsid w:val="007C0F59"/>
    <w:rsid w:val="007C118F"/>
    <w:rsid w:val="007C12DA"/>
    <w:rsid w:val="007C1348"/>
    <w:rsid w:val="007C15EF"/>
    <w:rsid w:val="007C1664"/>
    <w:rsid w:val="007C177F"/>
    <w:rsid w:val="007C17BB"/>
    <w:rsid w:val="007C1990"/>
    <w:rsid w:val="007C1B61"/>
    <w:rsid w:val="007C1CC2"/>
    <w:rsid w:val="007C1CC9"/>
    <w:rsid w:val="007C1D48"/>
    <w:rsid w:val="007C1E42"/>
    <w:rsid w:val="007C1F60"/>
    <w:rsid w:val="007C206D"/>
    <w:rsid w:val="007C230A"/>
    <w:rsid w:val="007C2379"/>
    <w:rsid w:val="007C238E"/>
    <w:rsid w:val="007C23E8"/>
    <w:rsid w:val="007C2485"/>
    <w:rsid w:val="007C2678"/>
    <w:rsid w:val="007C2867"/>
    <w:rsid w:val="007C28A4"/>
    <w:rsid w:val="007C28EF"/>
    <w:rsid w:val="007C2B7B"/>
    <w:rsid w:val="007C2BF5"/>
    <w:rsid w:val="007C2C6B"/>
    <w:rsid w:val="007C2E4A"/>
    <w:rsid w:val="007C2E61"/>
    <w:rsid w:val="007C2E64"/>
    <w:rsid w:val="007C2FD1"/>
    <w:rsid w:val="007C2FD6"/>
    <w:rsid w:val="007C2FE1"/>
    <w:rsid w:val="007C2FED"/>
    <w:rsid w:val="007C307B"/>
    <w:rsid w:val="007C324B"/>
    <w:rsid w:val="007C32CD"/>
    <w:rsid w:val="007C339C"/>
    <w:rsid w:val="007C33B0"/>
    <w:rsid w:val="007C34C4"/>
    <w:rsid w:val="007C34DE"/>
    <w:rsid w:val="007C3513"/>
    <w:rsid w:val="007C35C6"/>
    <w:rsid w:val="007C375E"/>
    <w:rsid w:val="007C3A25"/>
    <w:rsid w:val="007C3AF2"/>
    <w:rsid w:val="007C3C22"/>
    <w:rsid w:val="007C3C4B"/>
    <w:rsid w:val="007C3C5D"/>
    <w:rsid w:val="007C3D9E"/>
    <w:rsid w:val="007C3DD7"/>
    <w:rsid w:val="007C3E69"/>
    <w:rsid w:val="007C4007"/>
    <w:rsid w:val="007C4020"/>
    <w:rsid w:val="007C4039"/>
    <w:rsid w:val="007C40C8"/>
    <w:rsid w:val="007C42BC"/>
    <w:rsid w:val="007C439F"/>
    <w:rsid w:val="007C44AF"/>
    <w:rsid w:val="007C4568"/>
    <w:rsid w:val="007C4588"/>
    <w:rsid w:val="007C4774"/>
    <w:rsid w:val="007C4789"/>
    <w:rsid w:val="007C47E7"/>
    <w:rsid w:val="007C4C76"/>
    <w:rsid w:val="007C4D58"/>
    <w:rsid w:val="007C4D6B"/>
    <w:rsid w:val="007C4D75"/>
    <w:rsid w:val="007C4EB5"/>
    <w:rsid w:val="007C4F1E"/>
    <w:rsid w:val="007C4F3B"/>
    <w:rsid w:val="007C4F83"/>
    <w:rsid w:val="007C5017"/>
    <w:rsid w:val="007C5253"/>
    <w:rsid w:val="007C5475"/>
    <w:rsid w:val="007C54C6"/>
    <w:rsid w:val="007C557B"/>
    <w:rsid w:val="007C5587"/>
    <w:rsid w:val="007C566A"/>
    <w:rsid w:val="007C56DC"/>
    <w:rsid w:val="007C56E4"/>
    <w:rsid w:val="007C59DB"/>
    <w:rsid w:val="007C5A58"/>
    <w:rsid w:val="007C5AE9"/>
    <w:rsid w:val="007C5C07"/>
    <w:rsid w:val="007C5E94"/>
    <w:rsid w:val="007C5EBD"/>
    <w:rsid w:val="007C6025"/>
    <w:rsid w:val="007C6048"/>
    <w:rsid w:val="007C6064"/>
    <w:rsid w:val="007C618C"/>
    <w:rsid w:val="007C632F"/>
    <w:rsid w:val="007C6433"/>
    <w:rsid w:val="007C65AD"/>
    <w:rsid w:val="007C65F3"/>
    <w:rsid w:val="007C66D7"/>
    <w:rsid w:val="007C68AE"/>
    <w:rsid w:val="007C695E"/>
    <w:rsid w:val="007C69D9"/>
    <w:rsid w:val="007C6A48"/>
    <w:rsid w:val="007C6B13"/>
    <w:rsid w:val="007C6BC2"/>
    <w:rsid w:val="007C6E76"/>
    <w:rsid w:val="007C7129"/>
    <w:rsid w:val="007C715F"/>
    <w:rsid w:val="007C7249"/>
    <w:rsid w:val="007C72D3"/>
    <w:rsid w:val="007C72DE"/>
    <w:rsid w:val="007C73E5"/>
    <w:rsid w:val="007C73ED"/>
    <w:rsid w:val="007C748D"/>
    <w:rsid w:val="007C74A1"/>
    <w:rsid w:val="007C7889"/>
    <w:rsid w:val="007C7A18"/>
    <w:rsid w:val="007C7A3A"/>
    <w:rsid w:val="007C7AEE"/>
    <w:rsid w:val="007C7B48"/>
    <w:rsid w:val="007C7BF4"/>
    <w:rsid w:val="007C7C5D"/>
    <w:rsid w:val="007C7C7B"/>
    <w:rsid w:val="007C7D18"/>
    <w:rsid w:val="007C7D1C"/>
    <w:rsid w:val="007C7D4C"/>
    <w:rsid w:val="007C7E4C"/>
    <w:rsid w:val="007D00AF"/>
    <w:rsid w:val="007D00B1"/>
    <w:rsid w:val="007D0248"/>
    <w:rsid w:val="007D029D"/>
    <w:rsid w:val="007D0699"/>
    <w:rsid w:val="007D07F7"/>
    <w:rsid w:val="007D0866"/>
    <w:rsid w:val="007D0868"/>
    <w:rsid w:val="007D093D"/>
    <w:rsid w:val="007D0AE1"/>
    <w:rsid w:val="007D0E12"/>
    <w:rsid w:val="007D0E3E"/>
    <w:rsid w:val="007D0EA8"/>
    <w:rsid w:val="007D0ED7"/>
    <w:rsid w:val="007D0EED"/>
    <w:rsid w:val="007D0FDA"/>
    <w:rsid w:val="007D0FE9"/>
    <w:rsid w:val="007D1000"/>
    <w:rsid w:val="007D106F"/>
    <w:rsid w:val="007D10B9"/>
    <w:rsid w:val="007D10DD"/>
    <w:rsid w:val="007D10F3"/>
    <w:rsid w:val="007D1333"/>
    <w:rsid w:val="007D16FC"/>
    <w:rsid w:val="007D1795"/>
    <w:rsid w:val="007D183A"/>
    <w:rsid w:val="007D1843"/>
    <w:rsid w:val="007D1B89"/>
    <w:rsid w:val="007D1D35"/>
    <w:rsid w:val="007D1EAC"/>
    <w:rsid w:val="007D1ED0"/>
    <w:rsid w:val="007D1EF3"/>
    <w:rsid w:val="007D1EFF"/>
    <w:rsid w:val="007D1F44"/>
    <w:rsid w:val="007D1F97"/>
    <w:rsid w:val="007D20BB"/>
    <w:rsid w:val="007D20CC"/>
    <w:rsid w:val="007D2136"/>
    <w:rsid w:val="007D21E8"/>
    <w:rsid w:val="007D21F7"/>
    <w:rsid w:val="007D23A7"/>
    <w:rsid w:val="007D23D5"/>
    <w:rsid w:val="007D25A4"/>
    <w:rsid w:val="007D25C4"/>
    <w:rsid w:val="007D2616"/>
    <w:rsid w:val="007D2765"/>
    <w:rsid w:val="007D27FB"/>
    <w:rsid w:val="007D287F"/>
    <w:rsid w:val="007D28FF"/>
    <w:rsid w:val="007D294A"/>
    <w:rsid w:val="007D2A37"/>
    <w:rsid w:val="007D2B29"/>
    <w:rsid w:val="007D2C1B"/>
    <w:rsid w:val="007D2C46"/>
    <w:rsid w:val="007D2C64"/>
    <w:rsid w:val="007D2C75"/>
    <w:rsid w:val="007D2CBB"/>
    <w:rsid w:val="007D2D8A"/>
    <w:rsid w:val="007D2DE8"/>
    <w:rsid w:val="007D2F36"/>
    <w:rsid w:val="007D2FBD"/>
    <w:rsid w:val="007D3094"/>
    <w:rsid w:val="007D3140"/>
    <w:rsid w:val="007D3174"/>
    <w:rsid w:val="007D31B2"/>
    <w:rsid w:val="007D3223"/>
    <w:rsid w:val="007D335C"/>
    <w:rsid w:val="007D3373"/>
    <w:rsid w:val="007D34CD"/>
    <w:rsid w:val="007D3531"/>
    <w:rsid w:val="007D354B"/>
    <w:rsid w:val="007D35B3"/>
    <w:rsid w:val="007D3827"/>
    <w:rsid w:val="007D39C6"/>
    <w:rsid w:val="007D3CAD"/>
    <w:rsid w:val="007D3D03"/>
    <w:rsid w:val="007D3D85"/>
    <w:rsid w:val="007D3F2B"/>
    <w:rsid w:val="007D3F41"/>
    <w:rsid w:val="007D406F"/>
    <w:rsid w:val="007D40DF"/>
    <w:rsid w:val="007D4161"/>
    <w:rsid w:val="007D416D"/>
    <w:rsid w:val="007D4268"/>
    <w:rsid w:val="007D4414"/>
    <w:rsid w:val="007D445A"/>
    <w:rsid w:val="007D44DE"/>
    <w:rsid w:val="007D45F2"/>
    <w:rsid w:val="007D4772"/>
    <w:rsid w:val="007D4877"/>
    <w:rsid w:val="007D48AA"/>
    <w:rsid w:val="007D492F"/>
    <w:rsid w:val="007D4956"/>
    <w:rsid w:val="007D4981"/>
    <w:rsid w:val="007D4C04"/>
    <w:rsid w:val="007D4CE9"/>
    <w:rsid w:val="007D4DA8"/>
    <w:rsid w:val="007D4EB8"/>
    <w:rsid w:val="007D4FD3"/>
    <w:rsid w:val="007D4FE3"/>
    <w:rsid w:val="007D5036"/>
    <w:rsid w:val="007D50A4"/>
    <w:rsid w:val="007D517D"/>
    <w:rsid w:val="007D51E7"/>
    <w:rsid w:val="007D528B"/>
    <w:rsid w:val="007D52AC"/>
    <w:rsid w:val="007D53CC"/>
    <w:rsid w:val="007D53D2"/>
    <w:rsid w:val="007D5410"/>
    <w:rsid w:val="007D553B"/>
    <w:rsid w:val="007D5568"/>
    <w:rsid w:val="007D55EA"/>
    <w:rsid w:val="007D568A"/>
    <w:rsid w:val="007D5762"/>
    <w:rsid w:val="007D5803"/>
    <w:rsid w:val="007D5843"/>
    <w:rsid w:val="007D5890"/>
    <w:rsid w:val="007D5C3E"/>
    <w:rsid w:val="007D5C89"/>
    <w:rsid w:val="007D5D81"/>
    <w:rsid w:val="007D5FFA"/>
    <w:rsid w:val="007D6063"/>
    <w:rsid w:val="007D60F0"/>
    <w:rsid w:val="007D65A0"/>
    <w:rsid w:val="007D6676"/>
    <w:rsid w:val="007D66B2"/>
    <w:rsid w:val="007D6731"/>
    <w:rsid w:val="007D689E"/>
    <w:rsid w:val="007D6975"/>
    <w:rsid w:val="007D6A9C"/>
    <w:rsid w:val="007D6BF3"/>
    <w:rsid w:val="007D6D86"/>
    <w:rsid w:val="007D6EDD"/>
    <w:rsid w:val="007D6F3A"/>
    <w:rsid w:val="007D6F7E"/>
    <w:rsid w:val="007D6FB3"/>
    <w:rsid w:val="007D730E"/>
    <w:rsid w:val="007D73AC"/>
    <w:rsid w:val="007D740F"/>
    <w:rsid w:val="007D74B9"/>
    <w:rsid w:val="007D75B7"/>
    <w:rsid w:val="007D76BA"/>
    <w:rsid w:val="007D7849"/>
    <w:rsid w:val="007D7B03"/>
    <w:rsid w:val="007D7B59"/>
    <w:rsid w:val="007D7C7E"/>
    <w:rsid w:val="007D7D60"/>
    <w:rsid w:val="007D7DF4"/>
    <w:rsid w:val="007D7E24"/>
    <w:rsid w:val="007E017D"/>
    <w:rsid w:val="007E01D3"/>
    <w:rsid w:val="007E01D9"/>
    <w:rsid w:val="007E0314"/>
    <w:rsid w:val="007E057F"/>
    <w:rsid w:val="007E0666"/>
    <w:rsid w:val="007E07A6"/>
    <w:rsid w:val="007E083D"/>
    <w:rsid w:val="007E091D"/>
    <w:rsid w:val="007E0A5E"/>
    <w:rsid w:val="007E0C9E"/>
    <w:rsid w:val="007E0D48"/>
    <w:rsid w:val="007E0D76"/>
    <w:rsid w:val="007E0D89"/>
    <w:rsid w:val="007E0DE8"/>
    <w:rsid w:val="007E0EDC"/>
    <w:rsid w:val="007E0FB0"/>
    <w:rsid w:val="007E100D"/>
    <w:rsid w:val="007E102E"/>
    <w:rsid w:val="007E103A"/>
    <w:rsid w:val="007E12B8"/>
    <w:rsid w:val="007E13B8"/>
    <w:rsid w:val="007E1596"/>
    <w:rsid w:val="007E1623"/>
    <w:rsid w:val="007E163C"/>
    <w:rsid w:val="007E1861"/>
    <w:rsid w:val="007E1A38"/>
    <w:rsid w:val="007E1AF6"/>
    <w:rsid w:val="007E1B0E"/>
    <w:rsid w:val="007E1B7E"/>
    <w:rsid w:val="007E1BB9"/>
    <w:rsid w:val="007E1C95"/>
    <w:rsid w:val="007E1D63"/>
    <w:rsid w:val="007E1E30"/>
    <w:rsid w:val="007E1F0C"/>
    <w:rsid w:val="007E2036"/>
    <w:rsid w:val="007E219F"/>
    <w:rsid w:val="007E21A5"/>
    <w:rsid w:val="007E220B"/>
    <w:rsid w:val="007E23AA"/>
    <w:rsid w:val="007E278E"/>
    <w:rsid w:val="007E2C00"/>
    <w:rsid w:val="007E2C48"/>
    <w:rsid w:val="007E2CEF"/>
    <w:rsid w:val="007E2D4E"/>
    <w:rsid w:val="007E2D82"/>
    <w:rsid w:val="007E2E8A"/>
    <w:rsid w:val="007E2EE7"/>
    <w:rsid w:val="007E2FB4"/>
    <w:rsid w:val="007E30C6"/>
    <w:rsid w:val="007E30E3"/>
    <w:rsid w:val="007E3104"/>
    <w:rsid w:val="007E3107"/>
    <w:rsid w:val="007E3174"/>
    <w:rsid w:val="007E32EC"/>
    <w:rsid w:val="007E337A"/>
    <w:rsid w:val="007E3426"/>
    <w:rsid w:val="007E342D"/>
    <w:rsid w:val="007E345D"/>
    <w:rsid w:val="007E34F7"/>
    <w:rsid w:val="007E3594"/>
    <w:rsid w:val="007E35A8"/>
    <w:rsid w:val="007E35B4"/>
    <w:rsid w:val="007E374D"/>
    <w:rsid w:val="007E3AB4"/>
    <w:rsid w:val="007E3B92"/>
    <w:rsid w:val="007E3C37"/>
    <w:rsid w:val="007E3C8A"/>
    <w:rsid w:val="007E3D61"/>
    <w:rsid w:val="007E3E3E"/>
    <w:rsid w:val="007E4166"/>
    <w:rsid w:val="007E4170"/>
    <w:rsid w:val="007E4262"/>
    <w:rsid w:val="007E4276"/>
    <w:rsid w:val="007E428A"/>
    <w:rsid w:val="007E4343"/>
    <w:rsid w:val="007E4658"/>
    <w:rsid w:val="007E4693"/>
    <w:rsid w:val="007E4708"/>
    <w:rsid w:val="007E4732"/>
    <w:rsid w:val="007E473C"/>
    <w:rsid w:val="007E4A53"/>
    <w:rsid w:val="007E4AC1"/>
    <w:rsid w:val="007E4B16"/>
    <w:rsid w:val="007E4C5D"/>
    <w:rsid w:val="007E4D98"/>
    <w:rsid w:val="007E4E19"/>
    <w:rsid w:val="007E4E34"/>
    <w:rsid w:val="007E4EB3"/>
    <w:rsid w:val="007E4F6C"/>
    <w:rsid w:val="007E4F87"/>
    <w:rsid w:val="007E4FF3"/>
    <w:rsid w:val="007E5220"/>
    <w:rsid w:val="007E53EB"/>
    <w:rsid w:val="007E5402"/>
    <w:rsid w:val="007E5479"/>
    <w:rsid w:val="007E5489"/>
    <w:rsid w:val="007E54C1"/>
    <w:rsid w:val="007E567D"/>
    <w:rsid w:val="007E5685"/>
    <w:rsid w:val="007E56AB"/>
    <w:rsid w:val="007E5A04"/>
    <w:rsid w:val="007E5B96"/>
    <w:rsid w:val="007E5C5D"/>
    <w:rsid w:val="007E5C6A"/>
    <w:rsid w:val="007E5CC6"/>
    <w:rsid w:val="007E5E85"/>
    <w:rsid w:val="007E602A"/>
    <w:rsid w:val="007E6066"/>
    <w:rsid w:val="007E6185"/>
    <w:rsid w:val="007E6320"/>
    <w:rsid w:val="007E639C"/>
    <w:rsid w:val="007E63BD"/>
    <w:rsid w:val="007E64BC"/>
    <w:rsid w:val="007E6513"/>
    <w:rsid w:val="007E6526"/>
    <w:rsid w:val="007E655A"/>
    <w:rsid w:val="007E6694"/>
    <w:rsid w:val="007E6696"/>
    <w:rsid w:val="007E6790"/>
    <w:rsid w:val="007E6999"/>
    <w:rsid w:val="007E69F1"/>
    <w:rsid w:val="007E6A0B"/>
    <w:rsid w:val="007E6A74"/>
    <w:rsid w:val="007E6A84"/>
    <w:rsid w:val="007E6A9E"/>
    <w:rsid w:val="007E6B70"/>
    <w:rsid w:val="007E6CBE"/>
    <w:rsid w:val="007E6CE5"/>
    <w:rsid w:val="007E6DD6"/>
    <w:rsid w:val="007E6E52"/>
    <w:rsid w:val="007E6FB4"/>
    <w:rsid w:val="007E70AB"/>
    <w:rsid w:val="007E7319"/>
    <w:rsid w:val="007E73A8"/>
    <w:rsid w:val="007E7414"/>
    <w:rsid w:val="007E7416"/>
    <w:rsid w:val="007E7472"/>
    <w:rsid w:val="007E7595"/>
    <w:rsid w:val="007E7625"/>
    <w:rsid w:val="007E767C"/>
    <w:rsid w:val="007E7731"/>
    <w:rsid w:val="007E7788"/>
    <w:rsid w:val="007E77E6"/>
    <w:rsid w:val="007E7A05"/>
    <w:rsid w:val="007E7AA2"/>
    <w:rsid w:val="007E7AEC"/>
    <w:rsid w:val="007E7BD3"/>
    <w:rsid w:val="007E7D35"/>
    <w:rsid w:val="007E7D89"/>
    <w:rsid w:val="007E7E62"/>
    <w:rsid w:val="007E7F25"/>
    <w:rsid w:val="007E7FD1"/>
    <w:rsid w:val="007E7FFD"/>
    <w:rsid w:val="007F001C"/>
    <w:rsid w:val="007F00C6"/>
    <w:rsid w:val="007F0111"/>
    <w:rsid w:val="007F0309"/>
    <w:rsid w:val="007F0318"/>
    <w:rsid w:val="007F04DB"/>
    <w:rsid w:val="007F0538"/>
    <w:rsid w:val="007F0566"/>
    <w:rsid w:val="007F05BF"/>
    <w:rsid w:val="007F0681"/>
    <w:rsid w:val="007F094A"/>
    <w:rsid w:val="007F0B90"/>
    <w:rsid w:val="007F0DED"/>
    <w:rsid w:val="007F0DF7"/>
    <w:rsid w:val="007F0E56"/>
    <w:rsid w:val="007F0E81"/>
    <w:rsid w:val="007F103C"/>
    <w:rsid w:val="007F1124"/>
    <w:rsid w:val="007F11A8"/>
    <w:rsid w:val="007F1359"/>
    <w:rsid w:val="007F14EB"/>
    <w:rsid w:val="007F16A6"/>
    <w:rsid w:val="007F16FB"/>
    <w:rsid w:val="007F174D"/>
    <w:rsid w:val="007F1786"/>
    <w:rsid w:val="007F1906"/>
    <w:rsid w:val="007F1995"/>
    <w:rsid w:val="007F1B98"/>
    <w:rsid w:val="007F1E26"/>
    <w:rsid w:val="007F1E93"/>
    <w:rsid w:val="007F1EC9"/>
    <w:rsid w:val="007F1F56"/>
    <w:rsid w:val="007F230C"/>
    <w:rsid w:val="007F258D"/>
    <w:rsid w:val="007F25EA"/>
    <w:rsid w:val="007F25EB"/>
    <w:rsid w:val="007F2671"/>
    <w:rsid w:val="007F274B"/>
    <w:rsid w:val="007F2760"/>
    <w:rsid w:val="007F28DA"/>
    <w:rsid w:val="007F296F"/>
    <w:rsid w:val="007F2A0B"/>
    <w:rsid w:val="007F2A60"/>
    <w:rsid w:val="007F2AA1"/>
    <w:rsid w:val="007F2B17"/>
    <w:rsid w:val="007F2B40"/>
    <w:rsid w:val="007F2B90"/>
    <w:rsid w:val="007F2C88"/>
    <w:rsid w:val="007F2D79"/>
    <w:rsid w:val="007F2DE3"/>
    <w:rsid w:val="007F2FB5"/>
    <w:rsid w:val="007F2FF5"/>
    <w:rsid w:val="007F2FF9"/>
    <w:rsid w:val="007F3035"/>
    <w:rsid w:val="007F30B4"/>
    <w:rsid w:val="007F32B5"/>
    <w:rsid w:val="007F33F9"/>
    <w:rsid w:val="007F3566"/>
    <w:rsid w:val="007F35A0"/>
    <w:rsid w:val="007F35E1"/>
    <w:rsid w:val="007F3710"/>
    <w:rsid w:val="007F373B"/>
    <w:rsid w:val="007F3840"/>
    <w:rsid w:val="007F3973"/>
    <w:rsid w:val="007F3A27"/>
    <w:rsid w:val="007F3A8C"/>
    <w:rsid w:val="007F3A8F"/>
    <w:rsid w:val="007F3B58"/>
    <w:rsid w:val="007F3BBF"/>
    <w:rsid w:val="007F3BEE"/>
    <w:rsid w:val="007F3D37"/>
    <w:rsid w:val="007F3D57"/>
    <w:rsid w:val="007F3F21"/>
    <w:rsid w:val="007F3FFB"/>
    <w:rsid w:val="007F409F"/>
    <w:rsid w:val="007F414D"/>
    <w:rsid w:val="007F415C"/>
    <w:rsid w:val="007F4324"/>
    <w:rsid w:val="007F463F"/>
    <w:rsid w:val="007F46DB"/>
    <w:rsid w:val="007F47EA"/>
    <w:rsid w:val="007F47F5"/>
    <w:rsid w:val="007F4860"/>
    <w:rsid w:val="007F4A13"/>
    <w:rsid w:val="007F4B83"/>
    <w:rsid w:val="007F4BED"/>
    <w:rsid w:val="007F4C22"/>
    <w:rsid w:val="007F4D9D"/>
    <w:rsid w:val="007F4DF0"/>
    <w:rsid w:val="007F4E04"/>
    <w:rsid w:val="007F4EB3"/>
    <w:rsid w:val="007F5058"/>
    <w:rsid w:val="007F51A1"/>
    <w:rsid w:val="007F523A"/>
    <w:rsid w:val="007F55DE"/>
    <w:rsid w:val="007F5618"/>
    <w:rsid w:val="007F579F"/>
    <w:rsid w:val="007F5E42"/>
    <w:rsid w:val="007F5E50"/>
    <w:rsid w:val="007F5E8F"/>
    <w:rsid w:val="007F5F04"/>
    <w:rsid w:val="007F601F"/>
    <w:rsid w:val="007F605B"/>
    <w:rsid w:val="007F6105"/>
    <w:rsid w:val="007F61C9"/>
    <w:rsid w:val="007F62CF"/>
    <w:rsid w:val="007F650B"/>
    <w:rsid w:val="007F654E"/>
    <w:rsid w:val="007F6B85"/>
    <w:rsid w:val="007F6BEA"/>
    <w:rsid w:val="007F6C11"/>
    <w:rsid w:val="007F6C1D"/>
    <w:rsid w:val="007F6C2B"/>
    <w:rsid w:val="007F6E42"/>
    <w:rsid w:val="007F70CD"/>
    <w:rsid w:val="007F70F9"/>
    <w:rsid w:val="007F711D"/>
    <w:rsid w:val="007F7156"/>
    <w:rsid w:val="007F716E"/>
    <w:rsid w:val="007F720D"/>
    <w:rsid w:val="007F7488"/>
    <w:rsid w:val="007F7576"/>
    <w:rsid w:val="007F7990"/>
    <w:rsid w:val="007F7992"/>
    <w:rsid w:val="007F7AD3"/>
    <w:rsid w:val="007F7C3A"/>
    <w:rsid w:val="007F7D36"/>
    <w:rsid w:val="007F7E1E"/>
    <w:rsid w:val="007F7EE7"/>
    <w:rsid w:val="007F7F0C"/>
    <w:rsid w:val="00800004"/>
    <w:rsid w:val="008001DC"/>
    <w:rsid w:val="00800354"/>
    <w:rsid w:val="00800418"/>
    <w:rsid w:val="0080045A"/>
    <w:rsid w:val="008005D8"/>
    <w:rsid w:val="00800924"/>
    <w:rsid w:val="00800967"/>
    <w:rsid w:val="00800A1D"/>
    <w:rsid w:val="00800A55"/>
    <w:rsid w:val="00800B3B"/>
    <w:rsid w:val="00800BED"/>
    <w:rsid w:val="00800C22"/>
    <w:rsid w:val="00800C5C"/>
    <w:rsid w:val="00800DF7"/>
    <w:rsid w:val="00800EB4"/>
    <w:rsid w:val="00801088"/>
    <w:rsid w:val="0080115C"/>
    <w:rsid w:val="0080128E"/>
    <w:rsid w:val="008013B7"/>
    <w:rsid w:val="00801484"/>
    <w:rsid w:val="008014EC"/>
    <w:rsid w:val="008015DF"/>
    <w:rsid w:val="00801611"/>
    <w:rsid w:val="008018FA"/>
    <w:rsid w:val="00801A29"/>
    <w:rsid w:val="00801BAC"/>
    <w:rsid w:val="00801DE7"/>
    <w:rsid w:val="00801DF6"/>
    <w:rsid w:val="00802118"/>
    <w:rsid w:val="008022EE"/>
    <w:rsid w:val="008023AE"/>
    <w:rsid w:val="00802720"/>
    <w:rsid w:val="0080273E"/>
    <w:rsid w:val="00802877"/>
    <w:rsid w:val="008028F5"/>
    <w:rsid w:val="00802954"/>
    <w:rsid w:val="00802AAD"/>
    <w:rsid w:val="00802B1D"/>
    <w:rsid w:val="00802B5B"/>
    <w:rsid w:val="00802CFD"/>
    <w:rsid w:val="00802E61"/>
    <w:rsid w:val="00802E6A"/>
    <w:rsid w:val="0080308C"/>
    <w:rsid w:val="0080317C"/>
    <w:rsid w:val="00803399"/>
    <w:rsid w:val="008035A6"/>
    <w:rsid w:val="00803645"/>
    <w:rsid w:val="00803656"/>
    <w:rsid w:val="008036CF"/>
    <w:rsid w:val="0080378B"/>
    <w:rsid w:val="008038C7"/>
    <w:rsid w:val="0080392B"/>
    <w:rsid w:val="0080396F"/>
    <w:rsid w:val="00803A3C"/>
    <w:rsid w:val="00803AEB"/>
    <w:rsid w:val="00803B34"/>
    <w:rsid w:val="00803B75"/>
    <w:rsid w:val="00803F19"/>
    <w:rsid w:val="00803F2E"/>
    <w:rsid w:val="00803F31"/>
    <w:rsid w:val="00803FFA"/>
    <w:rsid w:val="00804175"/>
    <w:rsid w:val="008041C3"/>
    <w:rsid w:val="008041F7"/>
    <w:rsid w:val="0080424F"/>
    <w:rsid w:val="008042A2"/>
    <w:rsid w:val="008042C4"/>
    <w:rsid w:val="008042CA"/>
    <w:rsid w:val="008042CF"/>
    <w:rsid w:val="008043B2"/>
    <w:rsid w:val="00804423"/>
    <w:rsid w:val="008044AC"/>
    <w:rsid w:val="008045A6"/>
    <w:rsid w:val="008045F6"/>
    <w:rsid w:val="0080464B"/>
    <w:rsid w:val="008048B1"/>
    <w:rsid w:val="0080490A"/>
    <w:rsid w:val="00804911"/>
    <w:rsid w:val="008049BD"/>
    <w:rsid w:val="008049F6"/>
    <w:rsid w:val="00804A13"/>
    <w:rsid w:val="00804A1D"/>
    <w:rsid w:val="00804A85"/>
    <w:rsid w:val="00804B0B"/>
    <w:rsid w:val="00804B9B"/>
    <w:rsid w:val="00804EF4"/>
    <w:rsid w:val="008050F4"/>
    <w:rsid w:val="00805298"/>
    <w:rsid w:val="008053AF"/>
    <w:rsid w:val="008054B2"/>
    <w:rsid w:val="0080553F"/>
    <w:rsid w:val="0080559D"/>
    <w:rsid w:val="0080580F"/>
    <w:rsid w:val="008058E2"/>
    <w:rsid w:val="008058FD"/>
    <w:rsid w:val="008059AC"/>
    <w:rsid w:val="00805B24"/>
    <w:rsid w:val="00805B88"/>
    <w:rsid w:val="00805C02"/>
    <w:rsid w:val="00805C9D"/>
    <w:rsid w:val="00805D31"/>
    <w:rsid w:val="00805D37"/>
    <w:rsid w:val="00805E0F"/>
    <w:rsid w:val="00805FB7"/>
    <w:rsid w:val="0080610D"/>
    <w:rsid w:val="00806182"/>
    <w:rsid w:val="008061CB"/>
    <w:rsid w:val="00806450"/>
    <w:rsid w:val="0080671F"/>
    <w:rsid w:val="00806797"/>
    <w:rsid w:val="008067AA"/>
    <w:rsid w:val="008069E1"/>
    <w:rsid w:val="00806A2E"/>
    <w:rsid w:val="00806AB6"/>
    <w:rsid w:val="00806EB7"/>
    <w:rsid w:val="00806F6C"/>
    <w:rsid w:val="00806F77"/>
    <w:rsid w:val="00806FBF"/>
    <w:rsid w:val="00807096"/>
    <w:rsid w:val="008070A1"/>
    <w:rsid w:val="0080728A"/>
    <w:rsid w:val="008072AE"/>
    <w:rsid w:val="0080730F"/>
    <w:rsid w:val="0080731A"/>
    <w:rsid w:val="008074F9"/>
    <w:rsid w:val="0080759F"/>
    <w:rsid w:val="008076CA"/>
    <w:rsid w:val="00807843"/>
    <w:rsid w:val="008078B0"/>
    <w:rsid w:val="00807A4F"/>
    <w:rsid w:val="00807AEF"/>
    <w:rsid w:val="00807C21"/>
    <w:rsid w:val="00807D78"/>
    <w:rsid w:val="00807DA9"/>
    <w:rsid w:val="00807DE2"/>
    <w:rsid w:val="00807E20"/>
    <w:rsid w:val="00807F0F"/>
    <w:rsid w:val="00807F56"/>
    <w:rsid w:val="0081009B"/>
    <w:rsid w:val="008102B2"/>
    <w:rsid w:val="008102ED"/>
    <w:rsid w:val="0081043F"/>
    <w:rsid w:val="00810594"/>
    <w:rsid w:val="0081059D"/>
    <w:rsid w:val="00810792"/>
    <w:rsid w:val="00810805"/>
    <w:rsid w:val="0081085A"/>
    <w:rsid w:val="00810B0D"/>
    <w:rsid w:val="00810B39"/>
    <w:rsid w:val="00810C47"/>
    <w:rsid w:val="00810DCC"/>
    <w:rsid w:val="00810DE4"/>
    <w:rsid w:val="00810E67"/>
    <w:rsid w:val="0081110D"/>
    <w:rsid w:val="00811327"/>
    <w:rsid w:val="008113BE"/>
    <w:rsid w:val="008113CA"/>
    <w:rsid w:val="00811420"/>
    <w:rsid w:val="00811425"/>
    <w:rsid w:val="008114E8"/>
    <w:rsid w:val="00811698"/>
    <w:rsid w:val="008116F6"/>
    <w:rsid w:val="008116F7"/>
    <w:rsid w:val="008118EC"/>
    <w:rsid w:val="008118FA"/>
    <w:rsid w:val="00811AD8"/>
    <w:rsid w:val="00811B70"/>
    <w:rsid w:val="00811B7C"/>
    <w:rsid w:val="00811D62"/>
    <w:rsid w:val="00812105"/>
    <w:rsid w:val="0081216B"/>
    <w:rsid w:val="00812174"/>
    <w:rsid w:val="008121AB"/>
    <w:rsid w:val="00812375"/>
    <w:rsid w:val="00812427"/>
    <w:rsid w:val="00812466"/>
    <w:rsid w:val="008124DD"/>
    <w:rsid w:val="00812524"/>
    <w:rsid w:val="0081256F"/>
    <w:rsid w:val="008127F1"/>
    <w:rsid w:val="0081287D"/>
    <w:rsid w:val="00812BAD"/>
    <w:rsid w:val="00812BDE"/>
    <w:rsid w:val="00812C3C"/>
    <w:rsid w:val="00812D03"/>
    <w:rsid w:val="00812D25"/>
    <w:rsid w:val="00812D2D"/>
    <w:rsid w:val="00812E03"/>
    <w:rsid w:val="00812F22"/>
    <w:rsid w:val="00813180"/>
    <w:rsid w:val="008131AA"/>
    <w:rsid w:val="008131AE"/>
    <w:rsid w:val="008131B8"/>
    <w:rsid w:val="008132A4"/>
    <w:rsid w:val="00813445"/>
    <w:rsid w:val="00813600"/>
    <w:rsid w:val="008136F8"/>
    <w:rsid w:val="008136FA"/>
    <w:rsid w:val="008137B7"/>
    <w:rsid w:val="00813BF0"/>
    <w:rsid w:val="00813C91"/>
    <w:rsid w:val="00813D43"/>
    <w:rsid w:val="00813D69"/>
    <w:rsid w:val="00813E1E"/>
    <w:rsid w:val="00813E4A"/>
    <w:rsid w:val="00814016"/>
    <w:rsid w:val="00814329"/>
    <w:rsid w:val="00814330"/>
    <w:rsid w:val="00814383"/>
    <w:rsid w:val="008143DE"/>
    <w:rsid w:val="008144A1"/>
    <w:rsid w:val="00814682"/>
    <w:rsid w:val="00814683"/>
    <w:rsid w:val="008146AE"/>
    <w:rsid w:val="008146C0"/>
    <w:rsid w:val="008147DF"/>
    <w:rsid w:val="008147E7"/>
    <w:rsid w:val="0081481C"/>
    <w:rsid w:val="00814834"/>
    <w:rsid w:val="00814A4C"/>
    <w:rsid w:val="00814B0A"/>
    <w:rsid w:val="00814B9B"/>
    <w:rsid w:val="00814BEA"/>
    <w:rsid w:val="00814CC6"/>
    <w:rsid w:val="00814CEC"/>
    <w:rsid w:val="00814E22"/>
    <w:rsid w:val="00814E75"/>
    <w:rsid w:val="00814EF5"/>
    <w:rsid w:val="00814F33"/>
    <w:rsid w:val="00814FE0"/>
    <w:rsid w:val="0081502D"/>
    <w:rsid w:val="0081509E"/>
    <w:rsid w:val="0081512D"/>
    <w:rsid w:val="008151D3"/>
    <w:rsid w:val="0081521F"/>
    <w:rsid w:val="008153FB"/>
    <w:rsid w:val="00815456"/>
    <w:rsid w:val="008154A2"/>
    <w:rsid w:val="008154FD"/>
    <w:rsid w:val="00815500"/>
    <w:rsid w:val="00815513"/>
    <w:rsid w:val="0081558D"/>
    <w:rsid w:val="008156B2"/>
    <w:rsid w:val="0081572A"/>
    <w:rsid w:val="0081576A"/>
    <w:rsid w:val="008157BE"/>
    <w:rsid w:val="008157DB"/>
    <w:rsid w:val="00815844"/>
    <w:rsid w:val="008158B9"/>
    <w:rsid w:val="008158D7"/>
    <w:rsid w:val="008158E2"/>
    <w:rsid w:val="00815A43"/>
    <w:rsid w:val="00815C6A"/>
    <w:rsid w:val="00815DE5"/>
    <w:rsid w:val="00816096"/>
    <w:rsid w:val="0081617F"/>
    <w:rsid w:val="00816353"/>
    <w:rsid w:val="008164DC"/>
    <w:rsid w:val="0081667C"/>
    <w:rsid w:val="00816AE5"/>
    <w:rsid w:val="00816D57"/>
    <w:rsid w:val="00816D85"/>
    <w:rsid w:val="00816E97"/>
    <w:rsid w:val="00816FF5"/>
    <w:rsid w:val="0081711A"/>
    <w:rsid w:val="0081715A"/>
    <w:rsid w:val="008174F8"/>
    <w:rsid w:val="00817650"/>
    <w:rsid w:val="008176CB"/>
    <w:rsid w:val="008176F0"/>
    <w:rsid w:val="008178E0"/>
    <w:rsid w:val="008179C2"/>
    <w:rsid w:val="00817B69"/>
    <w:rsid w:val="00817B97"/>
    <w:rsid w:val="00817BE6"/>
    <w:rsid w:val="00817BF7"/>
    <w:rsid w:val="00817D3F"/>
    <w:rsid w:val="00817E62"/>
    <w:rsid w:val="00817F1A"/>
    <w:rsid w:val="00817F35"/>
    <w:rsid w:val="00817F43"/>
    <w:rsid w:val="008201EA"/>
    <w:rsid w:val="0082020A"/>
    <w:rsid w:val="008202F4"/>
    <w:rsid w:val="008203E9"/>
    <w:rsid w:val="008204D4"/>
    <w:rsid w:val="008205B5"/>
    <w:rsid w:val="00820733"/>
    <w:rsid w:val="00820880"/>
    <w:rsid w:val="00820931"/>
    <w:rsid w:val="00820A80"/>
    <w:rsid w:val="00820AB1"/>
    <w:rsid w:val="00820B17"/>
    <w:rsid w:val="00820B96"/>
    <w:rsid w:val="00820EC9"/>
    <w:rsid w:val="00821042"/>
    <w:rsid w:val="00821095"/>
    <w:rsid w:val="008210A2"/>
    <w:rsid w:val="00821116"/>
    <w:rsid w:val="00821303"/>
    <w:rsid w:val="0082133C"/>
    <w:rsid w:val="0082134D"/>
    <w:rsid w:val="008213B9"/>
    <w:rsid w:val="00821436"/>
    <w:rsid w:val="0082144F"/>
    <w:rsid w:val="00821470"/>
    <w:rsid w:val="0082158F"/>
    <w:rsid w:val="008215A9"/>
    <w:rsid w:val="00821744"/>
    <w:rsid w:val="00821B42"/>
    <w:rsid w:val="00821BEE"/>
    <w:rsid w:val="00821C21"/>
    <w:rsid w:val="00821D89"/>
    <w:rsid w:val="00821E41"/>
    <w:rsid w:val="00822017"/>
    <w:rsid w:val="00822118"/>
    <w:rsid w:val="008222DC"/>
    <w:rsid w:val="0082236C"/>
    <w:rsid w:val="008223AB"/>
    <w:rsid w:val="008223F9"/>
    <w:rsid w:val="00822402"/>
    <w:rsid w:val="00822513"/>
    <w:rsid w:val="0082252A"/>
    <w:rsid w:val="00822551"/>
    <w:rsid w:val="0082262D"/>
    <w:rsid w:val="0082265B"/>
    <w:rsid w:val="008226C6"/>
    <w:rsid w:val="008227A5"/>
    <w:rsid w:val="00822946"/>
    <w:rsid w:val="008229B3"/>
    <w:rsid w:val="00822D17"/>
    <w:rsid w:val="00822D8C"/>
    <w:rsid w:val="00822FE7"/>
    <w:rsid w:val="00823177"/>
    <w:rsid w:val="0082329F"/>
    <w:rsid w:val="00823415"/>
    <w:rsid w:val="00823525"/>
    <w:rsid w:val="008239EE"/>
    <w:rsid w:val="008239F4"/>
    <w:rsid w:val="008239FA"/>
    <w:rsid w:val="00823A29"/>
    <w:rsid w:val="00823A35"/>
    <w:rsid w:val="00823A4F"/>
    <w:rsid w:val="00823A90"/>
    <w:rsid w:val="00823AC5"/>
    <w:rsid w:val="00823C42"/>
    <w:rsid w:val="00823CD8"/>
    <w:rsid w:val="0082405A"/>
    <w:rsid w:val="00824245"/>
    <w:rsid w:val="0082432B"/>
    <w:rsid w:val="00824563"/>
    <w:rsid w:val="008245EF"/>
    <w:rsid w:val="0082462A"/>
    <w:rsid w:val="00824683"/>
    <w:rsid w:val="008246BF"/>
    <w:rsid w:val="008246D4"/>
    <w:rsid w:val="00824761"/>
    <w:rsid w:val="008247FD"/>
    <w:rsid w:val="008248D1"/>
    <w:rsid w:val="0082493D"/>
    <w:rsid w:val="00824A4A"/>
    <w:rsid w:val="00824A6C"/>
    <w:rsid w:val="00824C98"/>
    <w:rsid w:val="00824CA3"/>
    <w:rsid w:val="00824DB6"/>
    <w:rsid w:val="00824DFD"/>
    <w:rsid w:val="00824E0E"/>
    <w:rsid w:val="00824E66"/>
    <w:rsid w:val="00825260"/>
    <w:rsid w:val="008252C0"/>
    <w:rsid w:val="00825502"/>
    <w:rsid w:val="00825572"/>
    <w:rsid w:val="008256AD"/>
    <w:rsid w:val="00825949"/>
    <w:rsid w:val="00825A37"/>
    <w:rsid w:val="00825C52"/>
    <w:rsid w:val="00825C9A"/>
    <w:rsid w:val="00825D31"/>
    <w:rsid w:val="00825DA5"/>
    <w:rsid w:val="00825DA6"/>
    <w:rsid w:val="00825DF2"/>
    <w:rsid w:val="00825EE9"/>
    <w:rsid w:val="00826038"/>
    <w:rsid w:val="008261BB"/>
    <w:rsid w:val="00826269"/>
    <w:rsid w:val="008262C4"/>
    <w:rsid w:val="0082632A"/>
    <w:rsid w:val="008264F3"/>
    <w:rsid w:val="0082662C"/>
    <w:rsid w:val="0082672F"/>
    <w:rsid w:val="00826797"/>
    <w:rsid w:val="00826824"/>
    <w:rsid w:val="008268D8"/>
    <w:rsid w:val="008269B4"/>
    <w:rsid w:val="008269CB"/>
    <w:rsid w:val="00826AB4"/>
    <w:rsid w:val="00826B44"/>
    <w:rsid w:val="00826B64"/>
    <w:rsid w:val="00826B77"/>
    <w:rsid w:val="00826C4C"/>
    <w:rsid w:val="00826C84"/>
    <w:rsid w:val="00826DBD"/>
    <w:rsid w:val="00826EA7"/>
    <w:rsid w:val="00827014"/>
    <w:rsid w:val="00827063"/>
    <w:rsid w:val="0082720D"/>
    <w:rsid w:val="00827395"/>
    <w:rsid w:val="00827640"/>
    <w:rsid w:val="0082764E"/>
    <w:rsid w:val="00827667"/>
    <w:rsid w:val="008276A7"/>
    <w:rsid w:val="008277F2"/>
    <w:rsid w:val="00827805"/>
    <w:rsid w:val="00827812"/>
    <w:rsid w:val="0082781B"/>
    <w:rsid w:val="00827866"/>
    <w:rsid w:val="00827968"/>
    <w:rsid w:val="008279A8"/>
    <w:rsid w:val="00827D1D"/>
    <w:rsid w:val="00827D1F"/>
    <w:rsid w:val="00827D44"/>
    <w:rsid w:val="00827E9B"/>
    <w:rsid w:val="00830061"/>
    <w:rsid w:val="00830123"/>
    <w:rsid w:val="00830139"/>
    <w:rsid w:val="00830622"/>
    <w:rsid w:val="0083062F"/>
    <w:rsid w:val="0083087A"/>
    <w:rsid w:val="008308A5"/>
    <w:rsid w:val="00830925"/>
    <w:rsid w:val="00830981"/>
    <w:rsid w:val="0083099F"/>
    <w:rsid w:val="00830BD9"/>
    <w:rsid w:val="00830D46"/>
    <w:rsid w:val="00830E52"/>
    <w:rsid w:val="00830E93"/>
    <w:rsid w:val="00830FA4"/>
    <w:rsid w:val="00831046"/>
    <w:rsid w:val="008310FF"/>
    <w:rsid w:val="0083112B"/>
    <w:rsid w:val="00831137"/>
    <w:rsid w:val="00831239"/>
    <w:rsid w:val="00831391"/>
    <w:rsid w:val="0083153A"/>
    <w:rsid w:val="008315D7"/>
    <w:rsid w:val="008315EA"/>
    <w:rsid w:val="00831678"/>
    <w:rsid w:val="008317CB"/>
    <w:rsid w:val="00831857"/>
    <w:rsid w:val="008319E8"/>
    <w:rsid w:val="00831C16"/>
    <w:rsid w:val="00831C7E"/>
    <w:rsid w:val="00831C7F"/>
    <w:rsid w:val="00831C83"/>
    <w:rsid w:val="00831C85"/>
    <w:rsid w:val="00831CFF"/>
    <w:rsid w:val="00831D06"/>
    <w:rsid w:val="00831D2F"/>
    <w:rsid w:val="00831D78"/>
    <w:rsid w:val="00831D9E"/>
    <w:rsid w:val="00832020"/>
    <w:rsid w:val="0083205C"/>
    <w:rsid w:val="00832153"/>
    <w:rsid w:val="00832187"/>
    <w:rsid w:val="00832228"/>
    <w:rsid w:val="008322D5"/>
    <w:rsid w:val="00832496"/>
    <w:rsid w:val="00832522"/>
    <w:rsid w:val="00832609"/>
    <w:rsid w:val="00832649"/>
    <w:rsid w:val="0083294A"/>
    <w:rsid w:val="00832982"/>
    <w:rsid w:val="00832A69"/>
    <w:rsid w:val="00832C03"/>
    <w:rsid w:val="00832C86"/>
    <w:rsid w:val="00832D8C"/>
    <w:rsid w:val="00832DE7"/>
    <w:rsid w:val="00832F65"/>
    <w:rsid w:val="00833026"/>
    <w:rsid w:val="008330BC"/>
    <w:rsid w:val="00833104"/>
    <w:rsid w:val="00833114"/>
    <w:rsid w:val="00833297"/>
    <w:rsid w:val="0083330E"/>
    <w:rsid w:val="0083341D"/>
    <w:rsid w:val="00833547"/>
    <w:rsid w:val="0083355A"/>
    <w:rsid w:val="00833576"/>
    <w:rsid w:val="008336AF"/>
    <w:rsid w:val="008336F6"/>
    <w:rsid w:val="00833C48"/>
    <w:rsid w:val="00833C4E"/>
    <w:rsid w:val="00833C87"/>
    <w:rsid w:val="00833D1C"/>
    <w:rsid w:val="00833DB9"/>
    <w:rsid w:val="00833EA2"/>
    <w:rsid w:val="00833F7B"/>
    <w:rsid w:val="008341ED"/>
    <w:rsid w:val="00834310"/>
    <w:rsid w:val="008343CB"/>
    <w:rsid w:val="008343F7"/>
    <w:rsid w:val="0083456F"/>
    <w:rsid w:val="00834613"/>
    <w:rsid w:val="00834707"/>
    <w:rsid w:val="008347C3"/>
    <w:rsid w:val="008347D2"/>
    <w:rsid w:val="008348B5"/>
    <w:rsid w:val="00834902"/>
    <w:rsid w:val="00834929"/>
    <w:rsid w:val="00834A26"/>
    <w:rsid w:val="00834BF7"/>
    <w:rsid w:val="00834C03"/>
    <w:rsid w:val="00834CD5"/>
    <w:rsid w:val="00834D1E"/>
    <w:rsid w:val="00834D63"/>
    <w:rsid w:val="00834DB4"/>
    <w:rsid w:val="00834FF7"/>
    <w:rsid w:val="00835052"/>
    <w:rsid w:val="0083507B"/>
    <w:rsid w:val="008351BC"/>
    <w:rsid w:val="0083532A"/>
    <w:rsid w:val="008354A1"/>
    <w:rsid w:val="0083565D"/>
    <w:rsid w:val="00835671"/>
    <w:rsid w:val="008356B6"/>
    <w:rsid w:val="00835709"/>
    <w:rsid w:val="0083582F"/>
    <w:rsid w:val="0083583A"/>
    <w:rsid w:val="00835963"/>
    <w:rsid w:val="0083598E"/>
    <w:rsid w:val="00835B35"/>
    <w:rsid w:val="00835CA0"/>
    <w:rsid w:val="00835E2E"/>
    <w:rsid w:val="00835E60"/>
    <w:rsid w:val="00835F68"/>
    <w:rsid w:val="00836078"/>
    <w:rsid w:val="008360FE"/>
    <w:rsid w:val="008361D1"/>
    <w:rsid w:val="008361FE"/>
    <w:rsid w:val="00836236"/>
    <w:rsid w:val="00836331"/>
    <w:rsid w:val="00836498"/>
    <w:rsid w:val="0083667D"/>
    <w:rsid w:val="008368F7"/>
    <w:rsid w:val="0083694E"/>
    <w:rsid w:val="00836BBA"/>
    <w:rsid w:val="00836BC4"/>
    <w:rsid w:val="00836CC1"/>
    <w:rsid w:val="00836E57"/>
    <w:rsid w:val="00836EFF"/>
    <w:rsid w:val="00836F4E"/>
    <w:rsid w:val="00836FCE"/>
    <w:rsid w:val="00837177"/>
    <w:rsid w:val="008374B9"/>
    <w:rsid w:val="00837640"/>
    <w:rsid w:val="008376D7"/>
    <w:rsid w:val="008376EA"/>
    <w:rsid w:val="0083778F"/>
    <w:rsid w:val="008378D9"/>
    <w:rsid w:val="008378F1"/>
    <w:rsid w:val="00837938"/>
    <w:rsid w:val="00837AB3"/>
    <w:rsid w:val="00837B99"/>
    <w:rsid w:val="00837BD7"/>
    <w:rsid w:val="00837CAD"/>
    <w:rsid w:val="00837DDF"/>
    <w:rsid w:val="00837E70"/>
    <w:rsid w:val="00837E75"/>
    <w:rsid w:val="00837E96"/>
    <w:rsid w:val="00837F61"/>
    <w:rsid w:val="0084005E"/>
    <w:rsid w:val="008400D8"/>
    <w:rsid w:val="00840101"/>
    <w:rsid w:val="00840148"/>
    <w:rsid w:val="00840325"/>
    <w:rsid w:val="00840501"/>
    <w:rsid w:val="00840540"/>
    <w:rsid w:val="008406DE"/>
    <w:rsid w:val="008407A3"/>
    <w:rsid w:val="00840967"/>
    <w:rsid w:val="00840AA2"/>
    <w:rsid w:val="00840ABB"/>
    <w:rsid w:val="00840AC7"/>
    <w:rsid w:val="00840B11"/>
    <w:rsid w:val="00840B23"/>
    <w:rsid w:val="00840DD3"/>
    <w:rsid w:val="00840DD5"/>
    <w:rsid w:val="00840F07"/>
    <w:rsid w:val="00840F38"/>
    <w:rsid w:val="00840F5E"/>
    <w:rsid w:val="00841046"/>
    <w:rsid w:val="0084116B"/>
    <w:rsid w:val="008411DC"/>
    <w:rsid w:val="0084121E"/>
    <w:rsid w:val="00841311"/>
    <w:rsid w:val="0084132B"/>
    <w:rsid w:val="008414A8"/>
    <w:rsid w:val="0084150B"/>
    <w:rsid w:val="0084157F"/>
    <w:rsid w:val="008416A0"/>
    <w:rsid w:val="008416A7"/>
    <w:rsid w:val="008416F7"/>
    <w:rsid w:val="0084175D"/>
    <w:rsid w:val="0084188A"/>
    <w:rsid w:val="008418C5"/>
    <w:rsid w:val="00841B86"/>
    <w:rsid w:val="00841BA4"/>
    <w:rsid w:val="00841BB8"/>
    <w:rsid w:val="00841CB7"/>
    <w:rsid w:val="00841CCD"/>
    <w:rsid w:val="00841D7D"/>
    <w:rsid w:val="00841E41"/>
    <w:rsid w:val="00841EC4"/>
    <w:rsid w:val="00841F1B"/>
    <w:rsid w:val="008421B2"/>
    <w:rsid w:val="00842261"/>
    <w:rsid w:val="00842276"/>
    <w:rsid w:val="008425AF"/>
    <w:rsid w:val="00842601"/>
    <w:rsid w:val="008426D8"/>
    <w:rsid w:val="00842700"/>
    <w:rsid w:val="008428DA"/>
    <w:rsid w:val="0084291D"/>
    <w:rsid w:val="00842A25"/>
    <w:rsid w:val="00842AE4"/>
    <w:rsid w:val="00842D50"/>
    <w:rsid w:val="00842D85"/>
    <w:rsid w:val="00842E2E"/>
    <w:rsid w:val="008431D1"/>
    <w:rsid w:val="0084322D"/>
    <w:rsid w:val="00843397"/>
    <w:rsid w:val="008434FA"/>
    <w:rsid w:val="00843532"/>
    <w:rsid w:val="0084375C"/>
    <w:rsid w:val="008437BE"/>
    <w:rsid w:val="0084389D"/>
    <w:rsid w:val="008438FE"/>
    <w:rsid w:val="00843920"/>
    <w:rsid w:val="008439F1"/>
    <w:rsid w:val="00843C68"/>
    <w:rsid w:val="00843CC5"/>
    <w:rsid w:val="00843DEB"/>
    <w:rsid w:val="00843E3C"/>
    <w:rsid w:val="00843F7A"/>
    <w:rsid w:val="00844192"/>
    <w:rsid w:val="00844254"/>
    <w:rsid w:val="0084430B"/>
    <w:rsid w:val="00844358"/>
    <w:rsid w:val="008444E6"/>
    <w:rsid w:val="008446CA"/>
    <w:rsid w:val="008447DF"/>
    <w:rsid w:val="008448A9"/>
    <w:rsid w:val="00844936"/>
    <w:rsid w:val="00844A74"/>
    <w:rsid w:val="00844B16"/>
    <w:rsid w:val="00844C6F"/>
    <w:rsid w:val="00844EE7"/>
    <w:rsid w:val="00845063"/>
    <w:rsid w:val="00845174"/>
    <w:rsid w:val="0084532E"/>
    <w:rsid w:val="00845387"/>
    <w:rsid w:val="0084544E"/>
    <w:rsid w:val="0084559C"/>
    <w:rsid w:val="008457FC"/>
    <w:rsid w:val="008459F2"/>
    <w:rsid w:val="00845A55"/>
    <w:rsid w:val="00845A84"/>
    <w:rsid w:val="00845B8F"/>
    <w:rsid w:val="00845CC4"/>
    <w:rsid w:val="00845CC7"/>
    <w:rsid w:val="00845CD0"/>
    <w:rsid w:val="00845D6F"/>
    <w:rsid w:val="00845DDC"/>
    <w:rsid w:val="00845F91"/>
    <w:rsid w:val="00846046"/>
    <w:rsid w:val="0084623B"/>
    <w:rsid w:val="00846251"/>
    <w:rsid w:val="008462C4"/>
    <w:rsid w:val="008462F8"/>
    <w:rsid w:val="00846367"/>
    <w:rsid w:val="008463C0"/>
    <w:rsid w:val="0084643E"/>
    <w:rsid w:val="00846444"/>
    <w:rsid w:val="008464CC"/>
    <w:rsid w:val="0084661C"/>
    <w:rsid w:val="0084671F"/>
    <w:rsid w:val="008467A7"/>
    <w:rsid w:val="0084683C"/>
    <w:rsid w:val="008469B6"/>
    <w:rsid w:val="008469CE"/>
    <w:rsid w:val="00846C9E"/>
    <w:rsid w:val="00846CF6"/>
    <w:rsid w:val="00846CFE"/>
    <w:rsid w:val="00846D31"/>
    <w:rsid w:val="00846D65"/>
    <w:rsid w:val="00846FA8"/>
    <w:rsid w:val="0084700B"/>
    <w:rsid w:val="00847061"/>
    <w:rsid w:val="00847066"/>
    <w:rsid w:val="00847450"/>
    <w:rsid w:val="00847531"/>
    <w:rsid w:val="008475B4"/>
    <w:rsid w:val="0084760C"/>
    <w:rsid w:val="008476E9"/>
    <w:rsid w:val="00847869"/>
    <w:rsid w:val="00847871"/>
    <w:rsid w:val="008478A1"/>
    <w:rsid w:val="00847911"/>
    <w:rsid w:val="0084792D"/>
    <w:rsid w:val="008479B4"/>
    <w:rsid w:val="00847A01"/>
    <w:rsid w:val="00847AB0"/>
    <w:rsid w:val="00847AFC"/>
    <w:rsid w:val="00847D34"/>
    <w:rsid w:val="00847DB9"/>
    <w:rsid w:val="00847DCA"/>
    <w:rsid w:val="00847F29"/>
    <w:rsid w:val="0085028F"/>
    <w:rsid w:val="008502BD"/>
    <w:rsid w:val="00850462"/>
    <w:rsid w:val="008504EB"/>
    <w:rsid w:val="0085050F"/>
    <w:rsid w:val="00850589"/>
    <w:rsid w:val="008507E6"/>
    <w:rsid w:val="0085082C"/>
    <w:rsid w:val="00850A96"/>
    <w:rsid w:val="00850D50"/>
    <w:rsid w:val="00850DBA"/>
    <w:rsid w:val="00850DCF"/>
    <w:rsid w:val="00850DD9"/>
    <w:rsid w:val="00850E06"/>
    <w:rsid w:val="00850F12"/>
    <w:rsid w:val="00851064"/>
    <w:rsid w:val="0085118A"/>
    <w:rsid w:val="00851195"/>
    <w:rsid w:val="008512B4"/>
    <w:rsid w:val="008513CB"/>
    <w:rsid w:val="0085154A"/>
    <w:rsid w:val="0085172F"/>
    <w:rsid w:val="008517AB"/>
    <w:rsid w:val="008518F5"/>
    <w:rsid w:val="008519D2"/>
    <w:rsid w:val="00851B3D"/>
    <w:rsid w:val="00851E3E"/>
    <w:rsid w:val="00851E6D"/>
    <w:rsid w:val="00851F15"/>
    <w:rsid w:val="008521C7"/>
    <w:rsid w:val="008521FC"/>
    <w:rsid w:val="0085220E"/>
    <w:rsid w:val="0085232E"/>
    <w:rsid w:val="0085236D"/>
    <w:rsid w:val="008523CD"/>
    <w:rsid w:val="0085245A"/>
    <w:rsid w:val="00852523"/>
    <w:rsid w:val="0085254A"/>
    <w:rsid w:val="00852569"/>
    <w:rsid w:val="008525C5"/>
    <w:rsid w:val="008526A3"/>
    <w:rsid w:val="008526EA"/>
    <w:rsid w:val="00852849"/>
    <w:rsid w:val="0085286D"/>
    <w:rsid w:val="00852AF7"/>
    <w:rsid w:val="00852C40"/>
    <w:rsid w:val="00852D24"/>
    <w:rsid w:val="00852E7F"/>
    <w:rsid w:val="00852EE3"/>
    <w:rsid w:val="00852F91"/>
    <w:rsid w:val="008530BF"/>
    <w:rsid w:val="0085330F"/>
    <w:rsid w:val="00853366"/>
    <w:rsid w:val="008533C0"/>
    <w:rsid w:val="00853491"/>
    <w:rsid w:val="00853585"/>
    <w:rsid w:val="00853688"/>
    <w:rsid w:val="008537AA"/>
    <w:rsid w:val="008538B5"/>
    <w:rsid w:val="00853931"/>
    <w:rsid w:val="008539E3"/>
    <w:rsid w:val="00853A22"/>
    <w:rsid w:val="00853A30"/>
    <w:rsid w:val="00853A5A"/>
    <w:rsid w:val="00853D94"/>
    <w:rsid w:val="00853F7F"/>
    <w:rsid w:val="008542F3"/>
    <w:rsid w:val="00854415"/>
    <w:rsid w:val="00854581"/>
    <w:rsid w:val="008545C3"/>
    <w:rsid w:val="008545C7"/>
    <w:rsid w:val="008545D7"/>
    <w:rsid w:val="00854A40"/>
    <w:rsid w:val="00854A85"/>
    <w:rsid w:val="00854AE5"/>
    <w:rsid w:val="00854BCF"/>
    <w:rsid w:val="00854C15"/>
    <w:rsid w:val="00854C7F"/>
    <w:rsid w:val="00854CC4"/>
    <w:rsid w:val="00854D0B"/>
    <w:rsid w:val="00854D7B"/>
    <w:rsid w:val="00854DB5"/>
    <w:rsid w:val="00854F33"/>
    <w:rsid w:val="00855009"/>
    <w:rsid w:val="008550F2"/>
    <w:rsid w:val="0085511D"/>
    <w:rsid w:val="0085522B"/>
    <w:rsid w:val="008553A2"/>
    <w:rsid w:val="00855405"/>
    <w:rsid w:val="00855446"/>
    <w:rsid w:val="00855508"/>
    <w:rsid w:val="00855599"/>
    <w:rsid w:val="00855683"/>
    <w:rsid w:val="00855840"/>
    <w:rsid w:val="008559D5"/>
    <w:rsid w:val="00855AB1"/>
    <w:rsid w:val="00855ACF"/>
    <w:rsid w:val="00855B56"/>
    <w:rsid w:val="00855C06"/>
    <w:rsid w:val="00855D08"/>
    <w:rsid w:val="00855D18"/>
    <w:rsid w:val="00855D87"/>
    <w:rsid w:val="00855DAA"/>
    <w:rsid w:val="00855E5E"/>
    <w:rsid w:val="00855FE5"/>
    <w:rsid w:val="008563AF"/>
    <w:rsid w:val="008565BC"/>
    <w:rsid w:val="00856624"/>
    <w:rsid w:val="0085663B"/>
    <w:rsid w:val="008566F3"/>
    <w:rsid w:val="00856713"/>
    <w:rsid w:val="00856814"/>
    <w:rsid w:val="00856BF2"/>
    <w:rsid w:val="00856DD0"/>
    <w:rsid w:val="00856E59"/>
    <w:rsid w:val="00856EA1"/>
    <w:rsid w:val="008570B6"/>
    <w:rsid w:val="0085733B"/>
    <w:rsid w:val="008573EA"/>
    <w:rsid w:val="00857545"/>
    <w:rsid w:val="008575C5"/>
    <w:rsid w:val="0085764D"/>
    <w:rsid w:val="008576D0"/>
    <w:rsid w:val="00857700"/>
    <w:rsid w:val="00857888"/>
    <w:rsid w:val="00857B0B"/>
    <w:rsid w:val="00857C6A"/>
    <w:rsid w:val="0086007A"/>
    <w:rsid w:val="008600D7"/>
    <w:rsid w:val="00860123"/>
    <w:rsid w:val="008603E3"/>
    <w:rsid w:val="00860646"/>
    <w:rsid w:val="00860686"/>
    <w:rsid w:val="0086092F"/>
    <w:rsid w:val="00860A63"/>
    <w:rsid w:val="00860D0E"/>
    <w:rsid w:val="00860D39"/>
    <w:rsid w:val="00860FF6"/>
    <w:rsid w:val="00861045"/>
    <w:rsid w:val="0086117C"/>
    <w:rsid w:val="00861494"/>
    <w:rsid w:val="008614B2"/>
    <w:rsid w:val="0086153B"/>
    <w:rsid w:val="008617D2"/>
    <w:rsid w:val="0086181A"/>
    <w:rsid w:val="0086186F"/>
    <w:rsid w:val="00861A85"/>
    <w:rsid w:val="00861C58"/>
    <w:rsid w:val="00861E5B"/>
    <w:rsid w:val="00862058"/>
    <w:rsid w:val="0086207C"/>
    <w:rsid w:val="008620D4"/>
    <w:rsid w:val="008620E9"/>
    <w:rsid w:val="00862345"/>
    <w:rsid w:val="0086240C"/>
    <w:rsid w:val="00862586"/>
    <w:rsid w:val="00862724"/>
    <w:rsid w:val="0086283C"/>
    <w:rsid w:val="00862847"/>
    <w:rsid w:val="00862888"/>
    <w:rsid w:val="0086290A"/>
    <w:rsid w:val="00862957"/>
    <w:rsid w:val="008629B1"/>
    <w:rsid w:val="00862A91"/>
    <w:rsid w:val="00862ADD"/>
    <w:rsid w:val="00862BBB"/>
    <w:rsid w:val="00862C24"/>
    <w:rsid w:val="00862C36"/>
    <w:rsid w:val="00862CF5"/>
    <w:rsid w:val="00862D3E"/>
    <w:rsid w:val="00862D4D"/>
    <w:rsid w:val="00862D81"/>
    <w:rsid w:val="00862F06"/>
    <w:rsid w:val="00862FE4"/>
    <w:rsid w:val="00863128"/>
    <w:rsid w:val="00863207"/>
    <w:rsid w:val="008632AC"/>
    <w:rsid w:val="00863369"/>
    <w:rsid w:val="0086347E"/>
    <w:rsid w:val="00863629"/>
    <w:rsid w:val="00863694"/>
    <w:rsid w:val="0086375D"/>
    <w:rsid w:val="00863827"/>
    <w:rsid w:val="00863862"/>
    <w:rsid w:val="008638A0"/>
    <w:rsid w:val="00863947"/>
    <w:rsid w:val="00863A41"/>
    <w:rsid w:val="00863A92"/>
    <w:rsid w:val="00863C26"/>
    <w:rsid w:val="00863DB9"/>
    <w:rsid w:val="00863DEA"/>
    <w:rsid w:val="00863E91"/>
    <w:rsid w:val="00864156"/>
    <w:rsid w:val="0086415D"/>
    <w:rsid w:val="008643F7"/>
    <w:rsid w:val="008643FE"/>
    <w:rsid w:val="0086441C"/>
    <w:rsid w:val="0086447F"/>
    <w:rsid w:val="00864666"/>
    <w:rsid w:val="0086468E"/>
    <w:rsid w:val="0086482C"/>
    <w:rsid w:val="00864901"/>
    <w:rsid w:val="00864A03"/>
    <w:rsid w:val="00864B22"/>
    <w:rsid w:val="00864CE8"/>
    <w:rsid w:val="00864D55"/>
    <w:rsid w:val="00864E04"/>
    <w:rsid w:val="00864F2A"/>
    <w:rsid w:val="00865163"/>
    <w:rsid w:val="008651B1"/>
    <w:rsid w:val="008651BC"/>
    <w:rsid w:val="008652C7"/>
    <w:rsid w:val="008653D0"/>
    <w:rsid w:val="0086547E"/>
    <w:rsid w:val="008657CF"/>
    <w:rsid w:val="00865813"/>
    <w:rsid w:val="0086583B"/>
    <w:rsid w:val="00865A54"/>
    <w:rsid w:val="00865A5C"/>
    <w:rsid w:val="00865BC1"/>
    <w:rsid w:val="00865CB5"/>
    <w:rsid w:val="00865D77"/>
    <w:rsid w:val="00865DD3"/>
    <w:rsid w:val="00865DD5"/>
    <w:rsid w:val="00865E8D"/>
    <w:rsid w:val="00865EBD"/>
    <w:rsid w:val="00865FBC"/>
    <w:rsid w:val="00865FE2"/>
    <w:rsid w:val="00865FFE"/>
    <w:rsid w:val="00866077"/>
    <w:rsid w:val="0086617D"/>
    <w:rsid w:val="00866245"/>
    <w:rsid w:val="0086625E"/>
    <w:rsid w:val="00866292"/>
    <w:rsid w:val="00866371"/>
    <w:rsid w:val="008663AB"/>
    <w:rsid w:val="0086645C"/>
    <w:rsid w:val="008664F0"/>
    <w:rsid w:val="00866806"/>
    <w:rsid w:val="00866830"/>
    <w:rsid w:val="0086683D"/>
    <w:rsid w:val="008669B7"/>
    <w:rsid w:val="008669DC"/>
    <w:rsid w:val="00866A57"/>
    <w:rsid w:val="00866B35"/>
    <w:rsid w:val="00866BFE"/>
    <w:rsid w:val="00866D82"/>
    <w:rsid w:val="00866DF1"/>
    <w:rsid w:val="00866E5D"/>
    <w:rsid w:val="00867056"/>
    <w:rsid w:val="00867222"/>
    <w:rsid w:val="0086732A"/>
    <w:rsid w:val="0086740A"/>
    <w:rsid w:val="00867494"/>
    <w:rsid w:val="008676BF"/>
    <w:rsid w:val="00867730"/>
    <w:rsid w:val="008677C1"/>
    <w:rsid w:val="008677FF"/>
    <w:rsid w:val="0086784E"/>
    <w:rsid w:val="00867893"/>
    <w:rsid w:val="008678D3"/>
    <w:rsid w:val="00867935"/>
    <w:rsid w:val="008679EF"/>
    <w:rsid w:val="008679F7"/>
    <w:rsid w:val="00867A00"/>
    <w:rsid w:val="00867A34"/>
    <w:rsid w:val="00867AFE"/>
    <w:rsid w:val="00867B8C"/>
    <w:rsid w:val="00867D76"/>
    <w:rsid w:val="00867DBC"/>
    <w:rsid w:val="00867DE2"/>
    <w:rsid w:val="00867E2F"/>
    <w:rsid w:val="00867F76"/>
    <w:rsid w:val="00870018"/>
    <w:rsid w:val="0087015A"/>
    <w:rsid w:val="00870182"/>
    <w:rsid w:val="0087029F"/>
    <w:rsid w:val="008702B6"/>
    <w:rsid w:val="00870388"/>
    <w:rsid w:val="008703EF"/>
    <w:rsid w:val="00870599"/>
    <w:rsid w:val="008705A7"/>
    <w:rsid w:val="0087061A"/>
    <w:rsid w:val="00870703"/>
    <w:rsid w:val="008709FE"/>
    <w:rsid w:val="00870A07"/>
    <w:rsid w:val="00870B34"/>
    <w:rsid w:val="00870C52"/>
    <w:rsid w:val="00870CD4"/>
    <w:rsid w:val="00870E70"/>
    <w:rsid w:val="00870ED7"/>
    <w:rsid w:val="00870FD0"/>
    <w:rsid w:val="00871091"/>
    <w:rsid w:val="00871106"/>
    <w:rsid w:val="00871163"/>
    <w:rsid w:val="00871221"/>
    <w:rsid w:val="008715DD"/>
    <w:rsid w:val="00871619"/>
    <w:rsid w:val="00871677"/>
    <w:rsid w:val="008716A5"/>
    <w:rsid w:val="00871716"/>
    <w:rsid w:val="0087180A"/>
    <w:rsid w:val="00871A24"/>
    <w:rsid w:val="00871A9F"/>
    <w:rsid w:val="00871AA2"/>
    <w:rsid w:val="00871BEC"/>
    <w:rsid w:val="00871C2C"/>
    <w:rsid w:val="00871CF3"/>
    <w:rsid w:val="00871DDF"/>
    <w:rsid w:val="00872010"/>
    <w:rsid w:val="0087203F"/>
    <w:rsid w:val="008720AA"/>
    <w:rsid w:val="0087220E"/>
    <w:rsid w:val="00872282"/>
    <w:rsid w:val="008722A9"/>
    <w:rsid w:val="0087232B"/>
    <w:rsid w:val="0087233A"/>
    <w:rsid w:val="008723F9"/>
    <w:rsid w:val="00872414"/>
    <w:rsid w:val="00872477"/>
    <w:rsid w:val="008724C1"/>
    <w:rsid w:val="00872554"/>
    <w:rsid w:val="008725A4"/>
    <w:rsid w:val="00872710"/>
    <w:rsid w:val="00872891"/>
    <w:rsid w:val="008728E3"/>
    <w:rsid w:val="008728F2"/>
    <w:rsid w:val="00872B13"/>
    <w:rsid w:val="00872C6F"/>
    <w:rsid w:val="00872C84"/>
    <w:rsid w:val="00872DF4"/>
    <w:rsid w:val="00872F77"/>
    <w:rsid w:val="0087307E"/>
    <w:rsid w:val="00873152"/>
    <w:rsid w:val="0087323C"/>
    <w:rsid w:val="008732C9"/>
    <w:rsid w:val="00873317"/>
    <w:rsid w:val="0087334A"/>
    <w:rsid w:val="00873437"/>
    <w:rsid w:val="008735E7"/>
    <w:rsid w:val="0087364D"/>
    <w:rsid w:val="008739EF"/>
    <w:rsid w:val="00873B19"/>
    <w:rsid w:val="00873B97"/>
    <w:rsid w:val="00873C39"/>
    <w:rsid w:val="00873E2A"/>
    <w:rsid w:val="00873E44"/>
    <w:rsid w:val="00873E4A"/>
    <w:rsid w:val="00873EE6"/>
    <w:rsid w:val="00873FB5"/>
    <w:rsid w:val="00874120"/>
    <w:rsid w:val="0087418A"/>
    <w:rsid w:val="008741AD"/>
    <w:rsid w:val="0087444C"/>
    <w:rsid w:val="00874510"/>
    <w:rsid w:val="0087453A"/>
    <w:rsid w:val="008745C2"/>
    <w:rsid w:val="008746E7"/>
    <w:rsid w:val="0087494E"/>
    <w:rsid w:val="00874995"/>
    <w:rsid w:val="00874A57"/>
    <w:rsid w:val="00874B90"/>
    <w:rsid w:val="00874C0C"/>
    <w:rsid w:val="00874D21"/>
    <w:rsid w:val="00874DA4"/>
    <w:rsid w:val="00874DF5"/>
    <w:rsid w:val="00874E3D"/>
    <w:rsid w:val="00874EDE"/>
    <w:rsid w:val="00874FFC"/>
    <w:rsid w:val="0087507F"/>
    <w:rsid w:val="00875117"/>
    <w:rsid w:val="0087511B"/>
    <w:rsid w:val="00875158"/>
    <w:rsid w:val="00875240"/>
    <w:rsid w:val="00875258"/>
    <w:rsid w:val="00875422"/>
    <w:rsid w:val="00875540"/>
    <w:rsid w:val="008755AF"/>
    <w:rsid w:val="00875649"/>
    <w:rsid w:val="008756C8"/>
    <w:rsid w:val="00875800"/>
    <w:rsid w:val="008758CC"/>
    <w:rsid w:val="00875A31"/>
    <w:rsid w:val="00875B3D"/>
    <w:rsid w:val="00875B48"/>
    <w:rsid w:val="00875BEF"/>
    <w:rsid w:val="00875C75"/>
    <w:rsid w:val="00875CCA"/>
    <w:rsid w:val="00875D28"/>
    <w:rsid w:val="00875D4C"/>
    <w:rsid w:val="00875E56"/>
    <w:rsid w:val="00875E92"/>
    <w:rsid w:val="00875F23"/>
    <w:rsid w:val="00875FC2"/>
    <w:rsid w:val="00875FE3"/>
    <w:rsid w:val="00876011"/>
    <w:rsid w:val="008760F6"/>
    <w:rsid w:val="008761AE"/>
    <w:rsid w:val="008761C7"/>
    <w:rsid w:val="008762A1"/>
    <w:rsid w:val="0087647C"/>
    <w:rsid w:val="008764C2"/>
    <w:rsid w:val="00876548"/>
    <w:rsid w:val="008765CF"/>
    <w:rsid w:val="008765F8"/>
    <w:rsid w:val="008765FF"/>
    <w:rsid w:val="00876750"/>
    <w:rsid w:val="008767BE"/>
    <w:rsid w:val="0087695F"/>
    <w:rsid w:val="00876986"/>
    <w:rsid w:val="008769CE"/>
    <w:rsid w:val="00876A72"/>
    <w:rsid w:val="00876CD8"/>
    <w:rsid w:val="00876D69"/>
    <w:rsid w:val="00876D79"/>
    <w:rsid w:val="00876EC2"/>
    <w:rsid w:val="00877177"/>
    <w:rsid w:val="008772D4"/>
    <w:rsid w:val="00877467"/>
    <w:rsid w:val="00877585"/>
    <w:rsid w:val="0087758D"/>
    <w:rsid w:val="0087778A"/>
    <w:rsid w:val="0087789F"/>
    <w:rsid w:val="008778FF"/>
    <w:rsid w:val="00877A90"/>
    <w:rsid w:val="00877B63"/>
    <w:rsid w:val="00877C85"/>
    <w:rsid w:val="00877CBA"/>
    <w:rsid w:val="00877CCA"/>
    <w:rsid w:val="00877D0F"/>
    <w:rsid w:val="00877EB7"/>
    <w:rsid w:val="00877F99"/>
    <w:rsid w:val="00880025"/>
    <w:rsid w:val="00880048"/>
    <w:rsid w:val="008801EA"/>
    <w:rsid w:val="008803BC"/>
    <w:rsid w:val="008803DB"/>
    <w:rsid w:val="0088044A"/>
    <w:rsid w:val="008804A0"/>
    <w:rsid w:val="008804C2"/>
    <w:rsid w:val="008806AF"/>
    <w:rsid w:val="008806CE"/>
    <w:rsid w:val="00880A96"/>
    <w:rsid w:val="00880B30"/>
    <w:rsid w:val="00880BA0"/>
    <w:rsid w:val="00880C11"/>
    <w:rsid w:val="00880C63"/>
    <w:rsid w:val="00880C83"/>
    <w:rsid w:val="00880CB5"/>
    <w:rsid w:val="00880D88"/>
    <w:rsid w:val="00880E70"/>
    <w:rsid w:val="00880EC9"/>
    <w:rsid w:val="0088102E"/>
    <w:rsid w:val="00881119"/>
    <w:rsid w:val="0088121F"/>
    <w:rsid w:val="00881535"/>
    <w:rsid w:val="008816E1"/>
    <w:rsid w:val="00881889"/>
    <w:rsid w:val="0088192C"/>
    <w:rsid w:val="00881A23"/>
    <w:rsid w:val="00881AE1"/>
    <w:rsid w:val="00881B18"/>
    <w:rsid w:val="00881B36"/>
    <w:rsid w:val="00881C35"/>
    <w:rsid w:val="00881C74"/>
    <w:rsid w:val="00881CA2"/>
    <w:rsid w:val="00881F48"/>
    <w:rsid w:val="00882033"/>
    <w:rsid w:val="008820D6"/>
    <w:rsid w:val="00882110"/>
    <w:rsid w:val="00882229"/>
    <w:rsid w:val="008822F5"/>
    <w:rsid w:val="00882526"/>
    <w:rsid w:val="00882701"/>
    <w:rsid w:val="00882829"/>
    <w:rsid w:val="008828BE"/>
    <w:rsid w:val="0088290D"/>
    <w:rsid w:val="00882987"/>
    <w:rsid w:val="008829E5"/>
    <w:rsid w:val="008829F9"/>
    <w:rsid w:val="00882B82"/>
    <w:rsid w:val="00882C11"/>
    <w:rsid w:val="00882CCC"/>
    <w:rsid w:val="00882D69"/>
    <w:rsid w:val="00882E1D"/>
    <w:rsid w:val="00882EF1"/>
    <w:rsid w:val="00882FCC"/>
    <w:rsid w:val="00883178"/>
    <w:rsid w:val="008833BF"/>
    <w:rsid w:val="00883651"/>
    <w:rsid w:val="008836A7"/>
    <w:rsid w:val="0088372C"/>
    <w:rsid w:val="00883821"/>
    <w:rsid w:val="008838A1"/>
    <w:rsid w:val="00883C21"/>
    <w:rsid w:val="00883DAB"/>
    <w:rsid w:val="00883DC8"/>
    <w:rsid w:val="00883E1F"/>
    <w:rsid w:val="00883E59"/>
    <w:rsid w:val="00883EB8"/>
    <w:rsid w:val="00883EF2"/>
    <w:rsid w:val="00884099"/>
    <w:rsid w:val="008840FE"/>
    <w:rsid w:val="008841A4"/>
    <w:rsid w:val="00884200"/>
    <w:rsid w:val="00884284"/>
    <w:rsid w:val="008846B5"/>
    <w:rsid w:val="0088472D"/>
    <w:rsid w:val="00884881"/>
    <w:rsid w:val="00884A57"/>
    <w:rsid w:val="00884C3B"/>
    <w:rsid w:val="00884E44"/>
    <w:rsid w:val="0088506D"/>
    <w:rsid w:val="0088511F"/>
    <w:rsid w:val="00885282"/>
    <w:rsid w:val="00885335"/>
    <w:rsid w:val="00885368"/>
    <w:rsid w:val="00885430"/>
    <w:rsid w:val="0088545E"/>
    <w:rsid w:val="008855C1"/>
    <w:rsid w:val="008855F7"/>
    <w:rsid w:val="008856B1"/>
    <w:rsid w:val="0088571E"/>
    <w:rsid w:val="008858F9"/>
    <w:rsid w:val="00885958"/>
    <w:rsid w:val="008859E3"/>
    <w:rsid w:val="00885AD0"/>
    <w:rsid w:val="00885AD2"/>
    <w:rsid w:val="00885C67"/>
    <w:rsid w:val="00885CCB"/>
    <w:rsid w:val="00885E59"/>
    <w:rsid w:val="00885E63"/>
    <w:rsid w:val="00885F6A"/>
    <w:rsid w:val="00885FE5"/>
    <w:rsid w:val="0088602F"/>
    <w:rsid w:val="00886276"/>
    <w:rsid w:val="00886359"/>
    <w:rsid w:val="00886449"/>
    <w:rsid w:val="00886491"/>
    <w:rsid w:val="00886532"/>
    <w:rsid w:val="008867B7"/>
    <w:rsid w:val="00886AE7"/>
    <w:rsid w:val="00886D61"/>
    <w:rsid w:val="00886FF7"/>
    <w:rsid w:val="008870EA"/>
    <w:rsid w:val="008870F6"/>
    <w:rsid w:val="0088716F"/>
    <w:rsid w:val="0088732B"/>
    <w:rsid w:val="008874A5"/>
    <w:rsid w:val="008874EB"/>
    <w:rsid w:val="00887665"/>
    <w:rsid w:val="008876DD"/>
    <w:rsid w:val="008876EC"/>
    <w:rsid w:val="00887751"/>
    <w:rsid w:val="00887853"/>
    <w:rsid w:val="008878EC"/>
    <w:rsid w:val="00887955"/>
    <w:rsid w:val="00887A2C"/>
    <w:rsid w:val="00887AD0"/>
    <w:rsid w:val="00887B8F"/>
    <w:rsid w:val="00887C7C"/>
    <w:rsid w:val="00887EF5"/>
    <w:rsid w:val="00887F08"/>
    <w:rsid w:val="00887F1C"/>
    <w:rsid w:val="0089000B"/>
    <w:rsid w:val="00890225"/>
    <w:rsid w:val="00890228"/>
    <w:rsid w:val="0089049B"/>
    <w:rsid w:val="00890568"/>
    <w:rsid w:val="008905A1"/>
    <w:rsid w:val="00890624"/>
    <w:rsid w:val="00890A1D"/>
    <w:rsid w:val="00890A30"/>
    <w:rsid w:val="00890A62"/>
    <w:rsid w:val="00890B89"/>
    <w:rsid w:val="00890DEA"/>
    <w:rsid w:val="00890E38"/>
    <w:rsid w:val="00890E90"/>
    <w:rsid w:val="00890FB4"/>
    <w:rsid w:val="008912C8"/>
    <w:rsid w:val="008913D9"/>
    <w:rsid w:val="008914C0"/>
    <w:rsid w:val="008914CA"/>
    <w:rsid w:val="00891595"/>
    <w:rsid w:val="008915D3"/>
    <w:rsid w:val="00891650"/>
    <w:rsid w:val="00891663"/>
    <w:rsid w:val="008918D0"/>
    <w:rsid w:val="00891A30"/>
    <w:rsid w:val="00891AC0"/>
    <w:rsid w:val="00891AC9"/>
    <w:rsid w:val="00891EA1"/>
    <w:rsid w:val="00891FAA"/>
    <w:rsid w:val="00891FCB"/>
    <w:rsid w:val="00891FE1"/>
    <w:rsid w:val="008920E4"/>
    <w:rsid w:val="008921FB"/>
    <w:rsid w:val="0089229E"/>
    <w:rsid w:val="00892357"/>
    <w:rsid w:val="0089246F"/>
    <w:rsid w:val="00892595"/>
    <w:rsid w:val="008925FD"/>
    <w:rsid w:val="00892694"/>
    <w:rsid w:val="00892B10"/>
    <w:rsid w:val="00892D4E"/>
    <w:rsid w:val="00892F7A"/>
    <w:rsid w:val="00892F8F"/>
    <w:rsid w:val="00892FC8"/>
    <w:rsid w:val="00893014"/>
    <w:rsid w:val="008931A2"/>
    <w:rsid w:val="00893234"/>
    <w:rsid w:val="00893293"/>
    <w:rsid w:val="008932AE"/>
    <w:rsid w:val="00893342"/>
    <w:rsid w:val="00893365"/>
    <w:rsid w:val="008933FB"/>
    <w:rsid w:val="008934A9"/>
    <w:rsid w:val="008934CF"/>
    <w:rsid w:val="0089366E"/>
    <w:rsid w:val="00893857"/>
    <w:rsid w:val="008938AE"/>
    <w:rsid w:val="008938C4"/>
    <w:rsid w:val="00893A1D"/>
    <w:rsid w:val="00893A50"/>
    <w:rsid w:val="00893CD0"/>
    <w:rsid w:val="00893E47"/>
    <w:rsid w:val="00893E6D"/>
    <w:rsid w:val="00893F47"/>
    <w:rsid w:val="008941DA"/>
    <w:rsid w:val="008942CE"/>
    <w:rsid w:val="0089435F"/>
    <w:rsid w:val="00894566"/>
    <w:rsid w:val="00894769"/>
    <w:rsid w:val="008947EB"/>
    <w:rsid w:val="008947F1"/>
    <w:rsid w:val="00894883"/>
    <w:rsid w:val="00894958"/>
    <w:rsid w:val="00894C17"/>
    <w:rsid w:val="00894CDF"/>
    <w:rsid w:val="00894E60"/>
    <w:rsid w:val="00894F9C"/>
    <w:rsid w:val="00895038"/>
    <w:rsid w:val="0089510B"/>
    <w:rsid w:val="0089510D"/>
    <w:rsid w:val="00895153"/>
    <w:rsid w:val="00895197"/>
    <w:rsid w:val="008951AB"/>
    <w:rsid w:val="008951B9"/>
    <w:rsid w:val="0089527D"/>
    <w:rsid w:val="0089536A"/>
    <w:rsid w:val="008953D6"/>
    <w:rsid w:val="008954D5"/>
    <w:rsid w:val="00895517"/>
    <w:rsid w:val="008955A6"/>
    <w:rsid w:val="0089563A"/>
    <w:rsid w:val="008956C8"/>
    <w:rsid w:val="00895B84"/>
    <w:rsid w:val="00895F4E"/>
    <w:rsid w:val="00895F4F"/>
    <w:rsid w:val="00895F95"/>
    <w:rsid w:val="008960EC"/>
    <w:rsid w:val="008962B0"/>
    <w:rsid w:val="00896312"/>
    <w:rsid w:val="00896376"/>
    <w:rsid w:val="008963D2"/>
    <w:rsid w:val="008964B5"/>
    <w:rsid w:val="008964D6"/>
    <w:rsid w:val="00896574"/>
    <w:rsid w:val="0089661F"/>
    <w:rsid w:val="00896700"/>
    <w:rsid w:val="008967E1"/>
    <w:rsid w:val="00896839"/>
    <w:rsid w:val="00896890"/>
    <w:rsid w:val="0089693D"/>
    <w:rsid w:val="008969D1"/>
    <w:rsid w:val="00896B6D"/>
    <w:rsid w:val="00896C53"/>
    <w:rsid w:val="00896C5E"/>
    <w:rsid w:val="00896DAD"/>
    <w:rsid w:val="00896DDB"/>
    <w:rsid w:val="008972BC"/>
    <w:rsid w:val="008975E9"/>
    <w:rsid w:val="008975EF"/>
    <w:rsid w:val="008975FA"/>
    <w:rsid w:val="0089783C"/>
    <w:rsid w:val="008978F6"/>
    <w:rsid w:val="008979CA"/>
    <w:rsid w:val="00897BC9"/>
    <w:rsid w:val="00897C9F"/>
    <w:rsid w:val="00897DF5"/>
    <w:rsid w:val="00897F53"/>
    <w:rsid w:val="008A0020"/>
    <w:rsid w:val="008A0262"/>
    <w:rsid w:val="008A0272"/>
    <w:rsid w:val="008A0373"/>
    <w:rsid w:val="008A0638"/>
    <w:rsid w:val="008A063A"/>
    <w:rsid w:val="008A063B"/>
    <w:rsid w:val="008A06A0"/>
    <w:rsid w:val="008A0704"/>
    <w:rsid w:val="008A07F3"/>
    <w:rsid w:val="008A08F6"/>
    <w:rsid w:val="008A0933"/>
    <w:rsid w:val="008A0C74"/>
    <w:rsid w:val="008A0DEC"/>
    <w:rsid w:val="008A0E50"/>
    <w:rsid w:val="008A0E91"/>
    <w:rsid w:val="008A10C5"/>
    <w:rsid w:val="008A1124"/>
    <w:rsid w:val="008A135C"/>
    <w:rsid w:val="008A13A3"/>
    <w:rsid w:val="008A1408"/>
    <w:rsid w:val="008A140E"/>
    <w:rsid w:val="008A1467"/>
    <w:rsid w:val="008A1705"/>
    <w:rsid w:val="008A17FF"/>
    <w:rsid w:val="008A183A"/>
    <w:rsid w:val="008A18DF"/>
    <w:rsid w:val="008A1A08"/>
    <w:rsid w:val="008A1AF1"/>
    <w:rsid w:val="008A1C59"/>
    <w:rsid w:val="008A20D0"/>
    <w:rsid w:val="008A21CA"/>
    <w:rsid w:val="008A2334"/>
    <w:rsid w:val="008A2343"/>
    <w:rsid w:val="008A242D"/>
    <w:rsid w:val="008A2539"/>
    <w:rsid w:val="008A257B"/>
    <w:rsid w:val="008A27FF"/>
    <w:rsid w:val="008A297B"/>
    <w:rsid w:val="008A29E3"/>
    <w:rsid w:val="008A2A40"/>
    <w:rsid w:val="008A2A8D"/>
    <w:rsid w:val="008A2B32"/>
    <w:rsid w:val="008A2B77"/>
    <w:rsid w:val="008A2D42"/>
    <w:rsid w:val="008A2FDC"/>
    <w:rsid w:val="008A30FD"/>
    <w:rsid w:val="008A327C"/>
    <w:rsid w:val="008A3325"/>
    <w:rsid w:val="008A334D"/>
    <w:rsid w:val="008A3381"/>
    <w:rsid w:val="008A34C5"/>
    <w:rsid w:val="008A3535"/>
    <w:rsid w:val="008A35E4"/>
    <w:rsid w:val="008A35F8"/>
    <w:rsid w:val="008A3660"/>
    <w:rsid w:val="008A380B"/>
    <w:rsid w:val="008A385F"/>
    <w:rsid w:val="008A3B3B"/>
    <w:rsid w:val="008A3F63"/>
    <w:rsid w:val="008A4289"/>
    <w:rsid w:val="008A45A7"/>
    <w:rsid w:val="008A473F"/>
    <w:rsid w:val="008A4796"/>
    <w:rsid w:val="008A47E9"/>
    <w:rsid w:val="008A48C9"/>
    <w:rsid w:val="008A4A64"/>
    <w:rsid w:val="008A4B14"/>
    <w:rsid w:val="008A4B73"/>
    <w:rsid w:val="008A4C34"/>
    <w:rsid w:val="008A4C38"/>
    <w:rsid w:val="008A4CA4"/>
    <w:rsid w:val="008A4E75"/>
    <w:rsid w:val="008A4F32"/>
    <w:rsid w:val="008A4F82"/>
    <w:rsid w:val="008A5019"/>
    <w:rsid w:val="008A5022"/>
    <w:rsid w:val="008A51DE"/>
    <w:rsid w:val="008A543F"/>
    <w:rsid w:val="008A54D9"/>
    <w:rsid w:val="008A570A"/>
    <w:rsid w:val="008A5804"/>
    <w:rsid w:val="008A5A65"/>
    <w:rsid w:val="008A5A66"/>
    <w:rsid w:val="008A5AE7"/>
    <w:rsid w:val="008A5B5A"/>
    <w:rsid w:val="008A5BA1"/>
    <w:rsid w:val="008A5E07"/>
    <w:rsid w:val="008A5EE1"/>
    <w:rsid w:val="008A5F1F"/>
    <w:rsid w:val="008A5F29"/>
    <w:rsid w:val="008A5F48"/>
    <w:rsid w:val="008A60BC"/>
    <w:rsid w:val="008A6172"/>
    <w:rsid w:val="008A61C5"/>
    <w:rsid w:val="008A631D"/>
    <w:rsid w:val="008A63DF"/>
    <w:rsid w:val="008A6793"/>
    <w:rsid w:val="008A6C8F"/>
    <w:rsid w:val="008A6CC7"/>
    <w:rsid w:val="008A6DAA"/>
    <w:rsid w:val="008A6FCA"/>
    <w:rsid w:val="008A72BA"/>
    <w:rsid w:val="008A7359"/>
    <w:rsid w:val="008A7498"/>
    <w:rsid w:val="008A75DC"/>
    <w:rsid w:val="008A766E"/>
    <w:rsid w:val="008A76DB"/>
    <w:rsid w:val="008A7943"/>
    <w:rsid w:val="008A7A2E"/>
    <w:rsid w:val="008A7A4F"/>
    <w:rsid w:val="008A7B7E"/>
    <w:rsid w:val="008A7BC3"/>
    <w:rsid w:val="008A7C30"/>
    <w:rsid w:val="008A7DDC"/>
    <w:rsid w:val="008A7E29"/>
    <w:rsid w:val="008A7E9A"/>
    <w:rsid w:val="008A7F07"/>
    <w:rsid w:val="008A7FA4"/>
    <w:rsid w:val="008B0127"/>
    <w:rsid w:val="008B01AD"/>
    <w:rsid w:val="008B0252"/>
    <w:rsid w:val="008B0280"/>
    <w:rsid w:val="008B028C"/>
    <w:rsid w:val="008B02D8"/>
    <w:rsid w:val="008B0349"/>
    <w:rsid w:val="008B041F"/>
    <w:rsid w:val="008B0444"/>
    <w:rsid w:val="008B04EB"/>
    <w:rsid w:val="008B051A"/>
    <w:rsid w:val="008B05DF"/>
    <w:rsid w:val="008B06C7"/>
    <w:rsid w:val="008B06EA"/>
    <w:rsid w:val="008B0723"/>
    <w:rsid w:val="008B0743"/>
    <w:rsid w:val="008B0864"/>
    <w:rsid w:val="008B09EB"/>
    <w:rsid w:val="008B0CA9"/>
    <w:rsid w:val="008B10C0"/>
    <w:rsid w:val="008B10F0"/>
    <w:rsid w:val="008B1219"/>
    <w:rsid w:val="008B13E1"/>
    <w:rsid w:val="008B1415"/>
    <w:rsid w:val="008B14F5"/>
    <w:rsid w:val="008B1524"/>
    <w:rsid w:val="008B1596"/>
    <w:rsid w:val="008B1830"/>
    <w:rsid w:val="008B197C"/>
    <w:rsid w:val="008B19B9"/>
    <w:rsid w:val="008B1B75"/>
    <w:rsid w:val="008B1BD1"/>
    <w:rsid w:val="008B1D3A"/>
    <w:rsid w:val="008B1E5F"/>
    <w:rsid w:val="008B2071"/>
    <w:rsid w:val="008B2074"/>
    <w:rsid w:val="008B20CB"/>
    <w:rsid w:val="008B22CE"/>
    <w:rsid w:val="008B284F"/>
    <w:rsid w:val="008B2985"/>
    <w:rsid w:val="008B2A08"/>
    <w:rsid w:val="008B2C36"/>
    <w:rsid w:val="008B2CDA"/>
    <w:rsid w:val="008B2DCB"/>
    <w:rsid w:val="008B2EFC"/>
    <w:rsid w:val="008B2F55"/>
    <w:rsid w:val="008B3078"/>
    <w:rsid w:val="008B3205"/>
    <w:rsid w:val="008B330D"/>
    <w:rsid w:val="008B331E"/>
    <w:rsid w:val="008B3407"/>
    <w:rsid w:val="008B34BC"/>
    <w:rsid w:val="008B36BB"/>
    <w:rsid w:val="008B36FB"/>
    <w:rsid w:val="008B37C8"/>
    <w:rsid w:val="008B383A"/>
    <w:rsid w:val="008B390B"/>
    <w:rsid w:val="008B3B3C"/>
    <w:rsid w:val="008B3BA3"/>
    <w:rsid w:val="008B3BF6"/>
    <w:rsid w:val="008B3C22"/>
    <w:rsid w:val="008B3C64"/>
    <w:rsid w:val="008B3E98"/>
    <w:rsid w:val="008B4017"/>
    <w:rsid w:val="008B407C"/>
    <w:rsid w:val="008B40BB"/>
    <w:rsid w:val="008B41B5"/>
    <w:rsid w:val="008B421C"/>
    <w:rsid w:val="008B423C"/>
    <w:rsid w:val="008B43C9"/>
    <w:rsid w:val="008B43EC"/>
    <w:rsid w:val="008B44D8"/>
    <w:rsid w:val="008B4566"/>
    <w:rsid w:val="008B4687"/>
    <w:rsid w:val="008B4915"/>
    <w:rsid w:val="008B4951"/>
    <w:rsid w:val="008B4999"/>
    <w:rsid w:val="008B4A28"/>
    <w:rsid w:val="008B4B1F"/>
    <w:rsid w:val="008B4B3B"/>
    <w:rsid w:val="008B4B72"/>
    <w:rsid w:val="008B4B7F"/>
    <w:rsid w:val="008B4C9D"/>
    <w:rsid w:val="008B4CDC"/>
    <w:rsid w:val="008B4E6E"/>
    <w:rsid w:val="008B5039"/>
    <w:rsid w:val="008B50E0"/>
    <w:rsid w:val="008B5174"/>
    <w:rsid w:val="008B51C4"/>
    <w:rsid w:val="008B5231"/>
    <w:rsid w:val="008B5314"/>
    <w:rsid w:val="008B5322"/>
    <w:rsid w:val="008B555E"/>
    <w:rsid w:val="008B5616"/>
    <w:rsid w:val="008B5714"/>
    <w:rsid w:val="008B57FB"/>
    <w:rsid w:val="008B5809"/>
    <w:rsid w:val="008B5814"/>
    <w:rsid w:val="008B585E"/>
    <w:rsid w:val="008B5AE6"/>
    <w:rsid w:val="008B5C4E"/>
    <w:rsid w:val="008B5D57"/>
    <w:rsid w:val="008B5FD2"/>
    <w:rsid w:val="008B5FDD"/>
    <w:rsid w:val="008B606A"/>
    <w:rsid w:val="008B61E6"/>
    <w:rsid w:val="008B624A"/>
    <w:rsid w:val="008B629B"/>
    <w:rsid w:val="008B62AE"/>
    <w:rsid w:val="008B658D"/>
    <w:rsid w:val="008B660A"/>
    <w:rsid w:val="008B6653"/>
    <w:rsid w:val="008B66A8"/>
    <w:rsid w:val="008B66F6"/>
    <w:rsid w:val="008B6864"/>
    <w:rsid w:val="008B697D"/>
    <w:rsid w:val="008B6A10"/>
    <w:rsid w:val="008B6B36"/>
    <w:rsid w:val="008B6CD7"/>
    <w:rsid w:val="008B6F87"/>
    <w:rsid w:val="008B70D6"/>
    <w:rsid w:val="008B72D5"/>
    <w:rsid w:val="008B733F"/>
    <w:rsid w:val="008B73F3"/>
    <w:rsid w:val="008B73FD"/>
    <w:rsid w:val="008B7455"/>
    <w:rsid w:val="008B7462"/>
    <w:rsid w:val="008B74AF"/>
    <w:rsid w:val="008B74EF"/>
    <w:rsid w:val="008B74FF"/>
    <w:rsid w:val="008B7755"/>
    <w:rsid w:val="008B77C4"/>
    <w:rsid w:val="008B7802"/>
    <w:rsid w:val="008B7A39"/>
    <w:rsid w:val="008B7C13"/>
    <w:rsid w:val="008B7CFE"/>
    <w:rsid w:val="008B7D77"/>
    <w:rsid w:val="008B7DBD"/>
    <w:rsid w:val="008B7F8C"/>
    <w:rsid w:val="008C00B2"/>
    <w:rsid w:val="008C00F3"/>
    <w:rsid w:val="008C0167"/>
    <w:rsid w:val="008C0205"/>
    <w:rsid w:val="008C026E"/>
    <w:rsid w:val="008C028D"/>
    <w:rsid w:val="008C032C"/>
    <w:rsid w:val="008C038D"/>
    <w:rsid w:val="008C03C5"/>
    <w:rsid w:val="008C040C"/>
    <w:rsid w:val="008C05F5"/>
    <w:rsid w:val="008C0607"/>
    <w:rsid w:val="008C07D7"/>
    <w:rsid w:val="008C094F"/>
    <w:rsid w:val="008C09CA"/>
    <w:rsid w:val="008C0A16"/>
    <w:rsid w:val="008C0A32"/>
    <w:rsid w:val="008C0D27"/>
    <w:rsid w:val="008C0F9D"/>
    <w:rsid w:val="008C0FEA"/>
    <w:rsid w:val="008C1001"/>
    <w:rsid w:val="008C1007"/>
    <w:rsid w:val="008C1079"/>
    <w:rsid w:val="008C10C4"/>
    <w:rsid w:val="008C12AF"/>
    <w:rsid w:val="008C12BA"/>
    <w:rsid w:val="008C13CC"/>
    <w:rsid w:val="008C13DB"/>
    <w:rsid w:val="008C15BC"/>
    <w:rsid w:val="008C15EF"/>
    <w:rsid w:val="008C1797"/>
    <w:rsid w:val="008C17E2"/>
    <w:rsid w:val="008C181D"/>
    <w:rsid w:val="008C1A26"/>
    <w:rsid w:val="008C1ABD"/>
    <w:rsid w:val="008C1C2C"/>
    <w:rsid w:val="008C1E23"/>
    <w:rsid w:val="008C1EFA"/>
    <w:rsid w:val="008C1F70"/>
    <w:rsid w:val="008C2185"/>
    <w:rsid w:val="008C21C4"/>
    <w:rsid w:val="008C21DC"/>
    <w:rsid w:val="008C2502"/>
    <w:rsid w:val="008C2707"/>
    <w:rsid w:val="008C27C4"/>
    <w:rsid w:val="008C2AFC"/>
    <w:rsid w:val="008C2C10"/>
    <w:rsid w:val="008C2C62"/>
    <w:rsid w:val="008C2C8F"/>
    <w:rsid w:val="008C2F05"/>
    <w:rsid w:val="008C2F08"/>
    <w:rsid w:val="008C2FE7"/>
    <w:rsid w:val="008C3091"/>
    <w:rsid w:val="008C30E2"/>
    <w:rsid w:val="008C31B7"/>
    <w:rsid w:val="008C3605"/>
    <w:rsid w:val="008C3666"/>
    <w:rsid w:val="008C3826"/>
    <w:rsid w:val="008C3A2E"/>
    <w:rsid w:val="008C3A3E"/>
    <w:rsid w:val="008C3B7F"/>
    <w:rsid w:val="008C3C29"/>
    <w:rsid w:val="008C3D85"/>
    <w:rsid w:val="008C3DAB"/>
    <w:rsid w:val="008C3DD2"/>
    <w:rsid w:val="008C3ED4"/>
    <w:rsid w:val="008C3EF5"/>
    <w:rsid w:val="008C424B"/>
    <w:rsid w:val="008C43A9"/>
    <w:rsid w:val="008C4483"/>
    <w:rsid w:val="008C44FC"/>
    <w:rsid w:val="008C46B4"/>
    <w:rsid w:val="008C481B"/>
    <w:rsid w:val="008C4995"/>
    <w:rsid w:val="008C4A19"/>
    <w:rsid w:val="008C4AE2"/>
    <w:rsid w:val="008C4B97"/>
    <w:rsid w:val="008C4BB5"/>
    <w:rsid w:val="008C4C16"/>
    <w:rsid w:val="008C4F08"/>
    <w:rsid w:val="008C4F3A"/>
    <w:rsid w:val="008C4F45"/>
    <w:rsid w:val="008C5025"/>
    <w:rsid w:val="008C5100"/>
    <w:rsid w:val="008C5180"/>
    <w:rsid w:val="008C5258"/>
    <w:rsid w:val="008C544A"/>
    <w:rsid w:val="008C55B3"/>
    <w:rsid w:val="008C5719"/>
    <w:rsid w:val="008C5960"/>
    <w:rsid w:val="008C599E"/>
    <w:rsid w:val="008C5C62"/>
    <w:rsid w:val="008C5CDC"/>
    <w:rsid w:val="008C5D98"/>
    <w:rsid w:val="008C5E25"/>
    <w:rsid w:val="008C5EAD"/>
    <w:rsid w:val="008C5EDA"/>
    <w:rsid w:val="008C5F3C"/>
    <w:rsid w:val="008C6059"/>
    <w:rsid w:val="008C606D"/>
    <w:rsid w:val="008C6197"/>
    <w:rsid w:val="008C623D"/>
    <w:rsid w:val="008C64ED"/>
    <w:rsid w:val="008C64F5"/>
    <w:rsid w:val="008C6536"/>
    <w:rsid w:val="008C6655"/>
    <w:rsid w:val="008C6663"/>
    <w:rsid w:val="008C67CA"/>
    <w:rsid w:val="008C6B2F"/>
    <w:rsid w:val="008C6BAD"/>
    <w:rsid w:val="008C6C59"/>
    <w:rsid w:val="008C6C90"/>
    <w:rsid w:val="008C6D4F"/>
    <w:rsid w:val="008C6DEE"/>
    <w:rsid w:val="008C6E60"/>
    <w:rsid w:val="008C6E68"/>
    <w:rsid w:val="008C6EBD"/>
    <w:rsid w:val="008C6EC8"/>
    <w:rsid w:val="008C6EE4"/>
    <w:rsid w:val="008C6EFA"/>
    <w:rsid w:val="008C704A"/>
    <w:rsid w:val="008C7110"/>
    <w:rsid w:val="008C722B"/>
    <w:rsid w:val="008C73CD"/>
    <w:rsid w:val="008C7474"/>
    <w:rsid w:val="008C7482"/>
    <w:rsid w:val="008C74ED"/>
    <w:rsid w:val="008C7579"/>
    <w:rsid w:val="008C776C"/>
    <w:rsid w:val="008C77A2"/>
    <w:rsid w:val="008C77EC"/>
    <w:rsid w:val="008C7841"/>
    <w:rsid w:val="008C7959"/>
    <w:rsid w:val="008C79AA"/>
    <w:rsid w:val="008C7A2F"/>
    <w:rsid w:val="008C7A37"/>
    <w:rsid w:val="008C7A56"/>
    <w:rsid w:val="008C7DD8"/>
    <w:rsid w:val="008D0031"/>
    <w:rsid w:val="008D003A"/>
    <w:rsid w:val="008D0043"/>
    <w:rsid w:val="008D010F"/>
    <w:rsid w:val="008D0307"/>
    <w:rsid w:val="008D04FE"/>
    <w:rsid w:val="008D0772"/>
    <w:rsid w:val="008D078E"/>
    <w:rsid w:val="008D08FA"/>
    <w:rsid w:val="008D0973"/>
    <w:rsid w:val="008D09DB"/>
    <w:rsid w:val="008D0B69"/>
    <w:rsid w:val="008D0CA7"/>
    <w:rsid w:val="008D0DA8"/>
    <w:rsid w:val="008D0E45"/>
    <w:rsid w:val="008D0F80"/>
    <w:rsid w:val="008D0F9A"/>
    <w:rsid w:val="008D1036"/>
    <w:rsid w:val="008D1182"/>
    <w:rsid w:val="008D12C7"/>
    <w:rsid w:val="008D12CC"/>
    <w:rsid w:val="008D1434"/>
    <w:rsid w:val="008D161F"/>
    <w:rsid w:val="008D17E8"/>
    <w:rsid w:val="008D18B0"/>
    <w:rsid w:val="008D198B"/>
    <w:rsid w:val="008D1AAC"/>
    <w:rsid w:val="008D1D0C"/>
    <w:rsid w:val="008D1EA0"/>
    <w:rsid w:val="008D1F37"/>
    <w:rsid w:val="008D204B"/>
    <w:rsid w:val="008D21A4"/>
    <w:rsid w:val="008D21B6"/>
    <w:rsid w:val="008D2241"/>
    <w:rsid w:val="008D22E1"/>
    <w:rsid w:val="008D2700"/>
    <w:rsid w:val="008D27A6"/>
    <w:rsid w:val="008D27F6"/>
    <w:rsid w:val="008D2852"/>
    <w:rsid w:val="008D288D"/>
    <w:rsid w:val="008D2B6B"/>
    <w:rsid w:val="008D2DB1"/>
    <w:rsid w:val="008D2DE2"/>
    <w:rsid w:val="008D2E56"/>
    <w:rsid w:val="008D2E65"/>
    <w:rsid w:val="008D2EC6"/>
    <w:rsid w:val="008D2F54"/>
    <w:rsid w:val="008D2FD3"/>
    <w:rsid w:val="008D3065"/>
    <w:rsid w:val="008D31CF"/>
    <w:rsid w:val="008D35FF"/>
    <w:rsid w:val="008D37DA"/>
    <w:rsid w:val="008D38F8"/>
    <w:rsid w:val="008D3914"/>
    <w:rsid w:val="008D3975"/>
    <w:rsid w:val="008D3A50"/>
    <w:rsid w:val="008D3B23"/>
    <w:rsid w:val="008D3B3D"/>
    <w:rsid w:val="008D3BAC"/>
    <w:rsid w:val="008D3E91"/>
    <w:rsid w:val="008D3EC7"/>
    <w:rsid w:val="008D3EE2"/>
    <w:rsid w:val="008D3F05"/>
    <w:rsid w:val="008D3F3B"/>
    <w:rsid w:val="008D425B"/>
    <w:rsid w:val="008D431B"/>
    <w:rsid w:val="008D4366"/>
    <w:rsid w:val="008D451C"/>
    <w:rsid w:val="008D484B"/>
    <w:rsid w:val="008D4A3D"/>
    <w:rsid w:val="008D4A62"/>
    <w:rsid w:val="008D4B06"/>
    <w:rsid w:val="008D4C1F"/>
    <w:rsid w:val="008D4FA1"/>
    <w:rsid w:val="008D500F"/>
    <w:rsid w:val="008D51DA"/>
    <w:rsid w:val="008D5250"/>
    <w:rsid w:val="008D546C"/>
    <w:rsid w:val="008D55BF"/>
    <w:rsid w:val="008D5643"/>
    <w:rsid w:val="008D56CB"/>
    <w:rsid w:val="008D581A"/>
    <w:rsid w:val="008D592F"/>
    <w:rsid w:val="008D5ACC"/>
    <w:rsid w:val="008D5C07"/>
    <w:rsid w:val="008D5C1C"/>
    <w:rsid w:val="008D5C1D"/>
    <w:rsid w:val="008D5DCC"/>
    <w:rsid w:val="008D5DE4"/>
    <w:rsid w:val="008D5EFA"/>
    <w:rsid w:val="008D60C9"/>
    <w:rsid w:val="008D6236"/>
    <w:rsid w:val="008D624E"/>
    <w:rsid w:val="008D6279"/>
    <w:rsid w:val="008D62F1"/>
    <w:rsid w:val="008D63DA"/>
    <w:rsid w:val="008D6424"/>
    <w:rsid w:val="008D6436"/>
    <w:rsid w:val="008D6455"/>
    <w:rsid w:val="008D66E1"/>
    <w:rsid w:val="008D67FC"/>
    <w:rsid w:val="008D693C"/>
    <w:rsid w:val="008D6A3F"/>
    <w:rsid w:val="008D6A54"/>
    <w:rsid w:val="008D6B69"/>
    <w:rsid w:val="008D6BE8"/>
    <w:rsid w:val="008D6C11"/>
    <w:rsid w:val="008D6DD7"/>
    <w:rsid w:val="008D6E7F"/>
    <w:rsid w:val="008D6E90"/>
    <w:rsid w:val="008D7096"/>
    <w:rsid w:val="008D712F"/>
    <w:rsid w:val="008D7232"/>
    <w:rsid w:val="008D72D3"/>
    <w:rsid w:val="008D7396"/>
    <w:rsid w:val="008D744B"/>
    <w:rsid w:val="008D74D2"/>
    <w:rsid w:val="008D74E3"/>
    <w:rsid w:val="008D7550"/>
    <w:rsid w:val="008D7567"/>
    <w:rsid w:val="008D7582"/>
    <w:rsid w:val="008D7705"/>
    <w:rsid w:val="008D776F"/>
    <w:rsid w:val="008D779F"/>
    <w:rsid w:val="008D788C"/>
    <w:rsid w:val="008D7891"/>
    <w:rsid w:val="008D7B22"/>
    <w:rsid w:val="008D7C7B"/>
    <w:rsid w:val="008D7E89"/>
    <w:rsid w:val="008E02C3"/>
    <w:rsid w:val="008E03FD"/>
    <w:rsid w:val="008E05D7"/>
    <w:rsid w:val="008E05D9"/>
    <w:rsid w:val="008E0613"/>
    <w:rsid w:val="008E061C"/>
    <w:rsid w:val="008E0666"/>
    <w:rsid w:val="008E0814"/>
    <w:rsid w:val="008E087A"/>
    <w:rsid w:val="008E0AB0"/>
    <w:rsid w:val="008E0AE4"/>
    <w:rsid w:val="008E0C9A"/>
    <w:rsid w:val="008E0D2F"/>
    <w:rsid w:val="008E0DA3"/>
    <w:rsid w:val="008E0E48"/>
    <w:rsid w:val="008E0F69"/>
    <w:rsid w:val="008E0F70"/>
    <w:rsid w:val="008E12DC"/>
    <w:rsid w:val="008E1332"/>
    <w:rsid w:val="008E155C"/>
    <w:rsid w:val="008E165E"/>
    <w:rsid w:val="008E167E"/>
    <w:rsid w:val="008E17A5"/>
    <w:rsid w:val="008E182E"/>
    <w:rsid w:val="008E1855"/>
    <w:rsid w:val="008E1BC5"/>
    <w:rsid w:val="008E1CC3"/>
    <w:rsid w:val="008E1D9A"/>
    <w:rsid w:val="008E1DBA"/>
    <w:rsid w:val="008E1DEB"/>
    <w:rsid w:val="008E1E4F"/>
    <w:rsid w:val="008E1F34"/>
    <w:rsid w:val="008E1FEA"/>
    <w:rsid w:val="008E2139"/>
    <w:rsid w:val="008E219A"/>
    <w:rsid w:val="008E23BD"/>
    <w:rsid w:val="008E23FA"/>
    <w:rsid w:val="008E2584"/>
    <w:rsid w:val="008E25B9"/>
    <w:rsid w:val="008E26CC"/>
    <w:rsid w:val="008E26DB"/>
    <w:rsid w:val="008E26EA"/>
    <w:rsid w:val="008E2737"/>
    <w:rsid w:val="008E2759"/>
    <w:rsid w:val="008E27DF"/>
    <w:rsid w:val="008E2A43"/>
    <w:rsid w:val="008E2AF9"/>
    <w:rsid w:val="008E2BA8"/>
    <w:rsid w:val="008E2C11"/>
    <w:rsid w:val="008E2C7C"/>
    <w:rsid w:val="008E2CAF"/>
    <w:rsid w:val="008E3001"/>
    <w:rsid w:val="008E320D"/>
    <w:rsid w:val="008E321F"/>
    <w:rsid w:val="008E334A"/>
    <w:rsid w:val="008E334C"/>
    <w:rsid w:val="008E33D5"/>
    <w:rsid w:val="008E3415"/>
    <w:rsid w:val="008E34D9"/>
    <w:rsid w:val="008E36E8"/>
    <w:rsid w:val="008E37DA"/>
    <w:rsid w:val="008E37E6"/>
    <w:rsid w:val="008E3832"/>
    <w:rsid w:val="008E3C0C"/>
    <w:rsid w:val="008E3C0E"/>
    <w:rsid w:val="008E3C48"/>
    <w:rsid w:val="008E3F34"/>
    <w:rsid w:val="008E4058"/>
    <w:rsid w:val="008E40D1"/>
    <w:rsid w:val="008E41B2"/>
    <w:rsid w:val="008E41F8"/>
    <w:rsid w:val="008E4224"/>
    <w:rsid w:val="008E426D"/>
    <w:rsid w:val="008E4281"/>
    <w:rsid w:val="008E42F1"/>
    <w:rsid w:val="008E43E0"/>
    <w:rsid w:val="008E453C"/>
    <w:rsid w:val="008E4583"/>
    <w:rsid w:val="008E45B2"/>
    <w:rsid w:val="008E45B8"/>
    <w:rsid w:val="008E45F6"/>
    <w:rsid w:val="008E4630"/>
    <w:rsid w:val="008E46E8"/>
    <w:rsid w:val="008E4726"/>
    <w:rsid w:val="008E473F"/>
    <w:rsid w:val="008E48DD"/>
    <w:rsid w:val="008E4A54"/>
    <w:rsid w:val="008E4ABB"/>
    <w:rsid w:val="008E4B50"/>
    <w:rsid w:val="008E4B71"/>
    <w:rsid w:val="008E4BB8"/>
    <w:rsid w:val="008E4CEE"/>
    <w:rsid w:val="008E4F0A"/>
    <w:rsid w:val="008E4F99"/>
    <w:rsid w:val="008E4FC6"/>
    <w:rsid w:val="008E5017"/>
    <w:rsid w:val="008E5049"/>
    <w:rsid w:val="008E5164"/>
    <w:rsid w:val="008E51CB"/>
    <w:rsid w:val="008E51D3"/>
    <w:rsid w:val="008E51EE"/>
    <w:rsid w:val="008E561B"/>
    <w:rsid w:val="008E56B5"/>
    <w:rsid w:val="008E58BC"/>
    <w:rsid w:val="008E5AE9"/>
    <w:rsid w:val="008E5AFD"/>
    <w:rsid w:val="008E5B1B"/>
    <w:rsid w:val="008E5BAA"/>
    <w:rsid w:val="008E5BB4"/>
    <w:rsid w:val="008E5BC3"/>
    <w:rsid w:val="008E5CE1"/>
    <w:rsid w:val="008E5F15"/>
    <w:rsid w:val="008E6058"/>
    <w:rsid w:val="008E62DD"/>
    <w:rsid w:val="008E647A"/>
    <w:rsid w:val="008E64AD"/>
    <w:rsid w:val="008E64E5"/>
    <w:rsid w:val="008E653E"/>
    <w:rsid w:val="008E6583"/>
    <w:rsid w:val="008E6617"/>
    <w:rsid w:val="008E664F"/>
    <w:rsid w:val="008E665B"/>
    <w:rsid w:val="008E67CE"/>
    <w:rsid w:val="008E68BC"/>
    <w:rsid w:val="008E690B"/>
    <w:rsid w:val="008E6959"/>
    <w:rsid w:val="008E6B6A"/>
    <w:rsid w:val="008E6BFC"/>
    <w:rsid w:val="008E6C11"/>
    <w:rsid w:val="008E6E10"/>
    <w:rsid w:val="008E6EC6"/>
    <w:rsid w:val="008E7073"/>
    <w:rsid w:val="008E71E7"/>
    <w:rsid w:val="008E72DA"/>
    <w:rsid w:val="008E7344"/>
    <w:rsid w:val="008E7374"/>
    <w:rsid w:val="008E7393"/>
    <w:rsid w:val="008E74E9"/>
    <w:rsid w:val="008E7581"/>
    <w:rsid w:val="008E7640"/>
    <w:rsid w:val="008E7664"/>
    <w:rsid w:val="008E768A"/>
    <w:rsid w:val="008E7765"/>
    <w:rsid w:val="008E7A8B"/>
    <w:rsid w:val="008E7DF9"/>
    <w:rsid w:val="008E7FBB"/>
    <w:rsid w:val="008F00F0"/>
    <w:rsid w:val="008F0122"/>
    <w:rsid w:val="008F0169"/>
    <w:rsid w:val="008F0182"/>
    <w:rsid w:val="008F03ED"/>
    <w:rsid w:val="008F04B3"/>
    <w:rsid w:val="008F04B4"/>
    <w:rsid w:val="008F054C"/>
    <w:rsid w:val="008F059A"/>
    <w:rsid w:val="008F05A2"/>
    <w:rsid w:val="008F05B7"/>
    <w:rsid w:val="008F0623"/>
    <w:rsid w:val="008F069E"/>
    <w:rsid w:val="008F078B"/>
    <w:rsid w:val="008F0805"/>
    <w:rsid w:val="008F0895"/>
    <w:rsid w:val="008F0A14"/>
    <w:rsid w:val="008F0A92"/>
    <w:rsid w:val="008F0B24"/>
    <w:rsid w:val="008F0BEA"/>
    <w:rsid w:val="008F0C75"/>
    <w:rsid w:val="008F0CF4"/>
    <w:rsid w:val="008F0DC6"/>
    <w:rsid w:val="008F0E2C"/>
    <w:rsid w:val="008F0EC8"/>
    <w:rsid w:val="008F0EE1"/>
    <w:rsid w:val="008F0FE7"/>
    <w:rsid w:val="008F10DA"/>
    <w:rsid w:val="008F1279"/>
    <w:rsid w:val="008F1434"/>
    <w:rsid w:val="008F145B"/>
    <w:rsid w:val="008F16EC"/>
    <w:rsid w:val="008F1708"/>
    <w:rsid w:val="008F1739"/>
    <w:rsid w:val="008F17E0"/>
    <w:rsid w:val="008F18E7"/>
    <w:rsid w:val="008F19B1"/>
    <w:rsid w:val="008F1E82"/>
    <w:rsid w:val="008F1EDC"/>
    <w:rsid w:val="008F1EF0"/>
    <w:rsid w:val="008F1F4B"/>
    <w:rsid w:val="008F1F8D"/>
    <w:rsid w:val="008F21F6"/>
    <w:rsid w:val="008F236F"/>
    <w:rsid w:val="008F23CB"/>
    <w:rsid w:val="008F248C"/>
    <w:rsid w:val="008F24AB"/>
    <w:rsid w:val="008F2513"/>
    <w:rsid w:val="008F2748"/>
    <w:rsid w:val="008F27BD"/>
    <w:rsid w:val="008F2975"/>
    <w:rsid w:val="008F29C9"/>
    <w:rsid w:val="008F2A2F"/>
    <w:rsid w:val="008F2A87"/>
    <w:rsid w:val="008F2ADE"/>
    <w:rsid w:val="008F2D08"/>
    <w:rsid w:val="008F2D97"/>
    <w:rsid w:val="008F2F04"/>
    <w:rsid w:val="008F319B"/>
    <w:rsid w:val="008F3225"/>
    <w:rsid w:val="008F32AA"/>
    <w:rsid w:val="008F34B3"/>
    <w:rsid w:val="008F360F"/>
    <w:rsid w:val="008F3613"/>
    <w:rsid w:val="008F366E"/>
    <w:rsid w:val="008F36C3"/>
    <w:rsid w:val="008F3877"/>
    <w:rsid w:val="008F3969"/>
    <w:rsid w:val="008F3A6C"/>
    <w:rsid w:val="008F3A76"/>
    <w:rsid w:val="008F3CB3"/>
    <w:rsid w:val="008F3D55"/>
    <w:rsid w:val="008F3D64"/>
    <w:rsid w:val="008F3D88"/>
    <w:rsid w:val="008F3ED5"/>
    <w:rsid w:val="008F409B"/>
    <w:rsid w:val="008F40BF"/>
    <w:rsid w:val="008F43E5"/>
    <w:rsid w:val="008F44E2"/>
    <w:rsid w:val="008F44FC"/>
    <w:rsid w:val="008F48A2"/>
    <w:rsid w:val="008F48B1"/>
    <w:rsid w:val="008F4997"/>
    <w:rsid w:val="008F4B1B"/>
    <w:rsid w:val="008F4C52"/>
    <w:rsid w:val="008F4CE1"/>
    <w:rsid w:val="008F4DA7"/>
    <w:rsid w:val="008F4E46"/>
    <w:rsid w:val="008F4E83"/>
    <w:rsid w:val="008F4EB8"/>
    <w:rsid w:val="008F4F1E"/>
    <w:rsid w:val="008F501F"/>
    <w:rsid w:val="008F5195"/>
    <w:rsid w:val="008F5203"/>
    <w:rsid w:val="008F520E"/>
    <w:rsid w:val="008F528E"/>
    <w:rsid w:val="008F5406"/>
    <w:rsid w:val="008F54C7"/>
    <w:rsid w:val="008F54E8"/>
    <w:rsid w:val="008F55C1"/>
    <w:rsid w:val="008F5707"/>
    <w:rsid w:val="008F5839"/>
    <w:rsid w:val="008F58A3"/>
    <w:rsid w:val="008F5A55"/>
    <w:rsid w:val="008F5B7C"/>
    <w:rsid w:val="008F5BAF"/>
    <w:rsid w:val="008F5DDF"/>
    <w:rsid w:val="008F6057"/>
    <w:rsid w:val="008F6079"/>
    <w:rsid w:val="008F60C4"/>
    <w:rsid w:val="008F627F"/>
    <w:rsid w:val="008F62C8"/>
    <w:rsid w:val="008F6388"/>
    <w:rsid w:val="008F659E"/>
    <w:rsid w:val="008F6656"/>
    <w:rsid w:val="008F67CA"/>
    <w:rsid w:val="008F689B"/>
    <w:rsid w:val="008F6B6C"/>
    <w:rsid w:val="008F6C19"/>
    <w:rsid w:val="008F6E2D"/>
    <w:rsid w:val="008F6E7C"/>
    <w:rsid w:val="008F6EB0"/>
    <w:rsid w:val="008F6EDF"/>
    <w:rsid w:val="008F6F26"/>
    <w:rsid w:val="008F6FB0"/>
    <w:rsid w:val="008F7032"/>
    <w:rsid w:val="008F7061"/>
    <w:rsid w:val="008F7075"/>
    <w:rsid w:val="008F719F"/>
    <w:rsid w:val="008F71DF"/>
    <w:rsid w:val="008F73C3"/>
    <w:rsid w:val="008F7401"/>
    <w:rsid w:val="008F746C"/>
    <w:rsid w:val="008F74AE"/>
    <w:rsid w:val="008F74B4"/>
    <w:rsid w:val="008F7B37"/>
    <w:rsid w:val="008F7CEE"/>
    <w:rsid w:val="008F7D20"/>
    <w:rsid w:val="008F7DEC"/>
    <w:rsid w:val="008F7E2D"/>
    <w:rsid w:val="008F7EAD"/>
    <w:rsid w:val="008F7EF4"/>
    <w:rsid w:val="0090023E"/>
    <w:rsid w:val="0090033E"/>
    <w:rsid w:val="00900453"/>
    <w:rsid w:val="00900527"/>
    <w:rsid w:val="009007A3"/>
    <w:rsid w:val="009008EE"/>
    <w:rsid w:val="00900972"/>
    <w:rsid w:val="009009CC"/>
    <w:rsid w:val="009009F5"/>
    <w:rsid w:val="00900A83"/>
    <w:rsid w:val="00900B10"/>
    <w:rsid w:val="00900BC0"/>
    <w:rsid w:val="00900E4D"/>
    <w:rsid w:val="00900EA7"/>
    <w:rsid w:val="009011D6"/>
    <w:rsid w:val="00901223"/>
    <w:rsid w:val="00901274"/>
    <w:rsid w:val="009013DA"/>
    <w:rsid w:val="009014A1"/>
    <w:rsid w:val="009014E0"/>
    <w:rsid w:val="009017E5"/>
    <w:rsid w:val="00901832"/>
    <w:rsid w:val="00901975"/>
    <w:rsid w:val="00901AD9"/>
    <w:rsid w:val="00901B3D"/>
    <w:rsid w:val="00901CC0"/>
    <w:rsid w:val="00901D5B"/>
    <w:rsid w:val="00901E55"/>
    <w:rsid w:val="00901EB3"/>
    <w:rsid w:val="00901F78"/>
    <w:rsid w:val="009021D9"/>
    <w:rsid w:val="0090226C"/>
    <w:rsid w:val="00902382"/>
    <w:rsid w:val="009025BB"/>
    <w:rsid w:val="0090260D"/>
    <w:rsid w:val="00902689"/>
    <w:rsid w:val="00902712"/>
    <w:rsid w:val="009027CA"/>
    <w:rsid w:val="0090296D"/>
    <w:rsid w:val="00902BDD"/>
    <w:rsid w:val="00902CE8"/>
    <w:rsid w:val="00902D2A"/>
    <w:rsid w:val="00902EF2"/>
    <w:rsid w:val="0090302C"/>
    <w:rsid w:val="009032B5"/>
    <w:rsid w:val="009034F3"/>
    <w:rsid w:val="00903813"/>
    <w:rsid w:val="00903819"/>
    <w:rsid w:val="009039F3"/>
    <w:rsid w:val="00903C6B"/>
    <w:rsid w:val="00903E4C"/>
    <w:rsid w:val="00903E5F"/>
    <w:rsid w:val="00903F1C"/>
    <w:rsid w:val="00904068"/>
    <w:rsid w:val="00904100"/>
    <w:rsid w:val="00904280"/>
    <w:rsid w:val="009042F5"/>
    <w:rsid w:val="00904302"/>
    <w:rsid w:val="009043BE"/>
    <w:rsid w:val="0090454B"/>
    <w:rsid w:val="009045F5"/>
    <w:rsid w:val="009045FE"/>
    <w:rsid w:val="0090470C"/>
    <w:rsid w:val="00904761"/>
    <w:rsid w:val="009047EC"/>
    <w:rsid w:val="00904A9E"/>
    <w:rsid w:val="00904CA7"/>
    <w:rsid w:val="00904CB0"/>
    <w:rsid w:val="00904D46"/>
    <w:rsid w:val="00904FB3"/>
    <w:rsid w:val="00905104"/>
    <w:rsid w:val="0090553E"/>
    <w:rsid w:val="00905765"/>
    <w:rsid w:val="00905AAE"/>
    <w:rsid w:val="00905AB5"/>
    <w:rsid w:val="00905AE6"/>
    <w:rsid w:val="00905B24"/>
    <w:rsid w:val="00905D27"/>
    <w:rsid w:val="00905E91"/>
    <w:rsid w:val="00906071"/>
    <w:rsid w:val="009060D9"/>
    <w:rsid w:val="009060F7"/>
    <w:rsid w:val="009061B9"/>
    <w:rsid w:val="00906236"/>
    <w:rsid w:val="009062C7"/>
    <w:rsid w:val="00906358"/>
    <w:rsid w:val="0090639D"/>
    <w:rsid w:val="00906535"/>
    <w:rsid w:val="00906554"/>
    <w:rsid w:val="00906589"/>
    <w:rsid w:val="0090661D"/>
    <w:rsid w:val="00906672"/>
    <w:rsid w:val="009066A4"/>
    <w:rsid w:val="009066EC"/>
    <w:rsid w:val="009067EE"/>
    <w:rsid w:val="0090689A"/>
    <w:rsid w:val="0090698D"/>
    <w:rsid w:val="00906A1E"/>
    <w:rsid w:val="00906AED"/>
    <w:rsid w:val="00906BAD"/>
    <w:rsid w:val="00906C20"/>
    <w:rsid w:val="00906DD2"/>
    <w:rsid w:val="00906F40"/>
    <w:rsid w:val="00907098"/>
    <w:rsid w:val="009070D8"/>
    <w:rsid w:val="00907136"/>
    <w:rsid w:val="0090716C"/>
    <w:rsid w:val="009071A1"/>
    <w:rsid w:val="0090723C"/>
    <w:rsid w:val="00907280"/>
    <w:rsid w:val="009073BB"/>
    <w:rsid w:val="00907644"/>
    <w:rsid w:val="00907672"/>
    <w:rsid w:val="009077D9"/>
    <w:rsid w:val="009078CC"/>
    <w:rsid w:val="00907984"/>
    <w:rsid w:val="00907AEF"/>
    <w:rsid w:val="00907B43"/>
    <w:rsid w:val="00907BA0"/>
    <w:rsid w:val="00907C77"/>
    <w:rsid w:val="00907CA7"/>
    <w:rsid w:val="00907DC2"/>
    <w:rsid w:val="00907E73"/>
    <w:rsid w:val="00907EEF"/>
    <w:rsid w:val="00907F78"/>
    <w:rsid w:val="00907FE9"/>
    <w:rsid w:val="0091002C"/>
    <w:rsid w:val="00910247"/>
    <w:rsid w:val="00910261"/>
    <w:rsid w:val="0091035A"/>
    <w:rsid w:val="009103AF"/>
    <w:rsid w:val="0091040A"/>
    <w:rsid w:val="00910415"/>
    <w:rsid w:val="009104FE"/>
    <w:rsid w:val="00910537"/>
    <w:rsid w:val="00910566"/>
    <w:rsid w:val="009105CD"/>
    <w:rsid w:val="00910610"/>
    <w:rsid w:val="009108D3"/>
    <w:rsid w:val="009108DF"/>
    <w:rsid w:val="00910B2D"/>
    <w:rsid w:val="00910B8C"/>
    <w:rsid w:val="00910BCC"/>
    <w:rsid w:val="00910CC1"/>
    <w:rsid w:val="00910D01"/>
    <w:rsid w:val="00910D68"/>
    <w:rsid w:val="00910E9E"/>
    <w:rsid w:val="00910ECC"/>
    <w:rsid w:val="00910F7D"/>
    <w:rsid w:val="00910FB5"/>
    <w:rsid w:val="00911106"/>
    <w:rsid w:val="00911117"/>
    <w:rsid w:val="00911127"/>
    <w:rsid w:val="0091112D"/>
    <w:rsid w:val="0091120C"/>
    <w:rsid w:val="009112F1"/>
    <w:rsid w:val="009115A2"/>
    <w:rsid w:val="00911A13"/>
    <w:rsid w:val="00911A5A"/>
    <w:rsid w:val="00911ABC"/>
    <w:rsid w:val="00911CAF"/>
    <w:rsid w:val="00911CF6"/>
    <w:rsid w:val="00911DC6"/>
    <w:rsid w:val="00911E0B"/>
    <w:rsid w:val="009120CA"/>
    <w:rsid w:val="0091217E"/>
    <w:rsid w:val="0091226F"/>
    <w:rsid w:val="0091230E"/>
    <w:rsid w:val="0091233F"/>
    <w:rsid w:val="00912358"/>
    <w:rsid w:val="009124B7"/>
    <w:rsid w:val="00912536"/>
    <w:rsid w:val="00912651"/>
    <w:rsid w:val="00912675"/>
    <w:rsid w:val="0091283E"/>
    <w:rsid w:val="0091288D"/>
    <w:rsid w:val="0091294F"/>
    <w:rsid w:val="009129C4"/>
    <w:rsid w:val="00912A61"/>
    <w:rsid w:val="00912B6E"/>
    <w:rsid w:val="00912CDC"/>
    <w:rsid w:val="00912CE8"/>
    <w:rsid w:val="00912D0E"/>
    <w:rsid w:val="00912D24"/>
    <w:rsid w:val="00912D39"/>
    <w:rsid w:val="00912F18"/>
    <w:rsid w:val="00912F84"/>
    <w:rsid w:val="00913004"/>
    <w:rsid w:val="009130CB"/>
    <w:rsid w:val="00913180"/>
    <w:rsid w:val="00913203"/>
    <w:rsid w:val="00913370"/>
    <w:rsid w:val="009135C4"/>
    <w:rsid w:val="00913643"/>
    <w:rsid w:val="00913789"/>
    <w:rsid w:val="00913806"/>
    <w:rsid w:val="009139C3"/>
    <w:rsid w:val="00913A58"/>
    <w:rsid w:val="00913DD0"/>
    <w:rsid w:val="00913F1E"/>
    <w:rsid w:val="009140B9"/>
    <w:rsid w:val="009141E7"/>
    <w:rsid w:val="0091422D"/>
    <w:rsid w:val="009142A2"/>
    <w:rsid w:val="00914399"/>
    <w:rsid w:val="00914445"/>
    <w:rsid w:val="0091459C"/>
    <w:rsid w:val="0091459D"/>
    <w:rsid w:val="00914632"/>
    <w:rsid w:val="009147CE"/>
    <w:rsid w:val="00914AAD"/>
    <w:rsid w:val="00914E31"/>
    <w:rsid w:val="00914E5A"/>
    <w:rsid w:val="00914EB4"/>
    <w:rsid w:val="00914F13"/>
    <w:rsid w:val="00914F45"/>
    <w:rsid w:val="00914FB3"/>
    <w:rsid w:val="009151C7"/>
    <w:rsid w:val="0091520A"/>
    <w:rsid w:val="00915344"/>
    <w:rsid w:val="00915345"/>
    <w:rsid w:val="0091541D"/>
    <w:rsid w:val="0091543B"/>
    <w:rsid w:val="00915482"/>
    <w:rsid w:val="00915550"/>
    <w:rsid w:val="00915647"/>
    <w:rsid w:val="009156C8"/>
    <w:rsid w:val="009157CC"/>
    <w:rsid w:val="009158BF"/>
    <w:rsid w:val="00915B24"/>
    <w:rsid w:val="00915CB2"/>
    <w:rsid w:val="00915D01"/>
    <w:rsid w:val="00915D05"/>
    <w:rsid w:val="00915DA6"/>
    <w:rsid w:val="00915DFD"/>
    <w:rsid w:val="00915EEE"/>
    <w:rsid w:val="00916016"/>
    <w:rsid w:val="00916030"/>
    <w:rsid w:val="009160FF"/>
    <w:rsid w:val="0091622A"/>
    <w:rsid w:val="009162AE"/>
    <w:rsid w:val="009162C9"/>
    <w:rsid w:val="00916462"/>
    <w:rsid w:val="0091658D"/>
    <w:rsid w:val="009169AB"/>
    <w:rsid w:val="00916A3F"/>
    <w:rsid w:val="00916B13"/>
    <w:rsid w:val="00916B63"/>
    <w:rsid w:val="00916B9B"/>
    <w:rsid w:val="00916CA5"/>
    <w:rsid w:val="00916CF1"/>
    <w:rsid w:val="00916F74"/>
    <w:rsid w:val="0091700A"/>
    <w:rsid w:val="00917131"/>
    <w:rsid w:val="0091713A"/>
    <w:rsid w:val="00917176"/>
    <w:rsid w:val="00917230"/>
    <w:rsid w:val="0091723E"/>
    <w:rsid w:val="0091745F"/>
    <w:rsid w:val="00917533"/>
    <w:rsid w:val="0091758F"/>
    <w:rsid w:val="0091761E"/>
    <w:rsid w:val="00917706"/>
    <w:rsid w:val="0091775F"/>
    <w:rsid w:val="0091784F"/>
    <w:rsid w:val="009178A0"/>
    <w:rsid w:val="00917905"/>
    <w:rsid w:val="009179FA"/>
    <w:rsid w:val="00917A1A"/>
    <w:rsid w:val="00917B69"/>
    <w:rsid w:val="00917B6C"/>
    <w:rsid w:val="00917BB2"/>
    <w:rsid w:val="00917CC0"/>
    <w:rsid w:val="00917F57"/>
    <w:rsid w:val="00920015"/>
    <w:rsid w:val="00920136"/>
    <w:rsid w:val="0092024E"/>
    <w:rsid w:val="0092028F"/>
    <w:rsid w:val="009202DE"/>
    <w:rsid w:val="009204FB"/>
    <w:rsid w:val="00920610"/>
    <w:rsid w:val="00920667"/>
    <w:rsid w:val="00920731"/>
    <w:rsid w:val="0092089D"/>
    <w:rsid w:val="009208E0"/>
    <w:rsid w:val="0092098C"/>
    <w:rsid w:val="009209DF"/>
    <w:rsid w:val="009209EC"/>
    <w:rsid w:val="009209F1"/>
    <w:rsid w:val="00920B43"/>
    <w:rsid w:val="00920CF6"/>
    <w:rsid w:val="00920D02"/>
    <w:rsid w:val="00920D6D"/>
    <w:rsid w:val="00920D7A"/>
    <w:rsid w:val="00920F43"/>
    <w:rsid w:val="00921020"/>
    <w:rsid w:val="0092109D"/>
    <w:rsid w:val="00921137"/>
    <w:rsid w:val="0092123D"/>
    <w:rsid w:val="00921273"/>
    <w:rsid w:val="009213E7"/>
    <w:rsid w:val="0092142D"/>
    <w:rsid w:val="0092167D"/>
    <w:rsid w:val="00921775"/>
    <w:rsid w:val="009217A0"/>
    <w:rsid w:val="00921862"/>
    <w:rsid w:val="00921940"/>
    <w:rsid w:val="00921B61"/>
    <w:rsid w:val="00921BC2"/>
    <w:rsid w:val="00921E13"/>
    <w:rsid w:val="00922078"/>
    <w:rsid w:val="009221C3"/>
    <w:rsid w:val="009221CD"/>
    <w:rsid w:val="0092248E"/>
    <w:rsid w:val="009224C8"/>
    <w:rsid w:val="00922745"/>
    <w:rsid w:val="00922760"/>
    <w:rsid w:val="0092283D"/>
    <w:rsid w:val="00922904"/>
    <w:rsid w:val="00922B56"/>
    <w:rsid w:val="00922BCE"/>
    <w:rsid w:val="00922C70"/>
    <w:rsid w:val="00922D20"/>
    <w:rsid w:val="00922D53"/>
    <w:rsid w:val="00922FF4"/>
    <w:rsid w:val="009231BB"/>
    <w:rsid w:val="009233B4"/>
    <w:rsid w:val="00923484"/>
    <w:rsid w:val="0092362C"/>
    <w:rsid w:val="00923651"/>
    <w:rsid w:val="00923705"/>
    <w:rsid w:val="0092372E"/>
    <w:rsid w:val="00923779"/>
    <w:rsid w:val="00923799"/>
    <w:rsid w:val="00923806"/>
    <w:rsid w:val="00923A1D"/>
    <w:rsid w:val="00923A7D"/>
    <w:rsid w:val="00923A9B"/>
    <w:rsid w:val="00923B25"/>
    <w:rsid w:val="00923B26"/>
    <w:rsid w:val="00923B46"/>
    <w:rsid w:val="00923E00"/>
    <w:rsid w:val="00923EF6"/>
    <w:rsid w:val="00923FEB"/>
    <w:rsid w:val="009240A8"/>
    <w:rsid w:val="0092464E"/>
    <w:rsid w:val="00924732"/>
    <w:rsid w:val="00924773"/>
    <w:rsid w:val="0092477D"/>
    <w:rsid w:val="00924839"/>
    <w:rsid w:val="009248E0"/>
    <w:rsid w:val="00924936"/>
    <w:rsid w:val="00924992"/>
    <w:rsid w:val="009249EE"/>
    <w:rsid w:val="00924A03"/>
    <w:rsid w:val="00924AB8"/>
    <w:rsid w:val="00924BEB"/>
    <w:rsid w:val="00924CD0"/>
    <w:rsid w:val="00924D1E"/>
    <w:rsid w:val="00924DBA"/>
    <w:rsid w:val="00924E02"/>
    <w:rsid w:val="00924EEF"/>
    <w:rsid w:val="00924F20"/>
    <w:rsid w:val="00925214"/>
    <w:rsid w:val="00925279"/>
    <w:rsid w:val="009252CB"/>
    <w:rsid w:val="00925349"/>
    <w:rsid w:val="0092539C"/>
    <w:rsid w:val="009253A4"/>
    <w:rsid w:val="00925412"/>
    <w:rsid w:val="00925592"/>
    <w:rsid w:val="00925630"/>
    <w:rsid w:val="009256B1"/>
    <w:rsid w:val="009256EA"/>
    <w:rsid w:val="00925789"/>
    <w:rsid w:val="0092587B"/>
    <w:rsid w:val="00925A63"/>
    <w:rsid w:val="00925AF7"/>
    <w:rsid w:val="00925AFB"/>
    <w:rsid w:val="00925B62"/>
    <w:rsid w:val="00925C69"/>
    <w:rsid w:val="00925FCB"/>
    <w:rsid w:val="00925FD8"/>
    <w:rsid w:val="00925FDD"/>
    <w:rsid w:val="009260B4"/>
    <w:rsid w:val="009261E6"/>
    <w:rsid w:val="0092626F"/>
    <w:rsid w:val="00926366"/>
    <w:rsid w:val="00926538"/>
    <w:rsid w:val="00926760"/>
    <w:rsid w:val="00926BF2"/>
    <w:rsid w:val="00926C07"/>
    <w:rsid w:val="00926D3B"/>
    <w:rsid w:val="0092723E"/>
    <w:rsid w:val="00927310"/>
    <w:rsid w:val="0092740A"/>
    <w:rsid w:val="0092742C"/>
    <w:rsid w:val="0092791D"/>
    <w:rsid w:val="00927B0E"/>
    <w:rsid w:val="00927B27"/>
    <w:rsid w:val="00927BFF"/>
    <w:rsid w:val="00927D2F"/>
    <w:rsid w:val="00927D82"/>
    <w:rsid w:val="00927DF7"/>
    <w:rsid w:val="00927E65"/>
    <w:rsid w:val="00927F1D"/>
    <w:rsid w:val="00930085"/>
    <w:rsid w:val="00930190"/>
    <w:rsid w:val="00930199"/>
    <w:rsid w:val="009302AE"/>
    <w:rsid w:val="0093052F"/>
    <w:rsid w:val="00930592"/>
    <w:rsid w:val="009305FE"/>
    <w:rsid w:val="00930777"/>
    <w:rsid w:val="009307CF"/>
    <w:rsid w:val="009307DA"/>
    <w:rsid w:val="009307F2"/>
    <w:rsid w:val="0093091C"/>
    <w:rsid w:val="00930943"/>
    <w:rsid w:val="00930C38"/>
    <w:rsid w:val="00930FA9"/>
    <w:rsid w:val="00931293"/>
    <w:rsid w:val="009312AB"/>
    <w:rsid w:val="009312D9"/>
    <w:rsid w:val="009312FD"/>
    <w:rsid w:val="0093144A"/>
    <w:rsid w:val="0093149B"/>
    <w:rsid w:val="00931524"/>
    <w:rsid w:val="00931659"/>
    <w:rsid w:val="009318B9"/>
    <w:rsid w:val="009318D0"/>
    <w:rsid w:val="009319B9"/>
    <w:rsid w:val="009319FE"/>
    <w:rsid w:val="00931A94"/>
    <w:rsid w:val="00931B2B"/>
    <w:rsid w:val="00931C62"/>
    <w:rsid w:val="00931CC3"/>
    <w:rsid w:val="00931D3D"/>
    <w:rsid w:val="00931DFC"/>
    <w:rsid w:val="00931E1C"/>
    <w:rsid w:val="00932069"/>
    <w:rsid w:val="009320D0"/>
    <w:rsid w:val="00932179"/>
    <w:rsid w:val="00932205"/>
    <w:rsid w:val="00932334"/>
    <w:rsid w:val="00932419"/>
    <w:rsid w:val="009324C0"/>
    <w:rsid w:val="009324E8"/>
    <w:rsid w:val="0093259C"/>
    <w:rsid w:val="0093268E"/>
    <w:rsid w:val="009326E8"/>
    <w:rsid w:val="009327C3"/>
    <w:rsid w:val="0093286A"/>
    <w:rsid w:val="0093288E"/>
    <w:rsid w:val="009328CE"/>
    <w:rsid w:val="009329A8"/>
    <w:rsid w:val="00932A0E"/>
    <w:rsid w:val="00932BD4"/>
    <w:rsid w:val="00932C68"/>
    <w:rsid w:val="00932D1A"/>
    <w:rsid w:val="00932D4F"/>
    <w:rsid w:val="00932DCD"/>
    <w:rsid w:val="00933094"/>
    <w:rsid w:val="009330A2"/>
    <w:rsid w:val="00933255"/>
    <w:rsid w:val="0093337A"/>
    <w:rsid w:val="009333BB"/>
    <w:rsid w:val="00933525"/>
    <w:rsid w:val="00933619"/>
    <w:rsid w:val="0093380E"/>
    <w:rsid w:val="0093390C"/>
    <w:rsid w:val="00933931"/>
    <w:rsid w:val="00933A39"/>
    <w:rsid w:val="00933ABA"/>
    <w:rsid w:val="00933B6C"/>
    <w:rsid w:val="00933BDD"/>
    <w:rsid w:val="00933CEB"/>
    <w:rsid w:val="00933D96"/>
    <w:rsid w:val="00933E3B"/>
    <w:rsid w:val="009340AA"/>
    <w:rsid w:val="00934138"/>
    <w:rsid w:val="00934153"/>
    <w:rsid w:val="00934164"/>
    <w:rsid w:val="0093417E"/>
    <w:rsid w:val="009341C6"/>
    <w:rsid w:val="0093449F"/>
    <w:rsid w:val="0093450C"/>
    <w:rsid w:val="00934523"/>
    <w:rsid w:val="009346DF"/>
    <w:rsid w:val="0093470C"/>
    <w:rsid w:val="0093483A"/>
    <w:rsid w:val="009348AA"/>
    <w:rsid w:val="009348F3"/>
    <w:rsid w:val="0093496C"/>
    <w:rsid w:val="00934A91"/>
    <w:rsid w:val="00934B84"/>
    <w:rsid w:val="00934C70"/>
    <w:rsid w:val="00934D08"/>
    <w:rsid w:val="00934DE4"/>
    <w:rsid w:val="00934EA9"/>
    <w:rsid w:val="00935007"/>
    <w:rsid w:val="0093508E"/>
    <w:rsid w:val="00935193"/>
    <w:rsid w:val="00935279"/>
    <w:rsid w:val="00935337"/>
    <w:rsid w:val="0093539F"/>
    <w:rsid w:val="009354D9"/>
    <w:rsid w:val="00935551"/>
    <w:rsid w:val="0093581C"/>
    <w:rsid w:val="00935A54"/>
    <w:rsid w:val="00935BD1"/>
    <w:rsid w:val="00935CA5"/>
    <w:rsid w:val="00935D36"/>
    <w:rsid w:val="00935DA8"/>
    <w:rsid w:val="00935E97"/>
    <w:rsid w:val="0093600F"/>
    <w:rsid w:val="00936173"/>
    <w:rsid w:val="009362FB"/>
    <w:rsid w:val="0093638C"/>
    <w:rsid w:val="009364B4"/>
    <w:rsid w:val="009364F2"/>
    <w:rsid w:val="00936656"/>
    <w:rsid w:val="00936664"/>
    <w:rsid w:val="00936685"/>
    <w:rsid w:val="00936702"/>
    <w:rsid w:val="00936897"/>
    <w:rsid w:val="009368C1"/>
    <w:rsid w:val="00936A96"/>
    <w:rsid w:val="00936B49"/>
    <w:rsid w:val="00936B79"/>
    <w:rsid w:val="00936CCF"/>
    <w:rsid w:val="00936DCF"/>
    <w:rsid w:val="00936E51"/>
    <w:rsid w:val="00936F05"/>
    <w:rsid w:val="00937016"/>
    <w:rsid w:val="0093713E"/>
    <w:rsid w:val="009373E0"/>
    <w:rsid w:val="009374EE"/>
    <w:rsid w:val="0093751C"/>
    <w:rsid w:val="00937755"/>
    <w:rsid w:val="00937807"/>
    <w:rsid w:val="0093780A"/>
    <w:rsid w:val="00937826"/>
    <w:rsid w:val="009378D6"/>
    <w:rsid w:val="00937B44"/>
    <w:rsid w:val="00937CA2"/>
    <w:rsid w:val="00937CC3"/>
    <w:rsid w:val="00937D06"/>
    <w:rsid w:val="00937F08"/>
    <w:rsid w:val="00937F20"/>
    <w:rsid w:val="009401B9"/>
    <w:rsid w:val="009402F2"/>
    <w:rsid w:val="009404CE"/>
    <w:rsid w:val="00940590"/>
    <w:rsid w:val="00940841"/>
    <w:rsid w:val="009408EE"/>
    <w:rsid w:val="0094093F"/>
    <w:rsid w:val="009409C2"/>
    <w:rsid w:val="00940ED5"/>
    <w:rsid w:val="00940FDB"/>
    <w:rsid w:val="009410B2"/>
    <w:rsid w:val="009411C5"/>
    <w:rsid w:val="00941231"/>
    <w:rsid w:val="009412DD"/>
    <w:rsid w:val="00941387"/>
    <w:rsid w:val="00941439"/>
    <w:rsid w:val="00941517"/>
    <w:rsid w:val="00941589"/>
    <w:rsid w:val="009415E6"/>
    <w:rsid w:val="009416A0"/>
    <w:rsid w:val="00941962"/>
    <w:rsid w:val="00941ABD"/>
    <w:rsid w:val="00941C2A"/>
    <w:rsid w:val="00941E2A"/>
    <w:rsid w:val="00942058"/>
    <w:rsid w:val="0094214B"/>
    <w:rsid w:val="0094216D"/>
    <w:rsid w:val="009421D2"/>
    <w:rsid w:val="00942257"/>
    <w:rsid w:val="0094237A"/>
    <w:rsid w:val="0094244E"/>
    <w:rsid w:val="009424D9"/>
    <w:rsid w:val="00942867"/>
    <w:rsid w:val="009428A9"/>
    <w:rsid w:val="0094293F"/>
    <w:rsid w:val="00942965"/>
    <w:rsid w:val="00942984"/>
    <w:rsid w:val="009429E9"/>
    <w:rsid w:val="00942E01"/>
    <w:rsid w:val="00943037"/>
    <w:rsid w:val="009430DA"/>
    <w:rsid w:val="0094329C"/>
    <w:rsid w:val="009433EE"/>
    <w:rsid w:val="0094341D"/>
    <w:rsid w:val="00943511"/>
    <w:rsid w:val="00943635"/>
    <w:rsid w:val="00943794"/>
    <w:rsid w:val="00943814"/>
    <w:rsid w:val="0094395E"/>
    <w:rsid w:val="00943A07"/>
    <w:rsid w:val="00943A66"/>
    <w:rsid w:val="00943A82"/>
    <w:rsid w:val="00943C14"/>
    <w:rsid w:val="00943CAD"/>
    <w:rsid w:val="00943E48"/>
    <w:rsid w:val="00943E9E"/>
    <w:rsid w:val="00943F1D"/>
    <w:rsid w:val="00944000"/>
    <w:rsid w:val="00944068"/>
    <w:rsid w:val="009443E9"/>
    <w:rsid w:val="009443FA"/>
    <w:rsid w:val="00944521"/>
    <w:rsid w:val="00944877"/>
    <w:rsid w:val="00944B48"/>
    <w:rsid w:val="00944C3F"/>
    <w:rsid w:val="00944EF8"/>
    <w:rsid w:val="00944F6C"/>
    <w:rsid w:val="00945076"/>
    <w:rsid w:val="009450E7"/>
    <w:rsid w:val="0094526F"/>
    <w:rsid w:val="009453F5"/>
    <w:rsid w:val="0094549A"/>
    <w:rsid w:val="00945662"/>
    <w:rsid w:val="00945683"/>
    <w:rsid w:val="0094570F"/>
    <w:rsid w:val="0094576C"/>
    <w:rsid w:val="0094579E"/>
    <w:rsid w:val="009457CB"/>
    <w:rsid w:val="0094586F"/>
    <w:rsid w:val="0094595C"/>
    <w:rsid w:val="009459E9"/>
    <w:rsid w:val="00945BB8"/>
    <w:rsid w:val="00945C46"/>
    <w:rsid w:val="00945D7C"/>
    <w:rsid w:val="00945EEF"/>
    <w:rsid w:val="009460E5"/>
    <w:rsid w:val="00946163"/>
    <w:rsid w:val="00946235"/>
    <w:rsid w:val="0094623A"/>
    <w:rsid w:val="009462B8"/>
    <w:rsid w:val="0094637F"/>
    <w:rsid w:val="009463D3"/>
    <w:rsid w:val="009463D7"/>
    <w:rsid w:val="00946753"/>
    <w:rsid w:val="009467A7"/>
    <w:rsid w:val="00946813"/>
    <w:rsid w:val="00946935"/>
    <w:rsid w:val="0094693A"/>
    <w:rsid w:val="009469D4"/>
    <w:rsid w:val="00946A7C"/>
    <w:rsid w:val="00946AF6"/>
    <w:rsid w:val="00946BE0"/>
    <w:rsid w:val="00946CD0"/>
    <w:rsid w:val="00946E3E"/>
    <w:rsid w:val="00946EAA"/>
    <w:rsid w:val="00946F67"/>
    <w:rsid w:val="00947010"/>
    <w:rsid w:val="0094706D"/>
    <w:rsid w:val="00947109"/>
    <w:rsid w:val="00947159"/>
    <w:rsid w:val="009471FE"/>
    <w:rsid w:val="00947248"/>
    <w:rsid w:val="009474B5"/>
    <w:rsid w:val="0094754B"/>
    <w:rsid w:val="009476C6"/>
    <w:rsid w:val="00947744"/>
    <w:rsid w:val="00947773"/>
    <w:rsid w:val="009477C2"/>
    <w:rsid w:val="009477CD"/>
    <w:rsid w:val="009477D7"/>
    <w:rsid w:val="0094788D"/>
    <w:rsid w:val="00947967"/>
    <w:rsid w:val="00947BEF"/>
    <w:rsid w:val="00947C84"/>
    <w:rsid w:val="00947CAE"/>
    <w:rsid w:val="00947D6C"/>
    <w:rsid w:val="00947DE1"/>
    <w:rsid w:val="00947EDE"/>
    <w:rsid w:val="00947F41"/>
    <w:rsid w:val="00947F97"/>
    <w:rsid w:val="0095000E"/>
    <w:rsid w:val="00950050"/>
    <w:rsid w:val="009500CA"/>
    <w:rsid w:val="00950145"/>
    <w:rsid w:val="00950458"/>
    <w:rsid w:val="009505B2"/>
    <w:rsid w:val="00950604"/>
    <w:rsid w:val="0095073D"/>
    <w:rsid w:val="0095074D"/>
    <w:rsid w:val="00950805"/>
    <w:rsid w:val="009508C1"/>
    <w:rsid w:val="00950A1D"/>
    <w:rsid w:val="00950B7D"/>
    <w:rsid w:val="00950B91"/>
    <w:rsid w:val="00950C81"/>
    <w:rsid w:val="00950DD8"/>
    <w:rsid w:val="00950E33"/>
    <w:rsid w:val="00950E3B"/>
    <w:rsid w:val="00950EC4"/>
    <w:rsid w:val="00950FCD"/>
    <w:rsid w:val="00951098"/>
    <w:rsid w:val="0095112F"/>
    <w:rsid w:val="009512A3"/>
    <w:rsid w:val="00951369"/>
    <w:rsid w:val="0095136F"/>
    <w:rsid w:val="00951374"/>
    <w:rsid w:val="00951529"/>
    <w:rsid w:val="00951770"/>
    <w:rsid w:val="00951841"/>
    <w:rsid w:val="009518FC"/>
    <w:rsid w:val="00951BA2"/>
    <w:rsid w:val="00951BD6"/>
    <w:rsid w:val="00951D19"/>
    <w:rsid w:val="00951DB2"/>
    <w:rsid w:val="00951DF8"/>
    <w:rsid w:val="00951EE2"/>
    <w:rsid w:val="00951FAF"/>
    <w:rsid w:val="00951FD0"/>
    <w:rsid w:val="00952024"/>
    <w:rsid w:val="00952152"/>
    <w:rsid w:val="009521AD"/>
    <w:rsid w:val="00952370"/>
    <w:rsid w:val="00952604"/>
    <w:rsid w:val="009528CA"/>
    <w:rsid w:val="00952959"/>
    <w:rsid w:val="00952A34"/>
    <w:rsid w:val="00952B3C"/>
    <w:rsid w:val="00952CC5"/>
    <w:rsid w:val="00952E09"/>
    <w:rsid w:val="00952F53"/>
    <w:rsid w:val="00953006"/>
    <w:rsid w:val="00953271"/>
    <w:rsid w:val="0095332E"/>
    <w:rsid w:val="009533C2"/>
    <w:rsid w:val="009535EF"/>
    <w:rsid w:val="00953642"/>
    <w:rsid w:val="00953715"/>
    <w:rsid w:val="009537C0"/>
    <w:rsid w:val="0095381E"/>
    <w:rsid w:val="00953848"/>
    <w:rsid w:val="00953924"/>
    <w:rsid w:val="00953ADC"/>
    <w:rsid w:val="00953AFE"/>
    <w:rsid w:val="00953C13"/>
    <w:rsid w:val="00953DEF"/>
    <w:rsid w:val="00953EAA"/>
    <w:rsid w:val="00953F0D"/>
    <w:rsid w:val="00953FAD"/>
    <w:rsid w:val="009540A9"/>
    <w:rsid w:val="0095413E"/>
    <w:rsid w:val="0095421D"/>
    <w:rsid w:val="009542F8"/>
    <w:rsid w:val="00954426"/>
    <w:rsid w:val="00954527"/>
    <w:rsid w:val="009545B5"/>
    <w:rsid w:val="009548FE"/>
    <w:rsid w:val="00954901"/>
    <w:rsid w:val="00954997"/>
    <w:rsid w:val="00954ADF"/>
    <w:rsid w:val="00954AF6"/>
    <w:rsid w:val="00954AFC"/>
    <w:rsid w:val="00954B56"/>
    <w:rsid w:val="00954BC1"/>
    <w:rsid w:val="00954C11"/>
    <w:rsid w:val="00954C65"/>
    <w:rsid w:val="00954DE2"/>
    <w:rsid w:val="00954E47"/>
    <w:rsid w:val="00955185"/>
    <w:rsid w:val="0095518D"/>
    <w:rsid w:val="009552CC"/>
    <w:rsid w:val="00955335"/>
    <w:rsid w:val="00955338"/>
    <w:rsid w:val="00955476"/>
    <w:rsid w:val="0095547D"/>
    <w:rsid w:val="009554DE"/>
    <w:rsid w:val="009555F7"/>
    <w:rsid w:val="00955656"/>
    <w:rsid w:val="00955670"/>
    <w:rsid w:val="00955A28"/>
    <w:rsid w:val="00955A81"/>
    <w:rsid w:val="00955A95"/>
    <w:rsid w:val="00955AA4"/>
    <w:rsid w:val="00955B27"/>
    <w:rsid w:val="00955C5F"/>
    <w:rsid w:val="00956084"/>
    <w:rsid w:val="009563B2"/>
    <w:rsid w:val="00956434"/>
    <w:rsid w:val="009566F4"/>
    <w:rsid w:val="00956852"/>
    <w:rsid w:val="009568E8"/>
    <w:rsid w:val="00956972"/>
    <w:rsid w:val="00956AE8"/>
    <w:rsid w:val="00956B6C"/>
    <w:rsid w:val="00956CDA"/>
    <w:rsid w:val="00956D59"/>
    <w:rsid w:val="00956DF0"/>
    <w:rsid w:val="00956E25"/>
    <w:rsid w:val="00956F25"/>
    <w:rsid w:val="00956FAB"/>
    <w:rsid w:val="00956FBC"/>
    <w:rsid w:val="00957007"/>
    <w:rsid w:val="0095704D"/>
    <w:rsid w:val="00957073"/>
    <w:rsid w:val="009571E6"/>
    <w:rsid w:val="00957257"/>
    <w:rsid w:val="009573DA"/>
    <w:rsid w:val="009573DE"/>
    <w:rsid w:val="00957469"/>
    <w:rsid w:val="00957682"/>
    <w:rsid w:val="009576CE"/>
    <w:rsid w:val="0095779D"/>
    <w:rsid w:val="009578F0"/>
    <w:rsid w:val="00957916"/>
    <w:rsid w:val="009579AD"/>
    <w:rsid w:val="00957A44"/>
    <w:rsid w:val="00957A69"/>
    <w:rsid w:val="00957B4C"/>
    <w:rsid w:val="00957BF1"/>
    <w:rsid w:val="00957EB3"/>
    <w:rsid w:val="00957F02"/>
    <w:rsid w:val="00957F2B"/>
    <w:rsid w:val="009601BC"/>
    <w:rsid w:val="009602EF"/>
    <w:rsid w:val="009603CF"/>
    <w:rsid w:val="009603D8"/>
    <w:rsid w:val="0096045C"/>
    <w:rsid w:val="009606B1"/>
    <w:rsid w:val="0096074B"/>
    <w:rsid w:val="00960775"/>
    <w:rsid w:val="0096078D"/>
    <w:rsid w:val="009608B7"/>
    <w:rsid w:val="00960A83"/>
    <w:rsid w:val="00960AFA"/>
    <w:rsid w:val="00960BD9"/>
    <w:rsid w:val="00960ED0"/>
    <w:rsid w:val="0096103A"/>
    <w:rsid w:val="00961076"/>
    <w:rsid w:val="009614C5"/>
    <w:rsid w:val="0096152F"/>
    <w:rsid w:val="009615DF"/>
    <w:rsid w:val="00961668"/>
    <w:rsid w:val="0096166C"/>
    <w:rsid w:val="0096194C"/>
    <w:rsid w:val="00961A26"/>
    <w:rsid w:val="00961A2F"/>
    <w:rsid w:val="00961A4D"/>
    <w:rsid w:val="00961A5B"/>
    <w:rsid w:val="00961B9E"/>
    <w:rsid w:val="00961E1E"/>
    <w:rsid w:val="00961EB1"/>
    <w:rsid w:val="00962074"/>
    <w:rsid w:val="0096238D"/>
    <w:rsid w:val="00962405"/>
    <w:rsid w:val="00962435"/>
    <w:rsid w:val="00962616"/>
    <w:rsid w:val="009627C0"/>
    <w:rsid w:val="00962804"/>
    <w:rsid w:val="009628CC"/>
    <w:rsid w:val="00962963"/>
    <w:rsid w:val="00962BB6"/>
    <w:rsid w:val="00962C32"/>
    <w:rsid w:val="00962C8D"/>
    <w:rsid w:val="00962C9D"/>
    <w:rsid w:val="00962F07"/>
    <w:rsid w:val="00962F95"/>
    <w:rsid w:val="00962FF5"/>
    <w:rsid w:val="009632EF"/>
    <w:rsid w:val="0096330F"/>
    <w:rsid w:val="00963320"/>
    <w:rsid w:val="00963507"/>
    <w:rsid w:val="00963655"/>
    <w:rsid w:val="0096370B"/>
    <w:rsid w:val="009637E8"/>
    <w:rsid w:val="0096381A"/>
    <w:rsid w:val="00963A70"/>
    <w:rsid w:val="00963AE5"/>
    <w:rsid w:val="00963B4D"/>
    <w:rsid w:val="00963E54"/>
    <w:rsid w:val="00963FFB"/>
    <w:rsid w:val="00964084"/>
    <w:rsid w:val="0096413C"/>
    <w:rsid w:val="00964167"/>
    <w:rsid w:val="00964274"/>
    <w:rsid w:val="009642AF"/>
    <w:rsid w:val="009642E0"/>
    <w:rsid w:val="009642EA"/>
    <w:rsid w:val="009644E6"/>
    <w:rsid w:val="0096452F"/>
    <w:rsid w:val="00964535"/>
    <w:rsid w:val="0096457E"/>
    <w:rsid w:val="009645A7"/>
    <w:rsid w:val="009645CD"/>
    <w:rsid w:val="009646AA"/>
    <w:rsid w:val="0096474C"/>
    <w:rsid w:val="009647F7"/>
    <w:rsid w:val="00964816"/>
    <w:rsid w:val="00964A17"/>
    <w:rsid w:val="00964AD8"/>
    <w:rsid w:val="00964ADB"/>
    <w:rsid w:val="00964B25"/>
    <w:rsid w:val="00964C39"/>
    <w:rsid w:val="00964D0A"/>
    <w:rsid w:val="00964DB8"/>
    <w:rsid w:val="00964DBE"/>
    <w:rsid w:val="00964F0D"/>
    <w:rsid w:val="00964F7E"/>
    <w:rsid w:val="00965055"/>
    <w:rsid w:val="0096511D"/>
    <w:rsid w:val="009652BF"/>
    <w:rsid w:val="009652C9"/>
    <w:rsid w:val="009653C9"/>
    <w:rsid w:val="00965431"/>
    <w:rsid w:val="009654D3"/>
    <w:rsid w:val="009654EB"/>
    <w:rsid w:val="00965504"/>
    <w:rsid w:val="00965536"/>
    <w:rsid w:val="0096561A"/>
    <w:rsid w:val="0096572F"/>
    <w:rsid w:val="0096575E"/>
    <w:rsid w:val="009657C9"/>
    <w:rsid w:val="0096589E"/>
    <w:rsid w:val="009659A8"/>
    <w:rsid w:val="009659C8"/>
    <w:rsid w:val="00965A5E"/>
    <w:rsid w:val="00965C1B"/>
    <w:rsid w:val="00965C34"/>
    <w:rsid w:val="00965C94"/>
    <w:rsid w:val="00965CA2"/>
    <w:rsid w:val="00965CD7"/>
    <w:rsid w:val="00965CE5"/>
    <w:rsid w:val="00965E37"/>
    <w:rsid w:val="00965E5F"/>
    <w:rsid w:val="00965F2D"/>
    <w:rsid w:val="0096602A"/>
    <w:rsid w:val="0096605A"/>
    <w:rsid w:val="009661E3"/>
    <w:rsid w:val="009662A4"/>
    <w:rsid w:val="0096630A"/>
    <w:rsid w:val="0096646C"/>
    <w:rsid w:val="00966486"/>
    <w:rsid w:val="00966597"/>
    <w:rsid w:val="009665D1"/>
    <w:rsid w:val="00966898"/>
    <w:rsid w:val="00966920"/>
    <w:rsid w:val="0096695A"/>
    <w:rsid w:val="00966A48"/>
    <w:rsid w:val="00966B8A"/>
    <w:rsid w:val="00966D31"/>
    <w:rsid w:val="00966EDA"/>
    <w:rsid w:val="00966FE2"/>
    <w:rsid w:val="0096702D"/>
    <w:rsid w:val="009670C1"/>
    <w:rsid w:val="00967219"/>
    <w:rsid w:val="009672B9"/>
    <w:rsid w:val="009674C0"/>
    <w:rsid w:val="009674CA"/>
    <w:rsid w:val="009674E6"/>
    <w:rsid w:val="0096754D"/>
    <w:rsid w:val="0096758D"/>
    <w:rsid w:val="009675D7"/>
    <w:rsid w:val="009675EC"/>
    <w:rsid w:val="00967613"/>
    <w:rsid w:val="0096764C"/>
    <w:rsid w:val="009677E7"/>
    <w:rsid w:val="0096780A"/>
    <w:rsid w:val="0096789F"/>
    <w:rsid w:val="00967BC5"/>
    <w:rsid w:val="00967BCE"/>
    <w:rsid w:val="00967BDB"/>
    <w:rsid w:val="00967CE0"/>
    <w:rsid w:val="00967CF4"/>
    <w:rsid w:val="00967D2A"/>
    <w:rsid w:val="00967E38"/>
    <w:rsid w:val="00967E52"/>
    <w:rsid w:val="0096ECC4"/>
    <w:rsid w:val="0097001C"/>
    <w:rsid w:val="009700CF"/>
    <w:rsid w:val="00970166"/>
    <w:rsid w:val="0097029C"/>
    <w:rsid w:val="0097037F"/>
    <w:rsid w:val="00970381"/>
    <w:rsid w:val="00970475"/>
    <w:rsid w:val="00970574"/>
    <w:rsid w:val="009705BA"/>
    <w:rsid w:val="0097068E"/>
    <w:rsid w:val="009708ED"/>
    <w:rsid w:val="00970935"/>
    <w:rsid w:val="00970961"/>
    <w:rsid w:val="00970965"/>
    <w:rsid w:val="009709B1"/>
    <w:rsid w:val="00970B95"/>
    <w:rsid w:val="00970BCF"/>
    <w:rsid w:val="00970CC1"/>
    <w:rsid w:val="00970DEA"/>
    <w:rsid w:val="00970E06"/>
    <w:rsid w:val="00970E21"/>
    <w:rsid w:val="00970F75"/>
    <w:rsid w:val="00971116"/>
    <w:rsid w:val="00971188"/>
    <w:rsid w:val="009716E3"/>
    <w:rsid w:val="009717B1"/>
    <w:rsid w:val="00971962"/>
    <w:rsid w:val="009719A8"/>
    <w:rsid w:val="00971A22"/>
    <w:rsid w:val="00971A4F"/>
    <w:rsid w:val="00971B64"/>
    <w:rsid w:val="00971E8A"/>
    <w:rsid w:val="00971F82"/>
    <w:rsid w:val="00971F85"/>
    <w:rsid w:val="00972519"/>
    <w:rsid w:val="009725D9"/>
    <w:rsid w:val="009725EF"/>
    <w:rsid w:val="009729D7"/>
    <w:rsid w:val="00972B0A"/>
    <w:rsid w:val="00972BA0"/>
    <w:rsid w:val="00972C6D"/>
    <w:rsid w:val="00972CA7"/>
    <w:rsid w:val="00972CBE"/>
    <w:rsid w:val="00972D04"/>
    <w:rsid w:val="00972E2B"/>
    <w:rsid w:val="00972E7E"/>
    <w:rsid w:val="00972F0A"/>
    <w:rsid w:val="00972FE2"/>
    <w:rsid w:val="0097316F"/>
    <w:rsid w:val="009731B0"/>
    <w:rsid w:val="0097326A"/>
    <w:rsid w:val="009732CA"/>
    <w:rsid w:val="009733C6"/>
    <w:rsid w:val="009735D9"/>
    <w:rsid w:val="00973640"/>
    <w:rsid w:val="0097375D"/>
    <w:rsid w:val="0097388E"/>
    <w:rsid w:val="009738AF"/>
    <w:rsid w:val="009738F3"/>
    <w:rsid w:val="0097397B"/>
    <w:rsid w:val="00973993"/>
    <w:rsid w:val="009739BA"/>
    <w:rsid w:val="00973BB7"/>
    <w:rsid w:val="00973BE7"/>
    <w:rsid w:val="00973D63"/>
    <w:rsid w:val="00974142"/>
    <w:rsid w:val="00974231"/>
    <w:rsid w:val="009742E7"/>
    <w:rsid w:val="009745B8"/>
    <w:rsid w:val="0097476F"/>
    <w:rsid w:val="00974A2D"/>
    <w:rsid w:val="00974AAD"/>
    <w:rsid w:val="00974AED"/>
    <w:rsid w:val="00974B0F"/>
    <w:rsid w:val="00974BC2"/>
    <w:rsid w:val="00974C14"/>
    <w:rsid w:val="00974C68"/>
    <w:rsid w:val="00974CAB"/>
    <w:rsid w:val="00974D1A"/>
    <w:rsid w:val="00974D25"/>
    <w:rsid w:val="00974E63"/>
    <w:rsid w:val="00974FDC"/>
    <w:rsid w:val="0097509C"/>
    <w:rsid w:val="009751B2"/>
    <w:rsid w:val="009751B8"/>
    <w:rsid w:val="009751CD"/>
    <w:rsid w:val="009752A2"/>
    <w:rsid w:val="009752AE"/>
    <w:rsid w:val="00975308"/>
    <w:rsid w:val="00975310"/>
    <w:rsid w:val="00975349"/>
    <w:rsid w:val="009753D6"/>
    <w:rsid w:val="0097543D"/>
    <w:rsid w:val="009754F1"/>
    <w:rsid w:val="00975544"/>
    <w:rsid w:val="0097558D"/>
    <w:rsid w:val="009755DA"/>
    <w:rsid w:val="00975645"/>
    <w:rsid w:val="00975771"/>
    <w:rsid w:val="0097580C"/>
    <w:rsid w:val="0097588B"/>
    <w:rsid w:val="009758AE"/>
    <w:rsid w:val="00975936"/>
    <w:rsid w:val="00975973"/>
    <w:rsid w:val="009759D6"/>
    <w:rsid w:val="009759F6"/>
    <w:rsid w:val="00975A54"/>
    <w:rsid w:val="00975BB4"/>
    <w:rsid w:val="00975BE9"/>
    <w:rsid w:val="00975C52"/>
    <w:rsid w:val="00975DA1"/>
    <w:rsid w:val="00975E05"/>
    <w:rsid w:val="00975E47"/>
    <w:rsid w:val="00975EB6"/>
    <w:rsid w:val="0097605E"/>
    <w:rsid w:val="0097606A"/>
    <w:rsid w:val="00976101"/>
    <w:rsid w:val="00976158"/>
    <w:rsid w:val="009761F4"/>
    <w:rsid w:val="0097622B"/>
    <w:rsid w:val="00976278"/>
    <w:rsid w:val="009762A2"/>
    <w:rsid w:val="009762A7"/>
    <w:rsid w:val="009763BF"/>
    <w:rsid w:val="00976452"/>
    <w:rsid w:val="00976618"/>
    <w:rsid w:val="0097679B"/>
    <w:rsid w:val="00976841"/>
    <w:rsid w:val="00976921"/>
    <w:rsid w:val="00976B07"/>
    <w:rsid w:val="00976B68"/>
    <w:rsid w:val="00976C4F"/>
    <w:rsid w:val="00976D61"/>
    <w:rsid w:val="00976D86"/>
    <w:rsid w:val="00976E5C"/>
    <w:rsid w:val="00976F4B"/>
    <w:rsid w:val="00977217"/>
    <w:rsid w:val="00977364"/>
    <w:rsid w:val="00977493"/>
    <w:rsid w:val="009774F0"/>
    <w:rsid w:val="009776A2"/>
    <w:rsid w:val="00977746"/>
    <w:rsid w:val="00977890"/>
    <w:rsid w:val="00977896"/>
    <w:rsid w:val="00977AC7"/>
    <w:rsid w:val="00977B00"/>
    <w:rsid w:val="00977B37"/>
    <w:rsid w:val="00977B3E"/>
    <w:rsid w:val="00977D18"/>
    <w:rsid w:val="00977D19"/>
    <w:rsid w:val="00977DC5"/>
    <w:rsid w:val="00977E1B"/>
    <w:rsid w:val="00977E33"/>
    <w:rsid w:val="00977E39"/>
    <w:rsid w:val="00977E8F"/>
    <w:rsid w:val="00977F84"/>
    <w:rsid w:val="00980065"/>
    <w:rsid w:val="009803D4"/>
    <w:rsid w:val="009803D8"/>
    <w:rsid w:val="00980492"/>
    <w:rsid w:val="00980708"/>
    <w:rsid w:val="00980772"/>
    <w:rsid w:val="009807AC"/>
    <w:rsid w:val="009808E1"/>
    <w:rsid w:val="009808E4"/>
    <w:rsid w:val="00980902"/>
    <w:rsid w:val="00980988"/>
    <w:rsid w:val="00980B57"/>
    <w:rsid w:val="00980B60"/>
    <w:rsid w:val="00980BB8"/>
    <w:rsid w:val="00980E19"/>
    <w:rsid w:val="0098122B"/>
    <w:rsid w:val="0098148F"/>
    <w:rsid w:val="00981719"/>
    <w:rsid w:val="009818BE"/>
    <w:rsid w:val="00981A46"/>
    <w:rsid w:val="00981A56"/>
    <w:rsid w:val="00981BD1"/>
    <w:rsid w:val="00981DA8"/>
    <w:rsid w:val="00981DFE"/>
    <w:rsid w:val="00982070"/>
    <w:rsid w:val="009820B8"/>
    <w:rsid w:val="009821BD"/>
    <w:rsid w:val="009822E7"/>
    <w:rsid w:val="009822FD"/>
    <w:rsid w:val="0098256A"/>
    <w:rsid w:val="00982588"/>
    <w:rsid w:val="00982866"/>
    <w:rsid w:val="00982890"/>
    <w:rsid w:val="00982940"/>
    <w:rsid w:val="00982961"/>
    <w:rsid w:val="009829B0"/>
    <w:rsid w:val="00982A2D"/>
    <w:rsid w:val="00982A5B"/>
    <w:rsid w:val="00982BCE"/>
    <w:rsid w:val="00982C7A"/>
    <w:rsid w:val="00982DCD"/>
    <w:rsid w:val="00982F1E"/>
    <w:rsid w:val="00982F8A"/>
    <w:rsid w:val="00982FED"/>
    <w:rsid w:val="009830D2"/>
    <w:rsid w:val="009830D6"/>
    <w:rsid w:val="00983109"/>
    <w:rsid w:val="00983154"/>
    <w:rsid w:val="009832D7"/>
    <w:rsid w:val="0098340F"/>
    <w:rsid w:val="009834C9"/>
    <w:rsid w:val="00983560"/>
    <w:rsid w:val="00983695"/>
    <w:rsid w:val="00983770"/>
    <w:rsid w:val="00983875"/>
    <w:rsid w:val="0098390E"/>
    <w:rsid w:val="0098397C"/>
    <w:rsid w:val="009839A9"/>
    <w:rsid w:val="00983D4F"/>
    <w:rsid w:val="009840A6"/>
    <w:rsid w:val="00984164"/>
    <w:rsid w:val="0098419C"/>
    <w:rsid w:val="009842A4"/>
    <w:rsid w:val="009843C6"/>
    <w:rsid w:val="0098457A"/>
    <w:rsid w:val="0098488F"/>
    <w:rsid w:val="00984929"/>
    <w:rsid w:val="00984A0D"/>
    <w:rsid w:val="00984AA8"/>
    <w:rsid w:val="00984B98"/>
    <w:rsid w:val="00984B9F"/>
    <w:rsid w:val="00984C55"/>
    <w:rsid w:val="00984D27"/>
    <w:rsid w:val="00984EAE"/>
    <w:rsid w:val="0098513B"/>
    <w:rsid w:val="009853FE"/>
    <w:rsid w:val="00985450"/>
    <w:rsid w:val="009856B5"/>
    <w:rsid w:val="009856BF"/>
    <w:rsid w:val="009856F9"/>
    <w:rsid w:val="00985705"/>
    <w:rsid w:val="0098587A"/>
    <w:rsid w:val="009859B3"/>
    <w:rsid w:val="00985C19"/>
    <w:rsid w:val="00985C90"/>
    <w:rsid w:val="00985CE6"/>
    <w:rsid w:val="00985D77"/>
    <w:rsid w:val="00985FA1"/>
    <w:rsid w:val="00985FB5"/>
    <w:rsid w:val="0098601C"/>
    <w:rsid w:val="009861FF"/>
    <w:rsid w:val="0098634E"/>
    <w:rsid w:val="00986435"/>
    <w:rsid w:val="00986454"/>
    <w:rsid w:val="0098672E"/>
    <w:rsid w:val="00986768"/>
    <w:rsid w:val="00986B80"/>
    <w:rsid w:val="00986BAA"/>
    <w:rsid w:val="00986C1B"/>
    <w:rsid w:val="00986CB8"/>
    <w:rsid w:val="00986DC4"/>
    <w:rsid w:val="00986E63"/>
    <w:rsid w:val="00986F95"/>
    <w:rsid w:val="00986FBE"/>
    <w:rsid w:val="00987009"/>
    <w:rsid w:val="00987123"/>
    <w:rsid w:val="00987147"/>
    <w:rsid w:val="009873E1"/>
    <w:rsid w:val="00987675"/>
    <w:rsid w:val="00987704"/>
    <w:rsid w:val="00987A12"/>
    <w:rsid w:val="00987AA0"/>
    <w:rsid w:val="00987BBB"/>
    <w:rsid w:val="00987BF5"/>
    <w:rsid w:val="00987E19"/>
    <w:rsid w:val="00987E2A"/>
    <w:rsid w:val="00987E49"/>
    <w:rsid w:val="00987E79"/>
    <w:rsid w:val="00987F14"/>
    <w:rsid w:val="00987FCD"/>
    <w:rsid w:val="0099028B"/>
    <w:rsid w:val="009902FC"/>
    <w:rsid w:val="0099033C"/>
    <w:rsid w:val="00990528"/>
    <w:rsid w:val="0099053D"/>
    <w:rsid w:val="00990576"/>
    <w:rsid w:val="0099075E"/>
    <w:rsid w:val="00990766"/>
    <w:rsid w:val="009909C7"/>
    <w:rsid w:val="00990A39"/>
    <w:rsid w:val="00990AC6"/>
    <w:rsid w:val="00990C15"/>
    <w:rsid w:val="00990D77"/>
    <w:rsid w:val="00990F79"/>
    <w:rsid w:val="00990F99"/>
    <w:rsid w:val="009910A7"/>
    <w:rsid w:val="00991213"/>
    <w:rsid w:val="00991281"/>
    <w:rsid w:val="009913B1"/>
    <w:rsid w:val="00991580"/>
    <w:rsid w:val="00991715"/>
    <w:rsid w:val="00991844"/>
    <w:rsid w:val="009919F2"/>
    <w:rsid w:val="00991CC4"/>
    <w:rsid w:val="00991D34"/>
    <w:rsid w:val="00991DCB"/>
    <w:rsid w:val="00991DE8"/>
    <w:rsid w:val="00991F3A"/>
    <w:rsid w:val="00991F8C"/>
    <w:rsid w:val="00991F9C"/>
    <w:rsid w:val="00992082"/>
    <w:rsid w:val="00992096"/>
    <w:rsid w:val="00992188"/>
    <w:rsid w:val="00992472"/>
    <w:rsid w:val="009924EB"/>
    <w:rsid w:val="0099250E"/>
    <w:rsid w:val="0099267F"/>
    <w:rsid w:val="00992897"/>
    <w:rsid w:val="009928C9"/>
    <w:rsid w:val="009928F4"/>
    <w:rsid w:val="0099293C"/>
    <w:rsid w:val="00992A5D"/>
    <w:rsid w:val="00992AAC"/>
    <w:rsid w:val="00992AB1"/>
    <w:rsid w:val="00992C1F"/>
    <w:rsid w:val="00992C54"/>
    <w:rsid w:val="00992CAB"/>
    <w:rsid w:val="00992FEA"/>
    <w:rsid w:val="00993038"/>
    <w:rsid w:val="0099304A"/>
    <w:rsid w:val="00993100"/>
    <w:rsid w:val="00993123"/>
    <w:rsid w:val="009931E3"/>
    <w:rsid w:val="009932C2"/>
    <w:rsid w:val="0099330E"/>
    <w:rsid w:val="0099343D"/>
    <w:rsid w:val="009935B4"/>
    <w:rsid w:val="009935D2"/>
    <w:rsid w:val="0099368B"/>
    <w:rsid w:val="0099385A"/>
    <w:rsid w:val="00993885"/>
    <w:rsid w:val="00993B1B"/>
    <w:rsid w:val="00993B60"/>
    <w:rsid w:val="00993C44"/>
    <w:rsid w:val="00993CEA"/>
    <w:rsid w:val="00993E0B"/>
    <w:rsid w:val="00993E7E"/>
    <w:rsid w:val="00993F2F"/>
    <w:rsid w:val="00993F4A"/>
    <w:rsid w:val="00993F6D"/>
    <w:rsid w:val="00993FE6"/>
    <w:rsid w:val="00994019"/>
    <w:rsid w:val="0099406E"/>
    <w:rsid w:val="009941C3"/>
    <w:rsid w:val="00994239"/>
    <w:rsid w:val="00994638"/>
    <w:rsid w:val="00994687"/>
    <w:rsid w:val="009946B8"/>
    <w:rsid w:val="0099474B"/>
    <w:rsid w:val="00994841"/>
    <w:rsid w:val="0099486F"/>
    <w:rsid w:val="00994893"/>
    <w:rsid w:val="00994920"/>
    <w:rsid w:val="0099492C"/>
    <w:rsid w:val="00994A3A"/>
    <w:rsid w:val="00994C35"/>
    <w:rsid w:val="00994FF6"/>
    <w:rsid w:val="00995080"/>
    <w:rsid w:val="009951C8"/>
    <w:rsid w:val="009951FE"/>
    <w:rsid w:val="00995232"/>
    <w:rsid w:val="00995250"/>
    <w:rsid w:val="009952FB"/>
    <w:rsid w:val="00995305"/>
    <w:rsid w:val="00995388"/>
    <w:rsid w:val="00995439"/>
    <w:rsid w:val="0099564B"/>
    <w:rsid w:val="009958AC"/>
    <w:rsid w:val="009958FF"/>
    <w:rsid w:val="00995947"/>
    <w:rsid w:val="009959FA"/>
    <w:rsid w:val="00995B2A"/>
    <w:rsid w:val="00995B7D"/>
    <w:rsid w:val="00995B96"/>
    <w:rsid w:val="00995C01"/>
    <w:rsid w:val="00995CE7"/>
    <w:rsid w:val="00995D28"/>
    <w:rsid w:val="00996093"/>
    <w:rsid w:val="00996324"/>
    <w:rsid w:val="00996390"/>
    <w:rsid w:val="00996415"/>
    <w:rsid w:val="00996603"/>
    <w:rsid w:val="0099663D"/>
    <w:rsid w:val="00996791"/>
    <w:rsid w:val="00996B8B"/>
    <w:rsid w:val="00996C77"/>
    <w:rsid w:val="00997043"/>
    <w:rsid w:val="00997217"/>
    <w:rsid w:val="0099740D"/>
    <w:rsid w:val="00997457"/>
    <w:rsid w:val="00997476"/>
    <w:rsid w:val="00997644"/>
    <w:rsid w:val="0099780A"/>
    <w:rsid w:val="009978E4"/>
    <w:rsid w:val="009979E8"/>
    <w:rsid w:val="00997A3C"/>
    <w:rsid w:val="00997BCC"/>
    <w:rsid w:val="00997D47"/>
    <w:rsid w:val="00997DCC"/>
    <w:rsid w:val="00997ED7"/>
    <w:rsid w:val="00997F12"/>
    <w:rsid w:val="00997F72"/>
    <w:rsid w:val="00997FF0"/>
    <w:rsid w:val="009A00F0"/>
    <w:rsid w:val="009A0144"/>
    <w:rsid w:val="009A01B5"/>
    <w:rsid w:val="009A027A"/>
    <w:rsid w:val="009A0436"/>
    <w:rsid w:val="009A04AB"/>
    <w:rsid w:val="009A07C4"/>
    <w:rsid w:val="009A08F4"/>
    <w:rsid w:val="009A09B8"/>
    <w:rsid w:val="009A0AC2"/>
    <w:rsid w:val="009A0B25"/>
    <w:rsid w:val="009A0B58"/>
    <w:rsid w:val="009A0B9F"/>
    <w:rsid w:val="009A0D2C"/>
    <w:rsid w:val="009A0DC9"/>
    <w:rsid w:val="009A0E40"/>
    <w:rsid w:val="009A0E45"/>
    <w:rsid w:val="009A0E5D"/>
    <w:rsid w:val="009A1083"/>
    <w:rsid w:val="009A115F"/>
    <w:rsid w:val="009A11B3"/>
    <w:rsid w:val="009A11E7"/>
    <w:rsid w:val="009A1220"/>
    <w:rsid w:val="009A13BA"/>
    <w:rsid w:val="009A1520"/>
    <w:rsid w:val="009A166A"/>
    <w:rsid w:val="009A1739"/>
    <w:rsid w:val="009A17A7"/>
    <w:rsid w:val="009A189F"/>
    <w:rsid w:val="009A1A87"/>
    <w:rsid w:val="009A1AA6"/>
    <w:rsid w:val="009A1CBB"/>
    <w:rsid w:val="009A1E37"/>
    <w:rsid w:val="009A1EBB"/>
    <w:rsid w:val="009A1FD7"/>
    <w:rsid w:val="009A2013"/>
    <w:rsid w:val="009A207B"/>
    <w:rsid w:val="009A20EA"/>
    <w:rsid w:val="009A2438"/>
    <w:rsid w:val="009A24BB"/>
    <w:rsid w:val="009A2766"/>
    <w:rsid w:val="009A27BC"/>
    <w:rsid w:val="009A2803"/>
    <w:rsid w:val="009A2CBC"/>
    <w:rsid w:val="009A2D5C"/>
    <w:rsid w:val="009A2D6B"/>
    <w:rsid w:val="009A2E00"/>
    <w:rsid w:val="009A2ECB"/>
    <w:rsid w:val="009A2ED8"/>
    <w:rsid w:val="009A2F3B"/>
    <w:rsid w:val="009A2FA5"/>
    <w:rsid w:val="009A2FE0"/>
    <w:rsid w:val="009A3110"/>
    <w:rsid w:val="009A3133"/>
    <w:rsid w:val="009A3208"/>
    <w:rsid w:val="009A33C7"/>
    <w:rsid w:val="009A3505"/>
    <w:rsid w:val="009A3557"/>
    <w:rsid w:val="009A36E1"/>
    <w:rsid w:val="009A37AF"/>
    <w:rsid w:val="009A37F0"/>
    <w:rsid w:val="009A391A"/>
    <w:rsid w:val="009A39DB"/>
    <w:rsid w:val="009A3B0D"/>
    <w:rsid w:val="009A3BCA"/>
    <w:rsid w:val="009A3BE7"/>
    <w:rsid w:val="009A3BF1"/>
    <w:rsid w:val="009A3C0A"/>
    <w:rsid w:val="009A3C4C"/>
    <w:rsid w:val="009A3DA6"/>
    <w:rsid w:val="009A3DB8"/>
    <w:rsid w:val="009A3DF4"/>
    <w:rsid w:val="009A3E06"/>
    <w:rsid w:val="009A3EEB"/>
    <w:rsid w:val="009A4009"/>
    <w:rsid w:val="009A4377"/>
    <w:rsid w:val="009A44AE"/>
    <w:rsid w:val="009A44BD"/>
    <w:rsid w:val="009A4551"/>
    <w:rsid w:val="009A45EC"/>
    <w:rsid w:val="009A4636"/>
    <w:rsid w:val="009A46AE"/>
    <w:rsid w:val="009A4701"/>
    <w:rsid w:val="009A4731"/>
    <w:rsid w:val="009A474A"/>
    <w:rsid w:val="009A4802"/>
    <w:rsid w:val="009A4824"/>
    <w:rsid w:val="009A483A"/>
    <w:rsid w:val="009A493A"/>
    <w:rsid w:val="009A4961"/>
    <w:rsid w:val="009A4A94"/>
    <w:rsid w:val="009A4AB0"/>
    <w:rsid w:val="009A508E"/>
    <w:rsid w:val="009A5314"/>
    <w:rsid w:val="009A5360"/>
    <w:rsid w:val="009A53BE"/>
    <w:rsid w:val="009A54C8"/>
    <w:rsid w:val="009A54DD"/>
    <w:rsid w:val="009A55A5"/>
    <w:rsid w:val="009A5600"/>
    <w:rsid w:val="009A5751"/>
    <w:rsid w:val="009A57D1"/>
    <w:rsid w:val="009A586F"/>
    <w:rsid w:val="009A58B7"/>
    <w:rsid w:val="009A595B"/>
    <w:rsid w:val="009A5994"/>
    <w:rsid w:val="009A59D8"/>
    <w:rsid w:val="009A5AE1"/>
    <w:rsid w:val="009A5CAD"/>
    <w:rsid w:val="009A5CFE"/>
    <w:rsid w:val="009A5EC2"/>
    <w:rsid w:val="009A5F7E"/>
    <w:rsid w:val="009A607A"/>
    <w:rsid w:val="009A624D"/>
    <w:rsid w:val="009A6263"/>
    <w:rsid w:val="009A6266"/>
    <w:rsid w:val="009A629E"/>
    <w:rsid w:val="009A63E6"/>
    <w:rsid w:val="009A64C4"/>
    <w:rsid w:val="009A6591"/>
    <w:rsid w:val="009A65AE"/>
    <w:rsid w:val="009A66A6"/>
    <w:rsid w:val="009A66FC"/>
    <w:rsid w:val="009A6713"/>
    <w:rsid w:val="009A677F"/>
    <w:rsid w:val="009A67DE"/>
    <w:rsid w:val="009A6819"/>
    <w:rsid w:val="009A6844"/>
    <w:rsid w:val="009A69B5"/>
    <w:rsid w:val="009A6C28"/>
    <w:rsid w:val="009A6EBC"/>
    <w:rsid w:val="009A6EDB"/>
    <w:rsid w:val="009A6EE3"/>
    <w:rsid w:val="009A6FBE"/>
    <w:rsid w:val="009A7011"/>
    <w:rsid w:val="009A71FD"/>
    <w:rsid w:val="009A724F"/>
    <w:rsid w:val="009A73C7"/>
    <w:rsid w:val="009A7425"/>
    <w:rsid w:val="009A7523"/>
    <w:rsid w:val="009A7846"/>
    <w:rsid w:val="009A78D6"/>
    <w:rsid w:val="009A7B0B"/>
    <w:rsid w:val="009A7B0C"/>
    <w:rsid w:val="009A7D00"/>
    <w:rsid w:val="009A7D84"/>
    <w:rsid w:val="009A7E60"/>
    <w:rsid w:val="009A7EDD"/>
    <w:rsid w:val="009A7F2C"/>
    <w:rsid w:val="009B00B1"/>
    <w:rsid w:val="009B01B6"/>
    <w:rsid w:val="009B01D1"/>
    <w:rsid w:val="009B0269"/>
    <w:rsid w:val="009B02FE"/>
    <w:rsid w:val="009B0A77"/>
    <w:rsid w:val="009B0B5A"/>
    <w:rsid w:val="009B0CD7"/>
    <w:rsid w:val="009B0DC4"/>
    <w:rsid w:val="009B1026"/>
    <w:rsid w:val="009B10DD"/>
    <w:rsid w:val="009B10E3"/>
    <w:rsid w:val="009B1114"/>
    <w:rsid w:val="009B1203"/>
    <w:rsid w:val="009B160E"/>
    <w:rsid w:val="009B167B"/>
    <w:rsid w:val="009B1744"/>
    <w:rsid w:val="009B179D"/>
    <w:rsid w:val="009B18DF"/>
    <w:rsid w:val="009B191A"/>
    <w:rsid w:val="009B194A"/>
    <w:rsid w:val="009B19B6"/>
    <w:rsid w:val="009B1B8F"/>
    <w:rsid w:val="009B1C48"/>
    <w:rsid w:val="009B1CAD"/>
    <w:rsid w:val="009B1CD3"/>
    <w:rsid w:val="009B1CE4"/>
    <w:rsid w:val="009B1D46"/>
    <w:rsid w:val="009B1D68"/>
    <w:rsid w:val="009B1D86"/>
    <w:rsid w:val="009B1E56"/>
    <w:rsid w:val="009B1EB1"/>
    <w:rsid w:val="009B200C"/>
    <w:rsid w:val="009B2096"/>
    <w:rsid w:val="009B2128"/>
    <w:rsid w:val="009B221B"/>
    <w:rsid w:val="009B225A"/>
    <w:rsid w:val="009B2287"/>
    <w:rsid w:val="009B2322"/>
    <w:rsid w:val="009B2329"/>
    <w:rsid w:val="009B239E"/>
    <w:rsid w:val="009B23B6"/>
    <w:rsid w:val="009B2540"/>
    <w:rsid w:val="009B258F"/>
    <w:rsid w:val="009B2593"/>
    <w:rsid w:val="009B25B0"/>
    <w:rsid w:val="009B27B8"/>
    <w:rsid w:val="009B27FE"/>
    <w:rsid w:val="009B28D8"/>
    <w:rsid w:val="009B28DE"/>
    <w:rsid w:val="009B29E4"/>
    <w:rsid w:val="009B2A0F"/>
    <w:rsid w:val="009B2AA3"/>
    <w:rsid w:val="009B2AE4"/>
    <w:rsid w:val="009B2B5F"/>
    <w:rsid w:val="009B2C8A"/>
    <w:rsid w:val="009B2CC5"/>
    <w:rsid w:val="009B2D89"/>
    <w:rsid w:val="009B2FB4"/>
    <w:rsid w:val="009B3130"/>
    <w:rsid w:val="009B3308"/>
    <w:rsid w:val="009B343C"/>
    <w:rsid w:val="009B3553"/>
    <w:rsid w:val="009B3565"/>
    <w:rsid w:val="009B364D"/>
    <w:rsid w:val="009B36F6"/>
    <w:rsid w:val="009B38B6"/>
    <w:rsid w:val="009B3A4D"/>
    <w:rsid w:val="009B3A65"/>
    <w:rsid w:val="009B3C6B"/>
    <w:rsid w:val="009B3D94"/>
    <w:rsid w:val="009B3DF2"/>
    <w:rsid w:val="009B422A"/>
    <w:rsid w:val="009B427B"/>
    <w:rsid w:val="009B429F"/>
    <w:rsid w:val="009B43F3"/>
    <w:rsid w:val="009B4445"/>
    <w:rsid w:val="009B4488"/>
    <w:rsid w:val="009B44EC"/>
    <w:rsid w:val="009B45C4"/>
    <w:rsid w:val="009B4681"/>
    <w:rsid w:val="009B47CD"/>
    <w:rsid w:val="009B486F"/>
    <w:rsid w:val="009B48AC"/>
    <w:rsid w:val="009B48B2"/>
    <w:rsid w:val="009B49CB"/>
    <w:rsid w:val="009B4A70"/>
    <w:rsid w:val="009B4B6B"/>
    <w:rsid w:val="009B4BEC"/>
    <w:rsid w:val="009B4DCC"/>
    <w:rsid w:val="009B4EB4"/>
    <w:rsid w:val="009B4F0A"/>
    <w:rsid w:val="009B4F68"/>
    <w:rsid w:val="009B4FE4"/>
    <w:rsid w:val="009B4FF0"/>
    <w:rsid w:val="009B50EC"/>
    <w:rsid w:val="009B51C3"/>
    <w:rsid w:val="009B51E3"/>
    <w:rsid w:val="009B522B"/>
    <w:rsid w:val="009B5369"/>
    <w:rsid w:val="009B5446"/>
    <w:rsid w:val="009B5483"/>
    <w:rsid w:val="009B562E"/>
    <w:rsid w:val="009B573F"/>
    <w:rsid w:val="009B575F"/>
    <w:rsid w:val="009B5804"/>
    <w:rsid w:val="009B588B"/>
    <w:rsid w:val="009B58CF"/>
    <w:rsid w:val="009B5985"/>
    <w:rsid w:val="009B5988"/>
    <w:rsid w:val="009B59C0"/>
    <w:rsid w:val="009B5AC0"/>
    <w:rsid w:val="009B5C83"/>
    <w:rsid w:val="009B5EFB"/>
    <w:rsid w:val="009B61A4"/>
    <w:rsid w:val="009B61E3"/>
    <w:rsid w:val="009B628C"/>
    <w:rsid w:val="009B62BA"/>
    <w:rsid w:val="009B63BF"/>
    <w:rsid w:val="009B64C5"/>
    <w:rsid w:val="009B657D"/>
    <w:rsid w:val="009B679F"/>
    <w:rsid w:val="009B682A"/>
    <w:rsid w:val="009B6837"/>
    <w:rsid w:val="009B684C"/>
    <w:rsid w:val="009B68A7"/>
    <w:rsid w:val="009B68BA"/>
    <w:rsid w:val="009B68E0"/>
    <w:rsid w:val="009B6908"/>
    <w:rsid w:val="009B695C"/>
    <w:rsid w:val="009B6A18"/>
    <w:rsid w:val="009B6A70"/>
    <w:rsid w:val="009B6C56"/>
    <w:rsid w:val="009B6F16"/>
    <w:rsid w:val="009B7059"/>
    <w:rsid w:val="009B70B5"/>
    <w:rsid w:val="009B7139"/>
    <w:rsid w:val="009B7145"/>
    <w:rsid w:val="009B724D"/>
    <w:rsid w:val="009B72A3"/>
    <w:rsid w:val="009B72E4"/>
    <w:rsid w:val="009B73F5"/>
    <w:rsid w:val="009B74E1"/>
    <w:rsid w:val="009B7542"/>
    <w:rsid w:val="009B7579"/>
    <w:rsid w:val="009B75EE"/>
    <w:rsid w:val="009B772D"/>
    <w:rsid w:val="009B779D"/>
    <w:rsid w:val="009B77E0"/>
    <w:rsid w:val="009B7955"/>
    <w:rsid w:val="009B7C1E"/>
    <w:rsid w:val="009B7C79"/>
    <w:rsid w:val="009B7DF7"/>
    <w:rsid w:val="009B7DFB"/>
    <w:rsid w:val="009B7E1F"/>
    <w:rsid w:val="009B7EA0"/>
    <w:rsid w:val="009B7EEE"/>
    <w:rsid w:val="009B7FE8"/>
    <w:rsid w:val="009C0040"/>
    <w:rsid w:val="009C01BF"/>
    <w:rsid w:val="009C01EE"/>
    <w:rsid w:val="009C02AE"/>
    <w:rsid w:val="009C02BC"/>
    <w:rsid w:val="009C02F7"/>
    <w:rsid w:val="009C04C5"/>
    <w:rsid w:val="009C0551"/>
    <w:rsid w:val="009C0776"/>
    <w:rsid w:val="009C0852"/>
    <w:rsid w:val="009C0C4E"/>
    <w:rsid w:val="009C0C80"/>
    <w:rsid w:val="009C0CB3"/>
    <w:rsid w:val="009C0CC7"/>
    <w:rsid w:val="009C0D2C"/>
    <w:rsid w:val="009C10B0"/>
    <w:rsid w:val="009C1123"/>
    <w:rsid w:val="009C119B"/>
    <w:rsid w:val="009C11CF"/>
    <w:rsid w:val="009C1216"/>
    <w:rsid w:val="009C130B"/>
    <w:rsid w:val="009C1321"/>
    <w:rsid w:val="009C13C7"/>
    <w:rsid w:val="009C14B2"/>
    <w:rsid w:val="009C1501"/>
    <w:rsid w:val="009C173C"/>
    <w:rsid w:val="009C1981"/>
    <w:rsid w:val="009C1A2E"/>
    <w:rsid w:val="009C1AF4"/>
    <w:rsid w:val="009C1C43"/>
    <w:rsid w:val="009C1D97"/>
    <w:rsid w:val="009C1DDD"/>
    <w:rsid w:val="009C1FE1"/>
    <w:rsid w:val="009C206A"/>
    <w:rsid w:val="009C20C1"/>
    <w:rsid w:val="009C20F0"/>
    <w:rsid w:val="009C20FB"/>
    <w:rsid w:val="009C2346"/>
    <w:rsid w:val="009C2526"/>
    <w:rsid w:val="009C2701"/>
    <w:rsid w:val="009C2852"/>
    <w:rsid w:val="009C29CC"/>
    <w:rsid w:val="009C2A1D"/>
    <w:rsid w:val="009C2B28"/>
    <w:rsid w:val="009C2B62"/>
    <w:rsid w:val="009C2C37"/>
    <w:rsid w:val="009C2D9E"/>
    <w:rsid w:val="009C2E02"/>
    <w:rsid w:val="009C2E05"/>
    <w:rsid w:val="009C2E4E"/>
    <w:rsid w:val="009C2F72"/>
    <w:rsid w:val="009C3066"/>
    <w:rsid w:val="009C31CE"/>
    <w:rsid w:val="009C32DD"/>
    <w:rsid w:val="009C34BE"/>
    <w:rsid w:val="009C37C4"/>
    <w:rsid w:val="009C37C8"/>
    <w:rsid w:val="009C3828"/>
    <w:rsid w:val="009C3B46"/>
    <w:rsid w:val="009C3B7C"/>
    <w:rsid w:val="009C3C4D"/>
    <w:rsid w:val="009C3C4E"/>
    <w:rsid w:val="009C3CCD"/>
    <w:rsid w:val="009C3DC1"/>
    <w:rsid w:val="009C3E8D"/>
    <w:rsid w:val="009C4041"/>
    <w:rsid w:val="009C4329"/>
    <w:rsid w:val="009C4417"/>
    <w:rsid w:val="009C46EC"/>
    <w:rsid w:val="009C4897"/>
    <w:rsid w:val="009C4983"/>
    <w:rsid w:val="009C49B3"/>
    <w:rsid w:val="009C4DA4"/>
    <w:rsid w:val="009C4DFB"/>
    <w:rsid w:val="009C4F32"/>
    <w:rsid w:val="009C4F33"/>
    <w:rsid w:val="009C4FCA"/>
    <w:rsid w:val="009C4FFE"/>
    <w:rsid w:val="009C5101"/>
    <w:rsid w:val="009C5232"/>
    <w:rsid w:val="009C5757"/>
    <w:rsid w:val="009C589C"/>
    <w:rsid w:val="009C58D2"/>
    <w:rsid w:val="009C59C8"/>
    <w:rsid w:val="009C59D0"/>
    <w:rsid w:val="009C5CB5"/>
    <w:rsid w:val="009C5D2B"/>
    <w:rsid w:val="009C5D78"/>
    <w:rsid w:val="009C6069"/>
    <w:rsid w:val="009C619D"/>
    <w:rsid w:val="009C61AA"/>
    <w:rsid w:val="009C61D3"/>
    <w:rsid w:val="009C61E8"/>
    <w:rsid w:val="009C628C"/>
    <w:rsid w:val="009C631A"/>
    <w:rsid w:val="009C63A4"/>
    <w:rsid w:val="009C64AF"/>
    <w:rsid w:val="009C6571"/>
    <w:rsid w:val="009C65EB"/>
    <w:rsid w:val="009C661A"/>
    <w:rsid w:val="009C665C"/>
    <w:rsid w:val="009C66FC"/>
    <w:rsid w:val="009C6812"/>
    <w:rsid w:val="009C6A0D"/>
    <w:rsid w:val="009C6B64"/>
    <w:rsid w:val="009C6BEA"/>
    <w:rsid w:val="009C6C21"/>
    <w:rsid w:val="009C6C88"/>
    <w:rsid w:val="009C6CF1"/>
    <w:rsid w:val="009C6D77"/>
    <w:rsid w:val="009C6F88"/>
    <w:rsid w:val="009C705D"/>
    <w:rsid w:val="009C7178"/>
    <w:rsid w:val="009C72B3"/>
    <w:rsid w:val="009C7437"/>
    <w:rsid w:val="009C74FF"/>
    <w:rsid w:val="009C75DF"/>
    <w:rsid w:val="009C75F4"/>
    <w:rsid w:val="009C7666"/>
    <w:rsid w:val="009C76EE"/>
    <w:rsid w:val="009C7840"/>
    <w:rsid w:val="009C786D"/>
    <w:rsid w:val="009C78AA"/>
    <w:rsid w:val="009C78E8"/>
    <w:rsid w:val="009C7A05"/>
    <w:rsid w:val="009C7B34"/>
    <w:rsid w:val="009C7B41"/>
    <w:rsid w:val="009C7BD3"/>
    <w:rsid w:val="009C7CCA"/>
    <w:rsid w:val="009C7D69"/>
    <w:rsid w:val="009C7D75"/>
    <w:rsid w:val="009C7DDF"/>
    <w:rsid w:val="009C7DED"/>
    <w:rsid w:val="009C7E1D"/>
    <w:rsid w:val="009C7E3E"/>
    <w:rsid w:val="009D00D8"/>
    <w:rsid w:val="009D00E3"/>
    <w:rsid w:val="009D01AD"/>
    <w:rsid w:val="009D01BE"/>
    <w:rsid w:val="009D028E"/>
    <w:rsid w:val="009D053F"/>
    <w:rsid w:val="009D0574"/>
    <w:rsid w:val="009D0692"/>
    <w:rsid w:val="009D077A"/>
    <w:rsid w:val="009D07CB"/>
    <w:rsid w:val="009D0849"/>
    <w:rsid w:val="009D0864"/>
    <w:rsid w:val="009D0A2C"/>
    <w:rsid w:val="009D0A4C"/>
    <w:rsid w:val="009D0A91"/>
    <w:rsid w:val="009D0C3B"/>
    <w:rsid w:val="009D0D19"/>
    <w:rsid w:val="009D0E15"/>
    <w:rsid w:val="009D0EA4"/>
    <w:rsid w:val="009D0F1B"/>
    <w:rsid w:val="009D0F64"/>
    <w:rsid w:val="009D1194"/>
    <w:rsid w:val="009D11EC"/>
    <w:rsid w:val="009D1471"/>
    <w:rsid w:val="009D14A5"/>
    <w:rsid w:val="009D14C1"/>
    <w:rsid w:val="009D16CC"/>
    <w:rsid w:val="009D1816"/>
    <w:rsid w:val="009D1877"/>
    <w:rsid w:val="009D18BB"/>
    <w:rsid w:val="009D1A5D"/>
    <w:rsid w:val="009D1B52"/>
    <w:rsid w:val="009D1BFB"/>
    <w:rsid w:val="009D1D60"/>
    <w:rsid w:val="009D1ED1"/>
    <w:rsid w:val="009D1FCD"/>
    <w:rsid w:val="009D20D7"/>
    <w:rsid w:val="009D21B4"/>
    <w:rsid w:val="009D228E"/>
    <w:rsid w:val="009D2420"/>
    <w:rsid w:val="009D243E"/>
    <w:rsid w:val="009D24EE"/>
    <w:rsid w:val="009D25D9"/>
    <w:rsid w:val="009D2633"/>
    <w:rsid w:val="009D2653"/>
    <w:rsid w:val="009D2751"/>
    <w:rsid w:val="009D2791"/>
    <w:rsid w:val="009D28B8"/>
    <w:rsid w:val="009D28C6"/>
    <w:rsid w:val="009D2939"/>
    <w:rsid w:val="009D2958"/>
    <w:rsid w:val="009D2B44"/>
    <w:rsid w:val="009D2B5D"/>
    <w:rsid w:val="009D2B89"/>
    <w:rsid w:val="009D2BD0"/>
    <w:rsid w:val="009D2BE7"/>
    <w:rsid w:val="009D2C52"/>
    <w:rsid w:val="009D2C96"/>
    <w:rsid w:val="009D2CBE"/>
    <w:rsid w:val="009D2D41"/>
    <w:rsid w:val="009D2D5B"/>
    <w:rsid w:val="009D311F"/>
    <w:rsid w:val="009D315F"/>
    <w:rsid w:val="009D33C6"/>
    <w:rsid w:val="009D36FF"/>
    <w:rsid w:val="009D3749"/>
    <w:rsid w:val="009D378E"/>
    <w:rsid w:val="009D39C4"/>
    <w:rsid w:val="009D3AC0"/>
    <w:rsid w:val="009D3B6B"/>
    <w:rsid w:val="009D3E7C"/>
    <w:rsid w:val="009D3EC7"/>
    <w:rsid w:val="009D4161"/>
    <w:rsid w:val="009D41BD"/>
    <w:rsid w:val="009D423B"/>
    <w:rsid w:val="009D43A8"/>
    <w:rsid w:val="009D4421"/>
    <w:rsid w:val="009D44BD"/>
    <w:rsid w:val="009D46A4"/>
    <w:rsid w:val="009D474C"/>
    <w:rsid w:val="009D4898"/>
    <w:rsid w:val="009D4AC5"/>
    <w:rsid w:val="009D4B3C"/>
    <w:rsid w:val="009D4B64"/>
    <w:rsid w:val="009D4C87"/>
    <w:rsid w:val="009D4ED9"/>
    <w:rsid w:val="009D4EE7"/>
    <w:rsid w:val="009D502E"/>
    <w:rsid w:val="009D50D2"/>
    <w:rsid w:val="009D5158"/>
    <w:rsid w:val="009D5399"/>
    <w:rsid w:val="009D543F"/>
    <w:rsid w:val="009D5516"/>
    <w:rsid w:val="009D5584"/>
    <w:rsid w:val="009D5588"/>
    <w:rsid w:val="009D56BC"/>
    <w:rsid w:val="009D56FB"/>
    <w:rsid w:val="009D5964"/>
    <w:rsid w:val="009D59D3"/>
    <w:rsid w:val="009D5A07"/>
    <w:rsid w:val="009D5A24"/>
    <w:rsid w:val="009D5BBA"/>
    <w:rsid w:val="009D5C7D"/>
    <w:rsid w:val="009D5CBD"/>
    <w:rsid w:val="009D5DD4"/>
    <w:rsid w:val="009D5DEE"/>
    <w:rsid w:val="009D604F"/>
    <w:rsid w:val="009D615D"/>
    <w:rsid w:val="009D622B"/>
    <w:rsid w:val="009D6386"/>
    <w:rsid w:val="009D6460"/>
    <w:rsid w:val="009D649B"/>
    <w:rsid w:val="009D64F8"/>
    <w:rsid w:val="009D6527"/>
    <w:rsid w:val="009D6787"/>
    <w:rsid w:val="009D6887"/>
    <w:rsid w:val="009D6CDC"/>
    <w:rsid w:val="009D6E72"/>
    <w:rsid w:val="009D6E79"/>
    <w:rsid w:val="009D6F34"/>
    <w:rsid w:val="009D70B9"/>
    <w:rsid w:val="009D7141"/>
    <w:rsid w:val="009D7289"/>
    <w:rsid w:val="009D72DF"/>
    <w:rsid w:val="009D745B"/>
    <w:rsid w:val="009D75B3"/>
    <w:rsid w:val="009D7615"/>
    <w:rsid w:val="009D76A6"/>
    <w:rsid w:val="009D7740"/>
    <w:rsid w:val="009D77D8"/>
    <w:rsid w:val="009D7869"/>
    <w:rsid w:val="009D7898"/>
    <w:rsid w:val="009D78A2"/>
    <w:rsid w:val="009D7906"/>
    <w:rsid w:val="009D7B4A"/>
    <w:rsid w:val="009D7C1C"/>
    <w:rsid w:val="009D7C46"/>
    <w:rsid w:val="009D7F3B"/>
    <w:rsid w:val="009E035F"/>
    <w:rsid w:val="009E03DD"/>
    <w:rsid w:val="009E0512"/>
    <w:rsid w:val="009E05C2"/>
    <w:rsid w:val="009E0862"/>
    <w:rsid w:val="009E0B81"/>
    <w:rsid w:val="009E0C54"/>
    <w:rsid w:val="009E0D07"/>
    <w:rsid w:val="009E0E5D"/>
    <w:rsid w:val="009E0EC3"/>
    <w:rsid w:val="009E108A"/>
    <w:rsid w:val="009E134F"/>
    <w:rsid w:val="009E1480"/>
    <w:rsid w:val="009E14F1"/>
    <w:rsid w:val="009E15AD"/>
    <w:rsid w:val="009E15CF"/>
    <w:rsid w:val="009E15FF"/>
    <w:rsid w:val="009E17E9"/>
    <w:rsid w:val="009E1896"/>
    <w:rsid w:val="009E1996"/>
    <w:rsid w:val="009E1A1A"/>
    <w:rsid w:val="009E1AE7"/>
    <w:rsid w:val="009E1CA5"/>
    <w:rsid w:val="009E1CED"/>
    <w:rsid w:val="009E1F25"/>
    <w:rsid w:val="009E2039"/>
    <w:rsid w:val="009E2056"/>
    <w:rsid w:val="009E20AA"/>
    <w:rsid w:val="009E2117"/>
    <w:rsid w:val="009E2152"/>
    <w:rsid w:val="009E2159"/>
    <w:rsid w:val="009E243B"/>
    <w:rsid w:val="009E24B8"/>
    <w:rsid w:val="009E25D9"/>
    <w:rsid w:val="009E2743"/>
    <w:rsid w:val="009E277A"/>
    <w:rsid w:val="009E28E7"/>
    <w:rsid w:val="009E294A"/>
    <w:rsid w:val="009E2AD4"/>
    <w:rsid w:val="009E2B4D"/>
    <w:rsid w:val="009E2CCA"/>
    <w:rsid w:val="009E2E49"/>
    <w:rsid w:val="009E2F25"/>
    <w:rsid w:val="009E305A"/>
    <w:rsid w:val="009E3136"/>
    <w:rsid w:val="009E3157"/>
    <w:rsid w:val="009E3201"/>
    <w:rsid w:val="009E3209"/>
    <w:rsid w:val="009E3284"/>
    <w:rsid w:val="009E3394"/>
    <w:rsid w:val="009E3398"/>
    <w:rsid w:val="009E366C"/>
    <w:rsid w:val="009E38C4"/>
    <w:rsid w:val="009E3972"/>
    <w:rsid w:val="009E397E"/>
    <w:rsid w:val="009E39E0"/>
    <w:rsid w:val="009E3A2A"/>
    <w:rsid w:val="009E3AE7"/>
    <w:rsid w:val="009E3B08"/>
    <w:rsid w:val="009E3E36"/>
    <w:rsid w:val="009E3EB7"/>
    <w:rsid w:val="009E40E3"/>
    <w:rsid w:val="009E4310"/>
    <w:rsid w:val="009E43A0"/>
    <w:rsid w:val="009E43D9"/>
    <w:rsid w:val="009E441D"/>
    <w:rsid w:val="009E455E"/>
    <w:rsid w:val="009E45AD"/>
    <w:rsid w:val="009E4679"/>
    <w:rsid w:val="009E49FF"/>
    <w:rsid w:val="009E4C44"/>
    <w:rsid w:val="009E4C4B"/>
    <w:rsid w:val="009E4C6D"/>
    <w:rsid w:val="009E4CAB"/>
    <w:rsid w:val="009E4CE6"/>
    <w:rsid w:val="009E4D5D"/>
    <w:rsid w:val="009E4D66"/>
    <w:rsid w:val="009E4DB7"/>
    <w:rsid w:val="009E4ED5"/>
    <w:rsid w:val="009E4F3E"/>
    <w:rsid w:val="009E4F92"/>
    <w:rsid w:val="009E50F9"/>
    <w:rsid w:val="009E5237"/>
    <w:rsid w:val="009E524C"/>
    <w:rsid w:val="009E5389"/>
    <w:rsid w:val="009E53A1"/>
    <w:rsid w:val="009E5565"/>
    <w:rsid w:val="009E556B"/>
    <w:rsid w:val="009E5576"/>
    <w:rsid w:val="009E55AC"/>
    <w:rsid w:val="009E5901"/>
    <w:rsid w:val="009E5B74"/>
    <w:rsid w:val="009E5B90"/>
    <w:rsid w:val="009E5C30"/>
    <w:rsid w:val="009E5C31"/>
    <w:rsid w:val="009E5CE9"/>
    <w:rsid w:val="009E5D12"/>
    <w:rsid w:val="009E5F1B"/>
    <w:rsid w:val="009E5FDE"/>
    <w:rsid w:val="009E60BC"/>
    <w:rsid w:val="009E6208"/>
    <w:rsid w:val="009E6301"/>
    <w:rsid w:val="009E6336"/>
    <w:rsid w:val="009E6445"/>
    <w:rsid w:val="009E66C0"/>
    <w:rsid w:val="009E671F"/>
    <w:rsid w:val="009E6978"/>
    <w:rsid w:val="009E6983"/>
    <w:rsid w:val="009E6A14"/>
    <w:rsid w:val="009E6B3B"/>
    <w:rsid w:val="009E6C5C"/>
    <w:rsid w:val="009E6D17"/>
    <w:rsid w:val="009E6F87"/>
    <w:rsid w:val="009E7068"/>
    <w:rsid w:val="009E7473"/>
    <w:rsid w:val="009E748D"/>
    <w:rsid w:val="009E74E0"/>
    <w:rsid w:val="009E7552"/>
    <w:rsid w:val="009E761C"/>
    <w:rsid w:val="009E763D"/>
    <w:rsid w:val="009E79F7"/>
    <w:rsid w:val="009E7B32"/>
    <w:rsid w:val="009E7CA0"/>
    <w:rsid w:val="009E7D61"/>
    <w:rsid w:val="009E7F9E"/>
    <w:rsid w:val="009F00D1"/>
    <w:rsid w:val="009F0248"/>
    <w:rsid w:val="009F0416"/>
    <w:rsid w:val="009F04F6"/>
    <w:rsid w:val="009F0574"/>
    <w:rsid w:val="009F0649"/>
    <w:rsid w:val="009F0654"/>
    <w:rsid w:val="009F0681"/>
    <w:rsid w:val="009F074B"/>
    <w:rsid w:val="009F077D"/>
    <w:rsid w:val="009F08FA"/>
    <w:rsid w:val="009F0913"/>
    <w:rsid w:val="009F0ABD"/>
    <w:rsid w:val="009F0C22"/>
    <w:rsid w:val="009F0F0A"/>
    <w:rsid w:val="009F0F23"/>
    <w:rsid w:val="009F0F33"/>
    <w:rsid w:val="009F0F55"/>
    <w:rsid w:val="009F1032"/>
    <w:rsid w:val="009F10D0"/>
    <w:rsid w:val="009F121D"/>
    <w:rsid w:val="009F1423"/>
    <w:rsid w:val="009F164F"/>
    <w:rsid w:val="009F1705"/>
    <w:rsid w:val="009F1B01"/>
    <w:rsid w:val="009F1B74"/>
    <w:rsid w:val="009F1B7D"/>
    <w:rsid w:val="009F1B7F"/>
    <w:rsid w:val="009F1BDA"/>
    <w:rsid w:val="009F1C4B"/>
    <w:rsid w:val="009F1C9C"/>
    <w:rsid w:val="009F1D7C"/>
    <w:rsid w:val="009F1DAE"/>
    <w:rsid w:val="009F200F"/>
    <w:rsid w:val="009F2076"/>
    <w:rsid w:val="009F2143"/>
    <w:rsid w:val="009F219E"/>
    <w:rsid w:val="009F23C6"/>
    <w:rsid w:val="009F23EE"/>
    <w:rsid w:val="009F24F7"/>
    <w:rsid w:val="009F2501"/>
    <w:rsid w:val="009F263B"/>
    <w:rsid w:val="009F265F"/>
    <w:rsid w:val="009F2694"/>
    <w:rsid w:val="009F2775"/>
    <w:rsid w:val="009F277F"/>
    <w:rsid w:val="009F2843"/>
    <w:rsid w:val="009F2960"/>
    <w:rsid w:val="009F2A8A"/>
    <w:rsid w:val="009F2B05"/>
    <w:rsid w:val="009F2B5C"/>
    <w:rsid w:val="009F2CB3"/>
    <w:rsid w:val="009F2D49"/>
    <w:rsid w:val="009F2D55"/>
    <w:rsid w:val="009F2DF5"/>
    <w:rsid w:val="009F2E8B"/>
    <w:rsid w:val="009F309F"/>
    <w:rsid w:val="009F3392"/>
    <w:rsid w:val="009F33B1"/>
    <w:rsid w:val="009F3453"/>
    <w:rsid w:val="009F35CA"/>
    <w:rsid w:val="009F36F5"/>
    <w:rsid w:val="009F38E7"/>
    <w:rsid w:val="009F3A01"/>
    <w:rsid w:val="009F3BBA"/>
    <w:rsid w:val="009F3C24"/>
    <w:rsid w:val="009F3DFE"/>
    <w:rsid w:val="009F3FED"/>
    <w:rsid w:val="009F4072"/>
    <w:rsid w:val="009F4263"/>
    <w:rsid w:val="009F42AE"/>
    <w:rsid w:val="009F438A"/>
    <w:rsid w:val="009F43E2"/>
    <w:rsid w:val="009F4401"/>
    <w:rsid w:val="009F4490"/>
    <w:rsid w:val="009F44B7"/>
    <w:rsid w:val="009F450B"/>
    <w:rsid w:val="009F47AE"/>
    <w:rsid w:val="009F47F9"/>
    <w:rsid w:val="009F4800"/>
    <w:rsid w:val="009F4A15"/>
    <w:rsid w:val="009F4A92"/>
    <w:rsid w:val="009F4C42"/>
    <w:rsid w:val="009F4DF5"/>
    <w:rsid w:val="009F4DFB"/>
    <w:rsid w:val="009F5167"/>
    <w:rsid w:val="009F5396"/>
    <w:rsid w:val="009F5694"/>
    <w:rsid w:val="009F57A9"/>
    <w:rsid w:val="009F5926"/>
    <w:rsid w:val="009F5ABB"/>
    <w:rsid w:val="009F5AC0"/>
    <w:rsid w:val="009F5C21"/>
    <w:rsid w:val="009F5D25"/>
    <w:rsid w:val="009F5DBB"/>
    <w:rsid w:val="009F5E2F"/>
    <w:rsid w:val="009F5FD8"/>
    <w:rsid w:val="009F5FE1"/>
    <w:rsid w:val="009F60B3"/>
    <w:rsid w:val="009F60BE"/>
    <w:rsid w:val="009F60D8"/>
    <w:rsid w:val="009F63C0"/>
    <w:rsid w:val="009F647E"/>
    <w:rsid w:val="009F6483"/>
    <w:rsid w:val="009F64A5"/>
    <w:rsid w:val="009F64D8"/>
    <w:rsid w:val="009F6631"/>
    <w:rsid w:val="009F66C1"/>
    <w:rsid w:val="009F67B0"/>
    <w:rsid w:val="009F6CE7"/>
    <w:rsid w:val="009F6DE9"/>
    <w:rsid w:val="009F6E01"/>
    <w:rsid w:val="009F6E80"/>
    <w:rsid w:val="009F6FAE"/>
    <w:rsid w:val="009F71F2"/>
    <w:rsid w:val="009F72BE"/>
    <w:rsid w:val="009F72D8"/>
    <w:rsid w:val="009F744A"/>
    <w:rsid w:val="009F763D"/>
    <w:rsid w:val="009F7849"/>
    <w:rsid w:val="009F7888"/>
    <w:rsid w:val="009F7A4D"/>
    <w:rsid w:val="009F7ACD"/>
    <w:rsid w:val="009F7D29"/>
    <w:rsid w:val="009F7D7B"/>
    <w:rsid w:val="009F7DFB"/>
    <w:rsid w:val="009F7EF4"/>
    <w:rsid w:val="00A0000C"/>
    <w:rsid w:val="00A001E7"/>
    <w:rsid w:val="00A00205"/>
    <w:rsid w:val="00A00531"/>
    <w:rsid w:val="00A0070E"/>
    <w:rsid w:val="00A0071B"/>
    <w:rsid w:val="00A00868"/>
    <w:rsid w:val="00A00901"/>
    <w:rsid w:val="00A00ACC"/>
    <w:rsid w:val="00A00BC0"/>
    <w:rsid w:val="00A00C4E"/>
    <w:rsid w:val="00A00DE2"/>
    <w:rsid w:val="00A00DE5"/>
    <w:rsid w:val="00A00EE8"/>
    <w:rsid w:val="00A010D9"/>
    <w:rsid w:val="00A011EE"/>
    <w:rsid w:val="00A0122A"/>
    <w:rsid w:val="00A01239"/>
    <w:rsid w:val="00A01288"/>
    <w:rsid w:val="00A01349"/>
    <w:rsid w:val="00A01357"/>
    <w:rsid w:val="00A0137A"/>
    <w:rsid w:val="00A014BA"/>
    <w:rsid w:val="00A014C2"/>
    <w:rsid w:val="00A016E7"/>
    <w:rsid w:val="00A017A2"/>
    <w:rsid w:val="00A017D7"/>
    <w:rsid w:val="00A019F1"/>
    <w:rsid w:val="00A01A12"/>
    <w:rsid w:val="00A01A74"/>
    <w:rsid w:val="00A01B04"/>
    <w:rsid w:val="00A01B30"/>
    <w:rsid w:val="00A01B83"/>
    <w:rsid w:val="00A01C95"/>
    <w:rsid w:val="00A01E1D"/>
    <w:rsid w:val="00A01F09"/>
    <w:rsid w:val="00A020DF"/>
    <w:rsid w:val="00A021E5"/>
    <w:rsid w:val="00A022D0"/>
    <w:rsid w:val="00A023A1"/>
    <w:rsid w:val="00A0243E"/>
    <w:rsid w:val="00A0249C"/>
    <w:rsid w:val="00A024A6"/>
    <w:rsid w:val="00A02550"/>
    <w:rsid w:val="00A026AD"/>
    <w:rsid w:val="00A026E9"/>
    <w:rsid w:val="00A02729"/>
    <w:rsid w:val="00A0278E"/>
    <w:rsid w:val="00A02832"/>
    <w:rsid w:val="00A02890"/>
    <w:rsid w:val="00A028B4"/>
    <w:rsid w:val="00A028D0"/>
    <w:rsid w:val="00A02926"/>
    <w:rsid w:val="00A02AD7"/>
    <w:rsid w:val="00A02AE8"/>
    <w:rsid w:val="00A02B3E"/>
    <w:rsid w:val="00A02D63"/>
    <w:rsid w:val="00A02E1B"/>
    <w:rsid w:val="00A02E3F"/>
    <w:rsid w:val="00A02EA8"/>
    <w:rsid w:val="00A02EF3"/>
    <w:rsid w:val="00A03004"/>
    <w:rsid w:val="00A0300A"/>
    <w:rsid w:val="00A03093"/>
    <w:rsid w:val="00A0309A"/>
    <w:rsid w:val="00A03105"/>
    <w:rsid w:val="00A03221"/>
    <w:rsid w:val="00A03316"/>
    <w:rsid w:val="00A03435"/>
    <w:rsid w:val="00A035A9"/>
    <w:rsid w:val="00A03828"/>
    <w:rsid w:val="00A038E2"/>
    <w:rsid w:val="00A039F4"/>
    <w:rsid w:val="00A039FD"/>
    <w:rsid w:val="00A03AB1"/>
    <w:rsid w:val="00A03BB4"/>
    <w:rsid w:val="00A03BE4"/>
    <w:rsid w:val="00A040E2"/>
    <w:rsid w:val="00A041D2"/>
    <w:rsid w:val="00A04363"/>
    <w:rsid w:val="00A043FD"/>
    <w:rsid w:val="00A044DC"/>
    <w:rsid w:val="00A0456A"/>
    <w:rsid w:val="00A0461F"/>
    <w:rsid w:val="00A046C7"/>
    <w:rsid w:val="00A046E6"/>
    <w:rsid w:val="00A0477E"/>
    <w:rsid w:val="00A04EA9"/>
    <w:rsid w:val="00A05250"/>
    <w:rsid w:val="00A05301"/>
    <w:rsid w:val="00A053BD"/>
    <w:rsid w:val="00A053E9"/>
    <w:rsid w:val="00A05421"/>
    <w:rsid w:val="00A05715"/>
    <w:rsid w:val="00A05788"/>
    <w:rsid w:val="00A057BB"/>
    <w:rsid w:val="00A0596A"/>
    <w:rsid w:val="00A059CA"/>
    <w:rsid w:val="00A05AFB"/>
    <w:rsid w:val="00A05B29"/>
    <w:rsid w:val="00A05D32"/>
    <w:rsid w:val="00A05E57"/>
    <w:rsid w:val="00A06211"/>
    <w:rsid w:val="00A06344"/>
    <w:rsid w:val="00A063AC"/>
    <w:rsid w:val="00A06437"/>
    <w:rsid w:val="00A066C1"/>
    <w:rsid w:val="00A067B7"/>
    <w:rsid w:val="00A068E7"/>
    <w:rsid w:val="00A06933"/>
    <w:rsid w:val="00A06A48"/>
    <w:rsid w:val="00A06BF1"/>
    <w:rsid w:val="00A06C58"/>
    <w:rsid w:val="00A06C74"/>
    <w:rsid w:val="00A06DE7"/>
    <w:rsid w:val="00A06F37"/>
    <w:rsid w:val="00A070B6"/>
    <w:rsid w:val="00A070FA"/>
    <w:rsid w:val="00A07197"/>
    <w:rsid w:val="00A072D4"/>
    <w:rsid w:val="00A073A1"/>
    <w:rsid w:val="00A0741B"/>
    <w:rsid w:val="00A0747A"/>
    <w:rsid w:val="00A0748A"/>
    <w:rsid w:val="00A0751C"/>
    <w:rsid w:val="00A075AC"/>
    <w:rsid w:val="00A07995"/>
    <w:rsid w:val="00A07B22"/>
    <w:rsid w:val="00A07C86"/>
    <w:rsid w:val="00A07E73"/>
    <w:rsid w:val="00A07E9A"/>
    <w:rsid w:val="00A07EB1"/>
    <w:rsid w:val="00A07F40"/>
    <w:rsid w:val="00A0811D"/>
    <w:rsid w:val="00A10011"/>
    <w:rsid w:val="00A10032"/>
    <w:rsid w:val="00A100E2"/>
    <w:rsid w:val="00A10107"/>
    <w:rsid w:val="00A101DC"/>
    <w:rsid w:val="00A10278"/>
    <w:rsid w:val="00A102FD"/>
    <w:rsid w:val="00A10342"/>
    <w:rsid w:val="00A104C2"/>
    <w:rsid w:val="00A10582"/>
    <w:rsid w:val="00A106E0"/>
    <w:rsid w:val="00A10749"/>
    <w:rsid w:val="00A10992"/>
    <w:rsid w:val="00A10BBE"/>
    <w:rsid w:val="00A10D1B"/>
    <w:rsid w:val="00A10F25"/>
    <w:rsid w:val="00A110FD"/>
    <w:rsid w:val="00A11167"/>
    <w:rsid w:val="00A1123D"/>
    <w:rsid w:val="00A11280"/>
    <w:rsid w:val="00A112E0"/>
    <w:rsid w:val="00A11370"/>
    <w:rsid w:val="00A1139B"/>
    <w:rsid w:val="00A113E3"/>
    <w:rsid w:val="00A114B9"/>
    <w:rsid w:val="00A114E7"/>
    <w:rsid w:val="00A11572"/>
    <w:rsid w:val="00A115C5"/>
    <w:rsid w:val="00A116F7"/>
    <w:rsid w:val="00A11944"/>
    <w:rsid w:val="00A1196F"/>
    <w:rsid w:val="00A11A76"/>
    <w:rsid w:val="00A11B27"/>
    <w:rsid w:val="00A11BC2"/>
    <w:rsid w:val="00A11C92"/>
    <w:rsid w:val="00A11E41"/>
    <w:rsid w:val="00A11E48"/>
    <w:rsid w:val="00A11E68"/>
    <w:rsid w:val="00A11F18"/>
    <w:rsid w:val="00A12124"/>
    <w:rsid w:val="00A1223D"/>
    <w:rsid w:val="00A122A6"/>
    <w:rsid w:val="00A1232C"/>
    <w:rsid w:val="00A1265E"/>
    <w:rsid w:val="00A127D7"/>
    <w:rsid w:val="00A12848"/>
    <w:rsid w:val="00A12942"/>
    <w:rsid w:val="00A12AD6"/>
    <w:rsid w:val="00A12C1E"/>
    <w:rsid w:val="00A12E73"/>
    <w:rsid w:val="00A12F51"/>
    <w:rsid w:val="00A131B9"/>
    <w:rsid w:val="00A133AB"/>
    <w:rsid w:val="00A134D1"/>
    <w:rsid w:val="00A134E5"/>
    <w:rsid w:val="00A1355E"/>
    <w:rsid w:val="00A13566"/>
    <w:rsid w:val="00A13697"/>
    <w:rsid w:val="00A137B2"/>
    <w:rsid w:val="00A137B4"/>
    <w:rsid w:val="00A13A64"/>
    <w:rsid w:val="00A13B63"/>
    <w:rsid w:val="00A13BAF"/>
    <w:rsid w:val="00A13CA8"/>
    <w:rsid w:val="00A13DDE"/>
    <w:rsid w:val="00A13EAE"/>
    <w:rsid w:val="00A13ECB"/>
    <w:rsid w:val="00A13FB0"/>
    <w:rsid w:val="00A140E8"/>
    <w:rsid w:val="00A14135"/>
    <w:rsid w:val="00A14280"/>
    <w:rsid w:val="00A1430C"/>
    <w:rsid w:val="00A14486"/>
    <w:rsid w:val="00A144D2"/>
    <w:rsid w:val="00A147C3"/>
    <w:rsid w:val="00A147E8"/>
    <w:rsid w:val="00A14985"/>
    <w:rsid w:val="00A14B16"/>
    <w:rsid w:val="00A14B65"/>
    <w:rsid w:val="00A14B89"/>
    <w:rsid w:val="00A14B8A"/>
    <w:rsid w:val="00A14BD9"/>
    <w:rsid w:val="00A14BEE"/>
    <w:rsid w:val="00A14BFE"/>
    <w:rsid w:val="00A14C9B"/>
    <w:rsid w:val="00A14F07"/>
    <w:rsid w:val="00A1500A"/>
    <w:rsid w:val="00A1511C"/>
    <w:rsid w:val="00A15127"/>
    <w:rsid w:val="00A15329"/>
    <w:rsid w:val="00A1541B"/>
    <w:rsid w:val="00A15479"/>
    <w:rsid w:val="00A15480"/>
    <w:rsid w:val="00A1553B"/>
    <w:rsid w:val="00A155EC"/>
    <w:rsid w:val="00A15A6B"/>
    <w:rsid w:val="00A15B62"/>
    <w:rsid w:val="00A15B64"/>
    <w:rsid w:val="00A15BFD"/>
    <w:rsid w:val="00A15C1C"/>
    <w:rsid w:val="00A15CAC"/>
    <w:rsid w:val="00A15CEE"/>
    <w:rsid w:val="00A15DA7"/>
    <w:rsid w:val="00A15EDD"/>
    <w:rsid w:val="00A15F21"/>
    <w:rsid w:val="00A15F48"/>
    <w:rsid w:val="00A15FC8"/>
    <w:rsid w:val="00A16028"/>
    <w:rsid w:val="00A160FB"/>
    <w:rsid w:val="00A1625A"/>
    <w:rsid w:val="00A16263"/>
    <w:rsid w:val="00A16275"/>
    <w:rsid w:val="00A162C6"/>
    <w:rsid w:val="00A16415"/>
    <w:rsid w:val="00A16562"/>
    <w:rsid w:val="00A1668C"/>
    <w:rsid w:val="00A166CA"/>
    <w:rsid w:val="00A168E0"/>
    <w:rsid w:val="00A16921"/>
    <w:rsid w:val="00A1695C"/>
    <w:rsid w:val="00A16985"/>
    <w:rsid w:val="00A16AAE"/>
    <w:rsid w:val="00A16AC1"/>
    <w:rsid w:val="00A16B81"/>
    <w:rsid w:val="00A16BA1"/>
    <w:rsid w:val="00A16BB0"/>
    <w:rsid w:val="00A16D7E"/>
    <w:rsid w:val="00A16DA2"/>
    <w:rsid w:val="00A16E7E"/>
    <w:rsid w:val="00A16F88"/>
    <w:rsid w:val="00A16FA6"/>
    <w:rsid w:val="00A1709E"/>
    <w:rsid w:val="00A1722D"/>
    <w:rsid w:val="00A17695"/>
    <w:rsid w:val="00A1779E"/>
    <w:rsid w:val="00A178F3"/>
    <w:rsid w:val="00A17AC2"/>
    <w:rsid w:val="00A17B86"/>
    <w:rsid w:val="00A17B8A"/>
    <w:rsid w:val="00A17BCF"/>
    <w:rsid w:val="00A17C4E"/>
    <w:rsid w:val="00A17D99"/>
    <w:rsid w:val="00A17DEA"/>
    <w:rsid w:val="00A200C2"/>
    <w:rsid w:val="00A201E1"/>
    <w:rsid w:val="00A202C5"/>
    <w:rsid w:val="00A202F4"/>
    <w:rsid w:val="00A2037E"/>
    <w:rsid w:val="00A20383"/>
    <w:rsid w:val="00A205EB"/>
    <w:rsid w:val="00A2081B"/>
    <w:rsid w:val="00A2082D"/>
    <w:rsid w:val="00A20885"/>
    <w:rsid w:val="00A2098B"/>
    <w:rsid w:val="00A20D0A"/>
    <w:rsid w:val="00A20DF0"/>
    <w:rsid w:val="00A20DF1"/>
    <w:rsid w:val="00A20F9A"/>
    <w:rsid w:val="00A20FCF"/>
    <w:rsid w:val="00A21149"/>
    <w:rsid w:val="00A212DF"/>
    <w:rsid w:val="00A21387"/>
    <w:rsid w:val="00A216F3"/>
    <w:rsid w:val="00A21739"/>
    <w:rsid w:val="00A21B44"/>
    <w:rsid w:val="00A21B6E"/>
    <w:rsid w:val="00A21C14"/>
    <w:rsid w:val="00A21CE0"/>
    <w:rsid w:val="00A21D3F"/>
    <w:rsid w:val="00A21DCD"/>
    <w:rsid w:val="00A22019"/>
    <w:rsid w:val="00A2203D"/>
    <w:rsid w:val="00A2207B"/>
    <w:rsid w:val="00A220E2"/>
    <w:rsid w:val="00A22154"/>
    <w:rsid w:val="00A2237D"/>
    <w:rsid w:val="00A22587"/>
    <w:rsid w:val="00A2258E"/>
    <w:rsid w:val="00A225C2"/>
    <w:rsid w:val="00A22642"/>
    <w:rsid w:val="00A2277C"/>
    <w:rsid w:val="00A22A5A"/>
    <w:rsid w:val="00A22BF0"/>
    <w:rsid w:val="00A22D02"/>
    <w:rsid w:val="00A22E36"/>
    <w:rsid w:val="00A22F1F"/>
    <w:rsid w:val="00A233ED"/>
    <w:rsid w:val="00A234C9"/>
    <w:rsid w:val="00A23569"/>
    <w:rsid w:val="00A2378C"/>
    <w:rsid w:val="00A238C1"/>
    <w:rsid w:val="00A239EB"/>
    <w:rsid w:val="00A23AD1"/>
    <w:rsid w:val="00A23B45"/>
    <w:rsid w:val="00A23BD9"/>
    <w:rsid w:val="00A23CDB"/>
    <w:rsid w:val="00A23CF8"/>
    <w:rsid w:val="00A23D97"/>
    <w:rsid w:val="00A23F56"/>
    <w:rsid w:val="00A2412F"/>
    <w:rsid w:val="00A24243"/>
    <w:rsid w:val="00A24352"/>
    <w:rsid w:val="00A2453D"/>
    <w:rsid w:val="00A24652"/>
    <w:rsid w:val="00A246D4"/>
    <w:rsid w:val="00A249D0"/>
    <w:rsid w:val="00A24B2B"/>
    <w:rsid w:val="00A24D16"/>
    <w:rsid w:val="00A24D7B"/>
    <w:rsid w:val="00A24E2D"/>
    <w:rsid w:val="00A24F20"/>
    <w:rsid w:val="00A24F49"/>
    <w:rsid w:val="00A25020"/>
    <w:rsid w:val="00A25074"/>
    <w:rsid w:val="00A251A6"/>
    <w:rsid w:val="00A251FF"/>
    <w:rsid w:val="00A25301"/>
    <w:rsid w:val="00A253D8"/>
    <w:rsid w:val="00A25408"/>
    <w:rsid w:val="00A2542B"/>
    <w:rsid w:val="00A256BB"/>
    <w:rsid w:val="00A256F6"/>
    <w:rsid w:val="00A25751"/>
    <w:rsid w:val="00A2597D"/>
    <w:rsid w:val="00A259C3"/>
    <w:rsid w:val="00A25B22"/>
    <w:rsid w:val="00A25BC2"/>
    <w:rsid w:val="00A25CA3"/>
    <w:rsid w:val="00A25CF9"/>
    <w:rsid w:val="00A25EC5"/>
    <w:rsid w:val="00A25EEE"/>
    <w:rsid w:val="00A25F00"/>
    <w:rsid w:val="00A25F49"/>
    <w:rsid w:val="00A25F4B"/>
    <w:rsid w:val="00A25FBF"/>
    <w:rsid w:val="00A25FE4"/>
    <w:rsid w:val="00A2614A"/>
    <w:rsid w:val="00A261A9"/>
    <w:rsid w:val="00A26218"/>
    <w:rsid w:val="00A26236"/>
    <w:rsid w:val="00A264CF"/>
    <w:rsid w:val="00A26572"/>
    <w:rsid w:val="00A2659F"/>
    <w:rsid w:val="00A26669"/>
    <w:rsid w:val="00A267AF"/>
    <w:rsid w:val="00A267F0"/>
    <w:rsid w:val="00A268C7"/>
    <w:rsid w:val="00A269AF"/>
    <w:rsid w:val="00A269BB"/>
    <w:rsid w:val="00A269FE"/>
    <w:rsid w:val="00A26AAF"/>
    <w:rsid w:val="00A26B9D"/>
    <w:rsid w:val="00A26D4F"/>
    <w:rsid w:val="00A26D92"/>
    <w:rsid w:val="00A26D95"/>
    <w:rsid w:val="00A26E40"/>
    <w:rsid w:val="00A26E4B"/>
    <w:rsid w:val="00A26FFC"/>
    <w:rsid w:val="00A2700D"/>
    <w:rsid w:val="00A270BC"/>
    <w:rsid w:val="00A271E0"/>
    <w:rsid w:val="00A27218"/>
    <w:rsid w:val="00A2724A"/>
    <w:rsid w:val="00A272B9"/>
    <w:rsid w:val="00A2732A"/>
    <w:rsid w:val="00A273C5"/>
    <w:rsid w:val="00A274DE"/>
    <w:rsid w:val="00A27583"/>
    <w:rsid w:val="00A27648"/>
    <w:rsid w:val="00A278B1"/>
    <w:rsid w:val="00A279F2"/>
    <w:rsid w:val="00A27B09"/>
    <w:rsid w:val="00A27B4D"/>
    <w:rsid w:val="00A27BC6"/>
    <w:rsid w:val="00A27C14"/>
    <w:rsid w:val="00A27D4B"/>
    <w:rsid w:val="00A27F00"/>
    <w:rsid w:val="00A27FAC"/>
    <w:rsid w:val="00A27FFA"/>
    <w:rsid w:val="00A30255"/>
    <w:rsid w:val="00A30608"/>
    <w:rsid w:val="00A3076D"/>
    <w:rsid w:val="00A30808"/>
    <w:rsid w:val="00A308E0"/>
    <w:rsid w:val="00A3094E"/>
    <w:rsid w:val="00A30A7D"/>
    <w:rsid w:val="00A30BDC"/>
    <w:rsid w:val="00A30C14"/>
    <w:rsid w:val="00A30C61"/>
    <w:rsid w:val="00A30D3D"/>
    <w:rsid w:val="00A30EE0"/>
    <w:rsid w:val="00A31096"/>
    <w:rsid w:val="00A31246"/>
    <w:rsid w:val="00A312B8"/>
    <w:rsid w:val="00A31587"/>
    <w:rsid w:val="00A31690"/>
    <w:rsid w:val="00A316D4"/>
    <w:rsid w:val="00A31819"/>
    <w:rsid w:val="00A31896"/>
    <w:rsid w:val="00A3189A"/>
    <w:rsid w:val="00A318C7"/>
    <w:rsid w:val="00A3196D"/>
    <w:rsid w:val="00A31986"/>
    <w:rsid w:val="00A319BA"/>
    <w:rsid w:val="00A319EE"/>
    <w:rsid w:val="00A31A99"/>
    <w:rsid w:val="00A31AC3"/>
    <w:rsid w:val="00A31AFD"/>
    <w:rsid w:val="00A31BD2"/>
    <w:rsid w:val="00A31CBB"/>
    <w:rsid w:val="00A31CE3"/>
    <w:rsid w:val="00A31F2C"/>
    <w:rsid w:val="00A32274"/>
    <w:rsid w:val="00A32290"/>
    <w:rsid w:val="00A32321"/>
    <w:rsid w:val="00A3252D"/>
    <w:rsid w:val="00A326C0"/>
    <w:rsid w:val="00A327C9"/>
    <w:rsid w:val="00A327F2"/>
    <w:rsid w:val="00A328C8"/>
    <w:rsid w:val="00A32955"/>
    <w:rsid w:val="00A32956"/>
    <w:rsid w:val="00A32AD4"/>
    <w:rsid w:val="00A32AED"/>
    <w:rsid w:val="00A32B2F"/>
    <w:rsid w:val="00A32C7E"/>
    <w:rsid w:val="00A32DF3"/>
    <w:rsid w:val="00A32ECB"/>
    <w:rsid w:val="00A32FD6"/>
    <w:rsid w:val="00A33007"/>
    <w:rsid w:val="00A33035"/>
    <w:rsid w:val="00A3318D"/>
    <w:rsid w:val="00A332D7"/>
    <w:rsid w:val="00A332ED"/>
    <w:rsid w:val="00A33523"/>
    <w:rsid w:val="00A33525"/>
    <w:rsid w:val="00A336D1"/>
    <w:rsid w:val="00A336FB"/>
    <w:rsid w:val="00A3375F"/>
    <w:rsid w:val="00A338C4"/>
    <w:rsid w:val="00A33970"/>
    <w:rsid w:val="00A3398D"/>
    <w:rsid w:val="00A339A2"/>
    <w:rsid w:val="00A33A4E"/>
    <w:rsid w:val="00A33A71"/>
    <w:rsid w:val="00A33CEB"/>
    <w:rsid w:val="00A33D7F"/>
    <w:rsid w:val="00A33D8F"/>
    <w:rsid w:val="00A34189"/>
    <w:rsid w:val="00A341BD"/>
    <w:rsid w:val="00A342F8"/>
    <w:rsid w:val="00A3452C"/>
    <w:rsid w:val="00A345AA"/>
    <w:rsid w:val="00A34613"/>
    <w:rsid w:val="00A347C3"/>
    <w:rsid w:val="00A3483C"/>
    <w:rsid w:val="00A3483F"/>
    <w:rsid w:val="00A34840"/>
    <w:rsid w:val="00A348BD"/>
    <w:rsid w:val="00A349BC"/>
    <w:rsid w:val="00A34A9A"/>
    <w:rsid w:val="00A34B03"/>
    <w:rsid w:val="00A34B37"/>
    <w:rsid w:val="00A34C13"/>
    <w:rsid w:val="00A34C4E"/>
    <w:rsid w:val="00A34CB1"/>
    <w:rsid w:val="00A34CF5"/>
    <w:rsid w:val="00A34E63"/>
    <w:rsid w:val="00A34EE4"/>
    <w:rsid w:val="00A35065"/>
    <w:rsid w:val="00A35178"/>
    <w:rsid w:val="00A35228"/>
    <w:rsid w:val="00A35231"/>
    <w:rsid w:val="00A35232"/>
    <w:rsid w:val="00A35270"/>
    <w:rsid w:val="00A352B3"/>
    <w:rsid w:val="00A35466"/>
    <w:rsid w:val="00A3549A"/>
    <w:rsid w:val="00A354C9"/>
    <w:rsid w:val="00A35512"/>
    <w:rsid w:val="00A35548"/>
    <w:rsid w:val="00A35664"/>
    <w:rsid w:val="00A35768"/>
    <w:rsid w:val="00A35845"/>
    <w:rsid w:val="00A35920"/>
    <w:rsid w:val="00A35A96"/>
    <w:rsid w:val="00A35BA7"/>
    <w:rsid w:val="00A35BE8"/>
    <w:rsid w:val="00A35D4F"/>
    <w:rsid w:val="00A35D5D"/>
    <w:rsid w:val="00A35DAC"/>
    <w:rsid w:val="00A35DF4"/>
    <w:rsid w:val="00A35EB6"/>
    <w:rsid w:val="00A35F63"/>
    <w:rsid w:val="00A35FC3"/>
    <w:rsid w:val="00A360FE"/>
    <w:rsid w:val="00A361C0"/>
    <w:rsid w:val="00A362CC"/>
    <w:rsid w:val="00A362E4"/>
    <w:rsid w:val="00A36389"/>
    <w:rsid w:val="00A363F1"/>
    <w:rsid w:val="00A36454"/>
    <w:rsid w:val="00A3649F"/>
    <w:rsid w:val="00A3651C"/>
    <w:rsid w:val="00A366BE"/>
    <w:rsid w:val="00A36726"/>
    <w:rsid w:val="00A3674F"/>
    <w:rsid w:val="00A367B5"/>
    <w:rsid w:val="00A3685B"/>
    <w:rsid w:val="00A3692E"/>
    <w:rsid w:val="00A36941"/>
    <w:rsid w:val="00A369B4"/>
    <w:rsid w:val="00A36B1A"/>
    <w:rsid w:val="00A36EAA"/>
    <w:rsid w:val="00A36FC3"/>
    <w:rsid w:val="00A3704A"/>
    <w:rsid w:val="00A3704B"/>
    <w:rsid w:val="00A3714E"/>
    <w:rsid w:val="00A371B1"/>
    <w:rsid w:val="00A371EA"/>
    <w:rsid w:val="00A37234"/>
    <w:rsid w:val="00A37257"/>
    <w:rsid w:val="00A378C6"/>
    <w:rsid w:val="00A379C9"/>
    <w:rsid w:val="00A379EA"/>
    <w:rsid w:val="00A37B5E"/>
    <w:rsid w:val="00A37B92"/>
    <w:rsid w:val="00A37BA8"/>
    <w:rsid w:val="00A37C98"/>
    <w:rsid w:val="00A37CAF"/>
    <w:rsid w:val="00A37D14"/>
    <w:rsid w:val="00A37D33"/>
    <w:rsid w:val="00A37DA8"/>
    <w:rsid w:val="00A37E3C"/>
    <w:rsid w:val="00A37EBF"/>
    <w:rsid w:val="00A37FD2"/>
    <w:rsid w:val="00A40206"/>
    <w:rsid w:val="00A40316"/>
    <w:rsid w:val="00A40348"/>
    <w:rsid w:val="00A40668"/>
    <w:rsid w:val="00A406AD"/>
    <w:rsid w:val="00A407BB"/>
    <w:rsid w:val="00A407DD"/>
    <w:rsid w:val="00A40845"/>
    <w:rsid w:val="00A408AB"/>
    <w:rsid w:val="00A4099C"/>
    <w:rsid w:val="00A40A76"/>
    <w:rsid w:val="00A40BA5"/>
    <w:rsid w:val="00A40CDC"/>
    <w:rsid w:val="00A40D36"/>
    <w:rsid w:val="00A40E4E"/>
    <w:rsid w:val="00A40E86"/>
    <w:rsid w:val="00A41274"/>
    <w:rsid w:val="00A412C4"/>
    <w:rsid w:val="00A41327"/>
    <w:rsid w:val="00A4139C"/>
    <w:rsid w:val="00A4141E"/>
    <w:rsid w:val="00A414CA"/>
    <w:rsid w:val="00A41525"/>
    <w:rsid w:val="00A4159F"/>
    <w:rsid w:val="00A415C1"/>
    <w:rsid w:val="00A4164A"/>
    <w:rsid w:val="00A41985"/>
    <w:rsid w:val="00A41A66"/>
    <w:rsid w:val="00A41AE2"/>
    <w:rsid w:val="00A41AE3"/>
    <w:rsid w:val="00A41B5E"/>
    <w:rsid w:val="00A41C26"/>
    <w:rsid w:val="00A41DFD"/>
    <w:rsid w:val="00A41E57"/>
    <w:rsid w:val="00A41EAB"/>
    <w:rsid w:val="00A41EEF"/>
    <w:rsid w:val="00A42048"/>
    <w:rsid w:val="00A4206A"/>
    <w:rsid w:val="00A42221"/>
    <w:rsid w:val="00A42252"/>
    <w:rsid w:val="00A42517"/>
    <w:rsid w:val="00A425EA"/>
    <w:rsid w:val="00A42635"/>
    <w:rsid w:val="00A42781"/>
    <w:rsid w:val="00A427AD"/>
    <w:rsid w:val="00A42B22"/>
    <w:rsid w:val="00A42B63"/>
    <w:rsid w:val="00A42C82"/>
    <w:rsid w:val="00A42D83"/>
    <w:rsid w:val="00A42EC5"/>
    <w:rsid w:val="00A42F87"/>
    <w:rsid w:val="00A430BA"/>
    <w:rsid w:val="00A4319C"/>
    <w:rsid w:val="00A431D5"/>
    <w:rsid w:val="00A43220"/>
    <w:rsid w:val="00A432C5"/>
    <w:rsid w:val="00A43300"/>
    <w:rsid w:val="00A43413"/>
    <w:rsid w:val="00A43421"/>
    <w:rsid w:val="00A434A1"/>
    <w:rsid w:val="00A434CC"/>
    <w:rsid w:val="00A43525"/>
    <w:rsid w:val="00A43677"/>
    <w:rsid w:val="00A437A2"/>
    <w:rsid w:val="00A437A8"/>
    <w:rsid w:val="00A4389E"/>
    <w:rsid w:val="00A43CAE"/>
    <w:rsid w:val="00A43CBF"/>
    <w:rsid w:val="00A43DCE"/>
    <w:rsid w:val="00A44214"/>
    <w:rsid w:val="00A4437C"/>
    <w:rsid w:val="00A444A8"/>
    <w:rsid w:val="00A445DF"/>
    <w:rsid w:val="00A44824"/>
    <w:rsid w:val="00A4484D"/>
    <w:rsid w:val="00A448FB"/>
    <w:rsid w:val="00A44954"/>
    <w:rsid w:val="00A44A08"/>
    <w:rsid w:val="00A44A2F"/>
    <w:rsid w:val="00A44B17"/>
    <w:rsid w:val="00A44F72"/>
    <w:rsid w:val="00A44FF8"/>
    <w:rsid w:val="00A45052"/>
    <w:rsid w:val="00A4509C"/>
    <w:rsid w:val="00A450AA"/>
    <w:rsid w:val="00A45147"/>
    <w:rsid w:val="00A4520C"/>
    <w:rsid w:val="00A4541A"/>
    <w:rsid w:val="00A4555F"/>
    <w:rsid w:val="00A4561D"/>
    <w:rsid w:val="00A456F9"/>
    <w:rsid w:val="00A45814"/>
    <w:rsid w:val="00A4586C"/>
    <w:rsid w:val="00A458EC"/>
    <w:rsid w:val="00A45A4A"/>
    <w:rsid w:val="00A45ADE"/>
    <w:rsid w:val="00A45B4A"/>
    <w:rsid w:val="00A45B4F"/>
    <w:rsid w:val="00A45F43"/>
    <w:rsid w:val="00A460AB"/>
    <w:rsid w:val="00A460B3"/>
    <w:rsid w:val="00A4638F"/>
    <w:rsid w:val="00A46438"/>
    <w:rsid w:val="00A464BA"/>
    <w:rsid w:val="00A46504"/>
    <w:rsid w:val="00A465AF"/>
    <w:rsid w:val="00A46610"/>
    <w:rsid w:val="00A467FC"/>
    <w:rsid w:val="00A46860"/>
    <w:rsid w:val="00A469A5"/>
    <w:rsid w:val="00A46AEA"/>
    <w:rsid w:val="00A46B00"/>
    <w:rsid w:val="00A46B9A"/>
    <w:rsid w:val="00A46BEF"/>
    <w:rsid w:val="00A46CCE"/>
    <w:rsid w:val="00A46D6E"/>
    <w:rsid w:val="00A46EA1"/>
    <w:rsid w:val="00A46ED0"/>
    <w:rsid w:val="00A46FAB"/>
    <w:rsid w:val="00A47063"/>
    <w:rsid w:val="00A470D1"/>
    <w:rsid w:val="00A470DF"/>
    <w:rsid w:val="00A47127"/>
    <w:rsid w:val="00A47405"/>
    <w:rsid w:val="00A474BE"/>
    <w:rsid w:val="00A474F6"/>
    <w:rsid w:val="00A47657"/>
    <w:rsid w:val="00A47719"/>
    <w:rsid w:val="00A47892"/>
    <w:rsid w:val="00A478EC"/>
    <w:rsid w:val="00A479C7"/>
    <w:rsid w:val="00A47A04"/>
    <w:rsid w:val="00A47A44"/>
    <w:rsid w:val="00A47B14"/>
    <w:rsid w:val="00A47B98"/>
    <w:rsid w:val="00A47C7E"/>
    <w:rsid w:val="00A47D70"/>
    <w:rsid w:val="00A47D86"/>
    <w:rsid w:val="00A47EFB"/>
    <w:rsid w:val="00A47FCF"/>
    <w:rsid w:val="00A47FD0"/>
    <w:rsid w:val="00A5007C"/>
    <w:rsid w:val="00A500B9"/>
    <w:rsid w:val="00A50337"/>
    <w:rsid w:val="00A5053A"/>
    <w:rsid w:val="00A5077C"/>
    <w:rsid w:val="00A50796"/>
    <w:rsid w:val="00A507A4"/>
    <w:rsid w:val="00A507EA"/>
    <w:rsid w:val="00A50927"/>
    <w:rsid w:val="00A5095E"/>
    <w:rsid w:val="00A509AB"/>
    <w:rsid w:val="00A509BD"/>
    <w:rsid w:val="00A509F2"/>
    <w:rsid w:val="00A50C6D"/>
    <w:rsid w:val="00A50C9F"/>
    <w:rsid w:val="00A50CC7"/>
    <w:rsid w:val="00A50D7A"/>
    <w:rsid w:val="00A50F7F"/>
    <w:rsid w:val="00A51035"/>
    <w:rsid w:val="00A510BD"/>
    <w:rsid w:val="00A5112A"/>
    <w:rsid w:val="00A51136"/>
    <w:rsid w:val="00A51183"/>
    <w:rsid w:val="00A512FF"/>
    <w:rsid w:val="00A51524"/>
    <w:rsid w:val="00A51717"/>
    <w:rsid w:val="00A5184F"/>
    <w:rsid w:val="00A518C7"/>
    <w:rsid w:val="00A51966"/>
    <w:rsid w:val="00A519DC"/>
    <w:rsid w:val="00A51ADF"/>
    <w:rsid w:val="00A51AEA"/>
    <w:rsid w:val="00A51BB2"/>
    <w:rsid w:val="00A51C42"/>
    <w:rsid w:val="00A51C65"/>
    <w:rsid w:val="00A51D09"/>
    <w:rsid w:val="00A51E79"/>
    <w:rsid w:val="00A51EC0"/>
    <w:rsid w:val="00A51EDA"/>
    <w:rsid w:val="00A51F3B"/>
    <w:rsid w:val="00A51FD1"/>
    <w:rsid w:val="00A51FD2"/>
    <w:rsid w:val="00A521C8"/>
    <w:rsid w:val="00A52259"/>
    <w:rsid w:val="00A52297"/>
    <w:rsid w:val="00A5232E"/>
    <w:rsid w:val="00A52336"/>
    <w:rsid w:val="00A523CA"/>
    <w:rsid w:val="00A523E9"/>
    <w:rsid w:val="00A5242B"/>
    <w:rsid w:val="00A5243B"/>
    <w:rsid w:val="00A5257D"/>
    <w:rsid w:val="00A525E1"/>
    <w:rsid w:val="00A525FF"/>
    <w:rsid w:val="00A5266C"/>
    <w:rsid w:val="00A52815"/>
    <w:rsid w:val="00A5286B"/>
    <w:rsid w:val="00A5293A"/>
    <w:rsid w:val="00A529E2"/>
    <w:rsid w:val="00A52A1C"/>
    <w:rsid w:val="00A52A9A"/>
    <w:rsid w:val="00A52C06"/>
    <w:rsid w:val="00A52D37"/>
    <w:rsid w:val="00A53049"/>
    <w:rsid w:val="00A5315E"/>
    <w:rsid w:val="00A531DF"/>
    <w:rsid w:val="00A531E6"/>
    <w:rsid w:val="00A5324D"/>
    <w:rsid w:val="00A53332"/>
    <w:rsid w:val="00A53425"/>
    <w:rsid w:val="00A53532"/>
    <w:rsid w:val="00A53794"/>
    <w:rsid w:val="00A537A4"/>
    <w:rsid w:val="00A537FB"/>
    <w:rsid w:val="00A5390D"/>
    <w:rsid w:val="00A539D7"/>
    <w:rsid w:val="00A53AB0"/>
    <w:rsid w:val="00A53ABE"/>
    <w:rsid w:val="00A53BEC"/>
    <w:rsid w:val="00A53BFF"/>
    <w:rsid w:val="00A53C3E"/>
    <w:rsid w:val="00A53DB2"/>
    <w:rsid w:val="00A53E65"/>
    <w:rsid w:val="00A53F23"/>
    <w:rsid w:val="00A53FB5"/>
    <w:rsid w:val="00A5409A"/>
    <w:rsid w:val="00A541AD"/>
    <w:rsid w:val="00A54253"/>
    <w:rsid w:val="00A54277"/>
    <w:rsid w:val="00A54352"/>
    <w:rsid w:val="00A54576"/>
    <w:rsid w:val="00A546B5"/>
    <w:rsid w:val="00A54705"/>
    <w:rsid w:val="00A54866"/>
    <w:rsid w:val="00A548D7"/>
    <w:rsid w:val="00A54A26"/>
    <w:rsid w:val="00A54A27"/>
    <w:rsid w:val="00A54A6D"/>
    <w:rsid w:val="00A54AA9"/>
    <w:rsid w:val="00A54BE0"/>
    <w:rsid w:val="00A54C86"/>
    <w:rsid w:val="00A54CFD"/>
    <w:rsid w:val="00A54EC6"/>
    <w:rsid w:val="00A54F44"/>
    <w:rsid w:val="00A55012"/>
    <w:rsid w:val="00A55167"/>
    <w:rsid w:val="00A551E0"/>
    <w:rsid w:val="00A55239"/>
    <w:rsid w:val="00A55381"/>
    <w:rsid w:val="00A554FA"/>
    <w:rsid w:val="00A5555B"/>
    <w:rsid w:val="00A555BE"/>
    <w:rsid w:val="00A55626"/>
    <w:rsid w:val="00A55647"/>
    <w:rsid w:val="00A5574C"/>
    <w:rsid w:val="00A55891"/>
    <w:rsid w:val="00A5593D"/>
    <w:rsid w:val="00A55946"/>
    <w:rsid w:val="00A55A58"/>
    <w:rsid w:val="00A55B12"/>
    <w:rsid w:val="00A55CB3"/>
    <w:rsid w:val="00A55E50"/>
    <w:rsid w:val="00A55F03"/>
    <w:rsid w:val="00A55FB9"/>
    <w:rsid w:val="00A560B4"/>
    <w:rsid w:val="00A56118"/>
    <w:rsid w:val="00A5621D"/>
    <w:rsid w:val="00A56258"/>
    <w:rsid w:val="00A56462"/>
    <w:rsid w:val="00A5647B"/>
    <w:rsid w:val="00A5649F"/>
    <w:rsid w:val="00A5653D"/>
    <w:rsid w:val="00A56548"/>
    <w:rsid w:val="00A56655"/>
    <w:rsid w:val="00A567BD"/>
    <w:rsid w:val="00A567E3"/>
    <w:rsid w:val="00A56812"/>
    <w:rsid w:val="00A56AEE"/>
    <w:rsid w:val="00A56C91"/>
    <w:rsid w:val="00A56F84"/>
    <w:rsid w:val="00A5706E"/>
    <w:rsid w:val="00A570E5"/>
    <w:rsid w:val="00A572E6"/>
    <w:rsid w:val="00A5731F"/>
    <w:rsid w:val="00A573BE"/>
    <w:rsid w:val="00A573E0"/>
    <w:rsid w:val="00A5748D"/>
    <w:rsid w:val="00A5752E"/>
    <w:rsid w:val="00A57560"/>
    <w:rsid w:val="00A57631"/>
    <w:rsid w:val="00A5763C"/>
    <w:rsid w:val="00A57698"/>
    <w:rsid w:val="00A576B2"/>
    <w:rsid w:val="00A57A81"/>
    <w:rsid w:val="00A57A82"/>
    <w:rsid w:val="00A57BF4"/>
    <w:rsid w:val="00A57C08"/>
    <w:rsid w:val="00A57C60"/>
    <w:rsid w:val="00A57C8E"/>
    <w:rsid w:val="00A57FA3"/>
    <w:rsid w:val="00A60072"/>
    <w:rsid w:val="00A6009B"/>
    <w:rsid w:val="00A600E4"/>
    <w:rsid w:val="00A60136"/>
    <w:rsid w:val="00A602B6"/>
    <w:rsid w:val="00A602BE"/>
    <w:rsid w:val="00A60343"/>
    <w:rsid w:val="00A606BC"/>
    <w:rsid w:val="00A608B7"/>
    <w:rsid w:val="00A608DC"/>
    <w:rsid w:val="00A6091F"/>
    <w:rsid w:val="00A60931"/>
    <w:rsid w:val="00A60D45"/>
    <w:rsid w:val="00A60DFD"/>
    <w:rsid w:val="00A60E72"/>
    <w:rsid w:val="00A60EC7"/>
    <w:rsid w:val="00A60F1F"/>
    <w:rsid w:val="00A60F94"/>
    <w:rsid w:val="00A61190"/>
    <w:rsid w:val="00A6119B"/>
    <w:rsid w:val="00A6141B"/>
    <w:rsid w:val="00A61467"/>
    <w:rsid w:val="00A614BD"/>
    <w:rsid w:val="00A61530"/>
    <w:rsid w:val="00A616C1"/>
    <w:rsid w:val="00A6185F"/>
    <w:rsid w:val="00A61868"/>
    <w:rsid w:val="00A619EE"/>
    <w:rsid w:val="00A619F3"/>
    <w:rsid w:val="00A61BA6"/>
    <w:rsid w:val="00A61DDE"/>
    <w:rsid w:val="00A61F43"/>
    <w:rsid w:val="00A61F71"/>
    <w:rsid w:val="00A61F75"/>
    <w:rsid w:val="00A61F83"/>
    <w:rsid w:val="00A61FD9"/>
    <w:rsid w:val="00A61FE7"/>
    <w:rsid w:val="00A62183"/>
    <w:rsid w:val="00A62542"/>
    <w:rsid w:val="00A625E3"/>
    <w:rsid w:val="00A62605"/>
    <w:rsid w:val="00A62653"/>
    <w:rsid w:val="00A6299B"/>
    <w:rsid w:val="00A62AF3"/>
    <w:rsid w:val="00A62BDB"/>
    <w:rsid w:val="00A62CA1"/>
    <w:rsid w:val="00A62E47"/>
    <w:rsid w:val="00A62FCC"/>
    <w:rsid w:val="00A630D8"/>
    <w:rsid w:val="00A63144"/>
    <w:rsid w:val="00A6317A"/>
    <w:rsid w:val="00A6334F"/>
    <w:rsid w:val="00A635D6"/>
    <w:rsid w:val="00A63736"/>
    <w:rsid w:val="00A63759"/>
    <w:rsid w:val="00A6382D"/>
    <w:rsid w:val="00A638EC"/>
    <w:rsid w:val="00A63AC9"/>
    <w:rsid w:val="00A63B5F"/>
    <w:rsid w:val="00A63BE8"/>
    <w:rsid w:val="00A63D52"/>
    <w:rsid w:val="00A63D5A"/>
    <w:rsid w:val="00A63DB5"/>
    <w:rsid w:val="00A63E40"/>
    <w:rsid w:val="00A63EBF"/>
    <w:rsid w:val="00A63EC3"/>
    <w:rsid w:val="00A63FE3"/>
    <w:rsid w:val="00A6418A"/>
    <w:rsid w:val="00A641B7"/>
    <w:rsid w:val="00A64233"/>
    <w:rsid w:val="00A64250"/>
    <w:rsid w:val="00A64334"/>
    <w:rsid w:val="00A6433B"/>
    <w:rsid w:val="00A64353"/>
    <w:rsid w:val="00A645BA"/>
    <w:rsid w:val="00A645D0"/>
    <w:rsid w:val="00A64659"/>
    <w:rsid w:val="00A646CF"/>
    <w:rsid w:val="00A6471D"/>
    <w:rsid w:val="00A648C1"/>
    <w:rsid w:val="00A6497A"/>
    <w:rsid w:val="00A64A0E"/>
    <w:rsid w:val="00A64C4C"/>
    <w:rsid w:val="00A64C5E"/>
    <w:rsid w:val="00A64CE4"/>
    <w:rsid w:val="00A64D08"/>
    <w:rsid w:val="00A6502F"/>
    <w:rsid w:val="00A65125"/>
    <w:rsid w:val="00A65195"/>
    <w:rsid w:val="00A65199"/>
    <w:rsid w:val="00A652B4"/>
    <w:rsid w:val="00A65314"/>
    <w:rsid w:val="00A65374"/>
    <w:rsid w:val="00A6559D"/>
    <w:rsid w:val="00A655B0"/>
    <w:rsid w:val="00A655B5"/>
    <w:rsid w:val="00A65667"/>
    <w:rsid w:val="00A65684"/>
    <w:rsid w:val="00A6573C"/>
    <w:rsid w:val="00A658A9"/>
    <w:rsid w:val="00A65A6C"/>
    <w:rsid w:val="00A65C09"/>
    <w:rsid w:val="00A65C89"/>
    <w:rsid w:val="00A65D23"/>
    <w:rsid w:val="00A65FB8"/>
    <w:rsid w:val="00A66166"/>
    <w:rsid w:val="00A66197"/>
    <w:rsid w:val="00A661A0"/>
    <w:rsid w:val="00A66383"/>
    <w:rsid w:val="00A665FC"/>
    <w:rsid w:val="00A66873"/>
    <w:rsid w:val="00A6696F"/>
    <w:rsid w:val="00A669AB"/>
    <w:rsid w:val="00A66A61"/>
    <w:rsid w:val="00A66BE5"/>
    <w:rsid w:val="00A66C82"/>
    <w:rsid w:val="00A66D97"/>
    <w:rsid w:val="00A66E5D"/>
    <w:rsid w:val="00A66E7A"/>
    <w:rsid w:val="00A66F7A"/>
    <w:rsid w:val="00A66FD6"/>
    <w:rsid w:val="00A67067"/>
    <w:rsid w:val="00A670CA"/>
    <w:rsid w:val="00A670E4"/>
    <w:rsid w:val="00A6725B"/>
    <w:rsid w:val="00A6745F"/>
    <w:rsid w:val="00A675ED"/>
    <w:rsid w:val="00A67629"/>
    <w:rsid w:val="00A677D4"/>
    <w:rsid w:val="00A677E2"/>
    <w:rsid w:val="00A67804"/>
    <w:rsid w:val="00A6784E"/>
    <w:rsid w:val="00A678E8"/>
    <w:rsid w:val="00A678ED"/>
    <w:rsid w:val="00A679DC"/>
    <w:rsid w:val="00A67C81"/>
    <w:rsid w:val="00A67C8D"/>
    <w:rsid w:val="00A67C96"/>
    <w:rsid w:val="00A67CC0"/>
    <w:rsid w:val="00A67D32"/>
    <w:rsid w:val="00A67D88"/>
    <w:rsid w:val="00A67F5F"/>
    <w:rsid w:val="00A70155"/>
    <w:rsid w:val="00A70190"/>
    <w:rsid w:val="00A70463"/>
    <w:rsid w:val="00A706EF"/>
    <w:rsid w:val="00A7098C"/>
    <w:rsid w:val="00A70A39"/>
    <w:rsid w:val="00A70B3B"/>
    <w:rsid w:val="00A70B8D"/>
    <w:rsid w:val="00A70BD5"/>
    <w:rsid w:val="00A70CFC"/>
    <w:rsid w:val="00A70D11"/>
    <w:rsid w:val="00A70D86"/>
    <w:rsid w:val="00A70ECF"/>
    <w:rsid w:val="00A70F41"/>
    <w:rsid w:val="00A70F8F"/>
    <w:rsid w:val="00A70FF4"/>
    <w:rsid w:val="00A712BD"/>
    <w:rsid w:val="00A71557"/>
    <w:rsid w:val="00A7169C"/>
    <w:rsid w:val="00A71885"/>
    <w:rsid w:val="00A719B8"/>
    <w:rsid w:val="00A71B4A"/>
    <w:rsid w:val="00A71C64"/>
    <w:rsid w:val="00A71D1A"/>
    <w:rsid w:val="00A71D64"/>
    <w:rsid w:val="00A71D9B"/>
    <w:rsid w:val="00A71EC3"/>
    <w:rsid w:val="00A71EDA"/>
    <w:rsid w:val="00A71F2A"/>
    <w:rsid w:val="00A71FBC"/>
    <w:rsid w:val="00A72269"/>
    <w:rsid w:val="00A723F2"/>
    <w:rsid w:val="00A7253D"/>
    <w:rsid w:val="00A7256A"/>
    <w:rsid w:val="00A72588"/>
    <w:rsid w:val="00A7260A"/>
    <w:rsid w:val="00A72667"/>
    <w:rsid w:val="00A726C6"/>
    <w:rsid w:val="00A727C2"/>
    <w:rsid w:val="00A728D3"/>
    <w:rsid w:val="00A7291F"/>
    <w:rsid w:val="00A72AE0"/>
    <w:rsid w:val="00A72C5A"/>
    <w:rsid w:val="00A72EA8"/>
    <w:rsid w:val="00A72F51"/>
    <w:rsid w:val="00A73555"/>
    <w:rsid w:val="00A73684"/>
    <w:rsid w:val="00A736D7"/>
    <w:rsid w:val="00A737E9"/>
    <w:rsid w:val="00A737F6"/>
    <w:rsid w:val="00A73BFA"/>
    <w:rsid w:val="00A73D59"/>
    <w:rsid w:val="00A73F13"/>
    <w:rsid w:val="00A7410B"/>
    <w:rsid w:val="00A74472"/>
    <w:rsid w:val="00A745FF"/>
    <w:rsid w:val="00A747D3"/>
    <w:rsid w:val="00A748FC"/>
    <w:rsid w:val="00A74A36"/>
    <w:rsid w:val="00A74B3B"/>
    <w:rsid w:val="00A74C59"/>
    <w:rsid w:val="00A74DD1"/>
    <w:rsid w:val="00A74EA7"/>
    <w:rsid w:val="00A74F66"/>
    <w:rsid w:val="00A74FBE"/>
    <w:rsid w:val="00A75286"/>
    <w:rsid w:val="00A7536C"/>
    <w:rsid w:val="00A75425"/>
    <w:rsid w:val="00A754A7"/>
    <w:rsid w:val="00A75689"/>
    <w:rsid w:val="00A758B5"/>
    <w:rsid w:val="00A75917"/>
    <w:rsid w:val="00A759D9"/>
    <w:rsid w:val="00A759E5"/>
    <w:rsid w:val="00A75A89"/>
    <w:rsid w:val="00A75B17"/>
    <w:rsid w:val="00A75BA7"/>
    <w:rsid w:val="00A75D30"/>
    <w:rsid w:val="00A75F08"/>
    <w:rsid w:val="00A76044"/>
    <w:rsid w:val="00A760CB"/>
    <w:rsid w:val="00A760EE"/>
    <w:rsid w:val="00A7615B"/>
    <w:rsid w:val="00A76176"/>
    <w:rsid w:val="00A769A2"/>
    <w:rsid w:val="00A76A60"/>
    <w:rsid w:val="00A76AA0"/>
    <w:rsid w:val="00A76B50"/>
    <w:rsid w:val="00A76BE8"/>
    <w:rsid w:val="00A76BFD"/>
    <w:rsid w:val="00A76C4B"/>
    <w:rsid w:val="00A76C9E"/>
    <w:rsid w:val="00A76D30"/>
    <w:rsid w:val="00A76DA0"/>
    <w:rsid w:val="00A76E1F"/>
    <w:rsid w:val="00A76E82"/>
    <w:rsid w:val="00A76F42"/>
    <w:rsid w:val="00A76F54"/>
    <w:rsid w:val="00A76F6E"/>
    <w:rsid w:val="00A770B5"/>
    <w:rsid w:val="00A7710B"/>
    <w:rsid w:val="00A771BC"/>
    <w:rsid w:val="00A77234"/>
    <w:rsid w:val="00A774C0"/>
    <w:rsid w:val="00A774CB"/>
    <w:rsid w:val="00A7780E"/>
    <w:rsid w:val="00A778B4"/>
    <w:rsid w:val="00A77A54"/>
    <w:rsid w:val="00A77C8C"/>
    <w:rsid w:val="00A77CB2"/>
    <w:rsid w:val="00A80000"/>
    <w:rsid w:val="00A8009D"/>
    <w:rsid w:val="00A8026C"/>
    <w:rsid w:val="00A80312"/>
    <w:rsid w:val="00A8044E"/>
    <w:rsid w:val="00A8062E"/>
    <w:rsid w:val="00A8066F"/>
    <w:rsid w:val="00A80913"/>
    <w:rsid w:val="00A8098D"/>
    <w:rsid w:val="00A80ABC"/>
    <w:rsid w:val="00A80C6F"/>
    <w:rsid w:val="00A80D4D"/>
    <w:rsid w:val="00A80FE7"/>
    <w:rsid w:val="00A80FFE"/>
    <w:rsid w:val="00A81014"/>
    <w:rsid w:val="00A8112C"/>
    <w:rsid w:val="00A81182"/>
    <w:rsid w:val="00A811FA"/>
    <w:rsid w:val="00A812B3"/>
    <w:rsid w:val="00A814B5"/>
    <w:rsid w:val="00A814F1"/>
    <w:rsid w:val="00A81744"/>
    <w:rsid w:val="00A817D5"/>
    <w:rsid w:val="00A81806"/>
    <w:rsid w:val="00A81871"/>
    <w:rsid w:val="00A818E0"/>
    <w:rsid w:val="00A81A21"/>
    <w:rsid w:val="00A81B80"/>
    <w:rsid w:val="00A81D5E"/>
    <w:rsid w:val="00A81DA9"/>
    <w:rsid w:val="00A8204E"/>
    <w:rsid w:val="00A82066"/>
    <w:rsid w:val="00A82186"/>
    <w:rsid w:val="00A8221D"/>
    <w:rsid w:val="00A8232E"/>
    <w:rsid w:val="00A823EC"/>
    <w:rsid w:val="00A828FD"/>
    <w:rsid w:val="00A82A4E"/>
    <w:rsid w:val="00A82AAD"/>
    <w:rsid w:val="00A82C00"/>
    <w:rsid w:val="00A82D87"/>
    <w:rsid w:val="00A830FF"/>
    <w:rsid w:val="00A83158"/>
    <w:rsid w:val="00A83289"/>
    <w:rsid w:val="00A8342A"/>
    <w:rsid w:val="00A83603"/>
    <w:rsid w:val="00A8368C"/>
    <w:rsid w:val="00A83857"/>
    <w:rsid w:val="00A83A57"/>
    <w:rsid w:val="00A83AA1"/>
    <w:rsid w:val="00A83B01"/>
    <w:rsid w:val="00A83CA4"/>
    <w:rsid w:val="00A83CC3"/>
    <w:rsid w:val="00A83CE9"/>
    <w:rsid w:val="00A83E51"/>
    <w:rsid w:val="00A83E83"/>
    <w:rsid w:val="00A83F0B"/>
    <w:rsid w:val="00A83F33"/>
    <w:rsid w:val="00A84223"/>
    <w:rsid w:val="00A84239"/>
    <w:rsid w:val="00A84315"/>
    <w:rsid w:val="00A84392"/>
    <w:rsid w:val="00A84461"/>
    <w:rsid w:val="00A8458D"/>
    <w:rsid w:val="00A845BE"/>
    <w:rsid w:val="00A84600"/>
    <w:rsid w:val="00A84650"/>
    <w:rsid w:val="00A847A6"/>
    <w:rsid w:val="00A847B6"/>
    <w:rsid w:val="00A84A87"/>
    <w:rsid w:val="00A84B72"/>
    <w:rsid w:val="00A84BDF"/>
    <w:rsid w:val="00A84CEC"/>
    <w:rsid w:val="00A84D4B"/>
    <w:rsid w:val="00A84DF1"/>
    <w:rsid w:val="00A84EEC"/>
    <w:rsid w:val="00A84F2E"/>
    <w:rsid w:val="00A84F55"/>
    <w:rsid w:val="00A850F7"/>
    <w:rsid w:val="00A852E7"/>
    <w:rsid w:val="00A85434"/>
    <w:rsid w:val="00A85452"/>
    <w:rsid w:val="00A854C9"/>
    <w:rsid w:val="00A855FC"/>
    <w:rsid w:val="00A8571B"/>
    <w:rsid w:val="00A85784"/>
    <w:rsid w:val="00A857CF"/>
    <w:rsid w:val="00A85905"/>
    <w:rsid w:val="00A85A0C"/>
    <w:rsid w:val="00A85A20"/>
    <w:rsid w:val="00A85A78"/>
    <w:rsid w:val="00A85BB3"/>
    <w:rsid w:val="00A85C41"/>
    <w:rsid w:val="00A85CA2"/>
    <w:rsid w:val="00A85DF8"/>
    <w:rsid w:val="00A85FBD"/>
    <w:rsid w:val="00A862F4"/>
    <w:rsid w:val="00A862FC"/>
    <w:rsid w:val="00A86309"/>
    <w:rsid w:val="00A8640C"/>
    <w:rsid w:val="00A865AA"/>
    <w:rsid w:val="00A86620"/>
    <w:rsid w:val="00A8673F"/>
    <w:rsid w:val="00A8689A"/>
    <w:rsid w:val="00A8691B"/>
    <w:rsid w:val="00A8694E"/>
    <w:rsid w:val="00A86996"/>
    <w:rsid w:val="00A869F7"/>
    <w:rsid w:val="00A86AA7"/>
    <w:rsid w:val="00A86ACE"/>
    <w:rsid w:val="00A86ADA"/>
    <w:rsid w:val="00A86ADB"/>
    <w:rsid w:val="00A86C3D"/>
    <w:rsid w:val="00A86C76"/>
    <w:rsid w:val="00A86EB8"/>
    <w:rsid w:val="00A86EC8"/>
    <w:rsid w:val="00A86F31"/>
    <w:rsid w:val="00A8718E"/>
    <w:rsid w:val="00A871A7"/>
    <w:rsid w:val="00A8727B"/>
    <w:rsid w:val="00A8727F"/>
    <w:rsid w:val="00A87285"/>
    <w:rsid w:val="00A872EB"/>
    <w:rsid w:val="00A872F5"/>
    <w:rsid w:val="00A873DD"/>
    <w:rsid w:val="00A8740C"/>
    <w:rsid w:val="00A874F7"/>
    <w:rsid w:val="00A87564"/>
    <w:rsid w:val="00A875CB"/>
    <w:rsid w:val="00A876BB"/>
    <w:rsid w:val="00A8795D"/>
    <w:rsid w:val="00A87B31"/>
    <w:rsid w:val="00A87C40"/>
    <w:rsid w:val="00A87D7B"/>
    <w:rsid w:val="00A87DD9"/>
    <w:rsid w:val="00A87DE1"/>
    <w:rsid w:val="00A87E0D"/>
    <w:rsid w:val="00A9007A"/>
    <w:rsid w:val="00A901AF"/>
    <w:rsid w:val="00A90265"/>
    <w:rsid w:val="00A90338"/>
    <w:rsid w:val="00A90356"/>
    <w:rsid w:val="00A90413"/>
    <w:rsid w:val="00A90496"/>
    <w:rsid w:val="00A90532"/>
    <w:rsid w:val="00A90642"/>
    <w:rsid w:val="00A90675"/>
    <w:rsid w:val="00A90683"/>
    <w:rsid w:val="00A90693"/>
    <w:rsid w:val="00A90720"/>
    <w:rsid w:val="00A907DA"/>
    <w:rsid w:val="00A908B9"/>
    <w:rsid w:val="00A90909"/>
    <w:rsid w:val="00A90959"/>
    <w:rsid w:val="00A909E8"/>
    <w:rsid w:val="00A90A08"/>
    <w:rsid w:val="00A90A37"/>
    <w:rsid w:val="00A90AC6"/>
    <w:rsid w:val="00A90AEE"/>
    <w:rsid w:val="00A90B3D"/>
    <w:rsid w:val="00A90BBB"/>
    <w:rsid w:val="00A90DCE"/>
    <w:rsid w:val="00A90E1E"/>
    <w:rsid w:val="00A90EE1"/>
    <w:rsid w:val="00A90F8A"/>
    <w:rsid w:val="00A91029"/>
    <w:rsid w:val="00A9112D"/>
    <w:rsid w:val="00A911FB"/>
    <w:rsid w:val="00A914AE"/>
    <w:rsid w:val="00A9150E"/>
    <w:rsid w:val="00A915AD"/>
    <w:rsid w:val="00A915C8"/>
    <w:rsid w:val="00A919F1"/>
    <w:rsid w:val="00A91A1C"/>
    <w:rsid w:val="00A91B5E"/>
    <w:rsid w:val="00A91BDA"/>
    <w:rsid w:val="00A91C28"/>
    <w:rsid w:val="00A91C93"/>
    <w:rsid w:val="00A91CB3"/>
    <w:rsid w:val="00A91D42"/>
    <w:rsid w:val="00A91DE2"/>
    <w:rsid w:val="00A92013"/>
    <w:rsid w:val="00A920DF"/>
    <w:rsid w:val="00A920EE"/>
    <w:rsid w:val="00A921CB"/>
    <w:rsid w:val="00A9225F"/>
    <w:rsid w:val="00A922FF"/>
    <w:rsid w:val="00A923C6"/>
    <w:rsid w:val="00A92409"/>
    <w:rsid w:val="00A92422"/>
    <w:rsid w:val="00A92548"/>
    <w:rsid w:val="00A925C6"/>
    <w:rsid w:val="00A925FD"/>
    <w:rsid w:val="00A927B0"/>
    <w:rsid w:val="00A92949"/>
    <w:rsid w:val="00A9298F"/>
    <w:rsid w:val="00A92A80"/>
    <w:rsid w:val="00A92B00"/>
    <w:rsid w:val="00A92BA8"/>
    <w:rsid w:val="00A92EFF"/>
    <w:rsid w:val="00A92F04"/>
    <w:rsid w:val="00A93021"/>
    <w:rsid w:val="00A93096"/>
    <w:rsid w:val="00A93303"/>
    <w:rsid w:val="00A935C9"/>
    <w:rsid w:val="00A93786"/>
    <w:rsid w:val="00A93913"/>
    <w:rsid w:val="00A93AE0"/>
    <w:rsid w:val="00A93AF8"/>
    <w:rsid w:val="00A93B64"/>
    <w:rsid w:val="00A93B88"/>
    <w:rsid w:val="00A93D7A"/>
    <w:rsid w:val="00A93D9B"/>
    <w:rsid w:val="00A9401C"/>
    <w:rsid w:val="00A94143"/>
    <w:rsid w:val="00A94169"/>
    <w:rsid w:val="00A942E4"/>
    <w:rsid w:val="00A94441"/>
    <w:rsid w:val="00A945D9"/>
    <w:rsid w:val="00A94616"/>
    <w:rsid w:val="00A948BA"/>
    <w:rsid w:val="00A948F9"/>
    <w:rsid w:val="00A94B3A"/>
    <w:rsid w:val="00A94F44"/>
    <w:rsid w:val="00A9516D"/>
    <w:rsid w:val="00A951B8"/>
    <w:rsid w:val="00A9535D"/>
    <w:rsid w:val="00A95376"/>
    <w:rsid w:val="00A9561D"/>
    <w:rsid w:val="00A956B0"/>
    <w:rsid w:val="00A95716"/>
    <w:rsid w:val="00A95719"/>
    <w:rsid w:val="00A95869"/>
    <w:rsid w:val="00A95879"/>
    <w:rsid w:val="00A959AD"/>
    <w:rsid w:val="00A95A0F"/>
    <w:rsid w:val="00A95A7D"/>
    <w:rsid w:val="00A95ABA"/>
    <w:rsid w:val="00A95AD2"/>
    <w:rsid w:val="00A95B13"/>
    <w:rsid w:val="00A95B86"/>
    <w:rsid w:val="00A95C31"/>
    <w:rsid w:val="00A95E79"/>
    <w:rsid w:val="00A95E7B"/>
    <w:rsid w:val="00A95F39"/>
    <w:rsid w:val="00A96097"/>
    <w:rsid w:val="00A96330"/>
    <w:rsid w:val="00A9633B"/>
    <w:rsid w:val="00A96384"/>
    <w:rsid w:val="00A9644F"/>
    <w:rsid w:val="00A96491"/>
    <w:rsid w:val="00A964AA"/>
    <w:rsid w:val="00A966C6"/>
    <w:rsid w:val="00A96779"/>
    <w:rsid w:val="00A9678E"/>
    <w:rsid w:val="00A967C8"/>
    <w:rsid w:val="00A96802"/>
    <w:rsid w:val="00A96888"/>
    <w:rsid w:val="00A96932"/>
    <w:rsid w:val="00A969B6"/>
    <w:rsid w:val="00A96A3F"/>
    <w:rsid w:val="00A96A77"/>
    <w:rsid w:val="00A96BFA"/>
    <w:rsid w:val="00A96D92"/>
    <w:rsid w:val="00A96E95"/>
    <w:rsid w:val="00A96F83"/>
    <w:rsid w:val="00A971D9"/>
    <w:rsid w:val="00A97390"/>
    <w:rsid w:val="00A974FD"/>
    <w:rsid w:val="00A97555"/>
    <w:rsid w:val="00A9770E"/>
    <w:rsid w:val="00A97877"/>
    <w:rsid w:val="00A978D2"/>
    <w:rsid w:val="00A978F7"/>
    <w:rsid w:val="00A97AF4"/>
    <w:rsid w:val="00A97C42"/>
    <w:rsid w:val="00A97D7D"/>
    <w:rsid w:val="00A97DE9"/>
    <w:rsid w:val="00A97FC7"/>
    <w:rsid w:val="00A97FD0"/>
    <w:rsid w:val="00AA007F"/>
    <w:rsid w:val="00AA009E"/>
    <w:rsid w:val="00AA00CC"/>
    <w:rsid w:val="00AA00FA"/>
    <w:rsid w:val="00AA0153"/>
    <w:rsid w:val="00AA01A4"/>
    <w:rsid w:val="00AA033A"/>
    <w:rsid w:val="00AA0515"/>
    <w:rsid w:val="00AA079D"/>
    <w:rsid w:val="00AA0874"/>
    <w:rsid w:val="00AA094B"/>
    <w:rsid w:val="00AA099B"/>
    <w:rsid w:val="00AA0A11"/>
    <w:rsid w:val="00AA0A89"/>
    <w:rsid w:val="00AA0C13"/>
    <w:rsid w:val="00AA0C63"/>
    <w:rsid w:val="00AA0CE9"/>
    <w:rsid w:val="00AA0D32"/>
    <w:rsid w:val="00AA0F29"/>
    <w:rsid w:val="00AA0FC6"/>
    <w:rsid w:val="00AA1001"/>
    <w:rsid w:val="00AA10BB"/>
    <w:rsid w:val="00AA1263"/>
    <w:rsid w:val="00AA1398"/>
    <w:rsid w:val="00AA145D"/>
    <w:rsid w:val="00AA1499"/>
    <w:rsid w:val="00AA14F1"/>
    <w:rsid w:val="00AA1679"/>
    <w:rsid w:val="00AA1708"/>
    <w:rsid w:val="00AA1726"/>
    <w:rsid w:val="00AA179A"/>
    <w:rsid w:val="00AA194D"/>
    <w:rsid w:val="00AA1C1A"/>
    <w:rsid w:val="00AA1C5A"/>
    <w:rsid w:val="00AA1CC0"/>
    <w:rsid w:val="00AA1CC5"/>
    <w:rsid w:val="00AA1D9F"/>
    <w:rsid w:val="00AA1E46"/>
    <w:rsid w:val="00AA1ED6"/>
    <w:rsid w:val="00AA1EE8"/>
    <w:rsid w:val="00AA213B"/>
    <w:rsid w:val="00AA2148"/>
    <w:rsid w:val="00AA226E"/>
    <w:rsid w:val="00AA23DE"/>
    <w:rsid w:val="00AA2441"/>
    <w:rsid w:val="00AA24BE"/>
    <w:rsid w:val="00AA2562"/>
    <w:rsid w:val="00AA257C"/>
    <w:rsid w:val="00AA25BC"/>
    <w:rsid w:val="00AA2737"/>
    <w:rsid w:val="00AA2871"/>
    <w:rsid w:val="00AA29D3"/>
    <w:rsid w:val="00AA2A00"/>
    <w:rsid w:val="00AA2A62"/>
    <w:rsid w:val="00AA2A8F"/>
    <w:rsid w:val="00AA2BCB"/>
    <w:rsid w:val="00AA2C79"/>
    <w:rsid w:val="00AA2D3C"/>
    <w:rsid w:val="00AA2E11"/>
    <w:rsid w:val="00AA2EB3"/>
    <w:rsid w:val="00AA2F18"/>
    <w:rsid w:val="00AA303E"/>
    <w:rsid w:val="00AA31DB"/>
    <w:rsid w:val="00AA322D"/>
    <w:rsid w:val="00AA335D"/>
    <w:rsid w:val="00AA33AE"/>
    <w:rsid w:val="00AA342F"/>
    <w:rsid w:val="00AA364D"/>
    <w:rsid w:val="00AA36A3"/>
    <w:rsid w:val="00AA36F3"/>
    <w:rsid w:val="00AA37B9"/>
    <w:rsid w:val="00AA3A06"/>
    <w:rsid w:val="00AA3AD8"/>
    <w:rsid w:val="00AA3ADF"/>
    <w:rsid w:val="00AA3C75"/>
    <w:rsid w:val="00AA3F6D"/>
    <w:rsid w:val="00AA4020"/>
    <w:rsid w:val="00AA4023"/>
    <w:rsid w:val="00AA403A"/>
    <w:rsid w:val="00AA451D"/>
    <w:rsid w:val="00AA4603"/>
    <w:rsid w:val="00AA461F"/>
    <w:rsid w:val="00AA467B"/>
    <w:rsid w:val="00AA46AE"/>
    <w:rsid w:val="00AA498A"/>
    <w:rsid w:val="00AA4A18"/>
    <w:rsid w:val="00AA4A20"/>
    <w:rsid w:val="00AA4C9B"/>
    <w:rsid w:val="00AA4CB4"/>
    <w:rsid w:val="00AA4CEE"/>
    <w:rsid w:val="00AA4DE5"/>
    <w:rsid w:val="00AA4DEA"/>
    <w:rsid w:val="00AA4E46"/>
    <w:rsid w:val="00AA5005"/>
    <w:rsid w:val="00AA51A4"/>
    <w:rsid w:val="00AA5483"/>
    <w:rsid w:val="00AA55B6"/>
    <w:rsid w:val="00AA55B7"/>
    <w:rsid w:val="00AA5662"/>
    <w:rsid w:val="00AA57AC"/>
    <w:rsid w:val="00AA5AB9"/>
    <w:rsid w:val="00AA5ABC"/>
    <w:rsid w:val="00AA5AD9"/>
    <w:rsid w:val="00AA5B45"/>
    <w:rsid w:val="00AA5B4C"/>
    <w:rsid w:val="00AA5BDD"/>
    <w:rsid w:val="00AA5CD9"/>
    <w:rsid w:val="00AA5F29"/>
    <w:rsid w:val="00AA5FFF"/>
    <w:rsid w:val="00AA60AE"/>
    <w:rsid w:val="00AA636C"/>
    <w:rsid w:val="00AA6475"/>
    <w:rsid w:val="00AA64A2"/>
    <w:rsid w:val="00AA64A7"/>
    <w:rsid w:val="00AA65F2"/>
    <w:rsid w:val="00AA6765"/>
    <w:rsid w:val="00AA6793"/>
    <w:rsid w:val="00AA67CE"/>
    <w:rsid w:val="00AA6974"/>
    <w:rsid w:val="00AA6D51"/>
    <w:rsid w:val="00AA6E06"/>
    <w:rsid w:val="00AA6F7A"/>
    <w:rsid w:val="00AA6FAE"/>
    <w:rsid w:val="00AA6FD8"/>
    <w:rsid w:val="00AA7110"/>
    <w:rsid w:val="00AA72B3"/>
    <w:rsid w:val="00AA72C2"/>
    <w:rsid w:val="00AA7438"/>
    <w:rsid w:val="00AA7502"/>
    <w:rsid w:val="00AA755B"/>
    <w:rsid w:val="00AA760F"/>
    <w:rsid w:val="00AA7670"/>
    <w:rsid w:val="00AA797B"/>
    <w:rsid w:val="00AA79FF"/>
    <w:rsid w:val="00AA7A99"/>
    <w:rsid w:val="00AA7BB2"/>
    <w:rsid w:val="00AA7BF7"/>
    <w:rsid w:val="00AA7E2F"/>
    <w:rsid w:val="00AA7F99"/>
    <w:rsid w:val="00AA7FF5"/>
    <w:rsid w:val="00AB00CC"/>
    <w:rsid w:val="00AB00CE"/>
    <w:rsid w:val="00AB0146"/>
    <w:rsid w:val="00AB0527"/>
    <w:rsid w:val="00AB0555"/>
    <w:rsid w:val="00AB06A0"/>
    <w:rsid w:val="00AB0731"/>
    <w:rsid w:val="00AB076E"/>
    <w:rsid w:val="00AB0971"/>
    <w:rsid w:val="00AB0982"/>
    <w:rsid w:val="00AB0BB1"/>
    <w:rsid w:val="00AB0C3C"/>
    <w:rsid w:val="00AB0EC0"/>
    <w:rsid w:val="00AB0FBF"/>
    <w:rsid w:val="00AB0FD2"/>
    <w:rsid w:val="00AB1319"/>
    <w:rsid w:val="00AB1359"/>
    <w:rsid w:val="00AB14F6"/>
    <w:rsid w:val="00AB151F"/>
    <w:rsid w:val="00AB1525"/>
    <w:rsid w:val="00AB156D"/>
    <w:rsid w:val="00AB15FA"/>
    <w:rsid w:val="00AB1780"/>
    <w:rsid w:val="00AB1935"/>
    <w:rsid w:val="00AB1960"/>
    <w:rsid w:val="00AB19C7"/>
    <w:rsid w:val="00AB1AB2"/>
    <w:rsid w:val="00AB1BF8"/>
    <w:rsid w:val="00AB1C4A"/>
    <w:rsid w:val="00AB1C86"/>
    <w:rsid w:val="00AB1CFA"/>
    <w:rsid w:val="00AB1D59"/>
    <w:rsid w:val="00AB1DEC"/>
    <w:rsid w:val="00AB1E08"/>
    <w:rsid w:val="00AB205D"/>
    <w:rsid w:val="00AB216B"/>
    <w:rsid w:val="00AB2199"/>
    <w:rsid w:val="00AB21AD"/>
    <w:rsid w:val="00AB21C7"/>
    <w:rsid w:val="00AB2223"/>
    <w:rsid w:val="00AB2232"/>
    <w:rsid w:val="00AB226C"/>
    <w:rsid w:val="00AB23CA"/>
    <w:rsid w:val="00AB23CF"/>
    <w:rsid w:val="00AB2406"/>
    <w:rsid w:val="00AB257E"/>
    <w:rsid w:val="00AB2597"/>
    <w:rsid w:val="00AB2689"/>
    <w:rsid w:val="00AB2764"/>
    <w:rsid w:val="00AB290B"/>
    <w:rsid w:val="00AB2912"/>
    <w:rsid w:val="00AB293D"/>
    <w:rsid w:val="00AB2C94"/>
    <w:rsid w:val="00AB2D24"/>
    <w:rsid w:val="00AB2E02"/>
    <w:rsid w:val="00AB2F75"/>
    <w:rsid w:val="00AB309B"/>
    <w:rsid w:val="00AB3119"/>
    <w:rsid w:val="00AB321F"/>
    <w:rsid w:val="00AB3273"/>
    <w:rsid w:val="00AB35C5"/>
    <w:rsid w:val="00AB3621"/>
    <w:rsid w:val="00AB36B2"/>
    <w:rsid w:val="00AB381E"/>
    <w:rsid w:val="00AB3A17"/>
    <w:rsid w:val="00AB3A8B"/>
    <w:rsid w:val="00AB3AB1"/>
    <w:rsid w:val="00AB3B8D"/>
    <w:rsid w:val="00AB3BF3"/>
    <w:rsid w:val="00AB3D58"/>
    <w:rsid w:val="00AB3F24"/>
    <w:rsid w:val="00AB4099"/>
    <w:rsid w:val="00AB411D"/>
    <w:rsid w:val="00AB434A"/>
    <w:rsid w:val="00AB43BC"/>
    <w:rsid w:val="00AB44DF"/>
    <w:rsid w:val="00AB44E6"/>
    <w:rsid w:val="00AB4517"/>
    <w:rsid w:val="00AB4547"/>
    <w:rsid w:val="00AB472B"/>
    <w:rsid w:val="00AB476B"/>
    <w:rsid w:val="00AB47BE"/>
    <w:rsid w:val="00AB490B"/>
    <w:rsid w:val="00AB4991"/>
    <w:rsid w:val="00AB499F"/>
    <w:rsid w:val="00AB4D11"/>
    <w:rsid w:val="00AB4E84"/>
    <w:rsid w:val="00AB4EF6"/>
    <w:rsid w:val="00AB4F7C"/>
    <w:rsid w:val="00AB5028"/>
    <w:rsid w:val="00AB5069"/>
    <w:rsid w:val="00AB5155"/>
    <w:rsid w:val="00AB51C2"/>
    <w:rsid w:val="00AB52E3"/>
    <w:rsid w:val="00AB5427"/>
    <w:rsid w:val="00AB5544"/>
    <w:rsid w:val="00AB5549"/>
    <w:rsid w:val="00AB561A"/>
    <w:rsid w:val="00AB56A8"/>
    <w:rsid w:val="00AB582F"/>
    <w:rsid w:val="00AB59B5"/>
    <w:rsid w:val="00AB59E0"/>
    <w:rsid w:val="00AB59F6"/>
    <w:rsid w:val="00AB5C11"/>
    <w:rsid w:val="00AB5C56"/>
    <w:rsid w:val="00AB5CF6"/>
    <w:rsid w:val="00AB5F09"/>
    <w:rsid w:val="00AB638F"/>
    <w:rsid w:val="00AB64B2"/>
    <w:rsid w:val="00AB6601"/>
    <w:rsid w:val="00AB66B9"/>
    <w:rsid w:val="00AB686F"/>
    <w:rsid w:val="00AB687E"/>
    <w:rsid w:val="00AB68A6"/>
    <w:rsid w:val="00AB69B5"/>
    <w:rsid w:val="00AB6A41"/>
    <w:rsid w:val="00AB6ADE"/>
    <w:rsid w:val="00AB6C4E"/>
    <w:rsid w:val="00AB6C66"/>
    <w:rsid w:val="00AB6C6D"/>
    <w:rsid w:val="00AB6CAD"/>
    <w:rsid w:val="00AB6D37"/>
    <w:rsid w:val="00AB6D44"/>
    <w:rsid w:val="00AB6E41"/>
    <w:rsid w:val="00AB6EE0"/>
    <w:rsid w:val="00AB7055"/>
    <w:rsid w:val="00AB7104"/>
    <w:rsid w:val="00AB71CA"/>
    <w:rsid w:val="00AB7413"/>
    <w:rsid w:val="00AB76D5"/>
    <w:rsid w:val="00AB778D"/>
    <w:rsid w:val="00AB79F2"/>
    <w:rsid w:val="00AB7A94"/>
    <w:rsid w:val="00AB7B2C"/>
    <w:rsid w:val="00AB7B96"/>
    <w:rsid w:val="00AB7D1C"/>
    <w:rsid w:val="00AB7DDF"/>
    <w:rsid w:val="00AB7ECE"/>
    <w:rsid w:val="00AB7EFD"/>
    <w:rsid w:val="00AC0056"/>
    <w:rsid w:val="00AC0209"/>
    <w:rsid w:val="00AC0280"/>
    <w:rsid w:val="00AC0340"/>
    <w:rsid w:val="00AC0404"/>
    <w:rsid w:val="00AC043E"/>
    <w:rsid w:val="00AC04B2"/>
    <w:rsid w:val="00AC0947"/>
    <w:rsid w:val="00AC0A6E"/>
    <w:rsid w:val="00AC0A71"/>
    <w:rsid w:val="00AC0C25"/>
    <w:rsid w:val="00AC0C28"/>
    <w:rsid w:val="00AC0C7C"/>
    <w:rsid w:val="00AC0D13"/>
    <w:rsid w:val="00AC0D6F"/>
    <w:rsid w:val="00AC0D72"/>
    <w:rsid w:val="00AC0E02"/>
    <w:rsid w:val="00AC0E54"/>
    <w:rsid w:val="00AC0EB9"/>
    <w:rsid w:val="00AC0F3E"/>
    <w:rsid w:val="00AC1325"/>
    <w:rsid w:val="00AC1353"/>
    <w:rsid w:val="00AC148C"/>
    <w:rsid w:val="00AC1499"/>
    <w:rsid w:val="00AC1613"/>
    <w:rsid w:val="00AC175E"/>
    <w:rsid w:val="00AC1933"/>
    <w:rsid w:val="00AC1935"/>
    <w:rsid w:val="00AC19BE"/>
    <w:rsid w:val="00AC1AE4"/>
    <w:rsid w:val="00AC1D5E"/>
    <w:rsid w:val="00AC1FDF"/>
    <w:rsid w:val="00AC1FFA"/>
    <w:rsid w:val="00AC2156"/>
    <w:rsid w:val="00AC224D"/>
    <w:rsid w:val="00AC25A0"/>
    <w:rsid w:val="00AC264A"/>
    <w:rsid w:val="00AC2733"/>
    <w:rsid w:val="00AC278A"/>
    <w:rsid w:val="00AC2878"/>
    <w:rsid w:val="00AC290A"/>
    <w:rsid w:val="00AC2A41"/>
    <w:rsid w:val="00AC2A67"/>
    <w:rsid w:val="00AC2C15"/>
    <w:rsid w:val="00AC2CF9"/>
    <w:rsid w:val="00AC2E89"/>
    <w:rsid w:val="00AC2FEE"/>
    <w:rsid w:val="00AC30F8"/>
    <w:rsid w:val="00AC3136"/>
    <w:rsid w:val="00AC3158"/>
    <w:rsid w:val="00AC3492"/>
    <w:rsid w:val="00AC34EA"/>
    <w:rsid w:val="00AC351F"/>
    <w:rsid w:val="00AC3672"/>
    <w:rsid w:val="00AC3674"/>
    <w:rsid w:val="00AC374A"/>
    <w:rsid w:val="00AC374C"/>
    <w:rsid w:val="00AC374F"/>
    <w:rsid w:val="00AC379B"/>
    <w:rsid w:val="00AC388B"/>
    <w:rsid w:val="00AC3894"/>
    <w:rsid w:val="00AC395F"/>
    <w:rsid w:val="00AC3AE7"/>
    <w:rsid w:val="00AC3B1E"/>
    <w:rsid w:val="00AC3D0D"/>
    <w:rsid w:val="00AC3E0C"/>
    <w:rsid w:val="00AC3ECC"/>
    <w:rsid w:val="00AC4052"/>
    <w:rsid w:val="00AC405B"/>
    <w:rsid w:val="00AC41C8"/>
    <w:rsid w:val="00AC421D"/>
    <w:rsid w:val="00AC43E3"/>
    <w:rsid w:val="00AC43F1"/>
    <w:rsid w:val="00AC4435"/>
    <w:rsid w:val="00AC443F"/>
    <w:rsid w:val="00AC44BC"/>
    <w:rsid w:val="00AC45D9"/>
    <w:rsid w:val="00AC46D0"/>
    <w:rsid w:val="00AC4705"/>
    <w:rsid w:val="00AC4830"/>
    <w:rsid w:val="00AC49C4"/>
    <w:rsid w:val="00AC49D6"/>
    <w:rsid w:val="00AC49FD"/>
    <w:rsid w:val="00AC4A81"/>
    <w:rsid w:val="00AC4B97"/>
    <w:rsid w:val="00AC4C3E"/>
    <w:rsid w:val="00AC4C55"/>
    <w:rsid w:val="00AC4C97"/>
    <w:rsid w:val="00AC4CAA"/>
    <w:rsid w:val="00AC4CBC"/>
    <w:rsid w:val="00AC4D5F"/>
    <w:rsid w:val="00AC4D98"/>
    <w:rsid w:val="00AC4DCF"/>
    <w:rsid w:val="00AC4E52"/>
    <w:rsid w:val="00AC4EE6"/>
    <w:rsid w:val="00AC4FE7"/>
    <w:rsid w:val="00AC4FF5"/>
    <w:rsid w:val="00AC5385"/>
    <w:rsid w:val="00AC5397"/>
    <w:rsid w:val="00AC54A0"/>
    <w:rsid w:val="00AC565D"/>
    <w:rsid w:val="00AC57CE"/>
    <w:rsid w:val="00AC57F9"/>
    <w:rsid w:val="00AC58EE"/>
    <w:rsid w:val="00AC59B1"/>
    <w:rsid w:val="00AC59BB"/>
    <w:rsid w:val="00AC5BD8"/>
    <w:rsid w:val="00AC5DB1"/>
    <w:rsid w:val="00AC5E4F"/>
    <w:rsid w:val="00AC607C"/>
    <w:rsid w:val="00AC64E9"/>
    <w:rsid w:val="00AC6501"/>
    <w:rsid w:val="00AC652D"/>
    <w:rsid w:val="00AC6854"/>
    <w:rsid w:val="00AC6A73"/>
    <w:rsid w:val="00AC6B48"/>
    <w:rsid w:val="00AC6B5A"/>
    <w:rsid w:val="00AC6C87"/>
    <w:rsid w:val="00AC6D6B"/>
    <w:rsid w:val="00AC6EAF"/>
    <w:rsid w:val="00AC710D"/>
    <w:rsid w:val="00AC7169"/>
    <w:rsid w:val="00AC717A"/>
    <w:rsid w:val="00AC732D"/>
    <w:rsid w:val="00AC736C"/>
    <w:rsid w:val="00AC7696"/>
    <w:rsid w:val="00AC79C5"/>
    <w:rsid w:val="00AC7A50"/>
    <w:rsid w:val="00AC7B59"/>
    <w:rsid w:val="00AC7BB7"/>
    <w:rsid w:val="00AC7D08"/>
    <w:rsid w:val="00AC7D3B"/>
    <w:rsid w:val="00AC7E77"/>
    <w:rsid w:val="00AC7F46"/>
    <w:rsid w:val="00AC7FAB"/>
    <w:rsid w:val="00AD0084"/>
    <w:rsid w:val="00AD0188"/>
    <w:rsid w:val="00AD020A"/>
    <w:rsid w:val="00AD026F"/>
    <w:rsid w:val="00AD0284"/>
    <w:rsid w:val="00AD02CE"/>
    <w:rsid w:val="00AD0425"/>
    <w:rsid w:val="00AD0440"/>
    <w:rsid w:val="00AD0541"/>
    <w:rsid w:val="00AD054F"/>
    <w:rsid w:val="00AD0596"/>
    <w:rsid w:val="00AD0AA8"/>
    <w:rsid w:val="00AD0C6A"/>
    <w:rsid w:val="00AD0CDE"/>
    <w:rsid w:val="00AD0DBD"/>
    <w:rsid w:val="00AD0DF1"/>
    <w:rsid w:val="00AD0EED"/>
    <w:rsid w:val="00AD0F8A"/>
    <w:rsid w:val="00AD0FDC"/>
    <w:rsid w:val="00AD1224"/>
    <w:rsid w:val="00AD12C6"/>
    <w:rsid w:val="00AD1300"/>
    <w:rsid w:val="00AD1412"/>
    <w:rsid w:val="00AD1464"/>
    <w:rsid w:val="00AD14F1"/>
    <w:rsid w:val="00AD1517"/>
    <w:rsid w:val="00AD156F"/>
    <w:rsid w:val="00AD1658"/>
    <w:rsid w:val="00AD16F1"/>
    <w:rsid w:val="00AD1842"/>
    <w:rsid w:val="00AD1897"/>
    <w:rsid w:val="00AD1920"/>
    <w:rsid w:val="00AD19A1"/>
    <w:rsid w:val="00AD19F6"/>
    <w:rsid w:val="00AD1CED"/>
    <w:rsid w:val="00AD1DEA"/>
    <w:rsid w:val="00AD1E6C"/>
    <w:rsid w:val="00AD1E79"/>
    <w:rsid w:val="00AD1F32"/>
    <w:rsid w:val="00AD1FCA"/>
    <w:rsid w:val="00AD202F"/>
    <w:rsid w:val="00AD21B3"/>
    <w:rsid w:val="00AD2323"/>
    <w:rsid w:val="00AD241F"/>
    <w:rsid w:val="00AD25D5"/>
    <w:rsid w:val="00AD25E3"/>
    <w:rsid w:val="00AD260E"/>
    <w:rsid w:val="00AD27CF"/>
    <w:rsid w:val="00AD2B48"/>
    <w:rsid w:val="00AD2C76"/>
    <w:rsid w:val="00AD2CAE"/>
    <w:rsid w:val="00AD2D29"/>
    <w:rsid w:val="00AD2DBC"/>
    <w:rsid w:val="00AD2F80"/>
    <w:rsid w:val="00AD2FFA"/>
    <w:rsid w:val="00AD3000"/>
    <w:rsid w:val="00AD301B"/>
    <w:rsid w:val="00AD30A6"/>
    <w:rsid w:val="00AD30F0"/>
    <w:rsid w:val="00AD31B5"/>
    <w:rsid w:val="00AD3248"/>
    <w:rsid w:val="00AD3264"/>
    <w:rsid w:val="00AD3288"/>
    <w:rsid w:val="00AD3539"/>
    <w:rsid w:val="00AD3742"/>
    <w:rsid w:val="00AD3762"/>
    <w:rsid w:val="00AD37A6"/>
    <w:rsid w:val="00AD3988"/>
    <w:rsid w:val="00AD39E9"/>
    <w:rsid w:val="00AD3B91"/>
    <w:rsid w:val="00AD3B95"/>
    <w:rsid w:val="00AD3BC2"/>
    <w:rsid w:val="00AD3C03"/>
    <w:rsid w:val="00AD3D38"/>
    <w:rsid w:val="00AD3D50"/>
    <w:rsid w:val="00AD3F68"/>
    <w:rsid w:val="00AD401A"/>
    <w:rsid w:val="00AD4082"/>
    <w:rsid w:val="00AD4141"/>
    <w:rsid w:val="00AD4180"/>
    <w:rsid w:val="00AD41C3"/>
    <w:rsid w:val="00AD41CA"/>
    <w:rsid w:val="00AD4329"/>
    <w:rsid w:val="00AD4345"/>
    <w:rsid w:val="00AD4485"/>
    <w:rsid w:val="00AD4629"/>
    <w:rsid w:val="00AD472B"/>
    <w:rsid w:val="00AD475F"/>
    <w:rsid w:val="00AD47B8"/>
    <w:rsid w:val="00AD48ED"/>
    <w:rsid w:val="00AD4916"/>
    <w:rsid w:val="00AD49E9"/>
    <w:rsid w:val="00AD4A82"/>
    <w:rsid w:val="00AD4B24"/>
    <w:rsid w:val="00AD4B78"/>
    <w:rsid w:val="00AD4C15"/>
    <w:rsid w:val="00AD4E22"/>
    <w:rsid w:val="00AD5046"/>
    <w:rsid w:val="00AD5180"/>
    <w:rsid w:val="00AD52F9"/>
    <w:rsid w:val="00AD5317"/>
    <w:rsid w:val="00AD55C2"/>
    <w:rsid w:val="00AD5765"/>
    <w:rsid w:val="00AD5816"/>
    <w:rsid w:val="00AD59B2"/>
    <w:rsid w:val="00AD5BE0"/>
    <w:rsid w:val="00AD5C4B"/>
    <w:rsid w:val="00AD5DA1"/>
    <w:rsid w:val="00AD5EF1"/>
    <w:rsid w:val="00AD5F2B"/>
    <w:rsid w:val="00AD6083"/>
    <w:rsid w:val="00AD614B"/>
    <w:rsid w:val="00AD6500"/>
    <w:rsid w:val="00AD65D7"/>
    <w:rsid w:val="00AD6A48"/>
    <w:rsid w:val="00AD6BA6"/>
    <w:rsid w:val="00AD6C73"/>
    <w:rsid w:val="00AD6CAF"/>
    <w:rsid w:val="00AD6E50"/>
    <w:rsid w:val="00AD6E7A"/>
    <w:rsid w:val="00AD6EA9"/>
    <w:rsid w:val="00AD6FD6"/>
    <w:rsid w:val="00AD702D"/>
    <w:rsid w:val="00AD712E"/>
    <w:rsid w:val="00AD7313"/>
    <w:rsid w:val="00AD73B0"/>
    <w:rsid w:val="00AD7492"/>
    <w:rsid w:val="00AD758F"/>
    <w:rsid w:val="00AD76DC"/>
    <w:rsid w:val="00AD78E5"/>
    <w:rsid w:val="00AD7904"/>
    <w:rsid w:val="00AD7A1A"/>
    <w:rsid w:val="00AD7CD5"/>
    <w:rsid w:val="00AD7D8E"/>
    <w:rsid w:val="00AD7F66"/>
    <w:rsid w:val="00AE000E"/>
    <w:rsid w:val="00AE00FF"/>
    <w:rsid w:val="00AE01FC"/>
    <w:rsid w:val="00AE0216"/>
    <w:rsid w:val="00AE0295"/>
    <w:rsid w:val="00AE0375"/>
    <w:rsid w:val="00AE037A"/>
    <w:rsid w:val="00AE03CA"/>
    <w:rsid w:val="00AE04B2"/>
    <w:rsid w:val="00AE0550"/>
    <w:rsid w:val="00AE05F5"/>
    <w:rsid w:val="00AE0625"/>
    <w:rsid w:val="00AE091C"/>
    <w:rsid w:val="00AE092F"/>
    <w:rsid w:val="00AE0975"/>
    <w:rsid w:val="00AE0A63"/>
    <w:rsid w:val="00AE0B38"/>
    <w:rsid w:val="00AE0CD5"/>
    <w:rsid w:val="00AE0D5B"/>
    <w:rsid w:val="00AE0DCD"/>
    <w:rsid w:val="00AE0DE6"/>
    <w:rsid w:val="00AE0E73"/>
    <w:rsid w:val="00AE0E78"/>
    <w:rsid w:val="00AE0E81"/>
    <w:rsid w:val="00AE1072"/>
    <w:rsid w:val="00AE10AB"/>
    <w:rsid w:val="00AE1134"/>
    <w:rsid w:val="00AE11E9"/>
    <w:rsid w:val="00AE1525"/>
    <w:rsid w:val="00AE1556"/>
    <w:rsid w:val="00AE15A3"/>
    <w:rsid w:val="00AE16C5"/>
    <w:rsid w:val="00AE1770"/>
    <w:rsid w:val="00AE1A89"/>
    <w:rsid w:val="00AE1AA8"/>
    <w:rsid w:val="00AE1D04"/>
    <w:rsid w:val="00AE1D43"/>
    <w:rsid w:val="00AE1DBB"/>
    <w:rsid w:val="00AE1F01"/>
    <w:rsid w:val="00AE204F"/>
    <w:rsid w:val="00AE2093"/>
    <w:rsid w:val="00AE20AE"/>
    <w:rsid w:val="00AE20CF"/>
    <w:rsid w:val="00AE21E2"/>
    <w:rsid w:val="00AE2208"/>
    <w:rsid w:val="00AE2308"/>
    <w:rsid w:val="00AE26B8"/>
    <w:rsid w:val="00AE2725"/>
    <w:rsid w:val="00AE289A"/>
    <w:rsid w:val="00AE291A"/>
    <w:rsid w:val="00AE2A53"/>
    <w:rsid w:val="00AE2ADF"/>
    <w:rsid w:val="00AE2BAD"/>
    <w:rsid w:val="00AE2C6B"/>
    <w:rsid w:val="00AE2C92"/>
    <w:rsid w:val="00AE2CDA"/>
    <w:rsid w:val="00AE2EF2"/>
    <w:rsid w:val="00AE2FBA"/>
    <w:rsid w:val="00AE2FCB"/>
    <w:rsid w:val="00AE2FEF"/>
    <w:rsid w:val="00AE301D"/>
    <w:rsid w:val="00AE3060"/>
    <w:rsid w:val="00AE3284"/>
    <w:rsid w:val="00AE3361"/>
    <w:rsid w:val="00AE349C"/>
    <w:rsid w:val="00AE35B6"/>
    <w:rsid w:val="00AE3719"/>
    <w:rsid w:val="00AE374C"/>
    <w:rsid w:val="00AE37AC"/>
    <w:rsid w:val="00AE37BA"/>
    <w:rsid w:val="00AE399F"/>
    <w:rsid w:val="00AE3B83"/>
    <w:rsid w:val="00AE3CC1"/>
    <w:rsid w:val="00AE3D15"/>
    <w:rsid w:val="00AE4576"/>
    <w:rsid w:val="00AE45FB"/>
    <w:rsid w:val="00AE4608"/>
    <w:rsid w:val="00AE4640"/>
    <w:rsid w:val="00AE4654"/>
    <w:rsid w:val="00AE47F1"/>
    <w:rsid w:val="00AE484F"/>
    <w:rsid w:val="00AE4AF0"/>
    <w:rsid w:val="00AE4B79"/>
    <w:rsid w:val="00AE4C3A"/>
    <w:rsid w:val="00AE4C80"/>
    <w:rsid w:val="00AE4F5D"/>
    <w:rsid w:val="00AE5047"/>
    <w:rsid w:val="00AE519B"/>
    <w:rsid w:val="00AE51D3"/>
    <w:rsid w:val="00AE52AB"/>
    <w:rsid w:val="00AE5312"/>
    <w:rsid w:val="00AE5327"/>
    <w:rsid w:val="00AE549A"/>
    <w:rsid w:val="00AE55A7"/>
    <w:rsid w:val="00AE56AF"/>
    <w:rsid w:val="00AE5A0F"/>
    <w:rsid w:val="00AE5A5C"/>
    <w:rsid w:val="00AE5AA6"/>
    <w:rsid w:val="00AE5AAB"/>
    <w:rsid w:val="00AE5ABD"/>
    <w:rsid w:val="00AE5C67"/>
    <w:rsid w:val="00AE5C7E"/>
    <w:rsid w:val="00AE5D73"/>
    <w:rsid w:val="00AE5DFA"/>
    <w:rsid w:val="00AE5E07"/>
    <w:rsid w:val="00AE5FAB"/>
    <w:rsid w:val="00AE6001"/>
    <w:rsid w:val="00AE63AC"/>
    <w:rsid w:val="00AE63B5"/>
    <w:rsid w:val="00AE64BE"/>
    <w:rsid w:val="00AE65E3"/>
    <w:rsid w:val="00AE661F"/>
    <w:rsid w:val="00AE6623"/>
    <w:rsid w:val="00AE6797"/>
    <w:rsid w:val="00AE67AB"/>
    <w:rsid w:val="00AE67C5"/>
    <w:rsid w:val="00AE694C"/>
    <w:rsid w:val="00AE6987"/>
    <w:rsid w:val="00AE6C15"/>
    <w:rsid w:val="00AE6C59"/>
    <w:rsid w:val="00AE6DAF"/>
    <w:rsid w:val="00AE6DC6"/>
    <w:rsid w:val="00AE6F31"/>
    <w:rsid w:val="00AE70D4"/>
    <w:rsid w:val="00AE7241"/>
    <w:rsid w:val="00AE7296"/>
    <w:rsid w:val="00AE73EC"/>
    <w:rsid w:val="00AE74BA"/>
    <w:rsid w:val="00AE74F6"/>
    <w:rsid w:val="00AE7535"/>
    <w:rsid w:val="00AE7A30"/>
    <w:rsid w:val="00AE7B90"/>
    <w:rsid w:val="00AE7C8E"/>
    <w:rsid w:val="00AE7DDE"/>
    <w:rsid w:val="00AF00CE"/>
    <w:rsid w:val="00AF02F5"/>
    <w:rsid w:val="00AF0480"/>
    <w:rsid w:val="00AF050B"/>
    <w:rsid w:val="00AF07BE"/>
    <w:rsid w:val="00AF08D3"/>
    <w:rsid w:val="00AF08E8"/>
    <w:rsid w:val="00AF0A85"/>
    <w:rsid w:val="00AF0AE5"/>
    <w:rsid w:val="00AF0B12"/>
    <w:rsid w:val="00AF0C9A"/>
    <w:rsid w:val="00AF0EC7"/>
    <w:rsid w:val="00AF110C"/>
    <w:rsid w:val="00AF119F"/>
    <w:rsid w:val="00AF1235"/>
    <w:rsid w:val="00AF1249"/>
    <w:rsid w:val="00AF14C0"/>
    <w:rsid w:val="00AF1592"/>
    <w:rsid w:val="00AF16D1"/>
    <w:rsid w:val="00AF173A"/>
    <w:rsid w:val="00AF174A"/>
    <w:rsid w:val="00AF191C"/>
    <w:rsid w:val="00AF1929"/>
    <w:rsid w:val="00AF1A9D"/>
    <w:rsid w:val="00AF1AC0"/>
    <w:rsid w:val="00AF1AE7"/>
    <w:rsid w:val="00AF1B31"/>
    <w:rsid w:val="00AF1BCC"/>
    <w:rsid w:val="00AF1D3E"/>
    <w:rsid w:val="00AF1E23"/>
    <w:rsid w:val="00AF1EA5"/>
    <w:rsid w:val="00AF1FF4"/>
    <w:rsid w:val="00AF20C5"/>
    <w:rsid w:val="00AF20F6"/>
    <w:rsid w:val="00AF215E"/>
    <w:rsid w:val="00AF21A7"/>
    <w:rsid w:val="00AF21E1"/>
    <w:rsid w:val="00AF22C2"/>
    <w:rsid w:val="00AF2322"/>
    <w:rsid w:val="00AF2406"/>
    <w:rsid w:val="00AF2450"/>
    <w:rsid w:val="00AF26B5"/>
    <w:rsid w:val="00AF26E8"/>
    <w:rsid w:val="00AF2857"/>
    <w:rsid w:val="00AF28FC"/>
    <w:rsid w:val="00AF297D"/>
    <w:rsid w:val="00AF2A67"/>
    <w:rsid w:val="00AF2D96"/>
    <w:rsid w:val="00AF2E0E"/>
    <w:rsid w:val="00AF2E60"/>
    <w:rsid w:val="00AF2E8A"/>
    <w:rsid w:val="00AF2FF9"/>
    <w:rsid w:val="00AF31E1"/>
    <w:rsid w:val="00AF3260"/>
    <w:rsid w:val="00AF32AB"/>
    <w:rsid w:val="00AF3334"/>
    <w:rsid w:val="00AF3394"/>
    <w:rsid w:val="00AF33A4"/>
    <w:rsid w:val="00AF3467"/>
    <w:rsid w:val="00AF3598"/>
    <w:rsid w:val="00AF363A"/>
    <w:rsid w:val="00AF363B"/>
    <w:rsid w:val="00AF3652"/>
    <w:rsid w:val="00AF36DB"/>
    <w:rsid w:val="00AF375D"/>
    <w:rsid w:val="00AF37D2"/>
    <w:rsid w:val="00AF390F"/>
    <w:rsid w:val="00AF3A4C"/>
    <w:rsid w:val="00AF3D9D"/>
    <w:rsid w:val="00AF3E3A"/>
    <w:rsid w:val="00AF4075"/>
    <w:rsid w:val="00AF410F"/>
    <w:rsid w:val="00AF412A"/>
    <w:rsid w:val="00AF4165"/>
    <w:rsid w:val="00AF419B"/>
    <w:rsid w:val="00AF433A"/>
    <w:rsid w:val="00AF43CF"/>
    <w:rsid w:val="00AF443C"/>
    <w:rsid w:val="00AF4512"/>
    <w:rsid w:val="00AF47F6"/>
    <w:rsid w:val="00AF4802"/>
    <w:rsid w:val="00AF480A"/>
    <w:rsid w:val="00AF4828"/>
    <w:rsid w:val="00AF488E"/>
    <w:rsid w:val="00AF49FB"/>
    <w:rsid w:val="00AF4B21"/>
    <w:rsid w:val="00AF4B82"/>
    <w:rsid w:val="00AF4CE3"/>
    <w:rsid w:val="00AF4E23"/>
    <w:rsid w:val="00AF4F00"/>
    <w:rsid w:val="00AF4FB4"/>
    <w:rsid w:val="00AF503D"/>
    <w:rsid w:val="00AF5108"/>
    <w:rsid w:val="00AF515D"/>
    <w:rsid w:val="00AF52F5"/>
    <w:rsid w:val="00AF543A"/>
    <w:rsid w:val="00AF5455"/>
    <w:rsid w:val="00AF54F3"/>
    <w:rsid w:val="00AF5515"/>
    <w:rsid w:val="00AF59B6"/>
    <w:rsid w:val="00AF59DF"/>
    <w:rsid w:val="00AF5CC6"/>
    <w:rsid w:val="00AF5F06"/>
    <w:rsid w:val="00AF5F9C"/>
    <w:rsid w:val="00AF602D"/>
    <w:rsid w:val="00AF60D6"/>
    <w:rsid w:val="00AF6105"/>
    <w:rsid w:val="00AF61D2"/>
    <w:rsid w:val="00AF62A3"/>
    <w:rsid w:val="00AF6336"/>
    <w:rsid w:val="00AF6436"/>
    <w:rsid w:val="00AF64DA"/>
    <w:rsid w:val="00AF65B7"/>
    <w:rsid w:val="00AF6693"/>
    <w:rsid w:val="00AF66F2"/>
    <w:rsid w:val="00AF676D"/>
    <w:rsid w:val="00AF67FE"/>
    <w:rsid w:val="00AF686A"/>
    <w:rsid w:val="00AF695D"/>
    <w:rsid w:val="00AF6B24"/>
    <w:rsid w:val="00AF6C18"/>
    <w:rsid w:val="00AF6C37"/>
    <w:rsid w:val="00AF6CCA"/>
    <w:rsid w:val="00AF6D30"/>
    <w:rsid w:val="00AF71C2"/>
    <w:rsid w:val="00AF71D1"/>
    <w:rsid w:val="00AF733D"/>
    <w:rsid w:val="00AF7372"/>
    <w:rsid w:val="00AF75A3"/>
    <w:rsid w:val="00AF762B"/>
    <w:rsid w:val="00AF7695"/>
    <w:rsid w:val="00AF78FA"/>
    <w:rsid w:val="00AF78FE"/>
    <w:rsid w:val="00AF7A70"/>
    <w:rsid w:val="00AF7AEF"/>
    <w:rsid w:val="00AF7BCA"/>
    <w:rsid w:val="00B0004B"/>
    <w:rsid w:val="00B00151"/>
    <w:rsid w:val="00B00262"/>
    <w:rsid w:val="00B002AE"/>
    <w:rsid w:val="00B0031D"/>
    <w:rsid w:val="00B0050D"/>
    <w:rsid w:val="00B0060C"/>
    <w:rsid w:val="00B00642"/>
    <w:rsid w:val="00B007B9"/>
    <w:rsid w:val="00B00870"/>
    <w:rsid w:val="00B008A3"/>
    <w:rsid w:val="00B008E7"/>
    <w:rsid w:val="00B00DB5"/>
    <w:rsid w:val="00B00E99"/>
    <w:rsid w:val="00B01215"/>
    <w:rsid w:val="00B0130D"/>
    <w:rsid w:val="00B01326"/>
    <w:rsid w:val="00B0152B"/>
    <w:rsid w:val="00B0160B"/>
    <w:rsid w:val="00B01671"/>
    <w:rsid w:val="00B01891"/>
    <w:rsid w:val="00B0195F"/>
    <w:rsid w:val="00B019DE"/>
    <w:rsid w:val="00B01AB2"/>
    <w:rsid w:val="00B01BA3"/>
    <w:rsid w:val="00B01BE4"/>
    <w:rsid w:val="00B01BE7"/>
    <w:rsid w:val="00B01C83"/>
    <w:rsid w:val="00B01CBA"/>
    <w:rsid w:val="00B01E51"/>
    <w:rsid w:val="00B01E7A"/>
    <w:rsid w:val="00B01FE2"/>
    <w:rsid w:val="00B02180"/>
    <w:rsid w:val="00B02455"/>
    <w:rsid w:val="00B02523"/>
    <w:rsid w:val="00B02546"/>
    <w:rsid w:val="00B0254F"/>
    <w:rsid w:val="00B02702"/>
    <w:rsid w:val="00B027C2"/>
    <w:rsid w:val="00B02816"/>
    <w:rsid w:val="00B028C6"/>
    <w:rsid w:val="00B02A16"/>
    <w:rsid w:val="00B02A36"/>
    <w:rsid w:val="00B02A73"/>
    <w:rsid w:val="00B02F09"/>
    <w:rsid w:val="00B02FDD"/>
    <w:rsid w:val="00B03134"/>
    <w:rsid w:val="00B033B3"/>
    <w:rsid w:val="00B035C4"/>
    <w:rsid w:val="00B036CE"/>
    <w:rsid w:val="00B03893"/>
    <w:rsid w:val="00B03973"/>
    <w:rsid w:val="00B03B70"/>
    <w:rsid w:val="00B03C0D"/>
    <w:rsid w:val="00B03FB6"/>
    <w:rsid w:val="00B040B7"/>
    <w:rsid w:val="00B04140"/>
    <w:rsid w:val="00B042E1"/>
    <w:rsid w:val="00B04490"/>
    <w:rsid w:val="00B0469E"/>
    <w:rsid w:val="00B0470E"/>
    <w:rsid w:val="00B04787"/>
    <w:rsid w:val="00B04817"/>
    <w:rsid w:val="00B049FA"/>
    <w:rsid w:val="00B04A15"/>
    <w:rsid w:val="00B04B32"/>
    <w:rsid w:val="00B04DBE"/>
    <w:rsid w:val="00B04DD1"/>
    <w:rsid w:val="00B04E2F"/>
    <w:rsid w:val="00B04EF4"/>
    <w:rsid w:val="00B0512B"/>
    <w:rsid w:val="00B0515D"/>
    <w:rsid w:val="00B051A6"/>
    <w:rsid w:val="00B054DF"/>
    <w:rsid w:val="00B05663"/>
    <w:rsid w:val="00B05683"/>
    <w:rsid w:val="00B0572C"/>
    <w:rsid w:val="00B0577B"/>
    <w:rsid w:val="00B058D4"/>
    <w:rsid w:val="00B0597B"/>
    <w:rsid w:val="00B059F8"/>
    <w:rsid w:val="00B05BAC"/>
    <w:rsid w:val="00B05D00"/>
    <w:rsid w:val="00B05E71"/>
    <w:rsid w:val="00B060D3"/>
    <w:rsid w:val="00B06149"/>
    <w:rsid w:val="00B06165"/>
    <w:rsid w:val="00B062E3"/>
    <w:rsid w:val="00B0635F"/>
    <w:rsid w:val="00B063B5"/>
    <w:rsid w:val="00B065BD"/>
    <w:rsid w:val="00B06714"/>
    <w:rsid w:val="00B06744"/>
    <w:rsid w:val="00B067C8"/>
    <w:rsid w:val="00B06881"/>
    <w:rsid w:val="00B069B0"/>
    <w:rsid w:val="00B06BB1"/>
    <w:rsid w:val="00B06C9B"/>
    <w:rsid w:val="00B06CB3"/>
    <w:rsid w:val="00B06D3C"/>
    <w:rsid w:val="00B06FBB"/>
    <w:rsid w:val="00B07070"/>
    <w:rsid w:val="00B07205"/>
    <w:rsid w:val="00B07289"/>
    <w:rsid w:val="00B07295"/>
    <w:rsid w:val="00B073ED"/>
    <w:rsid w:val="00B073FC"/>
    <w:rsid w:val="00B0753B"/>
    <w:rsid w:val="00B0769E"/>
    <w:rsid w:val="00B077C5"/>
    <w:rsid w:val="00B07B7F"/>
    <w:rsid w:val="00B07C12"/>
    <w:rsid w:val="00B07E26"/>
    <w:rsid w:val="00B07F4F"/>
    <w:rsid w:val="00B100C2"/>
    <w:rsid w:val="00B10216"/>
    <w:rsid w:val="00B10240"/>
    <w:rsid w:val="00B1033B"/>
    <w:rsid w:val="00B103AD"/>
    <w:rsid w:val="00B1050B"/>
    <w:rsid w:val="00B105F9"/>
    <w:rsid w:val="00B10660"/>
    <w:rsid w:val="00B106AB"/>
    <w:rsid w:val="00B107AE"/>
    <w:rsid w:val="00B10B55"/>
    <w:rsid w:val="00B10DA8"/>
    <w:rsid w:val="00B10DDE"/>
    <w:rsid w:val="00B11138"/>
    <w:rsid w:val="00B1116D"/>
    <w:rsid w:val="00B11190"/>
    <w:rsid w:val="00B111BA"/>
    <w:rsid w:val="00B112AB"/>
    <w:rsid w:val="00B112BB"/>
    <w:rsid w:val="00B1131E"/>
    <w:rsid w:val="00B1137C"/>
    <w:rsid w:val="00B113CE"/>
    <w:rsid w:val="00B114CD"/>
    <w:rsid w:val="00B11523"/>
    <w:rsid w:val="00B11540"/>
    <w:rsid w:val="00B116F1"/>
    <w:rsid w:val="00B1179E"/>
    <w:rsid w:val="00B117A6"/>
    <w:rsid w:val="00B11995"/>
    <w:rsid w:val="00B11ADE"/>
    <w:rsid w:val="00B11ED0"/>
    <w:rsid w:val="00B11FA5"/>
    <w:rsid w:val="00B11FC0"/>
    <w:rsid w:val="00B1209C"/>
    <w:rsid w:val="00B1212F"/>
    <w:rsid w:val="00B12298"/>
    <w:rsid w:val="00B12377"/>
    <w:rsid w:val="00B123AB"/>
    <w:rsid w:val="00B12400"/>
    <w:rsid w:val="00B124B7"/>
    <w:rsid w:val="00B124C7"/>
    <w:rsid w:val="00B125A3"/>
    <w:rsid w:val="00B1274A"/>
    <w:rsid w:val="00B12752"/>
    <w:rsid w:val="00B127AF"/>
    <w:rsid w:val="00B12BB5"/>
    <w:rsid w:val="00B12C25"/>
    <w:rsid w:val="00B12D56"/>
    <w:rsid w:val="00B12E56"/>
    <w:rsid w:val="00B12F5C"/>
    <w:rsid w:val="00B1312F"/>
    <w:rsid w:val="00B13221"/>
    <w:rsid w:val="00B13304"/>
    <w:rsid w:val="00B133CA"/>
    <w:rsid w:val="00B1347D"/>
    <w:rsid w:val="00B1364A"/>
    <w:rsid w:val="00B1384B"/>
    <w:rsid w:val="00B13890"/>
    <w:rsid w:val="00B13AAD"/>
    <w:rsid w:val="00B13D91"/>
    <w:rsid w:val="00B13DB5"/>
    <w:rsid w:val="00B13F73"/>
    <w:rsid w:val="00B13F9C"/>
    <w:rsid w:val="00B140D2"/>
    <w:rsid w:val="00B14170"/>
    <w:rsid w:val="00B141C4"/>
    <w:rsid w:val="00B141C8"/>
    <w:rsid w:val="00B141F2"/>
    <w:rsid w:val="00B14298"/>
    <w:rsid w:val="00B1447F"/>
    <w:rsid w:val="00B1455F"/>
    <w:rsid w:val="00B146F5"/>
    <w:rsid w:val="00B14824"/>
    <w:rsid w:val="00B14858"/>
    <w:rsid w:val="00B1498D"/>
    <w:rsid w:val="00B14A95"/>
    <w:rsid w:val="00B14E2F"/>
    <w:rsid w:val="00B14E76"/>
    <w:rsid w:val="00B15081"/>
    <w:rsid w:val="00B15213"/>
    <w:rsid w:val="00B152AC"/>
    <w:rsid w:val="00B15502"/>
    <w:rsid w:val="00B155BE"/>
    <w:rsid w:val="00B156B3"/>
    <w:rsid w:val="00B156D6"/>
    <w:rsid w:val="00B1576A"/>
    <w:rsid w:val="00B157F6"/>
    <w:rsid w:val="00B15885"/>
    <w:rsid w:val="00B159EC"/>
    <w:rsid w:val="00B15A81"/>
    <w:rsid w:val="00B15A8B"/>
    <w:rsid w:val="00B15B63"/>
    <w:rsid w:val="00B15C9F"/>
    <w:rsid w:val="00B15F46"/>
    <w:rsid w:val="00B15F93"/>
    <w:rsid w:val="00B16138"/>
    <w:rsid w:val="00B1615A"/>
    <w:rsid w:val="00B1634B"/>
    <w:rsid w:val="00B1639C"/>
    <w:rsid w:val="00B16450"/>
    <w:rsid w:val="00B16551"/>
    <w:rsid w:val="00B166B1"/>
    <w:rsid w:val="00B16774"/>
    <w:rsid w:val="00B16780"/>
    <w:rsid w:val="00B168C7"/>
    <w:rsid w:val="00B168CE"/>
    <w:rsid w:val="00B169E2"/>
    <w:rsid w:val="00B16E4E"/>
    <w:rsid w:val="00B16FB3"/>
    <w:rsid w:val="00B16FB4"/>
    <w:rsid w:val="00B1721B"/>
    <w:rsid w:val="00B17327"/>
    <w:rsid w:val="00B1738A"/>
    <w:rsid w:val="00B173B2"/>
    <w:rsid w:val="00B173E1"/>
    <w:rsid w:val="00B1760B"/>
    <w:rsid w:val="00B176A0"/>
    <w:rsid w:val="00B176C8"/>
    <w:rsid w:val="00B17758"/>
    <w:rsid w:val="00B17813"/>
    <w:rsid w:val="00B1795C"/>
    <w:rsid w:val="00B179E6"/>
    <w:rsid w:val="00B17A80"/>
    <w:rsid w:val="00B17C97"/>
    <w:rsid w:val="00B17C99"/>
    <w:rsid w:val="00B17C9C"/>
    <w:rsid w:val="00B17CBC"/>
    <w:rsid w:val="00B17CD0"/>
    <w:rsid w:val="00B17D44"/>
    <w:rsid w:val="00B17E03"/>
    <w:rsid w:val="00B17FC7"/>
    <w:rsid w:val="00B200FF"/>
    <w:rsid w:val="00B20311"/>
    <w:rsid w:val="00B2049A"/>
    <w:rsid w:val="00B20896"/>
    <w:rsid w:val="00B209CB"/>
    <w:rsid w:val="00B20AC0"/>
    <w:rsid w:val="00B20D1D"/>
    <w:rsid w:val="00B20D29"/>
    <w:rsid w:val="00B20F9D"/>
    <w:rsid w:val="00B20F9F"/>
    <w:rsid w:val="00B21031"/>
    <w:rsid w:val="00B21216"/>
    <w:rsid w:val="00B21295"/>
    <w:rsid w:val="00B212D8"/>
    <w:rsid w:val="00B2137C"/>
    <w:rsid w:val="00B214C5"/>
    <w:rsid w:val="00B21567"/>
    <w:rsid w:val="00B215F1"/>
    <w:rsid w:val="00B216B1"/>
    <w:rsid w:val="00B21766"/>
    <w:rsid w:val="00B21787"/>
    <w:rsid w:val="00B21793"/>
    <w:rsid w:val="00B2181A"/>
    <w:rsid w:val="00B21827"/>
    <w:rsid w:val="00B2183D"/>
    <w:rsid w:val="00B21A84"/>
    <w:rsid w:val="00B21AD3"/>
    <w:rsid w:val="00B21C34"/>
    <w:rsid w:val="00B21C38"/>
    <w:rsid w:val="00B21D78"/>
    <w:rsid w:val="00B21F10"/>
    <w:rsid w:val="00B21F6F"/>
    <w:rsid w:val="00B21FB6"/>
    <w:rsid w:val="00B21FEB"/>
    <w:rsid w:val="00B22136"/>
    <w:rsid w:val="00B223AB"/>
    <w:rsid w:val="00B22622"/>
    <w:rsid w:val="00B22913"/>
    <w:rsid w:val="00B2299C"/>
    <w:rsid w:val="00B22B49"/>
    <w:rsid w:val="00B22D45"/>
    <w:rsid w:val="00B22D4D"/>
    <w:rsid w:val="00B22DE3"/>
    <w:rsid w:val="00B22F49"/>
    <w:rsid w:val="00B23007"/>
    <w:rsid w:val="00B23106"/>
    <w:rsid w:val="00B23420"/>
    <w:rsid w:val="00B23434"/>
    <w:rsid w:val="00B23497"/>
    <w:rsid w:val="00B236BD"/>
    <w:rsid w:val="00B23822"/>
    <w:rsid w:val="00B238C7"/>
    <w:rsid w:val="00B239D8"/>
    <w:rsid w:val="00B23B6D"/>
    <w:rsid w:val="00B23BDA"/>
    <w:rsid w:val="00B23BED"/>
    <w:rsid w:val="00B23D46"/>
    <w:rsid w:val="00B23D68"/>
    <w:rsid w:val="00B23F3D"/>
    <w:rsid w:val="00B23F6E"/>
    <w:rsid w:val="00B23F8B"/>
    <w:rsid w:val="00B241A9"/>
    <w:rsid w:val="00B241F7"/>
    <w:rsid w:val="00B241FA"/>
    <w:rsid w:val="00B24242"/>
    <w:rsid w:val="00B24245"/>
    <w:rsid w:val="00B243A3"/>
    <w:rsid w:val="00B243C2"/>
    <w:rsid w:val="00B24543"/>
    <w:rsid w:val="00B2457F"/>
    <w:rsid w:val="00B245C2"/>
    <w:rsid w:val="00B24706"/>
    <w:rsid w:val="00B2487E"/>
    <w:rsid w:val="00B24923"/>
    <w:rsid w:val="00B24B1E"/>
    <w:rsid w:val="00B24BD2"/>
    <w:rsid w:val="00B24DF1"/>
    <w:rsid w:val="00B24EA7"/>
    <w:rsid w:val="00B24F2F"/>
    <w:rsid w:val="00B24F4B"/>
    <w:rsid w:val="00B24F78"/>
    <w:rsid w:val="00B24F82"/>
    <w:rsid w:val="00B24FB3"/>
    <w:rsid w:val="00B25055"/>
    <w:rsid w:val="00B25262"/>
    <w:rsid w:val="00B25269"/>
    <w:rsid w:val="00B253B8"/>
    <w:rsid w:val="00B253CD"/>
    <w:rsid w:val="00B25520"/>
    <w:rsid w:val="00B25674"/>
    <w:rsid w:val="00B25880"/>
    <w:rsid w:val="00B258A8"/>
    <w:rsid w:val="00B2596B"/>
    <w:rsid w:val="00B2599F"/>
    <w:rsid w:val="00B25A21"/>
    <w:rsid w:val="00B25A36"/>
    <w:rsid w:val="00B25A93"/>
    <w:rsid w:val="00B25B6E"/>
    <w:rsid w:val="00B25BF4"/>
    <w:rsid w:val="00B25C3F"/>
    <w:rsid w:val="00B25F1C"/>
    <w:rsid w:val="00B25F60"/>
    <w:rsid w:val="00B2608B"/>
    <w:rsid w:val="00B260B3"/>
    <w:rsid w:val="00B2619B"/>
    <w:rsid w:val="00B26236"/>
    <w:rsid w:val="00B2654C"/>
    <w:rsid w:val="00B268F6"/>
    <w:rsid w:val="00B269AB"/>
    <w:rsid w:val="00B26C0F"/>
    <w:rsid w:val="00B26DA6"/>
    <w:rsid w:val="00B26E93"/>
    <w:rsid w:val="00B26F27"/>
    <w:rsid w:val="00B27030"/>
    <w:rsid w:val="00B270E2"/>
    <w:rsid w:val="00B27215"/>
    <w:rsid w:val="00B272DE"/>
    <w:rsid w:val="00B27301"/>
    <w:rsid w:val="00B27313"/>
    <w:rsid w:val="00B27368"/>
    <w:rsid w:val="00B273EF"/>
    <w:rsid w:val="00B27480"/>
    <w:rsid w:val="00B2754E"/>
    <w:rsid w:val="00B27899"/>
    <w:rsid w:val="00B279D7"/>
    <w:rsid w:val="00B27A76"/>
    <w:rsid w:val="00B27B19"/>
    <w:rsid w:val="00B27B1C"/>
    <w:rsid w:val="00B27C14"/>
    <w:rsid w:val="00B27DD6"/>
    <w:rsid w:val="00B27E00"/>
    <w:rsid w:val="00B301A2"/>
    <w:rsid w:val="00B301E5"/>
    <w:rsid w:val="00B3023F"/>
    <w:rsid w:val="00B304D0"/>
    <w:rsid w:val="00B304D3"/>
    <w:rsid w:val="00B3059B"/>
    <w:rsid w:val="00B305C3"/>
    <w:rsid w:val="00B305C7"/>
    <w:rsid w:val="00B30863"/>
    <w:rsid w:val="00B30953"/>
    <w:rsid w:val="00B3096D"/>
    <w:rsid w:val="00B30BBB"/>
    <w:rsid w:val="00B30C0D"/>
    <w:rsid w:val="00B30DF3"/>
    <w:rsid w:val="00B30E89"/>
    <w:rsid w:val="00B30F2D"/>
    <w:rsid w:val="00B30F2F"/>
    <w:rsid w:val="00B31035"/>
    <w:rsid w:val="00B31115"/>
    <w:rsid w:val="00B31491"/>
    <w:rsid w:val="00B31595"/>
    <w:rsid w:val="00B315C8"/>
    <w:rsid w:val="00B317E7"/>
    <w:rsid w:val="00B319AD"/>
    <w:rsid w:val="00B31ADF"/>
    <w:rsid w:val="00B31DF3"/>
    <w:rsid w:val="00B31F24"/>
    <w:rsid w:val="00B31F59"/>
    <w:rsid w:val="00B320D5"/>
    <w:rsid w:val="00B321FE"/>
    <w:rsid w:val="00B322F2"/>
    <w:rsid w:val="00B32355"/>
    <w:rsid w:val="00B3244F"/>
    <w:rsid w:val="00B324C3"/>
    <w:rsid w:val="00B32713"/>
    <w:rsid w:val="00B32778"/>
    <w:rsid w:val="00B327BC"/>
    <w:rsid w:val="00B3280B"/>
    <w:rsid w:val="00B32945"/>
    <w:rsid w:val="00B329F7"/>
    <w:rsid w:val="00B32A96"/>
    <w:rsid w:val="00B32AB7"/>
    <w:rsid w:val="00B32C72"/>
    <w:rsid w:val="00B32C95"/>
    <w:rsid w:val="00B32DDF"/>
    <w:rsid w:val="00B32DE4"/>
    <w:rsid w:val="00B32FC1"/>
    <w:rsid w:val="00B33069"/>
    <w:rsid w:val="00B330A1"/>
    <w:rsid w:val="00B33148"/>
    <w:rsid w:val="00B33302"/>
    <w:rsid w:val="00B33332"/>
    <w:rsid w:val="00B3355B"/>
    <w:rsid w:val="00B335F5"/>
    <w:rsid w:val="00B3383E"/>
    <w:rsid w:val="00B3387D"/>
    <w:rsid w:val="00B3388C"/>
    <w:rsid w:val="00B339AA"/>
    <w:rsid w:val="00B339FC"/>
    <w:rsid w:val="00B33ACF"/>
    <w:rsid w:val="00B33B20"/>
    <w:rsid w:val="00B33BEC"/>
    <w:rsid w:val="00B33CF6"/>
    <w:rsid w:val="00B33DC3"/>
    <w:rsid w:val="00B33E61"/>
    <w:rsid w:val="00B33EF2"/>
    <w:rsid w:val="00B33F31"/>
    <w:rsid w:val="00B3407F"/>
    <w:rsid w:val="00B3408A"/>
    <w:rsid w:val="00B3437E"/>
    <w:rsid w:val="00B343BA"/>
    <w:rsid w:val="00B3444B"/>
    <w:rsid w:val="00B34471"/>
    <w:rsid w:val="00B34605"/>
    <w:rsid w:val="00B3463B"/>
    <w:rsid w:val="00B3473C"/>
    <w:rsid w:val="00B347BA"/>
    <w:rsid w:val="00B347FA"/>
    <w:rsid w:val="00B34A49"/>
    <w:rsid w:val="00B34B70"/>
    <w:rsid w:val="00B34BD0"/>
    <w:rsid w:val="00B34D4B"/>
    <w:rsid w:val="00B34E2A"/>
    <w:rsid w:val="00B350A8"/>
    <w:rsid w:val="00B35160"/>
    <w:rsid w:val="00B3518D"/>
    <w:rsid w:val="00B351C4"/>
    <w:rsid w:val="00B351E2"/>
    <w:rsid w:val="00B35280"/>
    <w:rsid w:val="00B35377"/>
    <w:rsid w:val="00B3542D"/>
    <w:rsid w:val="00B3579B"/>
    <w:rsid w:val="00B358F0"/>
    <w:rsid w:val="00B35931"/>
    <w:rsid w:val="00B359EF"/>
    <w:rsid w:val="00B35B18"/>
    <w:rsid w:val="00B35B79"/>
    <w:rsid w:val="00B35BAA"/>
    <w:rsid w:val="00B35C39"/>
    <w:rsid w:val="00B35CC3"/>
    <w:rsid w:val="00B35EC2"/>
    <w:rsid w:val="00B36061"/>
    <w:rsid w:val="00B3617E"/>
    <w:rsid w:val="00B36388"/>
    <w:rsid w:val="00B36442"/>
    <w:rsid w:val="00B36447"/>
    <w:rsid w:val="00B36475"/>
    <w:rsid w:val="00B36562"/>
    <w:rsid w:val="00B3659A"/>
    <w:rsid w:val="00B365D4"/>
    <w:rsid w:val="00B366E4"/>
    <w:rsid w:val="00B3676D"/>
    <w:rsid w:val="00B367F9"/>
    <w:rsid w:val="00B369AC"/>
    <w:rsid w:val="00B369D9"/>
    <w:rsid w:val="00B36B06"/>
    <w:rsid w:val="00B36C8C"/>
    <w:rsid w:val="00B36CA1"/>
    <w:rsid w:val="00B36CA9"/>
    <w:rsid w:val="00B36CB7"/>
    <w:rsid w:val="00B36E23"/>
    <w:rsid w:val="00B36F0E"/>
    <w:rsid w:val="00B36F21"/>
    <w:rsid w:val="00B3702C"/>
    <w:rsid w:val="00B3709B"/>
    <w:rsid w:val="00B370CF"/>
    <w:rsid w:val="00B37108"/>
    <w:rsid w:val="00B37152"/>
    <w:rsid w:val="00B37423"/>
    <w:rsid w:val="00B37478"/>
    <w:rsid w:val="00B3750E"/>
    <w:rsid w:val="00B37597"/>
    <w:rsid w:val="00B377C1"/>
    <w:rsid w:val="00B37A87"/>
    <w:rsid w:val="00B37AA6"/>
    <w:rsid w:val="00B37BBB"/>
    <w:rsid w:val="00B37DEC"/>
    <w:rsid w:val="00B37F4D"/>
    <w:rsid w:val="00B37F72"/>
    <w:rsid w:val="00B4004E"/>
    <w:rsid w:val="00B40077"/>
    <w:rsid w:val="00B40097"/>
    <w:rsid w:val="00B400E4"/>
    <w:rsid w:val="00B40112"/>
    <w:rsid w:val="00B40127"/>
    <w:rsid w:val="00B40353"/>
    <w:rsid w:val="00B403BC"/>
    <w:rsid w:val="00B40410"/>
    <w:rsid w:val="00B40419"/>
    <w:rsid w:val="00B40478"/>
    <w:rsid w:val="00B40731"/>
    <w:rsid w:val="00B407A0"/>
    <w:rsid w:val="00B4088B"/>
    <w:rsid w:val="00B4095D"/>
    <w:rsid w:val="00B409D9"/>
    <w:rsid w:val="00B409F4"/>
    <w:rsid w:val="00B40D8E"/>
    <w:rsid w:val="00B40E03"/>
    <w:rsid w:val="00B4103C"/>
    <w:rsid w:val="00B410F0"/>
    <w:rsid w:val="00B413B0"/>
    <w:rsid w:val="00B413B7"/>
    <w:rsid w:val="00B417E1"/>
    <w:rsid w:val="00B4180C"/>
    <w:rsid w:val="00B418BE"/>
    <w:rsid w:val="00B4190E"/>
    <w:rsid w:val="00B41991"/>
    <w:rsid w:val="00B41A58"/>
    <w:rsid w:val="00B41AD6"/>
    <w:rsid w:val="00B41C8F"/>
    <w:rsid w:val="00B41D03"/>
    <w:rsid w:val="00B41D34"/>
    <w:rsid w:val="00B42282"/>
    <w:rsid w:val="00B4252F"/>
    <w:rsid w:val="00B42884"/>
    <w:rsid w:val="00B428B4"/>
    <w:rsid w:val="00B428E0"/>
    <w:rsid w:val="00B429E7"/>
    <w:rsid w:val="00B42A01"/>
    <w:rsid w:val="00B42AF4"/>
    <w:rsid w:val="00B42C07"/>
    <w:rsid w:val="00B42C2B"/>
    <w:rsid w:val="00B42C2C"/>
    <w:rsid w:val="00B42CA7"/>
    <w:rsid w:val="00B42DE9"/>
    <w:rsid w:val="00B42F1C"/>
    <w:rsid w:val="00B42FD8"/>
    <w:rsid w:val="00B42FDA"/>
    <w:rsid w:val="00B4315D"/>
    <w:rsid w:val="00B431EC"/>
    <w:rsid w:val="00B432D0"/>
    <w:rsid w:val="00B4338B"/>
    <w:rsid w:val="00B434CB"/>
    <w:rsid w:val="00B43710"/>
    <w:rsid w:val="00B43914"/>
    <w:rsid w:val="00B4397D"/>
    <w:rsid w:val="00B43C16"/>
    <w:rsid w:val="00B43CF3"/>
    <w:rsid w:val="00B43CFC"/>
    <w:rsid w:val="00B43D76"/>
    <w:rsid w:val="00B43DAE"/>
    <w:rsid w:val="00B43DD0"/>
    <w:rsid w:val="00B43E1C"/>
    <w:rsid w:val="00B43E46"/>
    <w:rsid w:val="00B43FA7"/>
    <w:rsid w:val="00B44244"/>
    <w:rsid w:val="00B4431B"/>
    <w:rsid w:val="00B444D7"/>
    <w:rsid w:val="00B445ED"/>
    <w:rsid w:val="00B447D9"/>
    <w:rsid w:val="00B44A20"/>
    <w:rsid w:val="00B44A6D"/>
    <w:rsid w:val="00B44AF9"/>
    <w:rsid w:val="00B44BA7"/>
    <w:rsid w:val="00B44CAD"/>
    <w:rsid w:val="00B44CD3"/>
    <w:rsid w:val="00B44D51"/>
    <w:rsid w:val="00B44EE4"/>
    <w:rsid w:val="00B44F24"/>
    <w:rsid w:val="00B4508F"/>
    <w:rsid w:val="00B451D4"/>
    <w:rsid w:val="00B451F6"/>
    <w:rsid w:val="00B45348"/>
    <w:rsid w:val="00B45441"/>
    <w:rsid w:val="00B45450"/>
    <w:rsid w:val="00B4562B"/>
    <w:rsid w:val="00B456BC"/>
    <w:rsid w:val="00B459D6"/>
    <w:rsid w:val="00B45A5A"/>
    <w:rsid w:val="00B45C77"/>
    <w:rsid w:val="00B45CE4"/>
    <w:rsid w:val="00B45CED"/>
    <w:rsid w:val="00B45CF4"/>
    <w:rsid w:val="00B45F74"/>
    <w:rsid w:val="00B45FFC"/>
    <w:rsid w:val="00B4605E"/>
    <w:rsid w:val="00B4609E"/>
    <w:rsid w:val="00B4618E"/>
    <w:rsid w:val="00B463F8"/>
    <w:rsid w:val="00B464AB"/>
    <w:rsid w:val="00B464BF"/>
    <w:rsid w:val="00B467C2"/>
    <w:rsid w:val="00B46952"/>
    <w:rsid w:val="00B46964"/>
    <w:rsid w:val="00B46979"/>
    <w:rsid w:val="00B469F5"/>
    <w:rsid w:val="00B46A03"/>
    <w:rsid w:val="00B46AAB"/>
    <w:rsid w:val="00B46B48"/>
    <w:rsid w:val="00B46C83"/>
    <w:rsid w:val="00B46CDC"/>
    <w:rsid w:val="00B46E0B"/>
    <w:rsid w:val="00B46EA8"/>
    <w:rsid w:val="00B46F8D"/>
    <w:rsid w:val="00B46F96"/>
    <w:rsid w:val="00B472CF"/>
    <w:rsid w:val="00B4747C"/>
    <w:rsid w:val="00B476A1"/>
    <w:rsid w:val="00B4772E"/>
    <w:rsid w:val="00B47995"/>
    <w:rsid w:val="00B47A85"/>
    <w:rsid w:val="00B47AB7"/>
    <w:rsid w:val="00B47DEB"/>
    <w:rsid w:val="00B47EF2"/>
    <w:rsid w:val="00B47F21"/>
    <w:rsid w:val="00B47F6D"/>
    <w:rsid w:val="00B5005C"/>
    <w:rsid w:val="00B5017B"/>
    <w:rsid w:val="00B5032B"/>
    <w:rsid w:val="00B50408"/>
    <w:rsid w:val="00B5051A"/>
    <w:rsid w:val="00B50579"/>
    <w:rsid w:val="00B50676"/>
    <w:rsid w:val="00B507AC"/>
    <w:rsid w:val="00B507C7"/>
    <w:rsid w:val="00B507CC"/>
    <w:rsid w:val="00B50A34"/>
    <w:rsid w:val="00B50BA9"/>
    <w:rsid w:val="00B50C05"/>
    <w:rsid w:val="00B50CDE"/>
    <w:rsid w:val="00B50D84"/>
    <w:rsid w:val="00B50E33"/>
    <w:rsid w:val="00B510CA"/>
    <w:rsid w:val="00B511D9"/>
    <w:rsid w:val="00B5138F"/>
    <w:rsid w:val="00B5139F"/>
    <w:rsid w:val="00B514DA"/>
    <w:rsid w:val="00B5155D"/>
    <w:rsid w:val="00B51651"/>
    <w:rsid w:val="00B516E0"/>
    <w:rsid w:val="00B5180E"/>
    <w:rsid w:val="00B519F8"/>
    <w:rsid w:val="00B51AFF"/>
    <w:rsid w:val="00B51B9D"/>
    <w:rsid w:val="00B51C95"/>
    <w:rsid w:val="00B51D2C"/>
    <w:rsid w:val="00B51DBF"/>
    <w:rsid w:val="00B51F0E"/>
    <w:rsid w:val="00B51F65"/>
    <w:rsid w:val="00B51FB5"/>
    <w:rsid w:val="00B51FDB"/>
    <w:rsid w:val="00B5202D"/>
    <w:rsid w:val="00B52067"/>
    <w:rsid w:val="00B520BF"/>
    <w:rsid w:val="00B522CF"/>
    <w:rsid w:val="00B522D6"/>
    <w:rsid w:val="00B52376"/>
    <w:rsid w:val="00B523F0"/>
    <w:rsid w:val="00B52482"/>
    <w:rsid w:val="00B52686"/>
    <w:rsid w:val="00B527F0"/>
    <w:rsid w:val="00B52845"/>
    <w:rsid w:val="00B529A9"/>
    <w:rsid w:val="00B529C5"/>
    <w:rsid w:val="00B52A13"/>
    <w:rsid w:val="00B52B64"/>
    <w:rsid w:val="00B52BBE"/>
    <w:rsid w:val="00B52BF3"/>
    <w:rsid w:val="00B52D53"/>
    <w:rsid w:val="00B52D64"/>
    <w:rsid w:val="00B52E6B"/>
    <w:rsid w:val="00B52F51"/>
    <w:rsid w:val="00B530E9"/>
    <w:rsid w:val="00B53544"/>
    <w:rsid w:val="00B53619"/>
    <w:rsid w:val="00B537CD"/>
    <w:rsid w:val="00B53ACE"/>
    <w:rsid w:val="00B53AFF"/>
    <w:rsid w:val="00B53C26"/>
    <w:rsid w:val="00B53D1B"/>
    <w:rsid w:val="00B53D9E"/>
    <w:rsid w:val="00B53D9F"/>
    <w:rsid w:val="00B53DC5"/>
    <w:rsid w:val="00B53E8C"/>
    <w:rsid w:val="00B53F3D"/>
    <w:rsid w:val="00B53F65"/>
    <w:rsid w:val="00B5421E"/>
    <w:rsid w:val="00B5424F"/>
    <w:rsid w:val="00B542C9"/>
    <w:rsid w:val="00B54496"/>
    <w:rsid w:val="00B544E7"/>
    <w:rsid w:val="00B54513"/>
    <w:rsid w:val="00B546BA"/>
    <w:rsid w:val="00B546E5"/>
    <w:rsid w:val="00B5479F"/>
    <w:rsid w:val="00B549E5"/>
    <w:rsid w:val="00B54A24"/>
    <w:rsid w:val="00B54A4F"/>
    <w:rsid w:val="00B54AF0"/>
    <w:rsid w:val="00B54B9F"/>
    <w:rsid w:val="00B54BC2"/>
    <w:rsid w:val="00B54CD6"/>
    <w:rsid w:val="00B54F1E"/>
    <w:rsid w:val="00B54F2C"/>
    <w:rsid w:val="00B55071"/>
    <w:rsid w:val="00B5519A"/>
    <w:rsid w:val="00B551C0"/>
    <w:rsid w:val="00B5521A"/>
    <w:rsid w:val="00B55452"/>
    <w:rsid w:val="00B5555E"/>
    <w:rsid w:val="00B555D2"/>
    <w:rsid w:val="00B55640"/>
    <w:rsid w:val="00B55674"/>
    <w:rsid w:val="00B55747"/>
    <w:rsid w:val="00B55893"/>
    <w:rsid w:val="00B55895"/>
    <w:rsid w:val="00B558EF"/>
    <w:rsid w:val="00B55938"/>
    <w:rsid w:val="00B55AED"/>
    <w:rsid w:val="00B55B57"/>
    <w:rsid w:val="00B55C76"/>
    <w:rsid w:val="00B55CCD"/>
    <w:rsid w:val="00B55E29"/>
    <w:rsid w:val="00B55E5C"/>
    <w:rsid w:val="00B55E6C"/>
    <w:rsid w:val="00B56018"/>
    <w:rsid w:val="00B560F8"/>
    <w:rsid w:val="00B56245"/>
    <w:rsid w:val="00B5632A"/>
    <w:rsid w:val="00B567A7"/>
    <w:rsid w:val="00B567A8"/>
    <w:rsid w:val="00B56899"/>
    <w:rsid w:val="00B5694E"/>
    <w:rsid w:val="00B569F6"/>
    <w:rsid w:val="00B56ABB"/>
    <w:rsid w:val="00B56B63"/>
    <w:rsid w:val="00B56C3E"/>
    <w:rsid w:val="00B56C8C"/>
    <w:rsid w:val="00B56D34"/>
    <w:rsid w:val="00B56D5C"/>
    <w:rsid w:val="00B56D8B"/>
    <w:rsid w:val="00B56DDF"/>
    <w:rsid w:val="00B56F74"/>
    <w:rsid w:val="00B56F94"/>
    <w:rsid w:val="00B5711E"/>
    <w:rsid w:val="00B57314"/>
    <w:rsid w:val="00B57328"/>
    <w:rsid w:val="00B57433"/>
    <w:rsid w:val="00B575B7"/>
    <w:rsid w:val="00B576DE"/>
    <w:rsid w:val="00B5772F"/>
    <w:rsid w:val="00B5783C"/>
    <w:rsid w:val="00B57841"/>
    <w:rsid w:val="00B57865"/>
    <w:rsid w:val="00B57884"/>
    <w:rsid w:val="00B578B9"/>
    <w:rsid w:val="00B57903"/>
    <w:rsid w:val="00B57AFB"/>
    <w:rsid w:val="00B57F87"/>
    <w:rsid w:val="00B57FD4"/>
    <w:rsid w:val="00B60077"/>
    <w:rsid w:val="00B60146"/>
    <w:rsid w:val="00B6021E"/>
    <w:rsid w:val="00B60262"/>
    <w:rsid w:val="00B603AC"/>
    <w:rsid w:val="00B60523"/>
    <w:rsid w:val="00B60656"/>
    <w:rsid w:val="00B6086D"/>
    <w:rsid w:val="00B608AF"/>
    <w:rsid w:val="00B609A1"/>
    <w:rsid w:val="00B60A0D"/>
    <w:rsid w:val="00B60A14"/>
    <w:rsid w:val="00B60BE0"/>
    <w:rsid w:val="00B60C00"/>
    <w:rsid w:val="00B60D58"/>
    <w:rsid w:val="00B60E10"/>
    <w:rsid w:val="00B60F62"/>
    <w:rsid w:val="00B61086"/>
    <w:rsid w:val="00B611F4"/>
    <w:rsid w:val="00B6163E"/>
    <w:rsid w:val="00B6169A"/>
    <w:rsid w:val="00B61708"/>
    <w:rsid w:val="00B61948"/>
    <w:rsid w:val="00B61AC8"/>
    <w:rsid w:val="00B61CEA"/>
    <w:rsid w:val="00B61FB2"/>
    <w:rsid w:val="00B61FBC"/>
    <w:rsid w:val="00B6205A"/>
    <w:rsid w:val="00B62086"/>
    <w:rsid w:val="00B62153"/>
    <w:rsid w:val="00B62284"/>
    <w:rsid w:val="00B62337"/>
    <w:rsid w:val="00B62493"/>
    <w:rsid w:val="00B626EC"/>
    <w:rsid w:val="00B627A9"/>
    <w:rsid w:val="00B6299B"/>
    <w:rsid w:val="00B62A29"/>
    <w:rsid w:val="00B62B16"/>
    <w:rsid w:val="00B62F19"/>
    <w:rsid w:val="00B6307D"/>
    <w:rsid w:val="00B6316C"/>
    <w:rsid w:val="00B632E5"/>
    <w:rsid w:val="00B633C0"/>
    <w:rsid w:val="00B633C6"/>
    <w:rsid w:val="00B63529"/>
    <w:rsid w:val="00B63874"/>
    <w:rsid w:val="00B638D1"/>
    <w:rsid w:val="00B6393F"/>
    <w:rsid w:val="00B63B14"/>
    <w:rsid w:val="00B63B48"/>
    <w:rsid w:val="00B63CCF"/>
    <w:rsid w:val="00B63D6E"/>
    <w:rsid w:val="00B63EC7"/>
    <w:rsid w:val="00B64098"/>
    <w:rsid w:val="00B64174"/>
    <w:rsid w:val="00B64243"/>
    <w:rsid w:val="00B64296"/>
    <w:rsid w:val="00B642B4"/>
    <w:rsid w:val="00B6438B"/>
    <w:rsid w:val="00B64461"/>
    <w:rsid w:val="00B6446D"/>
    <w:rsid w:val="00B644D5"/>
    <w:rsid w:val="00B645A0"/>
    <w:rsid w:val="00B6464F"/>
    <w:rsid w:val="00B64974"/>
    <w:rsid w:val="00B64A2C"/>
    <w:rsid w:val="00B64A42"/>
    <w:rsid w:val="00B64B6D"/>
    <w:rsid w:val="00B64B7E"/>
    <w:rsid w:val="00B64C08"/>
    <w:rsid w:val="00B64C70"/>
    <w:rsid w:val="00B64CBF"/>
    <w:rsid w:val="00B64DBD"/>
    <w:rsid w:val="00B64DE9"/>
    <w:rsid w:val="00B64E26"/>
    <w:rsid w:val="00B64E3B"/>
    <w:rsid w:val="00B650CB"/>
    <w:rsid w:val="00B65258"/>
    <w:rsid w:val="00B652D3"/>
    <w:rsid w:val="00B65492"/>
    <w:rsid w:val="00B65599"/>
    <w:rsid w:val="00B656B7"/>
    <w:rsid w:val="00B65732"/>
    <w:rsid w:val="00B65759"/>
    <w:rsid w:val="00B6580D"/>
    <w:rsid w:val="00B658D7"/>
    <w:rsid w:val="00B65941"/>
    <w:rsid w:val="00B659CE"/>
    <w:rsid w:val="00B65A56"/>
    <w:rsid w:val="00B65ADD"/>
    <w:rsid w:val="00B65B13"/>
    <w:rsid w:val="00B65BAF"/>
    <w:rsid w:val="00B65DEE"/>
    <w:rsid w:val="00B65F3E"/>
    <w:rsid w:val="00B65FBD"/>
    <w:rsid w:val="00B6605D"/>
    <w:rsid w:val="00B66080"/>
    <w:rsid w:val="00B66088"/>
    <w:rsid w:val="00B66117"/>
    <w:rsid w:val="00B6676A"/>
    <w:rsid w:val="00B66A12"/>
    <w:rsid w:val="00B66C89"/>
    <w:rsid w:val="00B66E46"/>
    <w:rsid w:val="00B670D6"/>
    <w:rsid w:val="00B670DD"/>
    <w:rsid w:val="00B671FD"/>
    <w:rsid w:val="00B672C1"/>
    <w:rsid w:val="00B67505"/>
    <w:rsid w:val="00B67561"/>
    <w:rsid w:val="00B67586"/>
    <w:rsid w:val="00B679F0"/>
    <w:rsid w:val="00B67CAE"/>
    <w:rsid w:val="00B67EC3"/>
    <w:rsid w:val="00B67EEF"/>
    <w:rsid w:val="00B67FD2"/>
    <w:rsid w:val="00B67FE9"/>
    <w:rsid w:val="00B7009B"/>
    <w:rsid w:val="00B700E7"/>
    <w:rsid w:val="00B70287"/>
    <w:rsid w:val="00B702DB"/>
    <w:rsid w:val="00B70343"/>
    <w:rsid w:val="00B7038A"/>
    <w:rsid w:val="00B7042D"/>
    <w:rsid w:val="00B704EF"/>
    <w:rsid w:val="00B7058F"/>
    <w:rsid w:val="00B70888"/>
    <w:rsid w:val="00B709B6"/>
    <w:rsid w:val="00B70A29"/>
    <w:rsid w:val="00B70A33"/>
    <w:rsid w:val="00B70C85"/>
    <w:rsid w:val="00B70D8D"/>
    <w:rsid w:val="00B70EF9"/>
    <w:rsid w:val="00B7114B"/>
    <w:rsid w:val="00B71202"/>
    <w:rsid w:val="00B713DC"/>
    <w:rsid w:val="00B7150B"/>
    <w:rsid w:val="00B716B0"/>
    <w:rsid w:val="00B716C8"/>
    <w:rsid w:val="00B716E4"/>
    <w:rsid w:val="00B716F7"/>
    <w:rsid w:val="00B71816"/>
    <w:rsid w:val="00B7183D"/>
    <w:rsid w:val="00B7195F"/>
    <w:rsid w:val="00B71971"/>
    <w:rsid w:val="00B719B2"/>
    <w:rsid w:val="00B71A33"/>
    <w:rsid w:val="00B71B96"/>
    <w:rsid w:val="00B71B9E"/>
    <w:rsid w:val="00B71C18"/>
    <w:rsid w:val="00B71D37"/>
    <w:rsid w:val="00B71D93"/>
    <w:rsid w:val="00B71DDF"/>
    <w:rsid w:val="00B720EA"/>
    <w:rsid w:val="00B721A7"/>
    <w:rsid w:val="00B721CF"/>
    <w:rsid w:val="00B72224"/>
    <w:rsid w:val="00B72266"/>
    <w:rsid w:val="00B72415"/>
    <w:rsid w:val="00B724BF"/>
    <w:rsid w:val="00B724D9"/>
    <w:rsid w:val="00B72574"/>
    <w:rsid w:val="00B726F4"/>
    <w:rsid w:val="00B727A9"/>
    <w:rsid w:val="00B727BD"/>
    <w:rsid w:val="00B728BF"/>
    <w:rsid w:val="00B7294A"/>
    <w:rsid w:val="00B72970"/>
    <w:rsid w:val="00B72976"/>
    <w:rsid w:val="00B72A27"/>
    <w:rsid w:val="00B72C0D"/>
    <w:rsid w:val="00B72C42"/>
    <w:rsid w:val="00B72C81"/>
    <w:rsid w:val="00B72CA5"/>
    <w:rsid w:val="00B72D49"/>
    <w:rsid w:val="00B72D59"/>
    <w:rsid w:val="00B72E7E"/>
    <w:rsid w:val="00B72F1D"/>
    <w:rsid w:val="00B72F23"/>
    <w:rsid w:val="00B72F3E"/>
    <w:rsid w:val="00B72FE3"/>
    <w:rsid w:val="00B73047"/>
    <w:rsid w:val="00B73267"/>
    <w:rsid w:val="00B73300"/>
    <w:rsid w:val="00B7354C"/>
    <w:rsid w:val="00B73761"/>
    <w:rsid w:val="00B737CB"/>
    <w:rsid w:val="00B738A1"/>
    <w:rsid w:val="00B73985"/>
    <w:rsid w:val="00B73A1E"/>
    <w:rsid w:val="00B73ACD"/>
    <w:rsid w:val="00B73BC0"/>
    <w:rsid w:val="00B73C70"/>
    <w:rsid w:val="00B73C84"/>
    <w:rsid w:val="00B73CDC"/>
    <w:rsid w:val="00B73DFF"/>
    <w:rsid w:val="00B73E59"/>
    <w:rsid w:val="00B73E93"/>
    <w:rsid w:val="00B73F14"/>
    <w:rsid w:val="00B741C2"/>
    <w:rsid w:val="00B74677"/>
    <w:rsid w:val="00B74A1E"/>
    <w:rsid w:val="00B74B24"/>
    <w:rsid w:val="00B74BE3"/>
    <w:rsid w:val="00B74D71"/>
    <w:rsid w:val="00B74DC0"/>
    <w:rsid w:val="00B74EA4"/>
    <w:rsid w:val="00B74EE7"/>
    <w:rsid w:val="00B7500B"/>
    <w:rsid w:val="00B750A9"/>
    <w:rsid w:val="00B75119"/>
    <w:rsid w:val="00B7516D"/>
    <w:rsid w:val="00B752B4"/>
    <w:rsid w:val="00B7532F"/>
    <w:rsid w:val="00B75417"/>
    <w:rsid w:val="00B755A1"/>
    <w:rsid w:val="00B756A7"/>
    <w:rsid w:val="00B75708"/>
    <w:rsid w:val="00B75937"/>
    <w:rsid w:val="00B75A76"/>
    <w:rsid w:val="00B75BB6"/>
    <w:rsid w:val="00B75BBA"/>
    <w:rsid w:val="00B75DAF"/>
    <w:rsid w:val="00B75DE4"/>
    <w:rsid w:val="00B75E3E"/>
    <w:rsid w:val="00B762F8"/>
    <w:rsid w:val="00B763E2"/>
    <w:rsid w:val="00B76457"/>
    <w:rsid w:val="00B765FC"/>
    <w:rsid w:val="00B76636"/>
    <w:rsid w:val="00B766B5"/>
    <w:rsid w:val="00B767B7"/>
    <w:rsid w:val="00B767BE"/>
    <w:rsid w:val="00B76B67"/>
    <w:rsid w:val="00B76B96"/>
    <w:rsid w:val="00B76DDA"/>
    <w:rsid w:val="00B76EB7"/>
    <w:rsid w:val="00B76EF9"/>
    <w:rsid w:val="00B7704D"/>
    <w:rsid w:val="00B771AE"/>
    <w:rsid w:val="00B7732F"/>
    <w:rsid w:val="00B7746F"/>
    <w:rsid w:val="00B775FC"/>
    <w:rsid w:val="00B77673"/>
    <w:rsid w:val="00B7768C"/>
    <w:rsid w:val="00B776DC"/>
    <w:rsid w:val="00B77808"/>
    <w:rsid w:val="00B77886"/>
    <w:rsid w:val="00B77BC8"/>
    <w:rsid w:val="00B77DAF"/>
    <w:rsid w:val="00B77EBF"/>
    <w:rsid w:val="00B8018A"/>
    <w:rsid w:val="00B8022E"/>
    <w:rsid w:val="00B8042B"/>
    <w:rsid w:val="00B8047B"/>
    <w:rsid w:val="00B804C9"/>
    <w:rsid w:val="00B805FB"/>
    <w:rsid w:val="00B80613"/>
    <w:rsid w:val="00B8063E"/>
    <w:rsid w:val="00B806A7"/>
    <w:rsid w:val="00B80868"/>
    <w:rsid w:val="00B808AB"/>
    <w:rsid w:val="00B80961"/>
    <w:rsid w:val="00B80A8E"/>
    <w:rsid w:val="00B80F51"/>
    <w:rsid w:val="00B81031"/>
    <w:rsid w:val="00B81099"/>
    <w:rsid w:val="00B8133C"/>
    <w:rsid w:val="00B813E8"/>
    <w:rsid w:val="00B813F8"/>
    <w:rsid w:val="00B81598"/>
    <w:rsid w:val="00B81603"/>
    <w:rsid w:val="00B81851"/>
    <w:rsid w:val="00B818AB"/>
    <w:rsid w:val="00B81B23"/>
    <w:rsid w:val="00B81B71"/>
    <w:rsid w:val="00B81C82"/>
    <w:rsid w:val="00B81CA7"/>
    <w:rsid w:val="00B81F72"/>
    <w:rsid w:val="00B82111"/>
    <w:rsid w:val="00B8217C"/>
    <w:rsid w:val="00B821E1"/>
    <w:rsid w:val="00B822B7"/>
    <w:rsid w:val="00B82310"/>
    <w:rsid w:val="00B824FF"/>
    <w:rsid w:val="00B8259C"/>
    <w:rsid w:val="00B826E7"/>
    <w:rsid w:val="00B8273A"/>
    <w:rsid w:val="00B8278D"/>
    <w:rsid w:val="00B82835"/>
    <w:rsid w:val="00B82AC3"/>
    <w:rsid w:val="00B82BF6"/>
    <w:rsid w:val="00B82C1E"/>
    <w:rsid w:val="00B82C4D"/>
    <w:rsid w:val="00B82CC5"/>
    <w:rsid w:val="00B82DAA"/>
    <w:rsid w:val="00B82DED"/>
    <w:rsid w:val="00B82EC8"/>
    <w:rsid w:val="00B82F31"/>
    <w:rsid w:val="00B83120"/>
    <w:rsid w:val="00B83227"/>
    <w:rsid w:val="00B8322D"/>
    <w:rsid w:val="00B832F0"/>
    <w:rsid w:val="00B83378"/>
    <w:rsid w:val="00B833DF"/>
    <w:rsid w:val="00B834CA"/>
    <w:rsid w:val="00B834FC"/>
    <w:rsid w:val="00B83513"/>
    <w:rsid w:val="00B835CF"/>
    <w:rsid w:val="00B836B4"/>
    <w:rsid w:val="00B83843"/>
    <w:rsid w:val="00B83858"/>
    <w:rsid w:val="00B83A6E"/>
    <w:rsid w:val="00B83A80"/>
    <w:rsid w:val="00B83AC9"/>
    <w:rsid w:val="00B83B27"/>
    <w:rsid w:val="00B83D78"/>
    <w:rsid w:val="00B83D85"/>
    <w:rsid w:val="00B83F4E"/>
    <w:rsid w:val="00B83FA1"/>
    <w:rsid w:val="00B840A6"/>
    <w:rsid w:val="00B841B1"/>
    <w:rsid w:val="00B84200"/>
    <w:rsid w:val="00B8429F"/>
    <w:rsid w:val="00B8436C"/>
    <w:rsid w:val="00B84431"/>
    <w:rsid w:val="00B8447C"/>
    <w:rsid w:val="00B84488"/>
    <w:rsid w:val="00B84553"/>
    <w:rsid w:val="00B84694"/>
    <w:rsid w:val="00B846A6"/>
    <w:rsid w:val="00B847D9"/>
    <w:rsid w:val="00B84CFC"/>
    <w:rsid w:val="00B84DF0"/>
    <w:rsid w:val="00B84F1A"/>
    <w:rsid w:val="00B84F1D"/>
    <w:rsid w:val="00B84F2E"/>
    <w:rsid w:val="00B84FF0"/>
    <w:rsid w:val="00B85170"/>
    <w:rsid w:val="00B85288"/>
    <w:rsid w:val="00B852A9"/>
    <w:rsid w:val="00B8530C"/>
    <w:rsid w:val="00B8556A"/>
    <w:rsid w:val="00B8563B"/>
    <w:rsid w:val="00B85680"/>
    <w:rsid w:val="00B856CD"/>
    <w:rsid w:val="00B8570C"/>
    <w:rsid w:val="00B85771"/>
    <w:rsid w:val="00B857CD"/>
    <w:rsid w:val="00B858BF"/>
    <w:rsid w:val="00B858CF"/>
    <w:rsid w:val="00B858D4"/>
    <w:rsid w:val="00B85A07"/>
    <w:rsid w:val="00B85B09"/>
    <w:rsid w:val="00B85B8A"/>
    <w:rsid w:val="00B85C82"/>
    <w:rsid w:val="00B85F9F"/>
    <w:rsid w:val="00B85FEA"/>
    <w:rsid w:val="00B86063"/>
    <w:rsid w:val="00B86195"/>
    <w:rsid w:val="00B86229"/>
    <w:rsid w:val="00B86432"/>
    <w:rsid w:val="00B86539"/>
    <w:rsid w:val="00B86668"/>
    <w:rsid w:val="00B8666C"/>
    <w:rsid w:val="00B86705"/>
    <w:rsid w:val="00B867C8"/>
    <w:rsid w:val="00B867DA"/>
    <w:rsid w:val="00B86911"/>
    <w:rsid w:val="00B86A32"/>
    <w:rsid w:val="00B86A58"/>
    <w:rsid w:val="00B86A90"/>
    <w:rsid w:val="00B86D26"/>
    <w:rsid w:val="00B86D7F"/>
    <w:rsid w:val="00B86DA9"/>
    <w:rsid w:val="00B86F77"/>
    <w:rsid w:val="00B86F80"/>
    <w:rsid w:val="00B87206"/>
    <w:rsid w:val="00B8725A"/>
    <w:rsid w:val="00B87300"/>
    <w:rsid w:val="00B87313"/>
    <w:rsid w:val="00B87423"/>
    <w:rsid w:val="00B87475"/>
    <w:rsid w:val="00B875ED"/>
    <w:rsid w:val="00B876CF"/>
    <w:rsid w:val="00B8775F"/>
    <w:rsid w:val="00B878B0"/>
    <w:rsid w:val="00B87B1F"/>
    <w:rsid w:val="00B87C7C"/>
    <w:rsid w:val="00B87DFA"/>
    <w:rsid w:val="00B87F67"/>
    <w:rsid w:val="00B902D1"/>
    <w:rsid w:val="00B90786"/>
    <w:rsid w:val="00B90941"/>
    <w:rsid w:val="00B90A90"/>
    <w:rsid w:val="00B90B33"/>
    <w:rsid w:val="00B90B88"/>
    <w:rsid w:val="00B90C03"/>
    <w:rsid w:val="00B90C87"/>
    <w:rsid w:val="00B90E12"/>
    <w:rsid w:val="00B90E80"/>
    <w:rsid w:val="00B90F8E"/>
    <w:rsid w:val="00B91000"/>
    <w:rsid w:val="00B910EB"/>
    <w:rsid w:val="00B910FB"/>
    <w:rsid w:val="00B9142A"/>
    <w:rsid w:val="00B914C6"/>
    <w:rsid w:val="00B9152C"/>
    <w:rsid w:val="00B916A6"/>
    <w:rsid w:val="00B917A3"/>
    <w:rsid w:val="00B91803"/>
    <w:rsid w:val="00B91A1F"/>
    <w:rsid w:val="00B91AF6"/>
    <w:rsid w:val="00B91C06"/>
    <w:rsid w:val="00B91E07"/>
    <w:rsid w:val="00B91EF9"/>
    <w:rsid w:val="00B91F9D"/>
    <w:rsid w:val="00B92145"/>
    <w:rsid w:val="00B9239A"/>
    <w:rsid w:val="00B923E6"/>
    <w:rsid w:val="00B924A5"/>
    <w:rsid w:val="00B9267A"/>
    <w:rsid w:val="00B92761"/>
    <w:rsid w:val="00B92783"/>
    <w:rsid w:val="00B927C3"/>
    <w:rsid w:val="00B927E7"/>
    <w:rsid w:val="00B92874"/>
    <w:rsid w:val="00B92922"/>
    <w:rsid w:val="00B92ABD"/>
    <w:rsid w:val="00B92BBC"/>
    <w:rsid w:val="00B92CBA"/>
    <w:rsid w:val="00B92D43"/>
    <w:rsid w:val="00B92DBF"/>
    <w:rsid w:val="00B9302F"/>
    <w:rsid w:val="00B9315C"/>
    <w:rsid w:val="00B9328C"/>
    <w:rsid w:val="00B932C0"/>
    <w:rsid w:val="00B9332E"/>
    <w:rsid w:val="00B93590"/>
    <w:rsid w:val="00B935AE"/>
    <w:rsid w:val="00B938F5"/>
    <w:rsid w:val="00B939BA"/>
    <w:rsid w:val="00B93B67"/>
    <w:rsid w:val="00B93D0C"/>
    <w:rsid w:val="00B93FDD"/>
    <w:rsid w:val="00B94081"/>
    <w:rsid w:val="00B940A9"/>
    <w:rsid w:val="00B940FD"/>
    <w:rsid w:val="00B9414A"/>
    <w:rsid w:val="00B9434A"/>
    <w:rsid w:val="00B94374"/>
    <w:rsid w:val="00B94627"/>
    <w:rsid w:val="00B94766"/>
    <w:rsid w:val="00B94785"/>
    <w:rsid w:val="00B9488F"/>
    <w:rsid w:val="00B94A4A"/>
    <w:rsid w:val="00B94AFC"/>
    <w:rsid w:val="00B94F82"/>
    <w:rsid w:val="00B950DC"/>
    <w:rsid w:val="00B95158"/>
    <w:rsid w:val="00B951ED"/>
    <w:rsid w:val="00B9532B"/>
    <w:rsid w:val="00B95557"/>
    <w:rsid w:val="00B955CA"/>
    <w:rsid w:val="00B955DE"/>
    <w:rsid w:val="00B957EC"/>
    <w:rsid w:val="00B95C56"/>
    <w:rsid w:val="00B95C8F"/>
    <w:rsid w:val="00B95D1D"/>
    <w:rsid w:val="00B95D5D"/>
    <w:rsid w:val="00B95D64"/>
    <w:rsid w:val="00B95EA4"/>
    <w:rsid w:val="00B95F24"/>
    <w:rsid w:val="00B95F4C"/>
    <w:rsid w:val="00B96123"/>
    <w:rsid w:val="00B9619F"/>
    <w:rsid w:val="00B961A1"/>
    <w:rsid w:val="00B96308"/>
    <w:rsid w:val="00B96375"/>
    <w:rsid w:val="00B96465"/>
    <w:rsid w:val="00B96502"/>
    <w:rsid w:val="00B966DD"/>
    <w:rsid w:val="00B967ED"/>
    <w:rsid w:val="00B96994"/>
    <w:rsid w:val="00B96998"/>
    <w:rsid w:val="00B96A89"/>
    <w:rsid w:val="00B96B8D"/>
    <w:rsid w:val="00B96BCF"/>
    <w:rsid w:val="00B96DE6"/>
    <w:rsid w:val="00B96DEF"/>
    <w:rsid w:val="00B96F72"/>
    <w:rsid w:val="00B96FFD"/>
    <w:rsid w:val="00B9708C"/>
    <w:rsid w:val="00B970D4"/>
    <w:rsid w:val="00B970EC"/>
    <w:rsid w:val="00B9711D"/>
    <w:rsid w:val="00B97235"/>
    <w:rsid w:val="00B97253"/>
    <w:rsid w:val="00B974C9"/>
    <w:rsid w:val="00B974DD"/>
    <w:rsid w:val="00B9771E"/>
    <w:rsid w:val="00B97964"/>
    <w:rsid w:val="00B97A74"/>
    <w:rsid w:val="00B97B9B"/>
    <w:rsid w:val="00B97D07"/>
    <w:rsid w:val="00B97E2C"/>
    <w:rsid w:val="00B97ED7"/>
    <w:rsid w:val="00B97F23"/>
    <w:rsid w:val="00B97F38"/>
    <w:rsid w:val="00BA00BA"/>
    <w:rsid w:val="00BA0167"/>
    <w:rsid w:val="00BA01C0"/>
    <w:rsid w:val="00BA01C8"/>
    <w:rsid w:val="00BA032D"/>
    <w:rsid w:val="00BA0381"/>
    <w:rsid w:val="00BA04D2"/>
    <w:rsid w:val="00BA0585"/>
    <w:rsid w:val="00BA05E5"/>
    <w:rsid w:val="00BA0618"/>
    <w:rsid w:val="00BA068C"/>
    <w:rsid w:val="00BA0953"/>
    <w:rsid w:val="00BA09E9"/>
    <w:rsid w:val="00BA0A34"/>
    <w:rsid w:val="00BA0A91"/>
    <w:rsid w:val="00BA0B38"/>
    <w:rsid w:val="00BA0B62"/>
    <w:rsid w:val="00BA0BAB"/>
    <w:rsid w:val="00BA0CE2"/>
    <w:rsid w:val="00BA0CEB"/>
    <w:rsid w:val="00BA0D09"/>
    <w:rsid w:val="00BA0D78"/>
    <w:rsid w:val="00BA1042"/>
    <w:rsid w:val="00BA11B7"/>
    <w:rsid w:val="00BA11CA"/>
    <w:rsid w:val="00BA129D"/>
    <w:rsid w:val="00BA134C"/>
    <w:rsid w:val="00BA134D"/>
    <w:rsid w:val="00BA13A0"/>
    <w:rsid w:val="00BA13C5"/>
    <w:rsid w:val="00BA1438"/>
    <w:rsid w:val="00BA14AF"/>
    <w:rsid w:val="00BA162B"/>
    <w:rsid w:val="00BA164A"/>
    <w:rsid w:val="00BA171C"/>
    <w:rsid w:val="00BA174D"/>
    <w:rsid w:val="00BA17E8"/>
    <w:rsid w:val="00BA1880"/>
    <w:rsid w:val="00BA194E"/>
    <w:rsid w:val="00BA1988"/>
    <w:rsid w:val="00BA1AB5"/>
    <w:rsid w:val="00BA1AED"/>
    <w:rsid w:val="00BA1BE1"/>
    <w:rsid w:val="00BA1BE9"/>
    <w:rsid w:val="00BA1C22"/>
    <w:rsid w:val="00BA1CEC"/>
    <w:rsid w:val="00BA1D59"/>
    <w:rsid w:val="00BA1DB1"/>
    <w:rsid w:val="00BA1E67"/>
    <w:rsid w:val="00BA1F18"/>
    <w:rsid w:val="00BA1F3E"/>
    <w:rsid w:val="00BA1F57"/>
    <w:rsid w:val="00BA1F74"/>
    <w:rsid w:val="00BA2090"/>
    <w:rsid w:val="00BA22D3"/>
    <w:rsid w:val="00BA2309"/>
    <w:rsid w:val="00BA26D2"/>
    <w:rsid w:val="00BA272F"/>
    <w:rsid w:val="00BA27DD"/>
    <w:rsid w:val="00BA27E0"/>
    <w:rsid w:val="00BA2BF2"/>
    <w:rsid w:val="00BA2D02"/>
    <w:rsid w:val="00BA2DA9"/>
    <w:rsid w:val="00BA2E2C"/>
    <w:rsid w:val="00BA2E39"/>
    <w:rsid w:val="00BA2E44"/>
    <w:rsid w:val="00BA2F8F"/>
    <w:rsid w:val="00BA3080"/>
    <w:rsid w:val="00BA3102"/>
    <w:rsid w:val="00BA3104"/>
    <w:rsid w:val="00BA317B"/>
    <w:rsid w:val="00BA35DF"/>
    <w:rsid w:val="00BA3649"/>
    <w:rsid w:val="00BA3744"/>
    <w:rsid w:val="00BA3809"/>
    <w:rsid w:val="00BA381B"/>
    <w:rsid w:val="00BA3874"/>
    <w:rsid w:val="00BA3BB9"/>
    <w:rsid w:val="00BA3C2A"/>
    <w:rsid w:val="00BA3D43"/>
    <w:rsid w:val="00BA3E1D"/>
    <w:rsid w:val="00BA4141"/>
    <w:rsid w:val="00BA41DE"/>
    <w:rsid w:val="00BA41F2"/>
    <w:rsid w:val="00BA4338"/>
    <w:rsid w:val="00BA4391"/>
    <w:rsid w:val="00BA4596"/>
    <w:rsid w:val="00BA45A1"/>
    <w:rsid w:val="00BA466A"/>
    <w:rsid w:val="00BA46B2"/>
    <w:rsid w:val="00BA46E8"/>
    <w:rsid w:val="00BA47FD"/>
    <w:rsid w:val="00BA48ED"/>
    <w:rsid w:val="00BA49AB"/>
    <w:rsid w:val="00BA4C29"/>
    <w:rsid w:val="00BA4C96"/>
    <w:rsid w:val="00BA4D8C"/>
    <w:rsid w:val="00BA4E9A"/>
    <w:rsid w:val="00BA4ED7"/>
    <w:rsid w:val="00BA4F61"/>
    <w:rsid w:val="00BA5106"/>
    <w:rsid w:val="00BA51B8"/>
    <w:rsid w:val="00BA5213"/>
    <w:rsid w:val="00BA5362"/>
    <w:rsid w:val="00BA5412"/>
    <w:rsid w:val="00BA5595"/>
    <w:rsid w:val="00BA55F7"/>
    <w:rsid w:val="00BA5627"/>
    <w:rsid w:val="00BA591A"/>
    <w:rsid w:val="00BA5B56"/>
    <w:rsid w:val="00BA5CE1"/>
    <w:rsid w:val="00BA5D14"/>
    <w:rsid w:val="00BA5D16"/>
    <w:rsid w:val="00BA5D43"/>
    <w:rsid w:val="00BA5D5C"/>
    <w:rsid w:val="00BA5DB0"/>
    <w:rsid w:val="00BA5ECE"/>
    <w:rsid w:val="00BA60B6"/>
    <w:rsid w:val="00BA6170"/>
    <w:rsid w:val="00BA6456"/>
    <w:rsid w:val="00BA6475"/>
    <w:rsid w:val="00BA65CE"/>
    <w:rsid w:val="00BA65DC"/>
    <w:rsid w:val="00BA66A7"/>
    <w:rsid w:val="00BA67B4"/>
    <w:rsid w:val="00BA67E6"/>
    <w:rsid w:val="00BA683A"/>
    <w:rsid w:val="00BA68CE"/>
    <w:rsid w:val="00BA6A2D"/>
    <w:rsid w:val="00BA6A61"/>
    <w:rsid w:val="00BA6A74"/>
    <w:rsid w:val="00BA6A9A"/>
    <w:rsid w:val="00BA6B0C"/>
    <w:rsid w:val="00BA6B4E"/>
    <w:rsid w:val="00BA6CA4"/>
    <w:rsid w:val="00BA6DDD"/>
    <w:rsid w:val="00BA6E3A"/>
    <w:rsid w:val="00BA6E63"/>
    <w:rsid w:val="00BA7001"/>
    <w:rsid w:val="00BA709E"/>
    <w:rsid w:val="00BA7110"/>
    <w:rsid w:val="00BA71E3"/>
    <w:rsid w:val="00BA7267"/>
    <w:rsid w:val="00BA739D"/>
    <w:rsid w:val="00BA73C6"/>
    <w:rsid w:val="00BA7570"/>
    <w:rsid w:val="00BA7842"/>
    <w:rsid w:val="00BA7844"/>
    <w:rsid w:val="00BA7950"/>
    <w:rsid w:val="00BA7995"/>
    <w:rsid w:val="00BA7C93"/>
    <w:rsid w:val="00BA7CF7"/>
    <w:rsid w:val="00BA7E62"/>
    <w:rsid w:val="00BB0137"/>
    <w:rsid w:val="00BB0293"/>
    <w:rsid w:val="00BB0424"/>
    <w:rsid w:val="00BB051D"/>
    <w:rsid w:val="00BB05AD"/>
    <w:rsid w:val="00BB05C2"/>
    <w:rsid w:val="00BB0884"/>
    <w:rsid w:val="00BB093C"/>
    <w:rsid w:val="00BB0984"/>
    <w:rsid w:val="00BB0A64"/>
    <w:rsid w:val="00BB0B29"/>
    <w:rsid w:val="00BB0B89"/>
    <w:rsid w:val="00BB0C50"/>
    <w:rsid w:val="00BB0C51"/>
    <w:rsid w:val="00BB0D20"/>
    <w:rsid w:val="00BB0DDD"/>
    <w:rsid w:val="00BB1021"/>
    <w:rsid w:val="00BB105E"/>
    <w:rsid w:val="00BB1254"/>
    <w:rsid w:val="00BB135C"/>
    <w:rsid w:val="00BB1377"/>
    <w:rsid w:val="00BB145D"/>
    <w:rsid w:val="00BB1468"/>
    <w:rsid w:val="00BB147F"/>
    <w:rsid w:val="00BB15ED"/>
    <w:rsid w:val="00BB168F"/>
    <w:rsid w:val="00BB16DE"/>
    <w:rsid w:val="00BB187A"/>
    <w:rsid w:val="00BB198E"/>
    <w:rsid w:val="00BB1C96"/>
    <w:rsid w:val="00BB1CB4"/>
    <w:rsid w:val="00BB1DC4"/>
    <w:rsid w:val="00BB1E9E"/>
    <w:rsid w:val="00BB1F14"/>
    <w:rsid w:val="00BB1FED"/>
    <w:rsid w:val="00BB1FF8"/>
    <w:rsid w:val="00BB2003"/>
    <w:rsid w:val="00BB210E"/>
    <w:rsid w:val="00BB21FB"/>
    <w:rsid w:val="00BB2411"/>
    <w:rsid w:val="00BB2601"/>
    <w:rsid w:val="00BB2632"/>
    <w:rsid w:val="00BB26A3"/>
    <w:rsid w:val="00BB271A"/>
    <w:rsid w:val="00BB27A5"/>
    <w:rsid w:val="00BB2812"/>
    <w:rsid w:val="00BB2A38"/>
    <w:rsid w:val="00BB2A97"/>
    <w:rsid w:val="00BB2D98"/>
    <w:rsid w:val="00BB2E17"/>
    <w:rsid w:val="00BB2E4D"/>
    <w:rsid w:val="00BB3020"/>
    <w:rsid w:val="00BB302F"/>
    <w:rsid w:val="00BB3088"/>
    <w:rsid w:val="00BB3093"/>
    <w:rsid w:val="00BB30AF"/>
    <w:rsid w:val="00BB30B9"/>
    <w:rsid w:val="00BB30C0"/>
    <w:rsid w:val="00BB31AC"/>
    <w:rsid w:val="00BB3202"/>
    <w:rsid w:val="00BB32A4"/>
    <w:rsid w:val="00BB3418"/>
    <w:rsid w:val="00BB3682"/>
    <w:rsid w:val="00BB371B"/>
    <w:rsid w:val="00BB377D"/>
    <w:rsid w:val="00BB37B5"/>
    <w:rsid w:val="00BB3A3B"/>
    <w:rsid w:val="00BB3AE5"/>
    <w:rsid w:val="00BB3B7D"/>
    <w:rsid w:val="00BB3BEC"/>
    <w:rsid w:val="00BB3CA1"/>
    <w:rsid w:val="00BB3E7A"/>
    <w:rsid w:val="00BB3F6C"/>
    <w:rsid w:val="00BB407F"/>
    <w:rsid w:val="00BB4127"/>
    <w:rsid w:val="00BB41A6"/>
    <w:rsid w:val="00BB42E8"/>
    <w:rsid w:val="00BB4405"/>
    <w:rsid w:val="00BB44E8"/>
    <w:rsid w:val="00BB454B"/>
    <w:rsid w:val="00BB45A6"/>
    <w:rsid w:val="00BB46D2"/>
    <w:rsid w:val="00BB4800"/>
    <w:rsid w:val="00BB4857"/>
    <w:rsid w:val="00BB48DD"/>
    <w:rsid w:val="00BB49DC"/>
    <w:rsid w:val="00BB49E0"/>
    <w:rsid w:val="00BB49E9"/>
    <w:rsid w:val="00BB4A4B"/>
    <w:rsid w:val="00BB4ABA"/>
    <w:rsid w:val="00BB4EDB"/>
    <w:rsid w:val="00BB4F1C"/>
    <w:rsid w:val="00BB5154"/>
    <w:rsid w:val="00BB51BE"/>
    <w:rsid w:val="00BB524A"/>
    <w:rsid w:val="00BB5256"/>
    <w:rsid w:val="00BB52D2"/>
    <w:rsid w:val="00BB5331"/>
    <w:rsid w:val="00BB557F"/>
    <w:rsid w:val="00BB5593"/>
    <w:rsid w:val="00BB559D"/>
    <w:rsid w:val="00BB58DA"/>
    <w:rsid w:val="00BB5965"/>
    <w:rsid w:val="00BB59F8"/>
    <w:rsid w:val="00BB5A0E"/>
    <w:rsid w:val="00BB5CAC"/>
    <w:rsid w:val="00BB5CAE"/>
    <w:rsid w:val="00BB5CB5"/>
    <w:rsid w:val="00BB5D20"/>
    <w:rsid w:val="00BB5E2E"/>
    <w:rsid w:val="00BB5F35"/>
    <w:rsid w:val="00BB5FD1"/>
    <w:rsid w:val="00BB604C"/>
    <w:rsid w:val="00BB614C"/>
    <w:rsid w:val="00BB639D"/>
    <w:rsid w:val="00BB63A0"/>
    <w:rsid w:val="00BB642E"/>
    <w:rsid w:val="00BB66EB"/>
    <w:rsid w:val="00BB68D3"/>
    <w:rsid w:val="00BB6ABE"/>
    <w:rsid w:val="00BB6B05"/>
    <w:rsid w:val="00BB6C54"/>
    <w:rsid w:val="00BB6C57"/>
    <w:rsid w:val="00BB6DD0"/>
    <w:rsid w:val="00BB6F12"/>
    <w:rsid w:val="00BB6FDD"/>
    <w:rsid w:val="00BB715D"/>
    <w:rsid w:val="00BB71E2"/>
    <w:rsid w:val="00BB728D"/>
    <w:rsid w:val="00BB7791"/>
    <w:rsid w:val="00BB7824"/>
    <w:rsid w:val="00BB7917"/>
    <w:rsid w:val="00BB79EE"/>
    <w:rsid w:val="00BB7A47"/>
    <w:rsid w:val="00BB7B2D"/>
    <w:rsid w:val="00BB7B4E"/>
    <w:rsid w:val="00BB7D19"/>
    <w:rsid w:val="00BB7D21"/>
    <w:rsid w:val="00BB7D74"/>
    <w:rsid w:val="00BB7DC7"/>
    <w:rsid w:val="00BB7E96"/>
    <w:rsid w:val="00BC0275"/>
    <w:rsid w:val="00BC0539"/>
    <w:rsid w:val="00BC0549"/>
    <w:rsid w:val="00BC0641"/>
    <w:rsid w:val="00BC06F6"/>
    <w:rsid w:val="00BC0773"/>
    <w:rsid w:val="00BC09C6"/>
    <w:rsid w:val="00BC0A31"/>
    <w:rsid w:val="00BC0C6A"/>
    <w:rsid w:val="00BC0CAC"/>
    <w:rsid w:val="00BC0DF2"/>
    <w:rsid w:val="00BC0F87"/>
    <w:rsid w:val="00BC10BE"/>
    <w:rsid w:val="00BC11AD"/>
    <w:rsid w:val="00BC11B7"/>
    <w:rsid w:val="00BC1222"/>
    <w:rsid w:val="00BC12B1"/>
    <w:rsid w:val="00BC15FC"/>
    <w:rsid w:val="00BC17EE"/>
    <w:rsid w:val="00BC18DA"/>
    <w:rsid w:val="00BC1906"/>
    <w:rsid w:val="00BC1986"/>
    <w:rsid w:val="00BC1B6E"/>
    <w:rsid w:val="00BC1B82"/>
    <w:rsid w:val="00BC1BEE"/>
    <w:rsid w:val="00BC1C2E"/>
    <w:rsid w:val="00BC1C8D"/>
    <w:rsid w:val="00BC1D27"/>
    <w:rsid w:val="00BC1D42"/>
    <w:rsid w:val="00BC1E2A"/>
    <w:rsid w:val="00BC2244"/>
    <w:rsid w:val="00BC225E"/>
    <w:rsid w:val="00BC22C1"/>
    <w:rsid w:val="00BC2380"/>
    <w:rsid w:val="00BC23DE"/>
    <w:rsid w:val="00BC2528"/>
    <w:rsid w:val="00BC26FF"/>
    <w:rsid w:val="00BC27AC"/>
    <w:rsid w:val="00BC2801"/>
    <w:rsid w:val="00BC2871"/>
    <w:rsid w:val="00BC28C3"/>
    <w:rsid w:val="00BC28E0"/>
    <w:rsid w:val="00BC2BAF"/>
    <w:rsid w:val="00BC2C5A"/>
    <w:rsid w:val="00BC2D4E"/>
    <w:rsid w:val="00BC2DA9"/>
    <w:rsid w:val="00BC2E2C"/>
    <w:rsid w:val="00BC2EEB"/>
    <w:rsid w:val="00BC2FC3"/>
    <w:rsid w:val="00BC31A1"/>
    <w:rsid w:val="00BC32DF"/>
    <w:rsid w:val="00BC33D1"/>
    <w:rsid w:val="00BC33EE"/>
    <w:rsid w:val="00BC352B"/>
    <w:rsid w:val="00BC361C"/>
    <w:rsid w:val="00BC37DA"/>
    <w:rsid w:val="00BC3843"/>
    <w:rsid w:val="00BC39F8"/>
    <w:rsid w:val="00BC3A0D"/>
    <w:rsid w:val="00BC3A3A"/>
    <w:rsid w:val="00BC3BCC"/>
    <w:rsid w:val="00BC3D13"/>
    <w:rsid w:val="00BC3E16"/>
    <w:rsid w:val="00BC3E59"/>
    <w:rsid w:val="00BC3EC7"/>
    <w:rsid w:val="00BC4088"/>
    <w:rsid w:val="00BC440F"/>
    <w:rsid w:val="00BC4544"/>
    <w:rsid w:val="00BC4568"/>
    <w:rsid w:val="00BC4623"/>
    <w:rsid w:val="00BC4689"/>
    <w:rsid w:val="00BC46C0"/>
    <w:rsid w:val="00BC46C1"/>
    <w:rsid w:val="00BC47BC"/>
    <w:rsid w:val="00BC4956"/>
    <w:rsid w:val="00BC4A10"/>
    <w:rsid w:val="00BC4AD8"/>
    <w:rsid w:val="00BC4C2A"/>
    <w:rsid w:val="00BC4C46"/>
    <w:rsid w:val="00BC4DEC"/>
    <w:rsid w:val="00BC4E1F"/>
    <w:rsid w:val="00BC4EC4"/>
    <w:rsid w:val="00BC4ECE"/>
    <w:rsid w:val="00BC4ED2"/>
    <w:rsid w:val="00BC5247"/>
    <w:rsid w:val="00BC5260"/>
    <w:rsid w:val="00BC52B6"/>
    <w:rsid w:val="00BC542F"/>
    <w:rsid w:val="00BC54FD"/>
    <w:rsid w:val="00BC55D5"/>
    <w:rsid w:val="00BC5634"/>
    <w:rsid w:val="00BC569A"/>
    <w:rsid w:val="00BC5841"/>
    <w:rsid w:val="00BC585A"/>
    <w:rsid w:val="00BC5861"/>
    <w:rsid w:val="00BC59BD"/>
    <w:rsid w:val="00BC59E7"/>
    <w:rsid w:val="00BC5BB2"/>
    <w:rsid w:val="00BC5E05"/>
    <w:rsid w:val="00BC5E66"/>
    <w:rsid w:val="00BC5EA0"/>
    <w:rsid w:val="00BC6053"/>
    <w:rsid w:val="00BC61BA"/>
    <w:rsid w:val="00BC6564"/>
    <w:rsid w:val="00BC6686"/>
    <w:rsid w:val="00BC67F9"/>
    <w:rsid w:val="00BC68BD"/>
    <w:rsid w:val="00BC6AAC"/>
    <w:rsid w:val="00BC6B67"/>
    <w:rsid w:val="00BC6D1A"/>
    <w:rsid w:val="00BC6DBC"/>
    <w:rsid w:val="00BC6EBB"/>
    <w:rsid w:val="00BC71BA"/>
    <w:rsid w:val="00BC71FE"/>
    <w:rsid w:val="00BC7371"/>
    <w:rsid w:val="00BC73A4"/>
    <w:rsid w:val="00BC73B8"/>
    <w:rsid w:val="00BC74EA"/>
    <w:rsid w:val="00BC75EC"/>
    <w:rsid w:val="00BC7718"/>
    <w:rsid w:val="00BC7BE1"/>
    <w:rsid w:val="00BC7D4B"/>
    <w:rsid w:val="00BC7E8B"/>
    <w:rsid w:val="00BC7FDB"/>
    <w:rsid w:val="00BD0030"/>
    <w:rsid w:val="00BD0081"/>
    <w:rsid w:val="00BD00DD"/>
    <w:rsid w:val="00BD0192"/>
    <w:rsid w:val="00BD01A6"/>
    <w:rsid w:val="00BD022E"/>
    <w:rsid w:val="00BD04BD"/>
    <w:rsid w:val="00BD04C2"/>
    <w:rsid w:val="00BD05A4"/>
    <w:rsid w:val="00BD068D"/>
    <w:rsid w:val="00BD06E9"/>
    <w:rsid w:val="00BD07C2"/>
    <w:rsid w:val="00BD08E4"/>
    <w:rsid w:val="00BD0917"/>
    <w:rsid w:val="00BD09A8"/>
    <w:rsid w:val="00BD0BF6"/>
    <w:rsid w:val="00BD0BFE"/>
    <w:rsid w:val="00BD0D81"/>
    <w:rsid w:val="00BD0E1A"/>
    <w:rsid w:val="00BD0EDD"/>
    <w:rsid w:val="00BD10EB"/>
    <w:rsid w:val="00BD118E"/>
    <w:rsid w:val="00BD11D1"/>
    <w:rsid w:val="00BD12FA"/>
    <w:rsid w:val="00BD133E"/>
    <w:rsid w:val="00BD13AB"/>
    <w:rsid w:val="00BD146A"/>
    <w:rsid w:val="00BD146B"/>
    <w:rsid w:val="00BD1505"/>
    <w:rsid w:val="00BD1761"/>
    <w:rsid w:val="00BD1851"/>
    <w:rsid w:val="00BD1887"/>
    <w:rsid w:val="00BD18DC"/>
    <w:rsid w:val="00BD18DF"/>
    <w:rsid w:val="00BD1914"/>
    <w:rsid w:val="00BD19C8"/>
    <w:rsid w:val="00BD1A5B"/>
    <w:rsid w:val="00BD1D40"/>
    <w:rsid w:val="00BD1F84"/>
    <w:rsid w:val="00BD1FB3"/>
    <w:rsid w:val="00BD2013"/>
    <w:rsid w:val="00BD20DD"/>
    <w:rsid w:val="00BD215E"/>
    <w:rsid w:val="00BD21B8"/>
    <w:rsid w:val="00BD252A"/>
    <w:rsid w:val="00BD2538"/>
    <w:rsid w:val="00BD2619"/>
    <w:rsid w:val="00BD265A"/>
    <w:rsid w:val="00BD28E8"/>
    <w:rsid w:val="00BD29D7"/>
    <w:rsid w:val="00BD2A03"/>
    <w:rsid w:val="00BD2A8F"/>
    <w:rsid w:val="00BD2DBB"/>
    <w:rsid w:val="00BD2EA6"/>
    <w:rsid w:val="00BD2FB9"/>
    <w:rsid w:val="00BD3088"/>
    <w:rsid w:val="00BD30F7"/>
    <w:rsid w:val="00BD3113"/>
    <w:rsid w:val="00BD3126"/>
    <w:rsid w:val="00BD336F"/>
    <w:rsid w:val="00BD33C2"/>
    <w:rsid w:val="00BD3531"/>
    <w:rsid w:val="00BD356C"/>
    <w:rsid w:val="00BD36A3"/>
    <w:rsid w:val="00BD3B83"/>
    <w:rsid w:val="00BD3DF8"/>
    <w:rsid w:val="00BD3E6E"/>
    <w:rsid w:val="00BD3FFD"/>
    <w:rsid w:val="00BD4251"/>
    <w:rsid w:val="00BD429E"/>
    <w:rsid w:val="00BD448D"/>
    <w:rsid w:val="00BD4530"/>
    <w:rsid w:val="00BD4566"/>
    <w:rsid w:val="00BD45C8"/>
    <w:rsid w:val="00BD4685"/>
    <w:rsid w:val="00BD47FF"/>
    <w:rsid w:val="00BD48C2"/>
    <w:rsid w:val="00BD4967"/>
    <w:rsid w:val="00BD4DEA"/>
    <w:rsid w:val="00BD4DFF"/>
    <w:rsid w:val="00BD4E35"/>
    <w:rsid w:val="00BD4E6F"/>
    <w:rsid w:val="00BD4E71"/>
    <w:rsid w:val="00BD4F3B"/>
    <w:rsid w:val="00BD4F46"/>
    <w:rsid w:val="00BD4F52"/>
    <w:rsid w:val="00BD4F56"/>
    <w:rsid w:val="00BD5015"/>
    <w:rsid w:val="00BD508E"/>
    <w:rsid w:val="00BD5509"/>
    <w:rsid w:val="00BD55C8"/>
    <w:rsid w:val="00BD55F7"/>
    <w:rsid w:val="00BD5734"/>
    <w:rsid w:val="00BD57BF"/>
    <w:rsid w:val="00BD57EC"/>
    <w:rsid w:val="00BD58C9"/>
    <w:rsid w:val="00BD59F4"/>
    <w:rsid w:val="00BD5B28"/>
    <w:rsid w:val="00BD5B29"/>
    <w:rsid w:val="00BD5C2F"/>
    <w:rsid w:val="00BD5F1B"/>
    <w:rsid w:val="00BD5F8A"/>
    <w:rsid w:val="00BD5FA4"/>
    <w:rsid w:val="00BD60BE"/>
    <w:rsid w:val="00BD60DA"/>
    <w:rsid w:val="00BD60E5"/>
    <w:rsid w:val="00BD611E"/>
    <w:rsid w:val="00BD61AB"/>
    <w:rsid w:val="00BD62CC"/>
    <w:rsid w:val="00BD63A2"/>
    <w:rsid w:val="00BD6416"/>
    <w:rsid w:val="00BD6483"/>
    <w:rsid w:val="00BD6649"/>
    <w:rsid w:val="00BD6773"/>
    <w:rsid w:val="00BD68AD"/>
    <w:rsid w:val="00BD6CED"/>
    <w:rsid w:val="00BD6DFE"/>
    <w:rsid w:val="00BD6E05"/>
    <w:rsid w:val="00BD704E"/>
    <w:rsid w:val="00BD709E"/>
    <w:rsid w:val="00BD7122"/>
    <w:rsid w:val="00BD71F5"/>
    <w:rsid w:val="00BD7227"/>
    <w:rsid w:val="00BD7241"/>
    <w:rsid w:val="00BD72D8"/>
    <w:rsid w:val="00BD73BC"/>
    <w:rsid w:val="00BD76D2"/>
    <w:rsid w:val="00BD7724"/>
    <w:rsid w:val="00BD7785"/>
    <w:rsid w:val="00BD7798"/>
    <w:rsid w:val="00BD77ED"/>
    <w:rsid w:val="00BD7842"/>
    <w:rsid w:val="00BD795E"/>
    <w:rsid w:val="00BD7970"/>
    <w:rsid w:val="00BD79BF"/>
    <w:rsid w:val="00BD7B49"/>
    <w:rsid w:val="00BD7B5B"/>
    <w:rsid w:val="00BD7C76"/>
    <w:rsid w:val="00BD7D8F"/>
    <w:rsid w:val="00BD7ED6"/>
    <w:rsid w:val="00BD7F2B"/>
    <w:rsid w:val="00BD7F45"/>
    <w:rsid w:val="00BE0002"/>
    <w:rsid w:val="00BE0003"/>
    <w:rsid w:val="00BE0155"/>
    <w:rsid w:val="00BE0172"/>
    <w:rsid w:val="00BE017B"/>
    <w:rsid w:val="00BE01DD"/>
    <w:rsid w:val="00BE0392"/>
    <w:rsid w:val="00BE05FD"/>
    <w:rsid w:val="00BE077E"/>
    <w:rsid w:val="00BE07E8"/>
    <w:rsid w:val="00BE0834"/>
    <w:rsid w:val="00BE0851"/>
    <w:rsid w:val="00BE08E0"/>
    <w:rsid w:val="00BE08E1"/>
    <w:rsid w:val="00BE0904"/>
    <w:rsid w:val="00BE0A5F"/>
    <w:rsid w:val="00BE0C09"/>
    <w:rsid w:val="00BE0D26"/>
    <w:rsid w:val="00BE0D69"/>
    <w:rsid w:val="00BE0D80"/>
    <w:rsid w:val="00BE0DDD"/>
    <w:rsid w:val="00BE0E07"/>
    <w:rsid w:val="00BE0F5A"/>
    <w:rsid w:val="00BE0F7D"/>
    <w:rsid w:val="00BE0F98"/>
    <w:rsid w:val="00BE0FEF"/>
    <w:rsid w:val="00BE1047"/>
    <w:rsid w:val="00BE106D"/>
    <w:rsid w:val="00BE10D9"/>
    <w:rsid w:val="00BE1114"/>
    <w:rsid w:val="00BE1183"/>
    <w:rsid w:val="00BE1215"/>
    <w:rsid w:val="00BE126F"/>
    <w:rsid w:val="00BE1297"/>
    <w:rsid w:val="00BE13A4"/>
    <w:rsid w:val="00BE13BD"/>
    <w:rsid w:val="00BE14DB"/>
    <w:rsid w:val="00BE1511"/>
    <w:rsid w:val="00BE155B"/>
    <w:rsid w:val="00BE15BE"/>
    <w:rsid w:val="00BE1678"/>
    <w:rsid w:val="00BE1705"/>
    <w:rsid w:val="00BE173A"/>
    <w:rsid w:val="00BE1779"/>
    <w:rsid w:val="00BE197A"/>
    <w:rsid w:val="00BE1ADB"/>
    <w:rsid w:val="00BE1C1B"/>
    <w:rsid w:val="00BE1EF0"/>
    <w:rsid w:val="00BE1F3F"/>
    <w:rsid w:val="00BE2109"/>
    <w:rsid w:val="00BE2361"/>
    <w:rsid w:val="00BE23CB"/>
    <w:rsid w:val="00BE26FF"/>
    <w:rsid w:val="00BE2BD4"/>
    <w:rsid w:val="00BE2C05"/>
    <w:rsid w:val="00BE2CA4"/>
    <w:rsid w:val="00BE2E14"/>
    <w:rsid w:val="00BE2FA5"/>
    <w:rsid w:val="00BE30A8"/>
    <w:rsid w:val="00BE30DA"/>
    <w:rsid w:val="00BE30E7"/>
    <w:rsid w:val="00BE3173"/>
    <w:rsid w:val="00BE325B"/>
    <w:rsid w:val="00BE349B"/>
    <w:rsid w:val="00BE3770"/>
    <w:rsid w:val="00BE393F"/>
    <w:rsid w:val="00BE3963"/>
    <w:rsid w:val="00BE3A23"/>
    <w:rsid w:val="00BE3ABD"/>
    <w:rsid w:val="00BE3BAE"/>
    <w:rsid w:val="00BE3BCD"/>
    <w:rsid w:val="00BE3C45"/>
    <w:rsid w:val="00BE3CC4"/>
    <w:rsid w:val="00BE3CE3"/>
    <w:rsid w:val="00BE3CE9"/>
    <w:rsid w:val="00BE3E24"/>
    <w:rsid w:val="00BE3E6F"/>
    <w:rsid w:val="00BE3EC5"/>
    <w:rsid w:val="00BE4193"/>
    <w:rsid w:val="00BE4350"/>
    <w:rsid w:val="00BE4762"/>
    <w:rsid w:val="00BE4776"/>
    <w:rsid w:val="00BE4830"/>
    <w:rsid w:val="00BE4999"/>
    <w:rsid w:val="00BE49C9"/>
    <w:rsid w:val="00BE4A67"/>
    <w:rsid w:val="00BE4D81"/>
    <w:rsid w:val="00BE4EAD"/>
    <w:rsid w:val="00BE4F88"/>
    <w:rsid w:val="00BE504E"/>
    <w:rsid w:val="00BE511A"/>
    <w:rsid w:val="00BE5145"/>
    <w:rsid w:val="00BE52D8"/>
    <w:rsid w:val="00BE5562"/>
    <w:rsid w:val="00BE55A5"/>
    <w:rsid w:val="00BE56D8"/>
    <w:rsid w:val="00BE596C"/>
    <w:rsid w:val="00BE5BA4"/>
    <w:rsid w:val="00BE5BBB"/>
    <w:rsid w:val="00BE5C4E"/>
    <w:rsid w:val="00BE5CE8"/>
    <w:rsid w:val="00BE5E4B"/>
    <w:rsid w:val="00BE610D"/>
    <w:rsid w:val="00BE6269"/>
    <w:rsid w:val="00BE630C"/>
    <w:rsid w:val="00BE637C"/>
    <w:rsid w:val="00BE63C4"/>
    <w:rsid w:val="00BE63FA"/>
    <w:rsid w:val="00BE6419"/>
    <w:rsid w:val="00BE64A8"/>
    <w:rsid w:val="00BE66D5"/>
    <w:rsid w:val="00BE6721"/>
    <w:rsid w:val="00BE674A"/>
    <w:rsid w:val="00BE674C"/>
    <w:rsid w:val="00BE67F2"/>
    <w:rsid w:val="00BE6991"/>
    <w:rsid w:val="00BE69A4"/>
    <w:rsid w:val="00BE69D6"/>
    <w:rsid w:val="00BE69D8"/>
    <w:rsid w:val="00BE6A3A"/>
    <w:rsid w:val="00BE6ABF"/>
    <w:rsid w:val="00BE6B60"/>
    <w:rsid w:val="00BE6CCA"/>
    <w:rsid w:val="00BE6DBA"/>
    <w:rsid w:val="00BE6DD0"/>
    <w:rsid w:val="00BE6E7D"/>
    <w:rsid w:val="00BE6E93"/>
    <w:rsid w:val="00BE700A"/>
    <w:rsid w:val="00BE7055"/>
    <w:rsid w:val="00BE7364"/>
    <w:rsid w:val="00BE7483"/>
    <w:rsid w:val="00BE748F"/>
    <w:rsid w:val="00BE75A5"/>
    <w:rsid w:val="00BE778B"/>
    <w:rsid w:val="00BE78D3"/>
    <w:rsid w:val="00BE7B09"/>
    <w:rsid w:val="00BE7BF7"/>
    <w:rsid w:val="00BE7E37"/>
    <w:rsid w:val="00BE7ED2"/>
    <w:rsid w:val="00BE7F12"/>
    <w:rsid w:val="00BE7F38"/>
    <w:rsid w:val="00BE7F4C"/>
    <w:rsid w:val="00BF006C"/>
    <w:rsid w:val="00BF0139"/>
    <w:rsid w:val="00BF0178"/>
    <w:rsid w:val="00BF0184"/>
    <w:rsid w:val="00BF02E1"/>
    <w:rsid w:val="00BF056F"/>
    <w:rsid w:val="00BF05E8"/>
    <w:rsid w:val="00BF0648"/>
    <w:rsid w:val="00BF0665"/>
    <w:rsid w:val="00BF073D"/>
    <w:rsid w:val="00BF0749"/>
    <w:rsid w:val="00BF0785"/>
    <w:rsid w:val="00BF0855"/>
    <w:rsid w:val="00BF08A7"/>
    <w:rsid w:val="00BF0946"/>
    <w:rsid w:val="00BF0A92"/>
    <w:rsid w:val="00BF0C33"/>
    <w:rsid w:val="00BF0C69"/>
    <w:rsid w:val="00BF0DAB"/>
    <w:rsid w:val="00BF0E03"/>
    <w:rsid w:val="00BF0E5B"/>
    <w:rsid w:val="00BF0EE5"/>
    <w:rsid w:val="00BF11C1"/>
    <w:rsid w:val="00BF1291"/>
    <w:rsid w:val="00BF137A"/>
    <w:rsid w:val="00BF143A"/>
    <w:rsid w:val="00BF16A7"/>
    <w:rsid w:val="00BF1744"/>
    <w:rsid w:val="00BF178B"/>
    <w:rsid w:val="00BF19B3"/>
    <w:rsid w:val="00BF1A0A"/>
    <w:rsid w:val="00BF1AD0"/>
    <w:rsid w:val="00BF1AF0"/>
    <w:rsid w:val="00BF1B45"/>
    <w:rsid w:val="00BF1C08"/>
    <w:rsid w:val="00BF1E33"/>
    <w:rsid w:val="00BF1F40"/>
    <w:rsid w:val="00BF1F76"/>
    <w:rsid w:val="00BF2019"/>
    <w:rsid w:val="00BF2049"/>
    <w:rsid w:val="00BF2137"/>
    <w:rsid w:val="00BF215F"/>
    <w:rsid w:val="00BF231F"/>
    <w:rsid w:val="00BF2483"/>
    <w:rsid w:val="00BF2554"/>
    <w:rsid w:val="00BF25E3"/>
    <w:rsid w:val="00BF26D5"/>
    <w:rsid w:val="00BF2BBC"/>
    <w:rsid w:val="00BF2C8B"/>
    <w:rsid w:val="00BF2E98"/>
    <w:rsid w:val="00BF2F2B"/>
    <w:rsid w:val="00BF2F72"/>
    <w:rsid w:val="00BF2F8A"/>
    <w:rsid w:val="00BF2FC4"/>
    <w:rsid w:val="00BF3052"/>
    <w:rsid w:val="00BF307F"/>
    <w:rsid w:val="00BF311A"/>
    <w:rsid w:val="00BF337A"/>
    <w:rsid w:val="00BF35B7"/>
    <w:rsid w:val="00BF3654"/>
    <w:rsid w:val="00BF3700"/>
    <w:rsid w:val="00BF38E8"/>
    <w:rsid w:val="00BF3936"/>
    <w:rsid w:val="00BF396A"/>
    <w:rsid w:val="00BF39AC"/>
    <w:rsid w:val="00BF3A41"/>
    <w:rsid w:val="00BF3B0D"/>
    <w:rsid w:val="00BF3C82"/>
    <w:rsid w:val="00BF3E0D"/>
    <w:rsid w:val="00BF3E25"/>
    <w:rsid w:val="00BF3E5A"/>
    <w:rsid w:val="00BF3F6E"/>
    <w:rsid w:val="00BF3F9C"/>
    <w:rsid w:val="00BF3FE4"/>
    <w:rsid w:val="00BF4024"/>
    <w:rsid w:val="00BF4032"/>
    <w:rsid w:val="00BF411D"/>
    <w:rsid w:val="00BF4199"/>
    <w:rsid w:val="00BF41BB"/>
    <w:rsid w:val="00BF43AE"/>
    <w:rsid w:val="00BF44FD"/>
    <w:rsid w:val="00BF4521"/>
    <w:rsid w:val="00BF4C5E"/>
    <w:rsid w:val="00BF4E68"/>
    <w:rsid w:val="00BF4E70"/>
    <w:rsid w:val="00BF4F2F"/>
    <w:rsid w:val="00BF4FE8"/>
    <w:rsid w:val="00BF504F"/>
    <w:rsid w:val="00BF5061"/>
    <w:rsid w:val="00BF50A3"/>
    <w:rsid w:val="00BF5120"/>
    <w:rsid w:val="00BF516A"/>
    <w:rsid w:val="00BF518A"/>
    <w:rsid w:val="00BF52B1"/>
    <w:rsid w:val="00BF53D5"/>
    <w:rsid w:val="00BF560D"/>
    <w:rsid w:val="00BF5904"/>
    <w:rsid w:val="00BF5AE9"/>
    <w:rsid w:val="00BF5AF9"/>
    <w:rsid w:val="00BF5B6D"/>
    <w:rsid w:val="00BF5C9E"/>
    <w:rsid w:val="00BF5CCC"/>
    <w:rsid w:val="00BF60AD"/>
    <w:rsid w:val="00BF658B"/>
    <w:rsid w:val="00BF68E3"/>
    <w:rsid w:val="00BF698A"/>
    <w:rsid w:val="00BF6AED"/>
    <w:rsid w:val="00BF6CB1"/>
    <w:rsid w:val="00BF6CCD"/>
    <w:rsid w:val="00BF6D52"/>
    <w:rsid w:val="00BF6DB6"/>
    <w:rsid w:val="00BF6E5A"/>
    <w:rsid w:val="00BF6E68"/>
    <w:rsid w:val="00BF6EA7"/>
    <w:rsid w:val="00BF723B"/>
    <w:rsid w:val="00BF7449"/>
    <w:rsid w:val="00BF757D"/>
    <w:rsid w:val="00BF75CB"/>
    <w:rsid w:val="00BF783B"/>
    <w:rsid w:val="00BF7842"/>
    <w:rsid w:val="00BF789A"/>
    <w:rsid w:val="00BF79BE"/>
    <w:rsid w:val="00BF7A6C"/>
    <w:rsid w:val="00BF7BA6"/>
    <w:rsid w:val="00BF7CEC"/>
    <w:rsid w:val="00BF7D81"/>
    <w:rsid w:val="00C00077"/>
    <w:rsid w:val="00C000FD"/>
    <w:rsid w:val="00C001DE"/>
    <w:rsid w:val="00C00381"/>
    <w:rsid w:val="00C003A3"/>
    <w:rsid w:val="00C004B6"/>
    <w:rsid w:val="00C00695"/>
    <w:rsid w:val="00C006A3"/>
    <w:rsid w:val="00C00763"/>
    <w:rsid w:val="00C0084E"/>
    <w:rsid w:val="00C00D6C"/>
    <w:rsid w:val="00C00D76"/>
    <w:rsid w:val="00C00ECF"/>
    <w:rsid w:val="00C00F0F"/>
    <w:rsid w:val="00C00FFB"/>
    <w:rsid w:val="00C01065"/>
    <w:rsid w:val="00C01124"/>
    <w:rsid w:val="00C013C0"/>
    <w:rsid w:val="00C014BE"/>
    <w:rsid w:val="00C0155F"/>
    <w:rsid w:val="00C01563"/>
    <w:rsid w:val="00C0161A"/>
    <w:rsid w:val="00C0162D"/>
    <w:rsid w:val="00C0162F"/>
    <w:rsid w:val="00C01CA2"/>
    <w:rsid w:val="00C01D41"/>
    <w:rsid w:val="00C01DD8"/>
    <w:rsid w:val="00C01E91"/>
    <w:rsid w:val="00C01F71"/>
    <w:rsid w:val="00C01F8B"/>
    <w:rsid w:val="00C01FAF"/>
    <w:rsid w:val="00C0216E"/>
    <w:rsid w:val="00C021E3"/>
    <w:rsid w:val="00C021EA"/>
    <w:rsid w:val="00C02338"/>
    <w:rsid w:val="00C02433"/>
    <w:rsid w:val="00C0243E"/>
    <w:rsid w:val="00C02455"/>
    <w:rsid w:val="00C024C4"/>
    <w:rsid w:val="00C02500"/>
    <w:rsid w:val="00C0274F"/>
    <w:rsid w:val="00C0283A"/>
    <w:rsid w:val="00C02858"/>
    <w:rsid w:val="00C0285B"/>
    <w:rsid w:val="00C0294E"/>
    <w:rsid w:val="00C02BED"/>
    <w:rsid w:val="00C02FA9"/>
    <w:rsid w:val="00C030A4"/>
    <w:rsid w:val="00C031FD"/>
    <w:rsid w:val="00C032DD"/>
    <w:rsid w:val="00C032E1"/>
    <w:rsid w:val="00C033BF"/>
    <w:rsid w:val="00C0359C"/>
    <w:rsid w:val="00C036AC"/>
    <w:rsid w:val="00C03765"/>
    <w:rsid w:val="00C0386D"/>
    <w:rsid w:val="00C03880"/>
    <w:rsid w:val="00C038F8"/>
    <w:rsid w:val="00C0391B"/>
    <w:rsid w:val="00C03998"/>
    <w:rsid w:val="00C039FC"/>
    <w:rsid w:val="00C03AB3"/>
    <w:rsid w:val="00C03C6E"/>
    <w:rsid w:val="00C03E5E"/>
    <w:rsid w:val="00C04281"/>
    <w:rsid w:val="00C043CE"/>
    <w:rsid w:val="00C04441"/>
    <w:rsid w:val="00C04444"/>
    <w:rsid w:val="00C04467"/>
    <w:rsid w:val="00C0448F"/>
    <w:rsid w:val="00C04666"/>
    <w:rsid w:val="00C04714"/>
    <w:rsid w:val="00C04844"/>
    <w:rsid w:val="00C048B3"/>
    <w:rsid w:val="00C04922"/>
    <w:rsid w:val="00C04A5A"/>
    <w:rsid w:val="00C04A5F"/>
    <w:rsid w:val="00C04C05"/>
    <w:rsid w:val="00C04C39"/>
    <w:rsid w:val="00C04EAF"/>
    <w:rsid w:val="00C0540F"/>
    <w:rsid w:val="00C05474"/>
    <w:rsid w:val="00C05509"/>
    <w:rsid w:val="00C05A74"/>
    <w:rsid w:val="00C05B54"/>
    <w:rsid w:val="00C05C0E"/>
    <w:rsid w:val="00C05C73"/>
    <w:rsid w:val="00C05D24"/>
    <w:rsid w:val="00C05DAD"/>
    <w:rsid w:val="00C05FE9"/>
    <w:rsid w:val="00C061FD"/>
    <w:rsid w:val="00C0626D"/>
    <w:rsid w:val="00C062EC"/>
    <w:rsid w:val="00C063C8"/>
    <w:rsid w:val="00C064A3"/>
    <w:rsid w:val="00C0650C"/>
    <w:rsid w:val="00C065AB"/>
    <w:rsid w:val="00C065D0"/>
    <w:rsid w:val="00C0667F"/>
    <w:rsid w:val="00C0692E"/>
    <w:rsid w:val="00C06977"/>
    <w:rsid w:val="00C0697C"/>
    <w:rsid w:val="00C06A82"/>
    <w:rsid w:val="00C06BEA"/>
    <w:rsid w:val="00C06C60"/>
    <w:rsid w:val="00C06C8C"/>
    <w:rsid w:val="00C06D02"/>
    <w:rsid w:val="00C06EA0"/>
    <w:rsid w:val="00C07004"/>
    <w:rsid w:val="00C070F4"/>
    <w:rsid w:val="00C071A4"/>
    <w:rsid w:val="00C0744F"/>
    <w:rsid w:val="00C074D7"/>
    <w:rsid w:val="00C0758B"/>
    <w:rsid w:val="00C07601"/>
    <w:rsid w:val="00C0777E"/>
    <w:rsid w:val="00C078F5"/>
    <w:rsid w:val="00C07A00"/>
    <w:rsid w:val="00C07A79"/>
    <w:rsid w:val="00C07BE7"/>
    <w:rsid w:val="00C07D70"/>
    <w:rsid w:val="00C07DAD"/>
    <w:rsid w:val="00C07E07"/>
    <w:rsid w:val="00C07E50"/>
    <w:rsid w:val="00C07EA6"/>
    <w:rsid w:val="00C07F9C"/>
    <w:rsid w:val="00C1002F"/>
    <w:rsid w:val="00C10030"/>
    <w:rsid w:val="00C101F3"/>
    <w:rsid w:val="00C10384"/>
    <w:rsid w:val="00C1039F"/>
    <w:rsid w:val="00C104D6"/>
    <w:rsid w:val="00C104FD"/>
    <w:rsid w:val="00C10706"/>
    <w:rsid w:val="00C10823"/>
    <w:rsid w:val="00C10CBF"/>
    <w:rsid w:val="00C10CF7"/>
    <w:rsid w:val="00C10D40"/>
    <w:rsid w:val="00C10DD3"/>
    <w:rsid w:val="00C10E4E"/>
    <w:rsid w:val="00C10F7E"/>
    <w:rsid w:val="00C10FFF"/>
    <w:rsid w:val="00C1107D"/>
    <w:rsid w:val="00C11202"/>
    <w:rsid w:val="00C11268"/>
    <w:rsid w:val="00C112C3"/>
    <w:rsid w:val="00C11377"/>
    <w:rsid w:val="00C1148B"/>
    <w:rsid w:val="00C114DB"/>
    <w:rsid w:val="00C115AF"/>
    <w:rsid w:val="00C1165E"/>
    <w:rsid w:val="00C11726"/>
    <w:rsid w:val="00C11789"/>
    <w:rsid w:val="00C1187A"/>
    <w:rsid w:val="00C119BA"/>
    <w:rsid w:val="00C11A2D"/>
    <w:rsid w:val="00C11B44"/>
    <w:rsid w:val="00C11B75"/>
    <w:rsid w:val="00C11B85"/>
    <w:rsid w:val="00C11B95"/>
    <w:rsid w:val="00C11BCD"/>
    <w:rsid w:val="00C11D0F"/>
    <w:rsid w:val="00C11D5A"/>
    <w:rsid w:val="00C11D64"/>
    <w:rsid w:val="00C11D6E"/>
    <w:rsid w:val="00C11DA7"/>
    <w:rsid w:val="00C11E92"/>
    <w:rsid w:val="00C12008"/>
    <w:rsid w:val="00C1204E"/>
    <w:rsid w:val="00C120F0"/>
    <w:rsid w:val="00C12170"/>
    <w:rsid w:val="00C1220F"/>
    <w:rsid w:val="00C12239"/>
    <w:rsid w:val="00C122E4"/>
    <w:rsid w:val="00C123A6"/>
    <w:rsid w:val="00C124B2"/>
    <w:rsid w:val="00C12567"/>
    <w:rsid w:val="00C1284C"/>
    <w:rsid w:val="00C12874"/>
    <w:rsid w:val="00C128B5"/>
    <w:rsid w:val="00C128EE"/>
    <w:rsid w:val="00C12968"/>
    <w:rsid w:val="00C12979"/>
    <w:rsid w:val="00C12A67"/>
    <w:rsid w:val="00C12B37"/>
    <w:rsid w:val="00C12B97"/>
    <w:rsid w:val="00C12D23"/>
    <w:rsid w:val="00C12D43"/>
    <w:rsid w:val="00C12E58"/>
    <w:rsid w:val="00C12EB9"/>
    <w:rsid w:val="00C12EC7"/>
    <w:rsid w:val="00C12F01"/>
    <w:rsid w:val="00C12F50"/>
    <w:rsid w:val="00C13128"/>
    <w:rsid w:val="00C1347A"/>
    <w:rsid w:val="00C1359D"/>
    <w:rsid w:val="00C13635"/>
    <w:rsid w:val="00C13757"/>
    <w:rsid w:val="00C137CB"/>
    <w:rsid w:val="00C138ED"/>
    <w:rsid w:val="00C139CA"/>
    <w:rsid w:val="00C13A9A"/>
    <w:rsid w:val="00C13B34"/>
    <w:rsid w:val="00C13BC5"/>
    <w:rsid w:val="00C13C03"/>
    <w:rsid w:val="00C13C94"/>
    <w:rsid w:val="00C13CCC"/>
    <w:rsid w:val="00C13D4F"/>
    <w:rsid w:val="00C142B0"/>
    <w:rsid w:val="00C142B2"/>
    <w:rsid w:val="00C143E3"/>
    <w:rsid w:val="00C143FC"/>
    <w:rsid w:val="00C1440D"/>
    <w:rsid w:val="00C14442"/>
    <w:rsid w:val="00C14464"/>
    <w:rsid w:val="00C14517"/>
    <w:rsid w:val="00C145F8"/>
    <w:rsid w:val="00C1478D"/>
    <w:rsid w:val="00C1489A"/>
    <w:rsid w:val="00C14963"/>
    <w:rsid w:val="00C1498D"/>
    <w:rsid w:val="00C149EE"/>
    <w:rsid w:val="00C149F8"/>
    <w:rsid w:val="00C14B60"/>
    <w:rsid w:val="00C14D96"/>
    <w:rsid w:val="00C14F8D"/>
    <w:rsid w:val="00C15028"/>
    <w:rsid w:val="00C15071"/>
    <w:rsid w:val="00C150AF"/>
    <w:rsid w:val="00C150B1"/>
    <w:rsid w:val="00C15177"/>
    <w:rsid w:val="00C1517F"/>
    <w:rsid w:val="00C152F5"/>
    <w:rsid w:val="00C15303"/>
    <w:rsid w:val="00C15309"/>
    <w:rsid w:val="00C15471"/>
    <w:rsid w:val="00C1548C"/>
    <w:rsid w:val="00C154AE"/>
    <w:rsid w:val="00C15542"/>
    <w:rsid w:val="00C15664"/>
    <w:rsid w:val="00C156A5"/>
    <w:rsid w:val="00C15744"/>
    <w:rsid w:val="00C158BB"/>
    <w:rsid w:val="00C15A7F"/>
    <w:rsid w:val="00C15A90"/>
    <w:rsid w:val="00C15DB0"/>
    <w:rsid w:val="00C15E27"/>
    <w:rsid w:val="00C15F6C"/>
    <w:rsid w:val="00C15FDA"/>
    <w:rsid w:val="00C15FE2"/>
    <w:rsid w:val="00C16202"/>
    <w:rsid w:val="00C16268"/>
    <w:rsid w:val="00C163B3"/>
    <w:rsid w:val="00C16863"/>
    <w:rsid w:val="00C1693C"/>
    <w:rsid w:val="00C16A84"/>
    <w:rsid w:val="00C16AA5"/>
    <w:rsid w:val="00C16C22"/>
    <w:rsid w:val="00C16DE2"/>
    <w:rsid w:val="00C16EDC"/>
    <w:rsid w:val="00C17089"/>
    <w:rsid w:val="00C1746C"/>
    <w:rsid w:val="00C1752A"/>
    <w:rsid w:val="00C1765D"/>
    <w:rsid w:val="00C17714"/>
    <w:rsid w:val="00C1776A"/>
    <w:rsid w:val="00C1777E"/>
    <w:rsid w:val="00C177DF"/>
    <w:rsid w:val="00C1785D"/>
    <w:rsid w:val="00C179CC"/>
    <w:rsid w:val="00C17AEB"/>
    <w:rsid w:val="00C17D9A"/>
    <w:rsid w:val="00C20076"/>
    <w:rsid w:val="00C2013D"/>
    <w:rsid w:val="00C20290"/>
    <w:rsid w:val="00C202F7"/>
    <w:rsid w:val="00C2032A"/>
    <w:rsid w:val="00C203CC"/>
    <w:rsid w:val="00C20497"/>
    <w:rsid w:val="00C205FE"/>
    <w:rsid w:val="00C20734"/>
    <w:rsid w:val="00C208B7"/>
    <w:rsid w:val="00C20938"/>
    <w:rsid w:val="00C20A00"/>
    <w:rsid w:val="00C20CF9"/>
    <w:rsid w:val="00C20DDB"/>
    <w:rsid w:val="00C21064"/>
    <w:rsid w:val="00C210C5"/>
    <w:rsid w:val="00C211A7"/>
    <w:rsid w:val="00C211BC"/>
    <w:rsid w:val="00C212ED"/>
    <w:rsid w:val="00C213C7"/>
    <w:rsid w:val="00C21542"/>
    <w:rsid w:val="00C215B6"/>
    <w:rsid w:val="00C21607"/>
    <w:rsid w:val="00C21633"/>
    <w:rsid w:val="00C2189B"/>
    <w:rsid w:val="00C2191A"/>
    <w:rsid w:val="00C21968"/>
    <w:rsid w:val="00C2199A"/>
    <w:rsid w:val="00C21A0B"/>
    <w:rsid w:val="00C21D3C"/>
    <w:rsid w:val="00C21DF7"/>
    <w:rsid w:val="00C21E41"/>
    <w:rsid w:val="00C22063"/>
    <w:rsid w:val="00C222CF"/>
    <w:rsid w:val="00C22478"/>
    <w:rsid w:val="00C224E2"/>
    <w:rsid w:val="00C224F1"/>
    <w:rsid w:val="00C22549"/>
    <w:rsid w:val="00C2272A"/>
    <w:rsid w:val="00C2273D"/>
    <w:rsid w:val="00C22AB0"/>
    <w:rsid w:val="00C22B1C"/>
    <w:rsid w:val="00C22B87"/>
    <w:rsid w:val="00C22C4C"/>
    <w:rsid w:val="00C22CDC"/>
    <w:rsid w:val="00C2308E"/>
    <w:rsid w:val="00C230CE"/>
    <w:rsid w:val="00C230F4"/>
    <w:rsid w:val="00C23282"/>
    <w:rsid w:val="00C232C2"/>
    <w:rsid w:val="00C23342"/>
    <w:rsid w:val="00C23382"/>
    <w:rsid w:val="00C233DD"/>
    <w:rsid w:val="00C2340A"/>
    <w:rsid w:val="00C2353B"/>
    <w:rsid w:val="00C23547"/>
    <w:rsid w:val="00C236CE"/>
    <w:rsid w:val="00C23895"/>
    <w:rsid w:val="00C23984"/>
    <w:rsid w:val="00C239CD"/>
    <w:rsid w:val="00C23ACD"/>
    <w:rsid w:val="00C23B49"/>
    <w:rsid w:val="00C23BB2"/>
    <w:rsid w:val="00C23CCD"/>
    <w:rsid w:val="00C23D24"/>
    <w:rsid w:val="00C23DDF"/>
    <w:rsid w:val="00C23EBF"/>
    <w:rsid w:val="00C23FEB"/>
    <w:rsid w:val="00C24063"/>
    <w:rsid w:val="00C24103"/>
    <w:rsid w:val="00C24509"/>
    <w:rsid w:val="00C245A0"/>
    <w:rsid w:val="00C245A2"/>
    <w:rsid w:val="00C2468C"/>
    <w:rsid w:val="00C246CF"/>
    <w:rsid w:val="00C248D7"/>
    <w:rsid w:val="00C24A1E"/>
    <w:rsid w:val="00C24B91"/>
    <w:rsid w:val="00C24BD7"/>
    <w:rsid w:val="00C24C50"/>
    <w:rsid w:val="00C24D8E"/>
    <w:rsid w:val="00C24F7A"/>
    <w:rsid w:val="00C25015"/>
    <w:rsid w:val="00C25032"/>
    <w:rsid w:val="00C25033"/>
    <w:rsid w:val="00C2534E"/>
    <w:rsid w:val="00C25367"/>
    <w:rsid w:val="00C254F2"/>
    <w:rsid w:val="00C25670"/>
    <w:rsid w:val="00C257A1"/>
    <w:rsid w:val="00C25840"/>
    <w:rsid w:val="00C258BA"/>
    <w:rsid w:val="00C25A7F"/>
    <w:rsid w:val="00C25B25"/>
    <w:rsid w:val="00C25DD5"/>
    <w:rsid w:val="00C25F45"/>
    <w:rsid w:val="00C2604D"/>
    <w:rsid w:val="00C260BC"/>
    <w:rsid w:val="00C261F5"/>
    <w:rsid w:val="00C262AD"/>
    <w:rsid w:val="00C263B2"/>
    <w:rsid w:val="00C2650F"/>
    <w:rsid w:val="00C2657D"/>
    <w:rsid w:val="00C265AB"/>
    <w:rsid w:val="00C26687"/>
    <w:rsid w:val="00C26699"/>
    <w:rsid w:val="00C266B0"/>
    <w:rsid w:val="00C266B8"/>
    <w:rsid w:val="00C266F2"/>
    <w:rsid w:val="00C269BE"/>
    <w:rsid w:val="00C26A69"/>
    <w:rsid w:val="00C26AB8"/>
    <w:rsid w:val="00C26B2B"/>
    <w:rsid w:val="00C26BDF"/>
    <w:rsid w:val="00C26C5C"/>
    <w:rsid w:val="00C26E41"/>
    <w:rsid w:val="00C26E51"/>
    <w:rsid w:val="00C2701D"/>
    <w:rsid w:val="00C2702F"/>
    <w:rsid w:val="00C270EC"/>
    <w:rsid w:val="00C2727F"/>
    <w:rsid w:val="00C27322"/>
    <w:rsid w:val="00C2737C"/>
    <w:rsid w:val="00C273D7"/>
    <w:rsid w:val="00C27490"/>
    <w:rsid w:val="00C2756E"/>
    <w:rsid w:val="00C275EB"/>
    <w:rsid w:val="00C278E2"/>
    <w:rsid w:val="00C27968"/>
    <w:rsid w:val="00C27A41"/>
    <w:rsid w:val="00C27BE1"/>
    <w:rsid w:val="00C27CDC"/>
    <w:rsid w:val="00C27F82"/>
    <w:rsid w:val="00C300D4"/>
    <w:rsid w:val="00C3011B"/>
    <w:rsid w:val="00C3021F"/>
    <w:rsid w:val="00C30344"/>
    <w:rsid w:val="00C304D7"/>
    <w:rsid w:val="00C304DF"/>
    <w:rsid w:val="00C304ED"/>
    <w:rsid w:val="00C30512"/>
    <w:rsid w:val="00C30660"/>
    <w:rsid w:val="00C30684"/>
    <w:rsid w:val="00C30716"/>
    <w:rsid w:val="00C30730"/>
    <w:rsid w:val="00C308CB"/>
    <w:rsid w:val="00C30912"/>
    <w:rsid w:val="00C30963"/>
    <w:rsid w:val="00C30AA6"/>
    <w:rsid w:val="00C30B21"/>
    <w:rsid w:val="00C30CBD"/>
    <w:rsid w:val="00C30CC7"/>
    <w:rsid w:val="00C30E4C"/>
    <w:rsid w:val="00C30FEE"/>
    <w:rsid w:val="00C310D8"/>
    <w:rsid w:val="00C31152"/>
    <w:rsid w:val="00C311C3"/>
    <w:rsid w:val="00C31267"/>
    <w:rsid w:val="00C3132B"/>
    <w:rsid w:val="00C3139A"/>
    <w:rsid w:val="00C31665"/>
    <w:rsid w:val="00C31690"/>
    <w:rsid w:val="00C31821"/>
    <w:rsid w:val="00C3187B"/>
    <w:rsid w:val="00C31981"/>
    <w:rsid w:val="00C31A9F"/>
    <w:rsid w:val="00C31AEF"/>
    <w:rsid w:val="00C31B18"/>
    <w:rsid w:val="00C31C7C"/>
    <w:rsid w:val="00C31ECA"/>
    <w:rsid w:val="00C31EEE"/>
    <w:rsid w:val="00C3204F"/>
    <w:rsid w:val="00C32200"/>
    <w:rsid w:val="00C3226C"/>
    <w:rsid w:val="00C322DF"/>
    <w:rsid w:val="00C326CD"/>
    <w:rsid w:val="00C32810"/>
    <w:rsid w:val="00C328C7"/>
    <w:rsid w:val="00C32981"/>
    <w:rsid w:val="00C329A3"/>
    <w:rsid w:val="00C329C4"/>
    <w:rsid w:val="00C329F3"/>
    <w:rsid w:val="00C32A32"/>
    <w:rsid w:val="00C32A43"/>
    <w:rsid w:val="00C32BCA"/>
    <w:rsid w:val="00C32BDB"/>
    <w:rsid w:val="00C32CD5"/>
    <w:rsid w:val="00C32DCB"/>
    <w:rsid w:val="00C32E05"/>
    <w:rsid w:val="00C33037"/>
    <w:rsid w:val="00C330A9"/>
    <w:rsid w:val="00C33137"/>
    <w:rsid w:val="00C335FE"/>
    <w:rsid w:val="00C3360F"/>
    <w:rsid w:val="00C33850"/>
    <w:rsid w:val="00C3387B"/>
    <w:rsid w:val="00C338C2"/>
    <w:rsid w:val="00C33956"/>
    <w:rsid w:val="00C339B8"/>
    <w:rsid w:val="00C33C96"/>
    <w:rsid w:val="00C33CF7"/>
    <w:rsid w:val="00C33D39"/>
    <w:rsid w:val="00C33E1E"/>
    <w:rsid w:val="00C33EE6"/>
    <w:rsid w:val="00C34037"/>
    <w:rsid w:val="00C341D3"/>
    <w:rsid w:val="00C3424B"/>
    <w:rsid w:val="00C3427D"/>
    <w:rsid w:val="00C3446D"/>
    <w:rsid w:val="00C344A7"/>
    <w:rsid w:val="00C344AE"/>
    <w:rsid w:val="00C34946"/>
    <w:rsid w:val="00C34A1D"/>
    <w:rsid w:val="00C34C31"/>
    <w:rsid w:val="00C34D6E"/>
    <w:rsid w:val="00C34D74"/>
    <w:rsid w:val="00C34DD1"/>
    <w:rsid w:val="00C34E4D"/>
    <w:rsid w:val="00C34F41"/>
    <w:rsid w:val="00C35127"/>
    <w:rsid w:val="00C3518C"/>
    <w:rsid w:val="00C354D7"/>
    <w:rsid w:val="00C35536"/>
    <w:rsid w:val="00C35557"/>
    <w:rsid w:val="00C3560F"/>
    <w:rsid w:val="00C356BC"/>
    <w:rsid w:val="00C356E4"/>
    <w:rsid w:val="00C3586C"/>
    <w:rsid w:val="00C359A4"/>
    <w:rsid w:val="00C35A4B"/>
    <w:rsid w:val="00C35D7E"/>
    <w:rsid w:val="00C35F33"/>
    <w:rsid w:val="00C3601F"/>
    <w:rsid w:val="00C36087"/>
    <w:rsid w:val="00C362F6"/>
    <w:rsid w:val="00C363A7"/>
    <w:rsid w:val="00C36640"/>
    <w:rsid w:val="00C366FD"/>
    <w:rsid w:val="00C3678E"/>
    <w:rsid w:val="00C36860"/>
    <w:rsid w:val="00C369AE"/>
    <w:rsid w:val="00C36AAE"/>
    <w:rsid w:val="00C36BB3"/>
    <w:rsid w:val="00C36F80"/>
    <w:rsid w:val="00C3700D"/>
    <w:rsid w:val="00C37027"/>
    <w:rsid w:val="00C3704D"/>
    <w:rsid w:val="00C37055"/>
    <w:rsid w:val="00C37094"/>
    <w:rsid w:val="00C37129"/>
    <w:rsid w:val="00C37361"/>
    <w:rsid w:val="00C375BB"/>
    <w:rsid w:val="00C3765C"/>
    <w:rsid w:val="00C37728"/>
    <w:rsid w:val="00C3780C"/>
    <w:rsid w:val="00C37817"/>
    <w:rsid w:val="00C37820"/>
    <w:rsid w:val="00C3784E"/>
    <w:rsid w:val="00C3792D"/>
    <w:rsid w:val="00C37D4E"/>
    <w:rsid w:val="00C37FA3"/>
    <w:rsid w:val="00C400DA"/>
    <w:rsid w:val="00C40186"/>
    <w:rsid w:val="00C40213"/>
    <w:rsid w:val="00C402D7"/>
    <w:rsid w:val="00C4048D"/>
    <w:rsid w:val="00C405D8"/>
    <w:rsid w:val="00C40717"/>
    <w:rsid w:val="00C40795"/>
    <w:rsid w:val="00C407E2"/>
    <w:rsid w:val="00C40925"/>
    <w:rsid w:val="00C40960"/>
    <w:rsid w:val="00C40A17"/>
    <w:rsid w:val="00C40B0C"/>
    <w:rsid w:val="00C40BB3"/>
    <w:rsid w:val="00C40E5C"/>
    <w:rsid w:val="00C40F01"/>
    <w:rsid w:val="00C40F24"/>
    <w:rsid w:val="00C40F66"/>
    <w:rsid w:val="00C40FAF"/>
    <w:rsid w:val="00C40FF9"/>
    <w:rsid w:val="00C41033"/>
    <w:rsid w:val="00C4105E"/>
    <w:rsid w:val="00C410AF"/>
    <w:rsid w:val="00C410C4"/>
    <w:rsid w:val="00C41227"/>
    <w:rsid w:val="00C412A8"/>
    <w:rsid w:val="00C412D8"/>
    <w:rsid w:val="00C413C7"/>
    <w:rsid w:val="00C41554"/>
    <w:rsid w:val="00C41640"/>
    <w:rsid w:val="00C4166C"/>
    <w:rsid w:val="00C4181A"/>
    <w:rsid w:val="00C418D0"/>
    <w:rsid w:val="00C41904"/>
    <w:rsid w:val="00C419ED"/>
    <w:rsid w:val="00C41A6D"/>
    <w:rsid w:val="00C41A78"/>
    <w:rsid w:val="00C41BAF"/>
    <w:rsid w:val="00C41C54"/>
    <w:rsid w:val="00C41E7C"/>
    <w:rsid w:val="00C41F4F"/>
    <w:rsid w:val="00C422B2"/>
    <w:rsid w:val="00C422FA"/>
    <w:rsid w:val="00C424C9"/>
    <w:rsid w:val="00C42505"/>
    <w:rsid w:val="00C425EB"/>
    <w:rsid w:val="00C42602"/>
    <w:rsid w:val="00C427DE"/>
    <w:rsid w:val="00C427FB"/>
    <w:rsid w:val="00C42826"/>
    <w:rsid w:val="00C42A59"/>
    <w:rsid w:val="00C42A85"/>
    <w:rsid w:val="00C42C8E"/>
    <w:rsid w:val="00C42EA4"/>
    <w:rsid w:val="00C42F8E"/>
    <w:rsid w:val="00C43182"/>
    <w:rsid w:val="00C43234"/>
    <w:rsid w:val="00C43254"/>
    <w:rsid w:val="00C4333C"/>
    <w:rsid w:val="00C4336F"/>
    <w:rsid w:val="00C433FF"/>
    <w:rsid w:val="00C4351D"/>
    <w:rsid w:val="00C437D9"/>
    <w:rsid w:val="00C43B04"/>
    <w:rsid w:val="00C43C8A"/>
    <w:rsid w:val="00C43EC1"/>
    <w:rsid w:val="00C43FE9"/>
    <w:rsid w:val="00C44093"/>
    <w:rsid w:val="00C441A3"/>
    <w:rsid w:val="00C441E1"/>
    <w:rsid w:val="00C4423A"/>
    <w:rsid w:val="00C44257"/>
    <w:rsid w:val="00C4456D"/>
    <w:rsid w:val="00C44799"/>
    <w:rsid w:val="00C44853"/>
    <w:rsid w:val="00C44A22"/>
    <w:rsid w:val="00C44C3E"/>
    <w:rsid w:val="00C44C4A"/>
    <w:rsid w:val="00C44D66"/>
    <w:rsid w:val="00C44D81"/>
    <w:rsid w:val="00C44E18"/>
    <w:rsid w:val="00C450A8"/>
    <w:rsid w:val="00C451BB"/>
    <w:rsid w:val="00C45221"/>
    <w:rsid w:val="00C45225"/>
    <w:rsid w:val="00C45339"/>
    <w:rsid w:val="00C453B0"/>
    <w:rsid w:val="00C453E1"/>
    <w:rsid w:val="00C4554C"/>
    <w:rsid w:val="00C455C8"/>
    <w:rsid w:val="00C456FE"/>
    <w:rsid w:val="00C45703"/>
    <w:rsid w:val="00C4571C"/>
    <w:rsid w:val="00C4586E"/>
    <w:rsid w:val="00C459D5"/>
    <w:rsid w:val="00C45A43"/>
    <w:rsid w:val="00C45B99"/>
    <w:rsid w:val="00C45CD7"/>
    <w:rsid w:val="00C46004"/>
    <w:rsid w:val="00C46158"/>
    <w:rsid w:val="00C46241"/>
    <w:rsid w:val="00C46274"/>
    <w:rsid w:val="00C46288"/>
    <w:rsid w:val="00C46512"/>
    <w:rsid w:val="00C46559"/>
    <w:rsid w:val="00C465E4"/>
    <w:rsid w:val="00C46651"/>
    <w:rsid w:val="00C46C54"/>
    <w:rsid w:val="00C46C59"/>
    <w:rsid w:val="00C46D9D"/>
    <w:rsid w:val="00C46EBC"/>
    <w:rsid w:val="00C47008"/>
    <w:rsid w:val="00C470A9"/>
    <w:rsid w:val="00C47263"/>
    <w:rsid w:val="00C47295"/>
    <w:rsid w:val="00C472BE"/>
    <w:rsid w:val="00C4758D"/>
    <w:rsid w:val="00C4759F"/>
    <w:rsid w:val="00C47755"/>
    <w:rsid w:val="00C47828"/>
    <w:rsid w:val="00C47869"/>
    <w:rsid w:val="00C47915"/>
    <w:rsid w:val="00C47AB3"/>
    <w:rsid w:val="00C47B83"/>
    <w:rsid w:val="00C47C66"/>
    <w:rsid w:val="00C47D95"/>
    <w:rsid w:val="00C47E8C"/>
    <w:rsid w:val="00C5000D"/>
    <w:rsid w:val="00C50331"/>
    <w:rsid w:val="00C50507"/>
    <w:rsid w:val="00C506C5"/>
    <w:rsid w:val="00C50723"/>
    <w:rsid w:val="00C509E3"/>
    <w:rsid w:val="00C50A1B"/>
    <w:rsid w:val="00C50A4F"/>
    <w:rsid w:val="00C50AC5"/>
    <w:rsid w:val="00C50B58"/>
    <w:rsid w:val="00C50BE3"/>
    <w:rsid w:val="00C50BF2"/>
    <w:rsid w:val="00C50C44"/>
    <w:rsid w:val="00C50D5B"/>
    <w:rsid w:val="00C50D7C"/>
    <w:rsid w:val="00C50EE5"/>
    <w:rsid w:val="00C51044"/>
    <w:rsid w:val="00C515D1"/>
    <w:rsid w:val="00C51653"/>
    <w:rsid w:val="00C51658"/>
    <w:rsid w:val="00C516E4"/>
    <w:rsid w:val="00C516EA"/>
    <w:rsid w:val="00C518BB"/>
    <w:rsid w:val="00C518C9"/>
    <w:rsid w:val="00C5195B"/>
    <w:rsid w:val="00C51AC7"/>
    <w:rsid w:val="00C51C66"/>
    <w:rsid w:val="00C51D3A"/>
    <w:rsid w:val="00C51D6D"/>
    <w:rsid w:val="00C51DDD"/>
    <w:rsid w:val="00C51E2D"/>
    <w:rsid w:val="00C5212D"/>
    <w:rsid w:val="00C5230A"/>
    <w:rsid w:val="00C523E1"/>
    <w:rsid w:val="00C525D6"/>
    <w:rsid w:val="00C52795"/>
    <w:rsid w:val="00C52821"/>
    <w:rsid w:val="00C528D8"/>
    <w:rsid w:val="00C529F1"/>
    <w:rsid w:val="00C52A07"/>
    <w:rsid w:val="00C52C90"/>
    <w:rsid w:val="00C52CC4"/>
    <w:rsid w:val="00C52DF4"/>
    <w:rsid w:val="00C52E10"/>
    <w:rsid w:val="00C53099"/>
    <w:rsid w:val="00C532F6"/>
    <w:rsid w:val="00C532FC"/>
    <w:rsid w:val="00C5334F"/>
    <w:rsid w:val="00C533C9"/>
    <w:rsid w:val="00C5353E"/>
    <w:rsid w:val="00C53580"/>
    <w:rsid w:val="00C537CB"/>
    <w:rsid w:val="00C53A1B"/>
    <w:rsid w:val="00C53AFB"/>
    <w:rsid w:val="00C53B10"/>
    <w:rsid w:val="00C53BE2"/>
    <w:rsid w:val="00C53D0A"/>
    <w:rsid w:val="00C53D43"/>
    <w:rsid w:val="00C53D95"/>
    <w:rsid w:val="00C53E35"/>
    <w:rsid w:val="00C53E4F"/>
    <w:rsid w:val="00C53ECD"/>
    <w:rsid w:val="00C54075"/>
    <w:rsid w:val="00C54290"/>
    <w:rsid w:val="00C5433C"/>
    <w:rsid w:val="00C54424"/>
    <w:rsid w:val="00C54498"/>
    <w:rsid w:val="00C54547"/>
    <w:rsid w:val="00C5457C"/>
    <w:rsid w:val="00C54679"/>
    <w:rsid w:val="00C546AA"/>
    <w:rsid w:val="00C5478A"/>
    <w:rsid w:val="00C5486A"/>
    <w:rsid w:val="00C54911"/>
    <w:rsid w:val="00C549D8"/>
    <w:rsid w:val="00C54A8C"/>
    <w:rsid w:val="00C54A8E"/>
    <w:rsid w:val="00C54B47"/>
    <w:rsid w:val="00C54DCA"/>
    <w:rsid w:val="00C54F40"/>
    <w:rsid w:val="00C54F89"/>
    <w:rsid w:val="00C54FA3"/>
    <w:rsid w:val="00C550B8"/>
    <w:rsid w:val="00C55303"/>
    <w:rsid w:val="00C55A29"/>
    <w:rsid w:val="00C55E47"/>
    <w:rsid w:val="00C55F14"/>
    <w:rsid w:val="00C55FAF"/>
    <w:rsid w:val="00C56156"/>
    <w:rsid w:val="00C5622D"/>
    <w:rsid w:val="00C563BE"/>
    <w:rsid w:val="00C563D3"/>
    <w:rsid w:val="00C565E2"/>
    <w:rsid w:val="00C566D4"/>
    <w:rsid w:val="00C567BA"/>
    <w:rsid w:val="00C568C8"/>
    <w:rsid w:val="00C56C56"/>
    <w:rsid w:val="00C56E4E"/>
    <w:rsid w:val="00C56EBE"/>
    <w:rsid w:val="00C56EEB"/>
    <w:rsid w:val="00C56F92"/>
    <w:rsid w:val="00C57082"/>
    <w:rsid w:val="00C5709C"/>
    <w:rsid w:val="00C57105"/>
    <w:rsid w:val="00C5717E"/>
    <w:rsid w:val="00C571CB"/>
    <w:rsid w:val="00C57351"/>
    <w:rsid w:val="00C5739F"/>
    <w:rsid w:val="00C5748C"/>
    <w:rsid w:val="00C574BF"/>
    <w:rsid w:val="00C574D2"/>
    <w:rsid w:val="00C57573"/>
    <w:rsid w:val="00C576E3"/>
    <w:rsid w:val="00C57709"/>
    <w:rsid w:val="00C5786B"/>
    <w:rsid w:val="00C57AC6"/>
    <w:rsid w:val="00C57BE0"/>
    <w:rsid w:val="00C57C53"/>
    <w:rsid w:val="00C57CB4"/>
    <w:rsid w:val="00C57D12"/>
    <w:rsid w:val="00C57D73"/>
    <w:rsid w:val="00C57DE1"/>
    <w:rsid w:val="00C57E9B"/>
    <w:rsid w:val="00C57FCE"/>
    <w:rsid w:val="00C57FD7"/>
    <w:rsid w:val="00C6008C"/>
    <w:rsid w:val="00C6009F"/>
    <w:rsid w:val="00C60343"/>
    <w:rsid w:val="00C60392"/>
    <w:rsid w:val="00C603BD"/>
    <w:rsid w:val="00C60448"/>
    <w:rsid w:val="00C60449"/>
    <w:rsid w:val="00C60662"/>
    <w:rsid w:val="00C60667"/>
    <w:rsid w:val="00C6067B"/>
    <w:rsid w:val="00C606FA"/>
    <w:rsid w:val="00C609D1"/>
    <w:rsid w:val="00C609D5"/>
    <w:rsid w:val="00C60A2F"/>
    <w:rsid w:val="00C60A99"/>
    <w:rsid w:val="00C60AD8"/>
    <w:rsid w:val="00C60BB4"/>
    <w:rsid w:val="00C60C54"/>
    <w:rsid w:val="00C60D6D"/>
    <w:rsid w:val="00C60DD7"/>
    <w:rsid w:val="00C60E74"/>
    <w:rsid w:val="00C60FAB"/>
    <w:rsid w:val="00C60FFD"/>
    <w:rsid w:val="00C610B3"/>
    <w:rsid w:val="00C61117"/>
    <w:rsid w:val="00C611E9"/>
    <w:rsid w:val="00C611FC"/>
    <w:rsid w:val="00C6121F"/>
    <w:rsid w:val="00C613C2"/>
    <w:rsid w:val="00C614A1"/>
    <w:rsid w:val="00C61687"/>
    <w:rsid w:val="00C616E2"/>
    <w:rsid w:val="00C616F0"/>
    <w:rsid w:val="00C617DB"/>
    <w:rsid w:val="00C6192E"/>
    <w:rsid w:val="00C61B24"/>
    <w:rsid w:val="00C61B76"/>
    <w:rsid w:val="00C62048"/>
    <w:rsid w:val="00C620EE"/>
    <w:rsid w:val="00C62131"/>
    <w:rsid w:val="00C6214E"/>
    <w:rsid w:val="00C621D5"/>
    <w:rsid w:val="00C6227D"/>
    <w:rsid w:val="00C62296"/>
    <w:rsid w:val="00C6232F"/>
    <w:rsid w:val="00C62385"/>
    <w:rsid w:val="00C62499"/>
    <w:rsid w:val="00C62588"/>
    <w:rsid w:val="00C62620"/>
    <w:rsid w:val="00C627B1"/>
    <w:rsid w:val="00C6294C"/>
    <w:rsid w:val="00C62951"/>
    <w:rsid w:val="00C62A25"/>
    <w:rsid w:val="00C62A88"/>
    <w:rsid w:val="00C6304C"/>
    <w:rsid w:val="00C630FF"/>
    <w:rsid w:val="00C63218"/>
    <w:rsid w:val="00C63281"/>
    <w:rsid w:val="00C632CA"/>
    <w:rsid w:val="00C63379"/>
    <w:rsid w:val="00C633D3"/>
    <w:rsid w:val="00C63417"/>
    <w:rsid w:val="00C63478"/>
    <w:rsid w:val="00C634C1"/>
    <w:rsid w:val="00C63567"/>
    <w:rsid w:val="00C6364A"/>
    <w:rsid w:val="00C63687"/>
    <w:rsid w:val="00C636DD"/>
    <w:rsid w:val="00C63765"/>
    <w:rsid w:val="00C63834"/>
    <w:rsid w:val="00C63980"/>
    <w:rsid w:val="00C63983"/>
    <w:rsid w:val="00C639F0"/>
    <w:rsid w:val="00C63AA7"/>
    <w:rsid w:val="00C63B50"/>
    <w:rsid w:val="00C63D37"/>
    <w:rsid w:val="00C63D45"/>
    <w:rsid w:val="00C63E54"/>
    <w:rsid w:val="00C63EC4"/>
    <w:rsid w:val="00C63FF9"/>
    <w:rsid w:val="00C64002"/>
    <w:rsid w:val="00C64253"/>
    <w:rsid w:val="00C6427C"/>
    <w:rsid w:val="00C64365"/>
    <w:rsid w:val="00C643C1"/>
    <w:rsid w:val="00C6442E"/>
    <w:rsid w:val="00C64470"/>
    <w:rsid w:val="00C64506"/>
    <w:rsid w:val="00C6455D"/>
    <w:rsid w:val="00C64603"/>
    <w:rsid w:val="00C64608"/>
    <w:rsid w:val="00C6466D"/>
    <w:rsid w:val="00C64703"/>
    <w:rsid w:val="00C6471A"/>
    <w:rsid w:val="00C647EB"/>
    <w:rsid w:val="00C64926"/>
    <w:rsid w:val="00C64986"/>
    <w:rsid w:val="00C649CD"/>
    <w:rsid w:val="00C64B23"/>
    <w:rsid w:val="00C64C06"/>
    <w:rsid w:val="00C64D5E"/>
    <w:rsid w:val="00C64EB1"/>
    <w:rsid w:val="00C64EF9"/>
    <w:rsid w:val="00C64F46"/>
    <w:rsid w:val="00C64F91"/>
    <w:rsid w:val="00C65019"/>
    <w:rsid w:val="00C65181"/>
    <w:rsid w:val="00C652A6"/>
    <w:rsid w:val="00C652FF"/>
    <w:rsid w:val="00C65426"/>
    <w:rsid w:val="00C65450"/>
    <w:rsid w:val="00C654C1"/>
    <w:rsid w:val="00C65523"/>
    <w:rsid w:val="00C6553C"/>
    <w:rsid w:val="00C655F6"/>
    <w:rsid w:val="00C657B4"/>
    <w:rsid w:val="00C6581A"/>
    <w:rsid w:val="00C65837"/>
    <w:rsid w:val="00C6599D"/>
    <w:rsid w:val="00C65C79"/>
    <w:rsid w:val="00C65C91"/>
    <w:rsid w:val="00C65CDF"/>
    <w:rsid w:val="00C65DC6"/>
    <w:rsid w:val="00C65E1F"/>
    <w:rsid w:val="00C660AA"/>
    <w:rsid w:val="00C66253"/>
    <w:rsid w:val="00C66343"/>
    <w:rsid w:val="00C6636A"/>
    <w:rsid w:val="00C663F0"/>
    <w:rsid w:val="00C66419"/>
    <w:rsid w:val="00C6641C"/>
    <w:rsid w:val="00C6642E"/>
    <w:rsid w:val="00C665F8"/>
    <w:rsid w:val="00C66600"/>
    <w:rsid w:val="00C6663C"/>
    <w:rsid w:val="00C66716"/>
    <w:rsid w:val="00C667CB"/>
    <w:rsid w:val="00C66866"/>
    <w:rsid w:val="00C6686E"/>
    <w:rsid w:val="00C66A37"/>
    <w:rsid w:val="00C66A80"/>
    <w:rsid w:val="00C66B3A"/>
    <w:rsid w:val="00C66BB7"/>
    <w:rsid w:val="00C66C04"/>
    <w:rsid w:val="00C66CC7"/>
    <w:rsid w:val="00C66DA4"/>
    <w:rsid w:val="00C66EF2"/>
    <w:rsid w:val="00C67343"/>
    <w:rsid w:val="00C67351"/>
    <w:rsid w:val="00C6745F"/>
    <w:rsid w:val="00C674FA"/>
    <w:rsid w:val="00C674FE"/>
    <w:rsid w:val="00C6756A"/>
    <w:rsid w:val="00C676A7"/>
    <w:rsid w:val="00C6771B"/>
    <w:rsid w:val="00C679EE"/>
    <w:rsid w:val="00C67AC5"/>
    <w:rsid w:val="00C67C14"/>
    <w:rsid w:val="00C67CAD"/>
    <w:rsid w:val="00C67D79"/>
    <w:rsid w:val="00C7006A"/>
    <w:rsid w:val="00C700DC"/>
    <w:rsid w:val="00C7011F"/>
    <w:rsid w:val="00C701C5"/>
    <w:rsid w:val="00C702C3"/>
    <w:rsid w:val="00C702EB"/>
    <w:rsid w:val="00C70468"/>
    <w:rsid w:val="00C70AEA"/>
    <w:rsid w:val="00C70B60"/>
    <w:rsid w:val="00C70C67"/>
    <w:rsid w:val="00C70C94"/>
    <w:rsid w:val="00C70CDA"/>
    <w:rsid w:val="00C70D9B"/>
    <w:rsid w:val="00C70E2A"/>
    <w:rsid w:val="00C70F86"/>
    <w:rsid w:val="00C70FCF"/>
    <w:rsid w:val="00C7103D"/>
    <w:rsid w:val="00C71040"/>
    <w:rsid w:val="00C7113F"/>
    <w:rsid w:val="00C711B3"/>
    <w:rsid w:val="00C71235"/>
    <w:rsid w:val="00C715C6"/>
    <w:rsid w:val="00C715EC"/>
    <w:rsid w:val="00C71613"/>
    <w:rsid w:val="00C71679"/>
    <w:rsid w:val="00C717E7"/>
    <w:rsid w:val="00C71823"/>
    <w:rsid w:val="00C718CD"/>
    <w:rsid w:val="00C718D2"/>
    <w:rsid w:val="00C719BC"/>
    <w:rsid w:val="00C71A6C"/>
    <w:rsid w:val="00C71D18"/>
    <w:rsid w:val="00C71DAF"/>
    <w:rsid w:val="00C71E9F"/>
    <w:rsid w:val="00C71EEE"/>
    <w:rsid w:val="00C7205A"/>
    <w:rsid w:val="00C720F5"/>
    <w:rsid w:val="00C72205"/>
    <w:rsid w:val="00C7238C"/>
    <w:rsid w:val="00C72391"/>
    <w:rsid w:val="00C7265E"/>
    <w:rsid w:val="00C7295D"/>
    <w:rsid w:val="00C72A07"/>
    <w:rsid w:val="00C72A51"/>
    <w:rsid w:val="00C72A73"/>
    <w:rsid w:val="00C72B11"/>
    <w:rsid w:val="00C72C00"/>
    <w:rsid w:val="00C72D33"/>
    <w:rsid w:val="00C72D7A"/>
    <w:rsid w:val="00C72F95"/>
    <w:rsid w:val="00C72FA2"/>
    <w:rsid w:val="00C72FF6"/>
    <w:rsid w:val="00C73237"/>
    <w:rsid w:val="00C73386"/>
    <w:rsid w:val="00C734C4"/>
    <w:rsid w:val="00C73516"/>
    <w:rsid w:val="00C73652"/>
    <w:rsid w:val="00C736CC"/>
    <w:rsid w:val="00C73806"/>
    <w:rsid w:val="00C7388F"/>
    <w:rsid w:val="00C73B8D"/>
    <w:rsid w:val="00C73C81"/>
    <w:rsid w:val="00C73E34"/>
    <w:rsid w:val="00C741CB"/>
    <w:rsid w:val="00C74276"/>
    <w:rsid w:val="00C74291"/>
    <w:rsid w:val="00C742FE"/>
    <w:rsid w:val="00C74583"/>
    <w:rsid w:val="00C7476C"/>
    <w:rsid w:val="00C749EF"/>
    <w:rsid w:val="00C74A65"/>
    <w:rsid w:val="00C74A8F"/>
    <w:rsid w:val="00C74AED"/>
    <w:rsid w:val="00C74B33"/>
    <w:rsid w:val="00C74C00"/>
    <w:rsid w:val="00C74DF8"/>
    <w:rsid w:val="00C74FDE"/>
    <w:rsid w:val="00C7518C"/>
    <w:rsid w:val="00C7518F"/>
    <w:rsid w:val="00C75215"/>
    <w:rsid w:val="00C752A4"/>
    <w:rsid w:val="00C7533C"/>
    <w:rsid w:val="00C753B8"/>
    <w:rsid w:val="00C754B7"/>
    <w:rsid w:val="00C75567"/>
    <w:rsid w:val="00C75622"/>
    <w:rsid w:val="00C75660"/>
    <w:rsid w:val="00C756EC"/>
    <w:rsid w:val="00C7572E"/>
    <w:rsid w:val="00C757FD"/>
    <w:rsid w:val="00C758BC"/>
    <w:rsid w:val="00C75CD6"/>
    <w:rsid w:val="00C75D17"/>
    <w:rsid w:val="00C75D5C"/>
    <w:rsid w:val="00C75DF9"/>
    <w:rsid w:val="00C75E89"/>
    <w:rsid w:val="00C75EA8"/>
    <w:rsid w:val="00C7609D"/>
    <w:rsid w:val="00C761CE"/>
    <w:rsid w:val="00C761EE"/>
    <w:rsid w:val="00C764A3"/>
    <w:rsid w:val="00C766CD"/>
    <w:rsid w:val="00C7676A"/>
    <w:rsid w:val="00C76859"/>
    <w:rsid w:val="00C76ABA"/>
    <w:rsid w:val="00C76B7E"/>
    <w:rsid w:val="00C76B9C"/>
    <w:rsid w:val="00C76D50"/>
    <w:rsid w:val="00C76EA5"/>
    <w:rsid w:val="00C76F17"/>
    <w:rsid w:val="00C76F98"/>
    <w:rsid w:val="00C76FA1"/>
    <w:rsid w:val="00C77228"/>
    <w:rsid w:val="00C77257"/>
    <w:rsid w:val="00C772BD"/>
    <w:rsid w:val="00C77403"/>
    <w:rsid w:val="00C77414"/>
    <w:rsid w:val="00C7746D"/>
    <w:rsid w:val="00C77603"/>
    <w:rsid w:val="00C7775B"/>
    <w:rsid w:val="00C778B4"/>
    <w:rsid w:val="00C778E7"/>
    <w:rsid w:val="00C779A5"/>
    <w:rsid w:val="00C77B99"/>
    <w:rsid w:val="00C77C00"/>
    <w:rsid w:val="00C77C89"/>
    <w:rsid w:val="00C77D74"/>
    <w:rsid w:val="00C77E6E"/>
    <w:rsid w:val="00C77E95"/>
    <w:rsid w:val="00C77EE4"/>
    <w:rsid w:val="00C77F2E"/>
    <w:rsid w:val="00C8021C"/>
    <w:rsid w:val="00C80274"/>
    <w:rsid w:val="00C80644"/>
    <w:rsid w:val="00C80942"/>
    <w:rsid w:val="00C8096F"/>
    <w:rsid w:val="00C809E4"/>
    <w:rsid w:val="00C80ABA"/>
    <w:rsid w:val="00C80B22"/>
    <w:rsid w:val="00C80C05"/>
    <w:rsid w:val="00C80D88"/>
    <w:rsid w:val="00C80DDE"/>
    <w:rsid w:val="00C80F08"/>
    <w:rsid w:val="00C80F35"/>
    <w:rsid w:val="00C81039"/>
    <w:rsid w:val="00C810DF"/>
    <w:rsid w:val="00C8127D"/>
    <w:rsid w:val="00C814D7"/>
    <w:rsid w:val="00C815DE"/>
    <w:rsid w:val="00C81735"/>
    <w:rsid w:val="00C817B3"/>
    <w:rsid w:val="00C817DB"/>
    <w:rsid w:val="00C818A6"/>
    <w:rsid w:val="00C81907"/>
    <w:rsid w:val="00C8193A"/>
    <w:rsid w:val="00C81A02"/>
    <w:rsid w:val="00C81B89"/>
    <w:rsid w:val="00C81C2A"/>
    <w:rsid w:val="00C81C72"/>
    <w:rsid w:val="00C82032"/>
    <w:rsid w:val="00C82068"/>
    <w:rsid w:val="00C823A4"/>
    <w:rsid w:val="00C82419"/>
    <w:rsid w:val="00C8252D"/>
    <w:rsid w:val="00C82533"/>
    <w:rsid w:val="00C82562"/>
    <w:rsid w:val="00C825F9"/>
    <w:rsid w:val="00C826CC"/>
    <w:rsid w:val="00C827FB"/>
    <w:rsid w:val="00C82840"/>
    <w:rsid w:val="00C82899"/>
    <w:rsid w:val="00C829FD"/>
    <w:rsid w:val="00C82A46"/>
    <w:rsid w:val="00C82AA5"/>
    <w:rsid w:val="00C82AD8"/>
    <w:rsid w:val="00C82C1A"/>
    <w:rsid w:val="00C82C3D"/>
    <w:rsid w:val="00C82E86"/>
    <w:rsid w:val="00C82EF6"/>
    <w:rsid w:val="00C83155"/>
    <w:rsid w:val="00C8319D"/>
    <w:rsid w:val="00C8325F"/>
    <w:rsid w:val="00C83269"/>
    <w:rsid w:val="00C83375"/>
    <w:rsid w:val="00C833B7"/>
    <w:rsid w:val="00C8347D"/>
    <w:rsid w:val="00C834D0"/>
    <w:rsid w:val="00C834D8"/>
    <w:rsid w:val="00C83555"/>
    <w:rsid w:val="00C83629"/>
    <w:rsid w:val="00C8376A"/>
    <w:rsid w:val="00C8380C"/>
    <w:rsid w:val="00C83825"/>
    <w:rsid w:val="00C83AC7"/>
    <w:rsid w:val="00C83C56"/>
    <w:rsid w:val="00C83DEB"/>
    <w:rsid w:val="00C83DF8"/>
    <w:rsid w:val="00C84000"/>
    <w:rsid w:val="00C8402F"/>
    <w:rsid w:val="00C8417F"/>
    <w:rsid w:val="00C84296"/>
    <w:rsid w:val="00C842D0"/>
    <w:rsid w:val="00C842FF"/>
    <w:rsid w:val="00C84329"/>
    <w:rsid w:val="00C844B6"/>
    <w:rsid w:val="00C845C3"/>
    <w:rsid w:val="00C8471C"/>
    <w:rsid w:val="00C84748"/>
    <w:rsid w:val="00C84B20"/>
    <w:rsid w:val="00C85145"/>
    <w:rsid w:val="00C8518F"/>
    <w:rsid w:val="00C85206"/>
    <w:rsid w:val="00C85248"/>
    <w:rsid w:val="00C85287"/>
    <w:rsid w:val="00C85566"/>
    <w:rsid w:val="00C85725"/>
    <w:rsid w:val="00C85898"/>
    <w:rsid w:val="00C85952"/>
    <w:rsid w:val="00C85982"/>
    <w:rsid w:val="00C85A3A"/>
    <w:rsid w:val="00C85B7A"/>
    <w:rsid w:val="00C85C38"/>
    <w:rsid w:val="00C85C6C"/>
    <w:rsid w:val="00C85D4D"/>
    <w:rsid w:val="00C85DBA"/>
    <w:rsid w:val="00C85E11"/>
    <w:rsid w:val="00C85FA6"/>
    <w:rsid w:val="00C861B0"/>
    <w:rsid w:val="00C8621C"/>
    <w:rsid w:val="00C86394"/>
    <w:rsid w:val="00C863E7"/>
    <w:rsid w:val="00C86594"/>
    <w:rsid w:val="00C86850"/>
    <w:rsid w:val="00C86852"/>
    <w:rsid w:val="00C86BE5"/>
    <w:rsid w:val="00C86C6A"/>
    <w:rsid w:val="00C86CD6"/>
    <w:rsid w:val="00C86DC1"/>
    <w:rsid w:val="00C86E01"/>
    <w:rsid w:val="00C86FC1"/>
    <w:rsid w:val="00C870A0"/>
    <w:rsid w:val="00C871D9"/>
    <w:rsid w:val="00C8733B"/>
    <w:rsid w:val="00C87345"/>
    <w:rsid w:val="00C87350"/>
    <w:rsid w:val="00C874C6"/>
    <w:rsid w:val="00C87690"/>
    <w:rsid w:val="00C876B4"/>
    <w:rsid w:val="00C876E3"/>
    <w:rsid w:val="00C87809"/>
    <w:rsid w:val="00C879A7"/>
    <w:rsid w:val="00C87A7F"/>
    <w:rsid w:val="00C87AE8"/>
    <w:rsid w:val="00C87B1A"/>
    <w:rsid w:val="00C87BEF"/>
    <w:rsid w:val="00C87CAE"/>
    <w:rsid w:val="00C87D43"/>
    <w:rsid w:val="00C87E88"/>
    <w:rsid w:val="00C87F30"/>
    <w:rsid w:val="00C90030"/>
    <w:rsid w:val="00C901CA"/>
    <w:rsid w:val="00C902A6"/>
    <w:rsid w:val="00C902B5"/>
    <w:rsid w:val="00C90352"/>
    <w:rsid w:val="00C9040F"/>
    <w:rsid w:val="00C90489"/>
    <w:rsid w:val="00C90582"/>
    <w:rsid w:val="00C90843"/>
    <w:rsid w:val="00C90889"/>
    <w:rsid w:val="00C90BD7"/>
    <w:rsid w:val="00C90C81"/>
    <w:rsid w:val="00C90DB3"/>
    <w:rsid w:val="00C90E5B"/>
    <w:rsid w:val="00C90EAF"/>
    <w:rsid w:val="00C9108C"/>
    <w:rsid w:val="00C91095"/>
    <w:rsid w:val="00C9128B"/>
    <w:rsid w:val="00C913BF"/>
    <w:rsid w:val="00C913D5"/>
    <w:rsid w:val="00C914D0"/>
    <w:rsid w:val="00C914DD"/>
    <w:rsid w:val="00C9163B"/>
    <w:rsid w:val="00C91651"/>
    <w:rsid w:val="00C91769"/>
    <w:rsid w:val="00C917BE"/>
    <w:rsid w:val="00C917ED"/>
    <w:rsid w:val="00C918F7"/>
    <w:rsid w:val="00C91942"/>
    <w:rsid w:val="00C91954"/>
    <w:rsid w:val="00C91A2F"/>
    <w:rsid w:val="00C91C03"/>
    <w:rsid w:val="00C91CFA"/>
    <w:rsid w:val="00C91DC6"/>
    <w:rsid w:val="00C91E35"/>
    <w:rsid w:val="00C91EA3"/>
    <w:rsid w:val="00C92101"/>
    <w:rsid w:val="00C92594"/>
    <w:rsid w:val="00C92659"/>
    <w:rsid w:val="00C926D4"/>
    <w:rsid w:val="00C92733"/>
    <w:rsid w:val="00C9288B"/>
    <w:rsid w:val="00C928F7"/>
    <w:rsid w:val="00C92A09"/>
    <w:rsid w:val="00C92B19"/>
    <w:rsid w:val="00C92B33"/>
    <w:rsid w:val="00C92B5C"/>
    <w:rsid w:val="00C92B9C"/>
    <w:rsid w:val="00C92BA2"/>
    <w:rsid w:val="00C92BDD"/>
    <w:rsid w:val="00C92C84"/>
    <w:rsid w:val="00C92D93"/>
    <w:rsid w:val="00C92E2A"/>
    <w:rsid w:val="00C930F2"/>
    <w:rsid w:val="00C93375"/>
    <w:rsid w:val="00C93427"/>
    <w:rsid w:val="00C935D9"/>
    <w:rsid w:val="00C9362A"/>
    <w:rsid w:val="00C9384A"/>
    <w:rsid w:val="00C93915"/>
    <w:rsid w:val="00C93AF1"/>
    <w:rsid w:val="00C93D2C"/>
    <w:rsid w:val="00C93D2D"/>
    <w:rsid w:val="00C93E94"/>
    <w:rsid w:val="00C93F78"/>
    <w:rsid w:val="00C9413A"/>
    <w:rsid w:val="00C9419E"/>
    <w:rsid w:val="00C94208"/>
    <w:rsid w:val="00C94273"/>
    <w:rsid w:val="00C94298"/>
    <w:rsid w:val="00C94326"/>
    <w:rsid w:val="00C94435"/>
    <w:rsid w:val="00C94496"/>
    <w:rsid w:val="00C9449A"/>
    <w:rsid w:val="00C945FC"/>
    <w:rsid w:val="00C94607"/>
    <w:rsid w:val="00C94669"/>
    <w:rsid w:val="00C9471C"/>
    <w:rsid w:val="00C94798"/>
    <w:rsid w:val="00C94983"/>
    <w:rsid w:val="00C949AD"/>
    <w:rsid w:val="00C94B66"/>
    <w:rsid w:val="00C94C25"/>
    <w:rsid w:val="00C94C58"/>
    <w:rsid w:val="00C94C9F"/>
    <w:rsid w:val="00C94DF5"/>
    <w:rsid w:val="00C94EA3"/>
    <w:rsid w:val="00C94F29"/>
    <w:rsid w:val="00C94FA9"/>
    <w:rsid w:val="00C95261"/>
    <w:rsid w:val="00C953E2"/>
    <w:rsid w:val="00C955F2"/>
    <w:rsid w:val="00C95625"/>
    <w:rsid w:val="00C9563C"/>
    <w:rsid w:val="00C957F6"/>
    <w:rsid w:val="00C95857"/>
    <w:rsid w:val="00C9599A"/>
    <w:rsid w:val="00C95B06"/>
    <w:rsid w:val="00C95E14"/>
    <w:rsid w:val="00C95E3D"/>
    <w:rsid w:val="00C95F3A"/>
    <w:rsid w:val="00C95FEE"/>
    <w:rsid w:val="00C95FF3"/>
    <w:rsid w:val="00C96094"/>
    <w:rsid w:val="00C960E4"/>
    <w:rsid w:val="00C96245"/>
    <w:rsid w:val="00C963A9"/>
    <w:rsid w:val="00C964FF"/>
    <w:rsid w:val="00C96561"/>
    <w:rsid w:val="00C965B3"/>
    <w:rsid w:val="00C965E9"/>
    <w:rsid w:val="00C96858"/>
    <w:rsid w:val="00C968EF"/>
    <w:rsid w:val="00C96AB6"/>
    <w:rsid w:val="00C96ACF"/>
    <w:rsid w:val="00C96AE9"/>
    <w:rsid w:val="00C96B1D"/>
    <w:rsid w:val="00C96C43"/>
    <w:rsid w:val="00C96D3F"/>
    <w:rsid w:val="00C96EB4"/>
    <w:rsid w:val="00C96F10"/>
    <w:rsid w:val="00C97138"/>
    <w:rsid w:val="00C9726B"/>
    <w:rsid w:val="00C972D6"/>
    <w:rsid w:val="00C97342"/>
    <w:rsid w:val="00C974CB"/>
    <w:rsid w:val="00C97632"/>
    <w:rsid w:val="00C9766B"/>
    <w:rsid w:val="00C9792F"/>
    <w:rsid w:val="00C97B61"/>
    <w:rsid w:val="00C97C3F"/>
    <w:rsid w:val="00C97F1E"/>
    <w:rsid w:val="00C97FD1"/>
    <w:rsid w:val="00C97FD3"/>
    <w:rsid w:val="00C97FE9"/>
    <w:rsid w:val="00CA0132"/>
    <w:rsid w:val="00CA016D"/>
    <w:rsid w:val="00CA01F6"/>
    <w:rsid w:val="00CA023E"/>
    <w:rsid w:val="00CA0267"/>
    <w:rsid w:val="00CA0324"/>
    <w:rsid w:val="00CA0479"/>
    <w:rsid w:val="00CA04ED"/>
    <w:rsid w:val="00CA0501"/>
    <w:rsid w:val="00CA056C"/>
    <w:rsid w:val="00CA0584"/>
    <w:rsid w:val="00CA0591"/>
    <w:rsid w:val="00CA05A0"/>
    <w:rsid w:val="00CA05B8"/>
    <w:rsid w:val="00CA06AB"/>
    <w:rsid w:val="00CA0918"/>
    <w:rsid w:val="00CA0B42"/>
    <w:rsid w:val="00CA0CAA"/>
    <w:rsid w:val="00CA0CDB"/>
    <w:rsid w:val="00CA0D81"/>
    <w:rsid w:val="00CA1011"/>
    <w:rsid w:val="00CA109B"/>
    <w:rsid w:val="00CA1213"/>
    <w:rsid w:val="00CA1369"/>
    <w:rsid w:val="00CA1668"/>
    <w:rsid w:val="00CA179B"/>
    <w:rsid w:val="00CA187E"/>
    <w:rsid w:val="00CA1B0A"/>
    <w:rsid w:val="00CA1B73"/>
    <w:rsid w:val="00CA1FAA"/>
    <w:rsid w:val="00CA1FBC"/>
    <w:rsid w:val="00CA1FF8"/>
    <w:rsid w:val="00CA2022"/>
    <w:rsid w:val="00CA2089"/>
    <w:rsid w:val="00CA20A6"/>
    <w:rsid w:val="00CA2139"/>
    <w:rsid w:val="00CA243B"/>
    <w:rsid w:val="00CA25FA"/>
    <w:rsid w:val="00CA273E"/>
    <w:rsid w:val="00CA2B5A"/>
    <w:rsid w:val="00CA2BEF"/>
    <w:rsid w:val="00CA2C18"/>
    <w:rsid w:val="00CA2CC0"/>
    <w:rsid w:val="00CA2DDC"/>
    <w:rsid w:val="00CA2E8E"/>
    <w:rsid w:val="00CA2F91"/>
    <w:rsid w:val="00CA2FA3"/>
    <w:rsid w:val="00CA2FD6"/>
    <w:rsid w:val="00CA3078"/>
    <w:rsid w:val="00CA317B"/>
    <w:rsid w:val="00CA31CE"/>
    <w:rsid w:val="00CA32A2"/>
    <w:rsid w:val="00CA32E5"/>
    <w:rsid w:val="00CA3366"/>
    <w:rsid w:val="00CA339B"/>
    <w:rsid w:val="00CA3651"/>
    <w:rsid w:val="00CA36FC"/>
    <w:rsid w:val="00CA383E"/>
    <w:rsid w:val="00CA3950"/>
    <w:rsid w:val="00CA3AC2"/>
    <w:rsid w:val="00CA3AC7"/>
    <w:rsid w:val="00CA3C24"/>
    <w:rsid w:val="00CA3CEA"/>
    <w:rsid w:val="00CA3D09"/>
    <w:rsid w:val="00CA3DCB"/>
    <w:rsid w:val="00CA3E5C"/>
    <w:rsid w:val="00CA4102"/>
    <w:rsid w:val="00CA424D"/>
    <w:rsid w:val="00CA4321"/>
    <w:rsid w:val="00CA45C6"/>
    <w:rsid w:val="00CA4652"/>
    <w:rsid w:val="00CA47F8"/>
    <w:rsid w:val="00CA48B2"/>
    <w:rsid w:val="00CA4A49"/>
    <w:rsid w:val="00CA4B45"/>
    <w:rsid w:val="00CA4B6C"/>
    <w:rsid w:val="00CA4EA1"/>
    <w:rsid w:val="00CA4FC8"/>
    <w:rsid w:val="00CA507B"/>
    <w:rsid w:val="00CA513A"/>
    <w:rsid w:val="00CA5183"/>
    <w:rsid w:val="00CA51D0"/>
    <w:rsid w:val="00CA53D8"/>
    <w:rsid w:val="00CA55C1"/>
    <w:rsid w:val="00CA5644"/>
    <w:rsid w:val="00CA581D"/>
    <w:rsid w:val="00CA5823"/>
    <w:rsid w:val="00CA58E8"/>
    <w:rsid w:val="00CA5964"/>
    <w:rsid w:val="00CA5A40"/>
    <w:rsid w:val="00CA5A75"/>
    <w:rsid w:val="00CA5BD0"/>
    <w:rsid w:val="00CA5CA1"/>
    <w:rsid w:val="00CA5ED1"/>
    <w:rsid w:val="00CA5EF7"/>
    <w:rsid w:val="00CA5F08"/>
    <w:rsid w:val="00CA5F28"/>
    <w:rsid w:val="00CA5F42"/>
    <w:rsid w:val="00CA5F4B"/>
    <w:rsid w:val="00CA6009"/>
    <w:rsid w:val="00CA6036"/>
    <w:rsid w:val="00CA6041"/>
    <w:rsid w:val="00CA60C8"/>
    <w:rsid w:val="00CA61BE"/>
    <w:rsid w:val="00CA62AA"/>
    <w:rsid w:val="00CA632D"/>
    <w:rsid w:val="00CA6381"/>
    <w:rsid w:val="00CA66C4"/>
    <w:rsid w:val="00CA67FE"/>
    <w:rsid w:val="00CA6860"/>
    <w:rsid w:val="00CA6880"/>
    <w:rsid w:val="00CA69B8"/>
    <w:rsid w:val="00CA6A43"/>
    <w:rsid w:val="00CA6CD1"/>
    <w:rsid w:val="00CA6CF2"/>
    <w:rsid w:val="00CA6D2E"/>
    <w:rsid w:val="00CA6DA5"/>
    <w:rsid w:val="00CA6DBE"/>
    <w:rsid w:val="00CA6DE0"/>
    <w:rsid w:val="00CA6DF8"/>
    <w:rsid w:val="00CA6E5A"/>
    <w:rsid w:val="00CA6EC7"/>
    <w:rsid w:val="00CA70CD"/>
    <w:rsid w:val="00CA7169"/>
    <w:rsid w:val="00CA7241"/>
    <w:rsid w:val="00CA733D"/>
    <w:rsid w:val="00CA7562"/>
    <w:rsid w:val="00CA760A"/>
    <w:rsid w:val="00CA7738"/>
    <w:rsid w:val="00CA7817"/>
    <w:rsid w:val="00CA7890"/>
    <w:rsid w:val="00CA7930"/>
    <w:rsid w:val="00CA798C"/>
    <w:rsid w:val="00CA79FF"/>
    <w:rsid w:val="00CA7A1D"/>
    <w:rsid w:val="00CA7A63"/>
    <w:rsid w:val="00CA7BB0"/>
    <w:rsid w:val="00CA7CFC"/>
    <w:rsid w:val="00CA7D05"/>
    <w:rsid w:val="00CA7D15"/>
    <w:rsid w:val="00CA7D98"/>
    <w:rsid w:val="00CA7DCB"/>
    <w:rsid w:val="00CA7F02"/>
    <w:rsid w:val="00CA7F6A"/>
    <w:rsid w:val="00CA7F75"/>
    <w:rsid w:val="00CB0011"/>
    <w:rsid w:val="00CB0062"/>
    <w:rsid w:val="00CB00F9"/>
    <w:rsid w:val="00CB0161"/>
    <w:rsid w:val="00CB0224"/>
    <w:rsid w:val="00CB02F6"/>
    <w:rsid w:val="00CB030A"/>
    <w:rsid w:val="00CB0345"/>
    <w:rsid w:val="00CB03DE"/>
    <w:rsid w:val="00CB0459"/>
    <w:rsid w:val="00CB04B7"/>
    <w:rsid w:val="00CB074B"/>
    <w:rsid w:val="00CB077A"/>
    <w:rsid w:val="00CB08A0"/>
    <w:rsid w:val="00CB0B8F"/>
    <w:rsid w:val="00CB0CA6"/>
    <w:rsid w:val="00CB0DBB"/>
    <w:rsid w:val="00CB0E96"/>
    <w:rsid w:val="00CB0F60"/>
    <w:rsid w:val="00CB0FA7"/>
    <w:rsid w:val="00CB10FB"/>
    <w:rsid w:val="00CB1103"/>
    <w:rsid w:val="00CB117B"/>
    <w:rsid w:val="00CB121B"/>
    <w:rsid w:val="00CB12D8"/>
    <w:rsid w:val="00CB1312"/>
    <w:rsid w:val="00CB150C"/>
    <w:rsid w:val="00CB152E"/>
    <w:rsid w:val="00CB153A"/>
    <w:rsid w:val="00CB15CB"/>
    <w:rsid w:val="00CB169B"/>
    <w:rsid w:val="00CB16ED"/>
    <w:rsid w:val="00CB1787"/>
    <w:rsid w:val="00CB1BD7"/>
    <w:rsid w:val="00CB1CA1"/>
    <w:rsid w:val="00CB1E94"/>
    <w:rsid w:val="00CB1EC8"/>
    <w:rsid w:val="00CB1EDD"/>
    <w:rsid w:val="00CB1EEE"/>
    <w:rsid w:val="00CB20C4"/>
    <w:rsid w:val="00CB20FE"/>
    <w:rsid w:val="00CB218A"/>
    <w:rsid w:val="00CB230D"/>
    <w:rsid w:val="00CB232D"/>
    <w:rsid w:val="00CB2892"/>
    <w:rsid w:val="00CB2899"/>
    <w:rsid w:val="00CB2933"/>
    <w:rsid w:val="00CB2BA4"/>
    <w:rsid w:val="00CB2DC0"/>
    <w:rsid w:val="00CB2E2C"/>
    <w:rsid w:val="00CB2E40"/>
    <w:rsid w:val="00CB2F9E"/>
    <w:rsid w:val="00CB30F6"/>
    <w:rsid w:val="00CB31AB"/>
    <w:rsid w:val="00CB3276"/>
    <w:rsid w:val="00CB32EB"/>
    <w:rsid w:val="00CB38A9"/>
    <w:rsid w:val="00CB38C1"/>
    <w:rsid w:val="00CB38E1"/>
    <w:rsid w:val="00CB3936"/>
    <w:rsid w:val="00CB393C"/>
    <w:rsid w:val="00CB3942"/>
    <w:rsid w:val="00CB39A9"/>
    <w:rsid w:val="00CB3A50"/>
    <w:rsid w:val="00CB3C38"/>
    <w:rsid w:val="00CB3C68"/>
    <w:rsid w:val="00CB3CF4"/>
    <w:rsid w:val="00CB3CF5"/>
    <w:rsid w:val="00CB3D4A"/>
    <w:rsid w:val="00CB3D74"/>
    <w:rsid w:val="00CB4000"/>
    <w:rsid w:val="00CB400C"/>
    <w:rsid w:val="00CB40E2"/>
    <w:rsid w:val="00CB4167"/>
    <w:rsid w:val="00CB4380"/>
    <w:rsid w:val="00CB4472"/>
    <w:rsid w:val="00CB4474"/>
    <w:rsid w:val="00CB4497"/>
    <w:rsid w:val="00CB44B1"/>
    <w:rsid w:val="00CB45DD"/>
    <w:rsid w:val="00CB463D"/>
    <w:rsid w:val="00CB47CA"/>
    <w:rsid w:val="00CB48E0"/>
    <w:rsid w:val="00CB49CB"/>
    <w:rsid w:val="00CB4CE8"/>
    <w:rsid w:val="00CB4E95"/>
    <w:rsid w:val="00CB4ED9"/>
    <w:rsid w:val="00CB4EDD"/>
    <w:rsid w:val="00CB4F39"/>
    <w:rsid w:val="00CB4F5D"/>
    <w:rsid w:val="00CB5013"/>
    <w:rsid w:val="00CB5251"/>
    <w:rsid w:val="00CB5271"/>
    <w:rsid w:val="00CB5439"/>
    <w:rsid w:val="00CB55A3"/>
    <w:rsid w:val="00CB565A"/>
    <w:rsid w:val="00CB5879"/>
    <w:rsid w:val="00CB5A51"/>
    <w:rsid w:val="00CB5B68"/>
    <w:rsid w:val="00CB5C17"/>
    <w:rsid w:val="00CB5DC6"/>
    <w:rsid w:val="00CB5F58"/>
    <w:rsid w:val="00CB6059"/>
    <w:rsid w:val="00CB6454"/>
    <w:rsid w:val="00CB653A"/>
    <w:rsid w:val="00CB6653"/>
    <w:rsid w:val="00CB66D5"/>
    <w:rsid w:val="00CB6755"/>
    <w:rsid w:val="00CB67C3"/>
    <w:rsid w:val="00CB698C"/>
    <w:rsid w:val="00CB6996"/>
    <w:rsid w:val="00CB6A06"/>
    <w:rsid w:val="00CB6BF3"/>
    <w:rsid w:val="00CB6C5F"/>
    <w:rsid w:val="00CB711D"/>
    <w:rsid w:val="00CB72AF"/>
    <w:rsid w:val="00CB736A"/>
    <w:rsid w:val="00CB73B3"/>
    <w:rsid w:val="00CB7550"/>
    <w:rsid w:val="00CB765C"/>
    <w:rsid w:val="00CB7738"/>
    <w:rsid w:val="00CB776D"/>
    <w:rsid w:val="00CB7788"/>
    <w:rsid w:val="00CB77A3"/>
    <w:rsid w:val="00CB7A1A"/>
    <w:rsid w:val="00CB7AEC"/>
    <w:rsid w:val="00CB7C39"/>
    <w:rsid w:val="00CB7FD0"/>
    <w:rsid w:val="00CC004B"/>
    <w:rsid w:val="00CC02D8"/>
    <w:rsid w:val="00CC037F"/>
    <w:rsid w:val="00CC0396"/>
    <w:rsid w:val="00CC03B0"/>
    <w:rsid w:val="00CC041E"/>
    <w:rsid w:val="00CC04B7"/>
    <w:rsid w:val="00CC0618"/>
    <w:rsid w:val="00CC0672"/>
    <w:rsid w:val="00CC071A"/>
    <w:rsid w:val="00CC083C"/>
    <w:rsid w:val="00CC08DD"/>
    <w:rsid w:val="00CC0A23"/>
    <w:rsid w:val="00CC0A4E"/>
    <w:rsid w:val="00CC0C12"/>
    <w:rsid w:val="00CC0C3E"/>
    <w:rsid w:val="00CC0CB6"/>
    <w:rsid w:val="00CC0DC4"/>
    <w:rsid w:val="00CC0DD8"/>
    <w:rsid w:val="00CC0DF1"/>
    <w:rsid w:val="00CC0FD5"/>
    <w:rsid w:val="00CC1041"/>
    <w:rsid w:val="00CC109C"/>
    <w:rsid w:val="00CC1171"/>
    <w:rsid w:val="00CC165D"/>
    <w:rsid w:val="00CC16A7"/>
    <w:rsid w:val="00CC191C"/>
    <w:rsid w:val="00CC1928"/>
    <w:rsid w:val="00CC194A"/>
    <w:rsid w:val="00CC1BDA"/>
    <w:rsid w:val="00CC1BDB"/>
    <w:rsid w:val="00CC1C23"/>
    <w:rsid w:val="00CC1C2C"/>
    <w:rsid w:val="00CC1C87"/>
    <w:rsid w:val="00CC1CCD"/>
    <w:rsid w:val="00CC1CF1"/>
    <w:rsid w:val="00CC1E0C"/>
    <w:rsid w:val="00CC1E62"/>
    <w:rsid w:val="00CC1E84"/>
    <w:rsid w:val="00CC1EAB"/>
    <w:rsid w:val="00CC2171"/>
    <w:rsid w:val="00CC2339"/>
    <w:rsid w:val="00CC234F"/>
    <w:rsid w:val="00CC2633"/>
    <w:rsid w:val="00CC2708"/>
    <w:rsid w:val="00CC27CC"/>
    <w:rsid w:val="00CC2823"/>
    <w:rsid w:val="00CC288D"/>
    <w:rsid w:val="00CC29CE"/>
    <w:rsid w:val="00CC2BDD"/>
    <w:rsid w:val="00CC2C7F"/>
    <w:rsid w:val="00CC2D50"/>
    <w:rsid w:val="00CC2F7F"/>
    <w:rsid w:val="00CC3065"/>
    <w:rsid w:val="00CC309F"/>
    <w:rsid w:val="00CC30E8"/>
    <w:rsid w:val="00CC314C"/>
    <w:rsid w:val="00CC32B5"/>
    <w:rsid w:val="00CC33C0"/>
    <w:rsid w:val="00CC3488"/>
    <w:rsid w:val="00CC3497"/>
    <w:rsid w:val="00CC382F"/>
    <w:rsid w:val="00CC39E8"/>
    <w:rsid w:val="00CC3A6E"/>
    <w:rsid w:val="00CC3AAC"/>
    <w:rsid w:val="00CC3BDC"/>
    <w:rsid w:val="00CC3C83"/>
    <w:rsid w:val="00CC3D04"/>
    <w:rsid w:val="00CC3E1B"/>
    <w:rsid w:val="00CC3E27"/>
    <w:rsid w:val="00CC3F2F"/>
    <w:rsid w:val="00CC3F8A"/>
    <w:rsid w:val="00CC3FFF"/>
    <w:rsid w:val="00CC41AF"/>
    <w:rsid w:val="00CC41CE"/>
    <w:rsid w:val="00CC4225"/>
    <w:rsid w:val="00CC427F"/>
    <w:rsid w:val="00CC4291"/>
    <w:rsid w:val="00CC42C3"/>
    <w:rsid w:val="00CC43E7"/>
    <w:rsid w:val="00CC43F0"/>
    <w:rsid w:val="00CC4425"/>
    <w:rsid w:val="00CC4469"/>
    <w:rsid w:val="00CC4475"/>
    <w:rsid w:val="00CC44A6"/>
    <w:rsid w:val="00CC44D2"/>
    <w:rsid w:val="00CC467C"/>
    <w:rsid w:val="00CC468C"/>
    <w:rsid w:val="00CC4744"/>
    <w:rsid w:val="00CC47A5"/>
    <w:rsid w:val="00CC47E5"/>
    <w:rsid w:val="00CC4ACC"/>
    <w:rsid w:val="00CC4B09"/>
    <w:rsid w:val="00CC4BF0"/>
    <w:rsid w:val="00CC4CFF"/>
    <w:rsid w:val="00CC4E1E"/>
    <w:rsid w:val="00CC4E21"/>
    <w:rsid w:val="00CC53F4"/>
    <w:rsid w:val="00CC5591"/>
    <w:rsid w:val="00CC570E"/>
    <w:rsid w:val="00CC574D"/>
    <w:rsid w:val="00CC5854"/>
    <w:rsid w:val="00CC586B"/>
    <w:rsid w:val="00CC5D36"/>
    <w:rsid w:val="00CC5E0B"/>
    <w:rsid w:val="00CC6187"/>
    <w:rsid w:val="00CC63A7"/>
    <w:rsid w:val="00CC65DF"/>
    <w:rsid w:val="00CC66E9"/>
    <w:rsid w:val="00CC6900"/>
    <w:rsid w:val="00CC6B0D"/>
    <w:rsid w:val="00CC6B5B"/>
    <w:rsid w:val="00CC6B97"/>
    <w:rsid w:val="00CC6D3F"/>
    <w:rsid w:val="00CC6DA2"/>
    <w:rsid w:val="00CC6EC3"/>
    <w:rsid w:val="00CC7031"/>
    <w:rsid w:val="00CC70EB"/>
    <w:rsid w:val="00CC7185"/>
    <w:rsid w:val="00CC7248"/>
    <w:rsid w:val="00CC7271"/>
    <w:rsid w:val="00CC738F"/>
    <w:rsid w:val="00CC73AC"/>
    <w:rsid w:val="00CC73D3"/>
    <w:rsid w:val="00CC74A5"/>
    <w:rsid w:val="00CC757F"/>
    <w:rsid w:val="00CC764B"/>
    <w:rsid w:val="00CC767A"/>
    <w:rsid w:val="00CC76AB"/>
    <w:rsid w:val="00CC7756"/>
    <w:rsid w:val="00CC778F"/>
    <w:rsid w:val="00CC784F"/>
    <w:rsid w:val="00CC78A2"/>
    <w:rsid w:val="00CC796E"/>
    <w:rsid w:val="00CC7D3D"/>
    <w:rsid w:val="00CC7EC5"/>
    <w:rsid w:val="00CD018A"/>
    <w:rsid w:val="00CD0197"/>
    <w:rsid w:val="00CD033C"/>
    <w:rsid w:val="00CD043A"/>
    <w:rsid w:val="00CD0468"/>
    <w:rsid w:val="00CD046A"/>
    <w:rsid w:val="00CD04BE"/>
    <w:rsid w:val="00CD04CA"/>
    <w:rsid w:val="00CD04CF"/>
    <w:rsid w:val="00CD054D"/>
    <w:rsid w:val="00CD071A"/>
    <w:rsid w:val="00CD094B"/>
    <w:rsid w:val="00CD0C25"/>
    <w:rsid w:val="00CD0D6E"/>
    <w:rsid w:val="00CD0F75"/>
    <w:rsid w:val="00CD0FD1"/>
    <w:rsid w:val="00CD10DA"/>
    <w:rsid w:val="00CD12D3"/>
    <w:rsid w:val="00CD1538"/>
    <w:rsid w:val="00CD16E3"/>
    <w:rsid w:val="00CD17D7"/>
    <w:rsid w:val="00CD1808"/>
    <w:rsid w:val="00CD1A46"/>
    <w:rsid w:val="00CD1B13"/>
    <w:rsid w:val="00CD1B30"/>
    <w:rsid w:val="00CD1C00"/>
    <w:rsid w:val="00CD1C0D"/>
    <w:rsid w:val="00CD1D27"/>
    <w:rsid w:val="00CD1D5E"/>
    <w:rsid w:val="00CD201C"/>
    <w:rsid w:val="00CD2037"/>
    <w:rsid w:val="00CD2102"/>
    <w:rsid w:val="00CD21D7"/>
    <w:rsid w:val="00CD232F"/>
    <w:rsid w:val="00CD23DF"/>
    <w:rsid w:val="00CD2509"/>
    <w:rsid w:val="00CD26AC"/>
    <w:rsid w:val="00CD27CF"/>
    <w:rsid w:val="00CD28FF"/>
    <w:rsid w:val="00CD2A93"/>
    <w:rsid w:val="00CD2AEB"/>
    <w:rsid w:val="00CD2B85"/>
    <w:rsid w:val="00CD2BF6"/>
    <w:rsid w:val="00CD2D2A"/>
    <w:rsid w:val="00CD2E08"/>
    <w:rsid w:val="00CD2E21"/>
    <w:rsid w:val="00CD2FAB"/>
    <w:rsid w:val="00CD301C"/>
    <w:rsid w:val="00CD30ED"/>
    <w:rsid w:val="00CD313C"/>
    <w:rsid w:val="00CD31AF"/>
    <w:rsid w:val="00CD3331"/>
    <w:rsid w:val="00CD3462"/>
    <w:rsid w:val="00CD3491"/>
    <w:rsid w:val="00CD370E"/>
    <w:rsid w:val="00CD37EA"/>
    <w:rsid w:val="00CD3893"/>
    <w:rsid w:val="00CD38D9"/>
    <w:rsid w:val="00CD39AE"/>
    <w:rsid w:val="00CD3A82"/>
    <w:rsid w:val="00CD3AED"/>
    <w:rsid w:val="00CD3C89"/>
    <w:rsid w:val="00CD3D28"/>
    <w:rsid w:val="00CD3DFD"/>
    <w:rsid w:val="00CD3E99"/>
    <w:rsid w:val="00CD40BA"/>
    <w:rsid w:val="00CD41D3"/>
    <w:rsid w:val="00CD41FD"/>
    <w:rsid w:val="00CD4287"/>
    <w:rsid w:val="00CD42D2"/>
    <w:rsid w:val="00CD446D"/>
    <w:rsid w:val="00CD47E6"/>
    <w:rsid w:val="00CD485B"/>
    <w:rsid w:val="00CD48D2"/>
    <w:rsid w:val="00CD492B"/>
    <w:rsid w:val="00CD4AAE"/>
    <w:rsid w:val="00CD4B41"/>
    <w:rsid w:val="00CD4C9C"/>
    <w:rsid w:val="00CD4CBA"/>
    <w:rsid w:val="00CD4DF8"/>
    <w:rsid w:val="00CD4F54"/>
    <w:rsid w:val="00CD50BF"/>
    <w:rsid w:val="00CD51FB"/>
    <w:rsid w:val="00CD531C"/>
    <w:rsid w:val="00CD5500"/>
    <w:rsid w:val="00CD550E"/>
    <w:rsid w:val="00CD5646"/>
    <w:rsid w:val="00CD565E"/>
    <w:rsid w:val="00CD56D0"/>
    <w:rsid w:val="00CD5739"/>
    <w:rsid w:val="00CD5898"/>
    <w:rsid w:val="00CD5932"/>
    <w:rsid w:val="00CD593E"/>
    <w:rsid w:val="00CD5A84"/>
    <w:rsid w:val="00CD5C2F"/>
    <w:rsid w:val="00CD5CB7"/>
    <w:rsid w:val="00CD5E9A"/>
    <w:rsid w:val="00CD5F25"/>
    <w:rsid w:val="00CD606B"/>
    <w:rsid w:val="00CD63AE"/>
    <w:rsid w:val="00CD651E"/>
    <w:rsid w:val="00CD670A"/>
    <w:rsid w:val="00CD67C4"/>
    <w:rsid w:val="00CD68EF"/>
    <w:rsid w:val="00CD6A9D"/>
    <w:rsid w:val="00CD6B0B"/>
    <w:rsid w:val="00CD6B39"/>
    <w:rsid w:val="00CD6DCF"/>
    <w:rsid w:val="00CD6DE7"/>
    <w:rsid w:val="00CD6ED1"/>
    <w:rsid w:val="00CD6F55"/>
    <w:rsid w:val="00CD6FA2"/>
    <w:rsid w:val="00CD6FA8"/>
    <w:rsid w:val="00CD7105"/>
    <w:rsid w:val="00CD7116"/>
    <w:rsid w:val="00CD7139"/>
    <w:rsid w:val="00CD730F"/>
    <w:rsid w:val="00CD733D"/>
    <w:rsid w:val="00CD7408"/>
    <w:rsid w:val="00CD741B"/>
    <w:rsid w:val="00CD745B"/>
    <w:rsid w:val="00CD756B"/>
    <w:rsid w:val="00CD75DF"/>
    <w:rsid w:val="00CD76AC"/>
    <w:rsid w:val="00CD7815"/>
    <w:rsid w:val="00CD7838"/>
    <w:rsid w:val="00CD783F"/>
    <w:rsid w:val="00CD7848"/>
    <w:rsid w:val="00CD7905"/>
    <w:rsid w:val="00CD7975"/>
    <w:rsid w:val="00CD79B9"/>
    <w:rsid w:val="00CD79DD"/>
    <w:rsid w:val="00CD79F9"/>
    <w:rsid w:val="00CD7A03"/>
    <w:rsid w:val="00CD7A21"/>
    <w:rsid w:val="00CD7B85"/>
    <w:rsid w:val="00CD7CB6"/>
    <w:rsid w:val="00CD7CF2"/>
    <w:rsid w:val="00CD7DD0"/>
    <w:rsid w:val="00CE0068"/>
    <w:rsid w:val="00CE00C0"/>
    <w:rsid w:val="00CE00DE"/>
    <w:rsid w:val="00CE036B"/>
    <w:rsid w:val="00CE05D8"/>
    <w:rsid w:val="00CE06D4"/>
    <w:rsid w:val="00CE0734"/>
    <w:rsid w:val="00CE07BB"/>
    <w:rsid w:val="00CE08C4"/>
    <w:rsid w:val="00CE08E0"/>
    <w:rsid w:val="00CE0C40"/>
    <w:rsid w:val="00CE0D2C"/>
    <w:rsid w:val="00CE0F92"/>
    <w:rsid w:val="00CE0FCD"/>
    <w:rsid w:val="00CE122D"/>
    <w:rsid w:val="00CE12F1"/>
    <w:rsid w:val="00CE1393"/>
    <w:rsid w:val="00CE15C3"/>
    <w:rsid w:val="00CE162F"/>
    <w:rsid w:val="00CE1657"/>
    <w:rsid w:val="00CE17A5"/>
    <w:rsid w:val="00CE17A8"/>
    <w:rsid w:val="00CE1891"/>
    <w:rsid w:val="00CE18E4"/>
    <w:rsid w:val="00CE18E5"/>
    <w:rsid w:val="00CE19D7"/>
    <w:rsid w:val="00CE1AC2"/>
    <w:rsid w:val="00CE1B38"/>
    <w:rsid w:val="00CE1B49"/>
    <w:rsid w:val="00CE1C4C"/>
    <w:rsid w:val="00CE1CCC"/>
    <w:rsid w:val="00CE1D2A"/>
    <w:rsid w:val="00CE1D31"/>
    <w:rsid w:val="00CE1E97"/>
    <w:rsid w:val="00CE1FCF"/>
    <w:rsid w:val="00CE21BD"/>
    <w:rsid w:val="00CE2361"/>
    <w:rsid w:val="00CE2613"/>
    <w:rsid w:val="00CE2839"/>
    <w:rsid w:val="00CE28CE"/>
    <w:rsid w:val="00CE2A5E"/>
    <w:rsid w:val="00CE2A8D"/>
    <w:rsid w:val="00CE2D3E"/>
    <w:rsid w:val="00CE2FD7"/>
    <w:rsid w:val="00CE30EE"/>
    <w:rsid w:val="00CE3205"/>
    <w:rsid w:val="00CE3597"/>
    <w:rsid w:val="00CE36EF"/>
    <w:rsid w:val="00CE380C"/>
    <w:rsid w:val="00CE3899"/>
    <w:rsid w:val="00CE38FB"/>
    <w:rsid w:val="00CE39BC"/>
    <w:rsid w:val="00CE3AE9"/>
    <w:rsid w:val="00CE3B15"/>
    <w:rsid w:val="00CE3B6C"/>
    <w:rsid w:val="00CE3DC6"/>
    <w:rsid w:val="00CE3EBD"/>
    <w:rsid w:val="00CE403E"/>
    <w:rsid w:val="00CE4091"/>
    <w:rsid w:val="00CE40A5"/>
    <w:rsid w:val="00CE428A"/>
    <w:rsid w:val="00CE42DE"/>
    <w:rsid w:val="00CE42F3"/>
    <w:rsid w:val="00CE4378"/>
    <w:rsid w:val="00CE44DD"/>
    <w:rsid w:val="00CE46AD"/>
    <w:rsid w:val="00CE476D"/>
    <w:rsid w:val="00CE47C5"/>
    <w:rsid w:val="00CE4965"/>
    <w:rsid w:val="00CE4AFA"/>
    <w:rsid w:val="00CE4B97"/>
    <w:rsid w:val="00CE4BE7"/>
    <w:rsid w:val="00CE4BF7"/>
    <w:rsid w:val="00CE4C8D"/>
    <w:rsid w:val="00CE4D0D"/>
    <w:rsid w:val="00CE4D58"/>
    <w:rsid w:val="00CE4F8F"/>
    <w:rsid w:val="00CE5045"/>
    <w:rsid w:val="00CE50FD"/>
    <w:rsid w:val="00CE519A"/>
    <w:rsid w:val="00CE53A6"/>
    <w:rsid w:val="00CE5996"/>
    <w:rsid w:val="00CE5A4B"/>
    <w:rsid w:val="00CE5B2B"/>
    <w:rsid w:val="00CE5C0D"/>
    <w:rsid w:val="00CE5E17"/>
    <w:rsid w:val="00CE60F8"/>
    <w:rsid w:val="00CE62B0"/>
    <w:rsid w:val="00CE62DF"/>
    <w:rsid w:val="00CE62F6"/>
    <w:rsid w:val="00CE657C"/>
    <w:rsid w:val="00CE65D9"/>
    <w:rsid w:val="00CE6630"/>
    <w:rsid w:val="00CE6669"/>
    <w:rsid w:val="00CE66E5"/>
    <w:rsid w:val="00CE6BA2"/>
    <w:rsid w:val="00CE6C1A"/>
    <w:rsid w:val="00CE6CE9"/>
    <w:rsid w:val="00CE6DBB"/>
    <w:rsid w:val="00CE6E79"/>
    <w:rsid w:val="00CE6F69"/>
    <w:rsid w:val="00CE74D0"/>
    <w:rsid w:val="00CE752F"/>
    <w:rsid w:val="00CE7531"/>
    <w:rsid w:val="00CE7589"/>
    <w:rsid w:val="00CE76F4"/>
    <w:rsid w:val="00CE778E"/>
    <w:rsid w:val="00CE77E3"/>
    <w:rsid w:val="00CE799D"/>
    <w:rsid w:val="00CE7C0D"/>
    <w:rsid w:val="00CE7E2C"/>
    <w:rsid w:val="00CE7F93"/>
    <w:rsid w:val="00CF004C"/>
    <w:rsid w:val="00CF01C6"/>
    <w:rsid w:val="00CF0243"/>
    <w:rsid w:val="00CF02FD"/>
    <w:rsid w:val="00CF0465"/>
    <w:rsid w:val="00CF0474"/>
    <w:rsid w:val="00CF0499"/>
    <w:rsid w:val="00CF05B8"/>
    <w:rsid w:val="00CF05C8"/>
    <w:rsid w:val="00CF0630"/>
    <w:rsid w:val="00CF0636"/>
    <w:rsid w:val="00CF069D"/>
    <w:rsid w:val="00CF0746"/>
    <w:rsid w:val="00CF085A"/>
    <w:rsid w:val="00CF08B5"/>
    <w:rsid w:val="00CF08F8"/>
    <w:rsid w:val="00CF092C"/>
    <w:rsid w:val="00CF0937"/>
    <w:rsid w:val="00CF0A1F"/>
    <w:rsid w:val="00CF0BBF"/>
    <w:rsid w:val="00CF0C6C"/>
    <w:rsid w:val="00CF0CD8"/>
    <w:rsid w:val="00CF0DA8"/>
    <w:rsid w:val="00CF0E20"/>
    <w:rsid w:val="00CF0FDA"/>
    <w:rsid w:val="00CF111B"/>
    <w:rsid w:val="00CF14E0"/>
    <w:rsid w:val="00CF1634"/>
    <w:rsid w:val="00CF1753"/>
    <w:rsid w:val="00CF185B"/>
    <w:rsid w:val="00CF18AC"/>
    <w:rsid w:val="00CF1A43"/>
    <w:rsid w:val="00CF1B72"/>
    <w:rsid w:val="00CF1D2A"/>
    <w:rsid w:val="00CF1DFF"/>
    <w:rsid w:val="00CF1F06"/>
    <w:rsid w:val="00CF210A"/>
    <w:rsid w:val="00CF2191"/>
    <w:rsid w:val="00CF2384"/>
    <w:rsid w:val="00CF24E0"/>
    <w:rsid w:val="00CF2553"/>
    <w:rsid w:val="00CF2712"/>
    <w:rsid w:val="00CF282D"/>
    <w:rsid w:val="00CF2AA5"/>
    <w:rsid w:val="00CF2CC9"/>
    <w:rsid w:val="00CF2D83"/>
    <w:rsid w:val="00CF2E2E"/>
    <w:rsid w:val="00CF2E6E"/>
    <w:rsid w:val="00CF303C"/>
    <w:rsid w:val="00CF3192"/>
    <w:rsid w:val="00CF31F8"/>
    <w:rsid w:val="00CF333C"/>
    <w:rsid w:val="00CF33F7"/>
    <w:rsid w:val="00CF3428"/>
    <w:rsid w:val="00CF34DC"/>
    <w:rsid w:val="00CF358F"/>
    <w:rsid w:val="00CF3600"/>
    <w:rsid w:val="00CF36D9"/>
    <w:rsid w:val="00CF3710"/>
    <w:rsid w:val="00CF39AC"/>
    <w:rsid w:val="00CF3B9E"/>
    <w:rsid w:val="00CF3CF2"/>
    <w:rsid w:val="00CF3D30"/>
    <w:rsid w:val="00CF3D97"/>
    <w:rsid w:val="00CF3EA8"/>
    <w:rsid w:val="00CF3FC4"/>
    <w:rsid w:val="00CF3FEF"/>
    <w:rsid w:val="00CF4062"/>
    <w:rsid w:val="00CF4084"/>
    <w:rsid w:val="00CF42D8"/>
    <w:rsid w:val="00CF4338"/>
    <w:rsid w:val="00CF4341"/>
    <w:rsid w:val="00CF44C1"/>
    <w:rsid w:val="00CF4668"/>
    <w:rsid w:val="00CF4735"/>
    <w:rsid w:val="00CF4838"/>
    <w:rsid w:val="00CF490F"/>
    <w:rsid w:val="00CF4946"/>
    <w:rsid w:val="00CF4B43"/>
    <w:rsid w:val="00CF4CB1"/>
    <w:rsid w:val="00CF4D1C"/>
    <w:rsid w:val="00CF4E8C"/>
    <w:rsid w:val="00CF4E99"/>
    <w:rsid w:val="00CF4FD5"/>
    <w:rsid w:val="00CF5034"/>
    <w:rsid w:val="00CF51BB"/>
    <w:rsid w:val="00CF5220"/>
    <w:rsid w:val="00CF52C7"/>
    <w:rsid w:val="00CF54E5"/>
    <w:rsid w:val="00CF5524"/>
    <w:rsid w:val="00CF554B"/>
    <w:rsid w:val="00CF554E"/>
    <w:rsid w:val="00CF5622"/>
    <w:rsid w:val="00CF572E"/>
    <w:rsid w:val="00CF583D"/>
    <w:rsid w:val="00CF594B"/>
    <w:rsid w:val="00CF5D1E"/>
    <w:rsid w:val="00CF5D8F"/>
    <w:rsid w:val="00CF5DF8"/>
    <w:rsid w:val="00CF5E32"/>
    <w:rsid w:val="00CF5E6E"/>
    <w:rsid w:val="00CF5EE7"/>
    <w:rsid w:val="00CF6054"/>
    <w:rsid w:val="00CF60B4"/>
    <w:rsid w:val="00CF60CB"/>
    <w:rsid w:val="00CF60E0"/>
    <w:rsid w:val="00CF624B"/>
    <w:rsid w:val="00CF6263"/>
    <w:rsid w:val="00CF6301"/>
    <w:rsid w:val="00CF6421"/>
    <w:rsid w:val="00CF6513"/>
    <w:rsid w:val="00CF6565"/>
    <w:rsid w:val="00CF65AB"/>
    <w:rsid w:val="00CF681A"/>
    <w:rsid w:val="00CF6830"/>
    <w:rsid w:val="00CF6959"/>
    <w:rsid w:val="00CF6982"/>
    <w:rsid w:val="00CF6A9D"/>
    <w:rsid w:val="00CF6C0A"/>
    <w:rsid w:val="00CF6C10"/>
    <w:rsid w:val="00CF6D0D"/>
    <w:rsid w:val="00CF6D92"/>
    <w:rsid w:val="00CF6EC0"/>
    <w:rsid w:val="00CF6FEA"/>
    <w:rsid w:val="00CF7042"/>
    <w:rsid w:val="00CF7047"/>
    <w:rsid w:val="00CF7265"/>
    <w:rsid w:val="00CF73EB"/>
    <w:rsid w:val="00CF7594"/>
    <w:rsid w:val="00CF762C"/>
    <w:rsid w:val="00CF764E"/>
    <w:rsid w:val="00CF767B"/>
    <w:rsid w:val="00CF76EE"/>
    <w:rsid w:val="00CF7736"/>
    <w:rsid w:val="00CF77A0"/>
    <w:rsid w:val="00CF7889"/>
    <w:rsid w:val="00CF78B7"/>
    <w:rsid w:val="00CF78C3"/>
    <w:rsid w:val="00CF792D"/>
    <w:rsid w:val="00CF7A04"/>
    <w:rsid w:val="00CF7D71"/>
    <w:rsid w:val="00CF7F33"/>
    <w:rsid w:val="00D00068"/>
    <w:rsid w:val="00D002A5"/>
    <w:rsid w:val="00D00368"/>
    <w:rsid w:val="00D00408"/>
    <w:rsid w:val="00D0047E"/>
    <w:rsid w:val="00D004C2"/>
    <w:rsid w:val="00D004C4"/>
    <w:rsid w:val="00D00548"/>
    <w:rsid w:val="00D0060A"/>
    <w:rsid w:val="00D00A78"/>
    <w:rsid w:val="00D00AAE"/>
    <w:rsid w:val="00D00DD5"/>
    <w:rsid w:val="00D00E5B"/>
    <w:rsid w:val="00D011BB"/>
    <w:rsid w:val="00D012F4"/>
    <w:rsid w:val="00D01494"/>
    <w:rsid w:val="00D014AB"/>
    <w:rsid w:val="00D015B6"/>
    <w:rsid w:val="00D01758"/>
    <w:rsid w:val="00D0195A"/>
    <w:rsid w:val="00D01B08"/>
    <w:rsid w:val="00D01CD2"/>
    <w:rsid w:val="00D01EB0"/>
    <w:rsid w:val="00D01F6B"/>
    <w:rsid w:val="00D01FE0"/>
    <w:rsid w:val="00D02104"/>
    <w:rsid w:val="00D0213B"/>
    <w:rsid w:val="00D02180"/>
    <w:rsid w:val="00D02189"/>
    <w:rsid w:val="00D0226B"/>
    <w:rsid w:val="00D024ED"/>
    <w:rsid w:val="00D024F4"/>
    <w:rsid w:val="00D02576"/>
    <w:rsid w:val="00D0257D"/>
    <w:rsid w:val="00D0264E"/>
    <w:rsid w:val="00D02667"/>
    <w:rsid w:val="00D027B7"/>
    <w:rsid w:val="00D027CD"/>
    <w:rsid w:val="00D027ED"/>
    <w:rsid w:val="00D02849"/>
    <w:rsid w:val="00D029CB"/>
    <w:rsid w:val="00D029EF"/>
    <w:rsid w:val="00D02A0E"/>
    <w:rsid w:val="00D02ACC"/>
    <w:rsid w:val="00D02B70"/>
    <w:rsid w:val="00D02C55"/>
    <w:rsid w:val="00D02CA7"/>
    <w:rsid w:val="00D02CDC"/>
    <w:rsid w:val="00D02D75"/>
    <w:rsid w:val="00D02DB5"/>
    <w:rsid w:val="00D02DE6"/>
    <w:rsid w:val="00D02FB2"/>
    <w:rsid w:val="00D03138"/>
    <w:rsid w:val="00D0314E"/>
    <w:rsid w:val="00D0317D"/>
    <w:rsid w:val="00D03346"/>
    <w:rsid w:val="00D034D7"/>
    <w:rsid w:val="00D0350E"/>
    <w:rsid w:val="00D03595"/>
    <w:rsid w:val="00D03652"/>
    <w:rsid w:val="00D036BB"/>
    <w:rsid w:val="00D03721"/>
    <w:rsid w:val="00D037BC"/>
    <w:rsid w:val="00D03825"/>
    <w:rsid w:val="00D039A6"/>
    <w:rsid w:val="00D039C9"/>
    <w:rsid w:val="00D03B73"/>
    <w:rsid w:val="00D03B7A"/>
    <w:rsid w:val="00D03C0C"/>
    <w:rsid w:val="00D03C6E"/>
    <w:rsid w:val="00D03C86"/>
    <w:rsid w:val="00D03D23"/>
    <w:rsid w:val="00D03DAB"/>
    <w:rsid w:val="00D03DB0"/>
    <w:rsid w:val="00D03DCF"/>
    <w:rsid w:val="00D03FE0"/>
    <w:rsid w:val="00D03FE7"/>
    <w:rsid w:val="00D0418D"/>
    <w:rsid w:val="00D04333"/>
    <w:rsid w:val="00D04339"/>
    <w:rsid w:val="00D04370"/>
    <w:rsid w:val="00D04455"/>
    <w:rsid w:val="00D045C5"/>
    <w:rsid w:val="00D04635"/>
    <w:rsid w:val="00D046B3"/>
    <w:rsid w:val="00D046BF"/>
    <w:rsid w:val="00D046C0"/>
    <w:rsid w:val="00D04938"/>
    <w:rsid w:val="00D04A0E"/>
    <w:rsid w:val="00D04BB8"/>
    <w:rsid w:val="00D04C5A"/>
    <w:rsid w:val="00D04D0D"/>
    <w:rsid w:val="00D04E42"/>
    <w:rsid w:val="00D04FFE"/>
    <w:rsid w:val="00D051D5"/>
    <w:rsid w:val="00D05301"/>
    <w:rsid w:val="00D0551A"/>
    <w:rsid w:val="00D056DC"/>
    <w:rsid w:val="00D0584E"/>
    <w:rsid w:val="00D05906"/>
    <w:rsid w:val="00D05A6D"/>
    <w:rsid w:val="00D05A90"/>
    <w:rsid w:val="00D05DF7"/>
    <w:rsid w:val="00D05EA3"/>
    <w:rsid w:val="00D05F04"/>
    <w:rsid w:val="00D05F7F"/>
    <w:rsid w:val="00D0611B"/>
    <w:rsid w:val="00D06133"/>
    <w:rsid w:val="00D061ED"/>
    <w:rsid w:val="00D062F2"/>
    <w:rsid w:val="00D06379"/>
    <w:rsid w:val="00D06427"/>
    <w:rsid w:val="00D06462"/>
    <w:rsid w:val="00D06878"/>
    <w:rsid w:val="00D0694B"/>
    <w:rsid w:val="00D06A64"/>
    <w:rsid w:val="00D06CBF"/>
    <w:rsid w:val="00D06D0B"/>
    <w:rsid w:val="00D07288"/>
    <w:rsid w:val="00D073A0"/>
    <w:rsid w:val="00D073FF"/>
    <w:rsid w:val="00D074A8"/>
    <w:rsid w:val="00D07923"/>
    <w:rsid w:val="00D07B1C"/>
    <w:rsid w:val="00D07B9B"/>
    <w:rsid w:val="00D07E61"/>
    <w:rsid w:val="00D07EB8"/>
    <w:rsid w:val="00D07F84"/>
    <w:rsid w:val="00D07FC5"/>
    <w:rsid w:val="00D07FC6"/>
    <w:rsid w:val="00D1032B"/>
    <w:rsid w:val="00D10596"/>
    <w:rsid w:val="00D106E4"/>
    <w:rsid w:val="00D107D4"/>
    <w:rsid w:val="00D10A8C"/>
    <w:rsid w:val="00D10C8B"/>
    <w:rsid w:val="00D10F15"/>
    <w:rsid w:val="00D10F2B"/>
    <w:rsid w:val="00D1101C"/>
    <w:rsid w:val="00D11068"/>
    <w:rsid w:val="00D1113E"/>
    <w:rsid w:val="00D111E8"/>
    <w:rsid w:val="00D11294"/>
    <w:rsid w:val="00D1139C"/>
    <w:rsid w:val="00D11448"/>
    <w:rsid w:val="00D1149A"/>
    <w:rsid w:val="00D11A9F"/>
    <w:rsid w:val="00D11B04"/>
    <w:rsid w:val="00D11B9A"/>
    <w:rsid w:val="00D11BFC"/>
    <w:rsid w:val="00D11DB8"/>
    <w:rsid w:val="00D11EB9"/>
    <w:rsid w:val="00D11ED2"/>
    <w:rsid w:val="00D1201F"/>
    <w:rsid w:val="00D12086"/>
    <w:rsid w:val="00D120B3"/>
    <w:rsid w:val="00D1220D"/>
    <w:rsid w:val="00D1223E"/>
    <w:rsid w:val="00D12245"/>
    <w:rsid w:val="00D12267"/>
    <w:rsid w:val="00D12386"/>
    <w:rsid w:val="00D123D8"/>
    <w:rsid w:val="00D12466"/>
    <w:rsid w:val="00D1249C"/>
    <w:rsid w:val="00D124AC"/>
    <w:rsid w:val="00D124D7"/>
    <w:rsid w:val="00D1253A"/>
    <w:rsid w:val="00D125DA"/>
    <w:rsid w:val="00D126B3"/>
    <w:rsid w:val="00D126BF"/>
    <w:rsid w:val="00D12755"/>
    <w:rsid w:val="00D128E5"/>
    <w:rsid w:val="00D129BB"/>
    <w:rsid w:val="00D12A96"/>
    <w:rsid w:val="00D12AD9"/>
    <w:rsid w:val="00D12BDE"/>
    <w:rsid w:val="00D12D8C"/>
    <w:rsid w:val="00D13080"/>
    <w:rsid w:val="00D132F1"/>
    <w:rsid w:val="00D13379"/>
    <w:rsid w:val="00D1339F"/>
    <w:rsid w:val="00D133C6"/>
    <w:rsid w:val="00D133E5"/>
    <w:rsid w:val="00D13478"/>
    <w:rsid w:val="00D13511"/>
    <w:rsid w:val="00D135FF"/>
    <w:rsid w:val="00D13681"/>
    <w:rsid w:val="00D136AB"/>
    <w:rsid w:val="00D13756"/>
    <w:rsid w:val="00D13822"/>
    <w:rsid w:val="00D13851"/>
    <w:rsid w:val="00D13B95"/>
    <w:rsid w:val="00D13BF2"/>
    <w:rsid w:val="00D13C15"/>
    <w:rsid w:val="00D13C23"/>
    <w:rsid w:val="00D13EE0"/>
    <w:rsid w:val="00D13F02"/>
    <w:rsid w:val="00D13F1B"/>
    <w:rsid w:val="00D13F3D"/>
    <w:rsid w:val="00D13FF8"/>
    <w:rsid w:val="00D1404A"/>
    <w:rsid w:val="00D140C8"/>
    <w:rsid w:val="00D14124"/>
    <w:rsid w:val="00D142AF"/>
    <w:rsid w:val="00D143B9"/>
    <w:rsid w:val="00D143D5"/>
    <w:rsid w:val="00D1446B"/>
    <w:rsid w:val="00D14554"/>
    <w:rsid w:val="00D145BB"/>
    <w:rsid w:val="00D146CB"/>
    <w:rsid w:val="00D1482B"/>
    <w:rsid w:val="00D14845"/>
    <w:rsid w:val="00D1489F"/>
    <w:rsid w:val="00D148E3"/>
    <w:rsid w:val="00D14A07"/>
    <w:rsid w:val="00D14C56"/>
    <w:rsid w:val="00D14D03"/>
    <w:rsid w:val="00D14DFB"/>
    <w:rsid w:val="00D14ED7"/>
    <w:rsid w:val="00D14F21"/>
    <w:rsid w:val="00D14F64"/>
    <w:rsid w:val="00D150C4"/>
    <w:rsid w:val="00D15193"/>
    <w:rsid w:val="00D151EB"/>
    <w:rsid w:val="00D151F3"/>
    <w:rsid w:val="00D15603"/>
    <w:rsid w:val="00D15692"/>
    <w:rsid w:val="00D15703"/>
    <w:rsid w:val="00D157B7"/>
    <w:rsid w:val="00D15945"/>
    <w:rsid w:val="00D15AE2"/>
    <w:rsid w:val="00D15B47"/>
    <w:rsid w:val="00D15F3D"/>
    <w:rsid w:val="00D1607C"/>
    <w:rsid w:val="00D16163"/>
    <w:rsid w:val="00D16183"/>
    <w:rsid w:val="00D161DD"/>
    <w:rsid w:val="00D1621F"/>
    <w:rsid w:val="00D1647A"/>
    <w:rsid w:val="00D16566"/>
    <w:rsid w:val="00D16596"/>
    <w:rsid w:val="00D167C0"/>
    <w:rsid w:val="00D16821"/>
    <w:rsid w:val="00D16826"/>
    <w:rsid w:val="00D1684F"/>
    <w:rsid w:val="00D168C6"/>
    <w:rsid w:val="00D16AAC"/>
    <w:rsid w:val="00D16B0B"/>
    <w:rsid w:val="00D16B98"/>
    <w:rsid w:val="00D16C50"/>
    <w:rsid w:val="00D16C96"/>
    <w:rsid w:val="00D16CEE"/>
    <w:rsid w:val="00D16DA1"/>
    <w:rsid w:val="00D16DD4"/>
    <w:rsid w:val="00D16DE3"/>
    <w:rsid w:val="00D16E8F"/>
    <w:rsid w:val="00D170B3"/>
    <w:rsid w:val="00D17172"/>
    <w:rsid w:val="00D1729B"/>
    <w:rsid w:val="00D17496"/>
    <w:rsid w:val="00D174C9"/>
    <w:rsid w:val="00D17705"/>
    <w:rsid w:val="00D17888"/>
    <w:rsid w:val="00D17A56"/>
    <w:rsid w:val="00D17AE5"/>
    <w:rsid w:val="00D17AFD"/>
    <w:rsid w:val="00D17C6E"/>
    <w:rsid w:val="00D17D97"/>
    <w:rsid w:val="00D17E25"/>
    <w:rsid w:val="00D17EEA"/>
    <w:rsid w:val="00D17F55"/>
    <w:rsid w:val="00D17F73"/>
    <w:rsid w:val="00D17FAD"/>
    <w:rsid w:val="00D201CC"/>
    <w:rsid w:val="00D20227"/>
    <w:rsid w:val="00D2034B"/>
    <w:rsid w:val="00D2044D"/>
    <w:rsid w:val="00D20509"/>
    <w:rsid w:val="00D20610"/>
    <w:rsid w:val="00D2073C"/>
    <w:rsid w:val="00D20762"/>
    <w:rsid w:val="00D20887"/>
    <w:rsid w:val="00D20916"/>
    <w:rsid w:val="00D20921"/>
    <w:rsid w:val="00D20980"/>
    <w:rsid w:val="00D209D4"/>
    <w:rsid w:val="00D20ACF"/>
    <w:rsid w:val="00D20B48"/>
    <w:rsid w:val="00D20C4A"/>
    <w:rsid w:val="00D20CB5"/>
    <w:rsid w:val="00D20CF7"/>
    <w:rsid w:val="00D20D09"/>
    <w:rsid w:val="00D20FFC"/>
    <w:rsid w:val="00D2104F"/>
    <w:rsid w:val="00D210A0"/>
    <w:rsid w:val="00D21105"/>
    <w:rsid w:val="00D21133"/>
    <w:rsid w:val="00D21450"/>
    <w:rsid w:val="00D21548"/>
    <w:rsid w:val="00D215E9"/>
    <w:rsid w:val="00D21911"/>
    <w:rsid w:val="00D21955"/>
    <w:rsid w:val="00D2198B"/>
    <w:rsid w:val="00D219F0"/>
    <w:rsid w:val="00D21A26"/>
    <w:rsid w:val="00D21A56"/>
    <w:rsid w:val="00D21B51"/>
    <w:rsid w:val="00D21C7A"/>
    <w:rsid w:val="00D21D52"/>
    <w:rsid w:val="00D22045"/>
    <w:rsid w:val="00D2209B"/>
    <w:rsid w:val="00D220E6"/>
    <w:rsid w:val="00D22100"/>
    <w:rsid w:val="00D22306"/>
    <w:rsid w:val="00D22431"/>
    <w:rsid w:val="00D2249B"/>
    <w:rsid w:val="00D2257D"/>
    <w:rsid w:val="00D225A0"/>
    <w:rsid w:val="00D2260A"/>
    <w:rsid w:val="00D2261A"/>
    <w:rsid w:val="00D226D4"/>
    <w:rsid w:val="00D226DD"/>
    <w:rsid w:val="00D22731"/>
    <w:rsid w:val="00D22743"/>
    <w:rsid w:val="00D227B4"/>
    <w:rsid w:val="00D22812"/>
    <w:rsid w:val="00D22948"/>
    <w:rsid w:val="00D22D28"/>
    <w:rsid w:val="00D22D6C"/>
    <w:rsid w:val="00D22D76"/>
    <w:rsid w:val="00D22F5A"/>
    <w:rsid w:val="00D22F84"/>
    <w:rsid w:val="00D232A4"/>
    <w:rsid w:val="00D233E1"/>
    <w:rsid w:val="00D23468"/>
    <w:rsid w:val="00D23518"/>
    <w:rsid w:val="00D23706"/>
    <w:rsid w:val="00D23763"/>
    <w:rsid w:val="00D2382C"/>
    <w:rsid w:val="00D238AA"/>
    <w:rsid w:val="00D239F1"/>
    <w:rsid w:val="00D23B53"/>
    <w:rsid w:val="00D23B5F"/>
    <w:rsid w:val="00D23C5B"/>
    <w:rsid w:val="00D23EB2"/>
    <w:rsid w:val="00D23EB8"/>
    <w:rsid w:val="00D23FAF"/>
    <w:rsid w:val="00D23FB5"/>
    <w:rsid w:val="00D24033"/>
    <w:rsid w:val="00D2416D"/>
    <w:rsid w:val="00D241FE"/>
    <w:rsid w:val="00D242D7"/>
    <w:rsid w:val="00D242F5"/>
    <w:rsid w:val="00D2432D"/>
    <w:rsid w:val="00D2446C"/>
    <w:rsid w:val="00D24530"/>
    <w:rsid w:val="00D2485A"/>
    <w:rsid w:val="00D24C4A"/>
    <w:rsid w:val="00D24C72"/>
    <w:rsid w:val="00D24CE6"/>
    <w:rsid w:val="00D24F02"/>
    <w:rsid w:val="00D25123"/>
    <w:rsid w:val="00D25356"/>
    <w:rsid w:val="00D253E2"/>
    <w:rsid w:val="00D256E4"/>
    <w:rsid w:val="00D2598A"/>
    <w:rsid w:val="00D25B2D"/>
    <w:rsid w:val="00D25BD7"/>
    <w:rsid w:val="00D25D27"/>
    <w:rsid w:val="00D25D5A"/>
    <w:rsid w:val="00D25DCE"/>
    <w:rsid w:val="00D25E08"/>
    <w:rsid w:val="00D25EC5"/>
    <w:rsid w:val="00D25EFD"/>
    <w:rsid w:val="00D25F37"/>
    <w:rsid w:val="00D25F3D"/>
    <w:rsid w:val="00D25FA6"/>
    <w:rsid w:val="00D25FD0"/>
    <w:rsid w:val="00D26123"/>
    <w:rsid w:val="00D26137"/>
    <w:rsid w:val="00D26221"/>
    <w:rsid w:val="00D2626A"/>
    <w:rsid w:val="00D26326"/>
    <w:rsid w:val="00D26398"/>
    <w:rsid w:val="00D263A1"/>
    <w:rsid w:val="00D263EB"/>
    <w:rsid w:val="00D26450"/>
    <w:rsid w:val="00D26492"/>
    <w:rsid w:val="00D265DA"/>
    <w:rsid w:val="00D2691D"/>
    <w:rsid w:val="00D269B1"/>
    <w:rsid w:val="00D26A22"/>
    <w:rsid w:val="00D26BC1"/>
    <w:rsid w:val="00D26C41"/>
    <w:rsid w:val="00D26CC4"/>
    <w:rsid w:val="00D26D0F"/>
    <w:rsid w:val="00D26D2C"/>
    <w:rsid w:val="00D26E07"/>
    <w:rsid w:val="00D26F66"/>
    <w:rsid w:val="00D26F85"/>
    <w:rsid w:val="00D26F9B"/>
    <w:rsid w:val="00D272C1"/>
    <w:rsid w:val="00D27314"/>
    <w:rsid w:val="00D27342"/>
    <w:rsid w:val="00D27477"/>
    <w:rsid w:val="00D274F6"/>
    <w:rsid w:val="00D276E9"/>
    <w:rsid w:val="00D27B9C"/>
    <w:rsid w:val="00D27C2B"/>
    <w:rsid w:val="00D27D40"/>
    <w:rsid w:val="00D27DB0"/>
    <w:rsid w:val="00D27E1C"/>
    <w:rsid w:val="00D2AFAC"/>
    <w:rsid w:val="00D3012D"/>
    <w:rsid w:val="00D30154"/>
    <w:rsid w:val="00D3017A"/>
    <w:rsid w:val="00D301EA"/>
    <w:rsid w:val="00D302AF"/>
    <w:rsid w:val="00D30356"/>
    <w:rsid w:val="00D303A9"/>
    <w:rsid w:val="00D3040A"/>
    <w:rsid w:val="00D30419"/>
    <w:rsid w:val="00D30487"/>
    <w:rsid w:val="00D3049A"/>
    <w:rsid w:val="00D305A5"/>
    <w:rsid w:val="00D30610"/>
    <w:rsid w:val="00D3065F"/>
    <w:rsid w:val="00D306CA"/>
    <w:rsid w:val="00D30734"/>
    <w:rsid w:val="00D307E1"/>
    <w:rsid w:val="00D30823"/>
    <w:rsid w:val="00D30978"/>
    <w:rsid w:val="00D30AA3"/>
    <w:rsid w:val="00D30B97"/>
    <w:rsid w:val="00D30C8E"/>
    <w:rsid w:val="00D30EDF"/>
    <w:rsid w:val="00D3102B"/>
    <w:rsid w:val="00D31122"/>
    <w:rsid w:val="00D31195"/>
    <w:rsid w:val="00D3126B"/>
    <w:rsid w:val="00D3128D"/>
    <w:rsid w:val="00D31545"/>
    <w:rsid w:val="00D315E3"/>
    <w:rsid w:val="00D31683"/>
    <w:rsid w:val="00D317B9"/>
    <w:rsid w:val="00D317EE"/>
    <w:rsid w:val="00D319D0"/>
    <w:rsid w:val="00D31D59"/>
    <w:rsid w:val="00D31DCB"/>
    <w:rsid w:val="00D31DDA"/>
    <w:rsid w:val="00D31DFE"/>
    <w:rsid w:val="00D31E5E"/>
    <w:rsid w:val="00D31E93"/>
    <w:rsid w:val="00D31EB6"/>
    <w:rsid w:val="00D31EF7"/>
    <w:rsid w:val="00D31F4B"/>
    <w:rsid w:val="00D31F59"/>
    <w:rsid w:val="00D320ED"/>
    <w:rsid w:val="00D32143"/>
    <w:rsid w:val="00D32152"/>
    <w:rsid w:val="00D3215D"/>
    <w:rsid w:val="00D32195"/>
    <w:rsid w:val="00D321C8"/>
    <w:rsid w:val="00D3240F"/>
    <w:rsid w:val="00D325AB"/>
    <w:rsid w:val="00D325C7"/>
    <w:rsid w:val="00D32629"/>
    <w:rsid w:val="00D326FE"/>
    <w:rsid w:val="00D328D0"/>
    <w:rsid w:val="00D32ABD"/>
    <w:rsid w:val="00D32B08"/>
    <w:rsid w:val="00D32C33"/>
    <w:rsid w:val="00D32D7F"/>
    <w:rsid w:val="00D32EE4"/>
    <w:rsid w:val="00D33037"/>
    <w:rsid w:val="00D33044"/>
    <w:rsid w:val="00D330AE"/>
    <w:rsid w:val="00D33161"/>
    <w:rsid w:val="00D333A4"/>
    <w:rsid w:val="00D334E3"/>
    <w:rsid w:val="00D3355A"/>
    <w:rsid w:val="00D335D1"/>
    <w:rsid w:val="00D33606"/>
    <w:rsid w:val="00D336C9"/>
    <w:rsid w:val="00D3374E"/>
    <w:rsid w:val="00D33765"/>
    <w:rsid w:val="00D33942"/>
    <w:rsid w:val="00D33C0B"/>
    <w:rsid w:val="00D33C22"/>
    <w:rsid w:val="00D33CAB"/>
    <w:rsid w:val="00D33D9C"/>
    <w:rsid w:val="00D33DA6"/>
    <w:rsid w:val="00D33DC0"/>
    <w:rsid w:val="00D33F64"/>
    <w:rsid w:val="00D33FAC"/>
    <w:rsid w:val="00D3419C"/>
    <w:rsid w:val="00D341D5"/>
    <w:rsid w:val="00D3437F"/>
    <w:rsid w:val="00D34565"/>
    <w:rsid w:val="00D3473F"/>
    <w:rsid w:val="00D3476F"/>
    <w:rsid w:val="00D34773"/>
    <w:rsid w:val="00D34793"/>
    <w:rsid w:val="00D34938"/>
    <w:rsid w:val="00D34C16"/>
    <w:rsid w:val="00D34C9A"/>
    <w:rsid w:val="00D34CFC"/>
    <w:rsid w:val="00D34E86"/>
    <w:rsid w:val="00D34EBA"/>
    <w:rsid w:val="00D34FD5"/>
    <w:rsid w:val="00D35090"/>
    <w:rsid w:val="00D350DC"/>
    <w:rsid w:val="00D35126"/>
    <w:rsid w:val="00D35212"/>
    <w:rsid w:val="00D3530B"/>
    <w:rsid w:val="00D3531F"/>
    <w:rsid w:val="00D35406"/>
    <w:rsid w:val="00D3546B"/>
    <w:rsid w:val="00D35497"/>
    <w:rsid w:val="00D354CA"/>
    <w:rsid w:val="00D35667"/>
    <w:rsid w:val="00D356CA"/>
    <w:rsid w:val="00D357E4"/>
    <w:rsid w:val="00D35854"/>
    <w:rsid w:val="00D3587F"/>
    <w:rsid w:val="00D35AC3"/>
    <w:rsid w:val="00D35C20"/>
    <w:rsid w:val="00D35F58"/>
    <w:rsid w:val="00D35FE0"/>
    <w:rsid w:val="00D36113"/>
    <w:rsid w:val="00D36162"/>
    <w:rsid w:val="00D36236"/>
    <w:rsid w:val="00D36271"/>
    <w:rsid w:val="00D36665"/>
    <w:rsid w:val="00D3678F"/>
    <w:rsid w:val="00D367C3"/>
    <w:rsid w:val="00D36853"/>
    <w:rsid w:val="00D368A7"/>
    <w:rsid w:val="00D36B69"/>
    <w:rsid w:val="00D36BBC"/>
    <w:rsid w:val="00D36C50"/>
    <w:rsid w:val="00D36EE4"/>
    <w:rsid w:val="00D36F6D"/>
    <w:rsid w:val="00D36FE5"/>
    <w:rsid w:val="00D370FD"/>
    <w:rsid w:val="00D3718C"/>
    <w:rsid w:val="00D3722D"/>
    <w:rsid w:val="00D3727E"/>
    <w:rsid w:val="00D372D4"/>
    <w:rsid w:val="00D37523"/>
    <w:rsid w:val="00D37749"/>
    <w:rsid w:val="00D3787A"/>
    <w:rsid w:val="00D3792F"/>
    <w:rsid w:val="00D3798B"/>
    <w:rsid w:val="00D379A6"/>
    <w:rsid w:val="00D37A47"/>
    <w:rsid w:val="00D37A5D"/>
    <w:rsid w:val="00D37BED"/>
    <w:rsid w:val="00D37E0C"/>
    <w:rsid w:val="00D37F2C"/>
    <w:rsid w:val="00D37FE0"/>
    <w:rsid w:val="00D4002B"/>
    <w:rsid w:val="00D40123"/>
    <w:rsid w:val="00D401A4"/>
    <w:rsid w:val="00D40252"/>
    <w:rsid w:val="00D4027A"/>
    <w:rsid w:val="00D40361"/>
    <w:rsid w:val="00D40605"/>
    <w:rsid w:val="00D406C9"/>
    <w:rsid w:val="00D4083A"/>
    <w:rsid w:val="00D4091E"/>
    <w:rsid w:val="00D40A70"/>
    <w:rsid w:val="00D40BCB"/>
    <w:rsid w:val="00D40C1F"/>
    <w:rsid w:val="00D40CEF"/>
    <w:rsid w:val="00D40E3E"/>
    <w:rsid w:val="00D40EA8"/>
    <w:rsid w:val="00D40F05"/>
    <w:rsid w:val="00D40F7D"/>
    <w:rsid w:val="00D40F7F"/>
    <w:rsid w:val="00D410AD"/>
    <w:rsid w:val="00D410BB"/>
    <w:rsid w:val="00D413BD"/>
    <w:rsid w:val="00D41494"/>
    <w:rsid w:val="00D414E4"/>
    <w:rsid w:val="00D414F0"/>
    <w:rsid w:val="00D415A5"/>
    <w:rsid w:val="00D41608"/>
    <w:rsid w:val="00D416F7"/>
    <w:rsid w:val="00D4177F"/>
    <w:rsid w:val="00D41A03"/>
    <w:rsid w:val="00D41A22"/>
    <w:rsid w:val="00D41A68"/>
    <w:rsid w:val="00D41B8A"/>
    <w:rsid w:val="00D41C38"/>
    <w:rsid w:val="00D41EB4"/>
    <w:rsid w:val="00D41F1E"/>
    <w:rsid w:val="00D42044"/>
    <w:rsid w:val="00D421DD"/>
    <w:rsid w:val="00D42369"/>
    <w:rsid w:val="00D42381"/>
    <w:rsid w:val="00D423A9"/>
    <w:rsid w:val="00D4249A"/>
    <w:rsid w:val="00D4250B"/>
    <w:rsid w:val="00D4258B"/>
    <w:rsid w:val="00D426CB"/>
    <w:rsid w:val="00D42727"/>
    <w:rsid w:val="00D427FD"/>
    <w:rsid w:val="00D42829"/>
    <w:rsid w:val="00D4282C"/>
    <w:rsid w:val="00D429A4"/>
    <w:rsid w:val="00D429EF"/>
    <w:rsid w:val="00D42A60"/>
    <w:rsid w:val="00D42BED"/>
    <w:rsid w:val="00D42D29"/>
    <w:rsid w:val="00D42D32"/>
    <w:rsid w:val="00D42F6F"/>
    <w:rsid w:val="00D43074"/>
    <w:rsid w:val="00D4314C"/>
    <w:rsid w:val="00D432D8"/>
    <w:rsid w:val="00D43374"/>
    <w:rsid w:val="00D433EF"/>
    <w:rsid w:val="00D43456"/>
    <w:rsid w:val="00D43568"/>
    <w:rsid w:val="00D435D4"/>
    <w:rsid w:val="00D43796"/>
    <w:rsid w:val="00D43846"/>
    <w:rsid w:val="00D439EE"/>
    <w:rsid w:val="00D43A28"/>
    <w:rsid w:val="00D43C69"/>
    <w:rsid w:val="00D43D4A"/>
    <w:rsid w:val="00D43E87"/>
    <w:rsid w:val="00D43F56"/>
    <w:rsid w:val="00D43F90"/>
    <w:rsid w:val="00D4418E"/>
    <w:rsid w:val="00D441BA"/>
    <w:rsid w:val="00D4427C"/>
    <w:rsid w:val="00D44380"/>
    <w:rsid w:val="00D44487"/>
    <w:rsid w:val="00D44539"/>
    <w:rsid w:val="00D44684"/>
    <w:rsid w:val="00D446AF"/>
    <w:rsid w:val="00D446FB"/>
    <w:rsid w:val="00D44836"/>
    <w:rsid w:val="00D44849"/>
    <w:rsid w:val="00D448D7"/>
    <w:rsid w:val="00D449B5"/>
    <w:rsid w:val="00D44AC6"/>
    <w:rsid w:val="00D44B0E"/>
    <w:rsid w:val="00D44B18"/>
    <w:rsid w:val="00D44CA1"/>
    <w:rsid w:val="00D44DB0"/>
    <w:rsid w:val="00D44E25"/>
    <w:rsid w:val="00D44F03"/>
    <w:rsid w:val="00D44FAA"/>
    <w:rsid w:val="00D44FCC"/>
    <w:rsid w:val="00D45065"/>
    <w:rsid w:val="00D450BA"/>
    <w:rsid w:val="00D4512B"/>
    <w:rsid w:val="00D451B4"/>
    <w:rsid w:val="00D45311"/>
    <w:rsid w:val="00D453A7"/>
    <w:rsid w:val="00D4548B"/>
    <w:rsid w:val="00D45521"/>
    <w:rsid w:val="00D45771"/>
    <w:rsid w:val="00D458DE"/>
    <w:rsid w:val="00D45C17"/>
    <w:rsid w:val="00D45C5F"/>
    <w:rsid w:val="00D45C91"/>
    <w:rsid w:val="00D45CE1"/>
    <w:rsid w:val="00D4607F"/>
    <w:rsid w:val="00D460A0"/>
    <w:rsid w:val="00D46137"/>
    <w:rsid w:val="00D46223"/>
    <w:rsid w:val="00D46278"/>
    <w:rsid w:val="00D46333"/>
    <w:rsid w:val="00D46445"/>
    <w:rsid w:val="00D4661D"/>
    <w:rsid w:val="00D46634"/>
    <w:rsid w:val="00D466FB"/>
    <w:rsid w:val="00D467E7"/>
    <w:rsid w:val="00D4682E"/>
    <w:rsid w:val="00D4698A"/>
    <w:rsid w:val="00D46AB1"/>
    <w:rsid w:val="00D46B23"/>
    <w:rsid w:val="00D46C0F"/>
    <w:rsid w:val="00D46C2F"/>
    <w:rsid w:val="00D46D27"/>
    <w:rsid w:val="00D46E01"/>
    <w:rsid w:val="00D46E92"/>
    <w:rsid w:val="00D46ECB"/>
    <w:rsid w:val="00D47170"/>
    <w:rsid w:val="00D47181"/>
    <w:rsid w:val="00D471F1"/>
    <w:rsid w:val="00D47294"/>
    <w:rsid w:val="00D472EA"/>
    <w:rsid w:val="00D47317"/>
    <w:rsid w:val="00D47473"/>
    <w:rsid w:val="00D47583"/>
    <w:rsid w:val="00D475BF"/>
    <w:rsid w:val="00D477BE"/>
    <w:rsid w:val="00D477FE"/>
    <w:rsid w:val="00D479C3"/>
    <w:rsid w:val="00D47A02"/>
    <w:rsid w:val="00D47AA0"/>
    <w:rsid w:val="00D47B86"/>
    <w:rsid w:val="00D47CEC"/>
    <w:rsid w:val="00D5002C"/>
    <w:rsid w:val="00D50186"/>
    <w:rsid w:val="00D5020D"/>
    <w:rsid w:val="00D50217"/>
    <w:rsid w:val="00D50285"/>
    <w:rsid w:val="00D502F8"/>
    <w:rsid w:val="00D50357"/>
    <w:rsid w:val="00D5038B"/>
    <w:rsid w:val="00D50437"/>
    <w:rsid w:val="00D50674"/>
    <w:rsid w:val="00D5067B"/>
    <w:rsid w:val="00D50705"/>
    <w:rsid w:val="00D5080E"/>
    <w:rsid w:val="00D50A8E"/>
    <w:rsid w:val="00D50ADB"/>
    <w:rsid w:val="00D50BFA"/>
    <w:rsid w:val="00D50CD8"/>
    <w:rsid w:val="00D50D6F"/>
    <w:rsid w:val="00D50DF9"/>
    <w:rsid w:val="00D50ECF"/>
    <w:rsid w:val="00D50EDE"/>
    <w:rsid w:val="00D50F04"/>
    <w:rsid w:val="00D50F49"/>
    <w:rsid w:val="00D50FE1"/>
    <w:rsid w:val="00D5113C"/>
    <w:rsid w:val="00D51202"/>
    <w:rsid w:val="00D51275"/>
    <w:rsid w:val="00D51362"/>
    <w:rsid w:val="00D513B4"/>
    <w:rsid w:val="00D5147A"/>
    <w:rsid w:val="00D51548"/>
    <w:rsid w:val="00D5161E"/>
    <w:rsid w:val="00D516EF"/>
    <w:rsid w:val="00D51832"/>
    <w:rsid w:val="00D5183B"/>
    <w:rsid w:val="00D5188C"/>
    <w:rsid w:val="00D5193C"/>
    <w:rsid w:val="00D5197B"/>
    <w:rsid w:val="00D51A59"/>
    <w:rsid w:val="00D51AD5"/>
    <w:rsid w:val="00D51B8D"/>
    <w:rsid w:val="00D51BEC"/>
    <w:rsid w:val="00D51CE7"/>
    <w:rsid w:val="00D51D1E"/>
    <w:rsid w:val="00D51DD0"/>
    <w:rsid w:val="00D51EF0"/>
    <w:rsid w:val="00D51FFE"/>
    <w:rsid w:val="00D52380"/>
    <w:rsid w:val="00D523C3"/>
    <w:rsid w:val="00D5256C"/>
    <w:rsid w:val="00D5262B"/>
    <w:rsid w:val="00D526CA"/>
    <w:rsid w:val="00D52716"/>
    <w:rsid w:val="00D52778"/>
    <w:rsid w:val="00D527E4"/>
    <w:rsid w:val="00D52892"/>
    <w:rsid w:val="00D52B49"/>
    <w:rsid w:val="00D52DD7"/>
    <w:rsid w:val="00D52DFA"/>
    <w:rsid w:val="00D52FD6"/>
    <w:rsid w:val="00D532EE"/>
    <w:rsid w:val="00D53456"/>
    <w:rsid w:val="00D535AF"/>
    <w:rsid w:val="00D5365B"/>
    <w:rsid w:val="00D53788"/>
    <w:rsid w:val="00D537C0"/>
    <w:rsid w:val="00D537D1"/>
    <w:rsid w:val="00D53B7A"/>
    <w:rsid w:val="00D53B7D"/>
    <w:rsid w:val="00D53BBE"/>
    <w:rsid w:val="00D53C6E"/>
    <w:rsid w:val="00D53CD7"/>
    <w:rsid w:val="00D53E09"/>
    <w:rsid w:val="00D53FBD"/>
    <w:rsid w:val="00D54041"/>
    <w:rsid w:val="00D54495"/>
    <w:rsid w:val="00D544F4"/>
    <w:rsid w:val="00D54552"/>
    <w:rsid w:val="00D54664"/>
    <w:rsid w:val="00D546EE"/>
    <w:rsid w:val="00D5471C"/>
    <w:rsid w:val="00D5477D"/>
    <w:rsid w:val="00D54858"/>
    <w:rsid w:val="00D54868"/>
    <w:rsid w:val="00D549BE"/>
    <w:rsid w:val="00D549DF"/>
    <w:rsid w:val="00D54C52"/>
    <w:rsid w:val="00D54E0E"/>
    <w:rsid w:val="00D553A1"/>
    <w:rsid w:val="00D5560D"/>
    <w:rsid w:val="00D5576A"/>
    <w:rsid w:val="00D55890"/>
    <w:rsid w:val="00D558A7"/>
    <w:rsid w:val="00D559C6"/>
    <w:rsid w:val="00D559CD"/>
    <w:rsid w:val="00D55A5A"/>
    <w:rsid w:val="00D55ABF"/>
    <w:rsid w:val="00D55B86"/>
    <w:rsid w:val="00D55D01"/>
    <w:rsid w:val="00D55D3D"/>
    <w:rsid w:val="00D55E32"/>
    <w:rsid w:val="00D56063"/>
    <w:rsid w:val="00D560F9"/>
    <w:rsid w:val="00D56388"/>
    <w:rsid w:val="00D56400"/>
    <w:rsid w:val="00D5661D"/>
    <w:rsid w:val="00D566E1"/>
    <w:rsid w:val="00D56854"/>
    <w:rsid w:val="00D56A60"/>
    <w:rsid w:val="00D56A68"/>
    <w:rsid w:val="00D56A69"/>
    <w:rsid w:val="00D56B38"/>
    <w:rsid w:val="00D56C4C"/>
    <w:rsid w:val="00D56CCF"/>
    <w:rsid w:val="00D56DDF"/>
    <w:rsid w:val="00D56E06"/>
    <w:rsid w:val="00D56F4E"/>
    <w:rsid w:val="00D57010"/>
    <w:rsid w:val="00D57023"/>
    <w:rsid w:val="00D5703A"/>
    <w:rsid w:val="00D57069"/>
    <w:rsid w:val="00D570C6"/>
    <w:rsid w:val="00D57176"/>
    <w:rsid w:val="00D5721F"/>
    <w:rsid w:val="00D57333"/>
    <w:rsid w:val="00D573CD"/>
    <w:rsid w:val="00D5744C"/>
    <w:rsid w:val="00D5747D"/>
    <w:rsid w:val="00D57515"/>
    <w:rsid w:val="00D57578"/>
    <w:rsid w:val="00D57733"/>
    <w:rsid w:val="00D577DC"/>
    <w:rsid w:val="00D57811"/>
    <w:rsid w:val="00D57877"/>
    <w:rsid w:val="00D578DA"/>
    <w:rsid w:val="00D5793A"/>
    <w:rsid w:val="00D57A10"/>
    <w:rsid w:val="00D57B08"/>
    <w:rsid w:val="00D57C01"/>
    <w:rsid w:val="00D57CB7"/>
    <w:rsid w:val="00D57CF2"/>
    <w:rsid w:val="00D57D4F"/>
    <w:rsid w:val="00D57E1B"/>
    <w:rsid w:val="00D57EA8"/>
    <w:rsid w:val="00D57ED5"/>
    <w:rsid w:val="00D57F0B"/>
    <w:rsid w:val="00D6004B"/>
    <w:rsid w:val="00D60072"/>
    <w:rsid w:val="00D6013A"/>
    <w:rsid w:val="00D60174"/>
    <w:rsid w:val="00D60194"/>
    <w:rsid w:val="00D601EF"/>
    <w:rsid w:val="00D6030E"/>
    <w:rsid w:val="00D60312"/>
    <w:rsid w:val="00D60321"/>
    <w:rsid w:val="00D603B0"/>
    <w:rsid w:val="00D60437"/>
    <w:rsid w:val="00D6046A"/>
    <w:rsid w:val="00D60550"/>
    <w:rsid w:val="00D60569"/>
    <w:rsid w:val="00D60572"/>
    <w:rsid w:val="00D6058D"/>
    <w:rsid w:val="00D60794"/>
    <w:rsid w:val="00D607E6"/>
    <w:rsid w:val="00D60823"/>
    <w:rsid w:val="00D60896"/>
    <w:rsid w:val="00D60AF5"/>
    <w:rsid w:val="00D60B8F"/>
    <w:rsid w:val="00D60B99"/>
    <w:rsid w:val="00D60D43"/>
    <w:rsid w:val="00D60D55"/>
    <w:rsid w:val="00D60DB5"/>
    <w:rsid w:val="00D60E44"/>
    <w:rsid w:val="00D60F4A"/>
    <w:rsid w:val="00D60FD8"/>
    <w:rsid w:val="00D612B4"/>
    <w:rsid w:val="00D612EC"/>
    <w:rsid w:val="00D6131D"/>
    <w:rsid w:val="00D61341"/>
    <w:rsid w:val="00D61373"/>
    <w:rsid w:val="00D6141A"/>
    <w:rsid w:val="00D614F8"/>
    <w:rsid w:val="00D615F0"/>
    <w:rsid w:val="00D61683"/>
    <w:rsid w:val="00D616DE"/>
    <w:rsid w:val="00D6176A"/>
    <w:rsid w:val="00D61788"/>
    <w:rsid w:val="00D61828"/>
    <w:rsid w:val="00D61987"/>
    <w:rsid w:val="00D619AF"/>
    <w:rsid w:val="00D61A29"/>
    <w:rsid w:val="00D61A2A"/>
    <w:rsid w:val="00D61AD9"/>
    <w:rsid w:val="00D61AE7"/>
    <w:rsid w:val="00D61B98"/>
    <w:rsid w:val="00D61BE0"/>
    <w:rsid w:val="00D61C32"/>
    <w:rsid w:val="00D61DDC"/>
    <w:rsid w:val="00D61DE9"/>
    <w:rsid w:val="00D61F68"/>
    <w:rsid w:val="00D620C7"/>
    <w:rsid w:val="00D6213F"/>
    <w:rsid w:val="00D62169"/>
    <w:rsid w:val="00D6220D"/>
    <w:rsid w:val="00D622B4"/>
    <w:rsid w:val="00D625F6"/>
    <w:rsid w:val="00D6269B"/>
    <w:rsid w:val="00D62708"/>
    <w:rsid w:val="00D6274E"/>
    <w:rsid w:val="00D627DC"/>
    <w:rsid w:val="00D62ABE"/>
    <w:rsid w:val="00D62AE8"/>
    <w:rsid w:val="00D62BF9"/>
    <w:rsid w:val="00D62D64"/>
    <w:rsid w:val="00D62DB1"/>
    <w:rsid w:val="00D62EC7"/>
    <w:rsid w:val="00D62F70"/>
    <w:rsid w:val="00D62FC1"/>
    <w:rsid w:val="00D6304B"/>
    <w:rsid w:val="00D6308E"/>
    <w:rsid w:val="00D63287"/>
    <w:rsid w:val="00D632CD"/>
    <w:rsid w:val="00D63358"/>
    <w:rsid w:val="00D634B3"/>
    <w:rsid w:val="00D6365C"/>
    <w:rsid w:val="00D6366A"/>
    <w:rsid w:val="00D636FC"/>
    <w:rsid w:val="00D637F5"/>
    <w:rsid w:val="00D63833"/>
    <w:rsid w:val="00D63A2A"/>
    <w:rsid w:val="00D63B01"/>
    <w:rsid w:val="00D63D2D"/>
    <w:rsid w:val="00D63DAD"/>
    <w:rsid w:val="00D63E6B"/>
    <w:rsid w:val="00D63EA7"/>
    <w:rsid w:val="00D640AC"/>
    <w:rsid w:val="00D64157"/>
    <w:rsid w:val="00D6424A"/>
    <w:rsid w:val="00D6429C"/>
    <w:rsid w:val="00D64390"/>
    <w:rsid w:val="00D64406"/>
    <w:rsid w:val="00D64470"/>
    <w:rsid w:val="00D644D8"/>
    <w:rsid w:val="00D644F0"/>
    <w:rsid w:val="00D64528"/>
    <w:rsid w:val="00D64541"/>
    <w:rsid w:val="00D6471F"/>
    <w:rsid w:val="00D6480F"/>
    <w:rsid w:val="00D6487D"/>
    <w:rsid w:val="00D6496B"/>
    <w:rsid w:val="00D64975"/>
    <w:rsid w:val="00D6498E"/>
    <w:rsid w:val="00D64DE2"/>
    <w:rsid w:val="00D64F1C"/>
    <w:rsid w:val="00D64F30"/>
    <w:rsid w:val="00D64F56"/>
    <w:rsid w:val="00D650C9"/>
    <w:rsid w:val="00D6510D"/>
    <w:rsid w:val="00D65201"/>
    <w:rsid w:val="00D6520B"/>
    <w:rsid w:val="00D652DE"/>
    <w:rsid w:val="00D652FB"/>
    <w:rsid w:val="00D653FC"/>
    <w:rsid w:val="00D65406"/>
    <w:rsid w:val="00D65584"/>
    <w:rsid w:val="00D65637"/>
    <w:rsid w:val="00D656E3"/>
    <w:rsid w:val="00D65A39"/>
    <w:rsid w:val="00D65D19"/>
    <w:rsid w:val="00D65F3E"/>
    <w:rsid w:val="00D65F58"/>
    <w:rsid w:val="00D65F89"/>
    <w:rsid w:val="00D6615C"/>
    <w:rsid w:val="00D66265"/>
    <w:rsid w:val="00D663C1"/>
    <w:rsid w:val="00D6642C"/>
    <w:rsid w:val="00D66541"/>
    <w:rsid w:val="00D66551"/>
    <w:rsid w:val="00D6656A"/>
    <w:rsid w:val="00D6662B"/>
    <w:rsid w:val="00D667A6"/>
    <w:rsid w:val="00D66912"/>
    <w:rsid w:val="00D66A8A"/>
    <w:rsid w:val="00D66ABE"/>
    <w:rsid w:val="00D66B27"/>
    <w:rsid w:val="00D6707C"/>
    <w:rsid w:val="00D6711B"/>
    <w:rsid w:val="00D67356"/>
    <w:rsid w:val="00D6755C"/>
    <w:rsid w:val="00D67656"/>
    <w:rsid w:val="00D677B9"/>
    <w:rsid w:val="00D67A90"/>
    <w:rsid w:val="00D67AE1"/>
    <w:rsid w:val="00D67C3E"/>
    <w:rsid w:val="00D67CDE"/>
    <w:rsid w:val="00D67D3A"/>
    <w:rsid w:val="00D67D8C"/>
    <w:rsid w:val="00D67E5F"/>
    <w:rsid w:val="00D67E60"/>
    <w:rsid w:val="00D7001C"/>
    <w:rsid w:val="00D701FF"/>
    <w:rsid w:val="00D70241"/>
    <w:rsid w:val="00D7025A"/>
    <w:rsid w:val="00D70329"/>
    <w:rsid w:val="00D70431"/>
    <w:rsid w:val="00D70448"/>
    <w:rsid w:val="00D70479"/>
    <w:rsid w:val="00D704B7"/>
    <w:rsid w:val="00D704FB"/>
    <w:rsid w:val="00D70569"/>
    <w:rsid w:val="00D70604"/>
    <w:rsid w:val="00D7085C"/>
    <w:rsid w:val="00D70B0E"/>
    <w:rsid w:val="00D70BBB"/>
    <w:rsid w:val="00D70EA2"/>
    <w:rsid w:val="00D70EF8"/>
    <w:rsid w:val="00D70FEC"/>
    <w:rsid w:val="00D70FF0"/>
    <w:rsid w:val="00D71074"/>
    <w:rsid w:val="00D7109A"/>
    <w:rsid w:val="00D710AD"/>
    <w:rsid w:val="00D71114"/>
    <w:rsid w:val="00D71140"/>
    <w:rsid w:val="00D71154"/>
    <w:rsid w:val="00D71159"/>
    <w:rsid w:val="00D711E7"/>
    <w:rsid w:val="00D71240"/>
    <w:rsid w:val="00D71247"/>
    <w:rsid w:val="00D71278"/>
    <w:rsid w:val="00D713A6"/>
    <w:rsid w:val="00D714D0"/>
    <w:rsid w:val="00D71563"/>
    <w:rsid w:val="00D71586"/>
    <w:rsid w:val="00D715BB"/>
    <w:rsid w:val="00D717D8"/>
    <w:rsid w:val="00D71805"/>
    <w:rsid w:val="00D71821"/>
    <w:rsid w:val="00D7184D"/>
    <w:rsid w:val="00D718E0"/>
    <w:rsid w:val="00D71B76"/>
    <w:rsid w:val="00D71BA8"/>
    <w:rsid w:val="00D71BDE"/>
    <w:rsid w:val="00D71D96"/>
    <w:rsid w:val="00D71DC8"/>
    <w:rsid w:val="00D71EC2"/>
    <w:rsid w:val="00D72053"/>
    <w:rsid w:val="00D720C8"/>
    <w:rsid w:val="00D721E6"/>
    <w:rsid w:val="00D7232A"/>
    <w:rsid w:val="00D724E7"/>
    <w:rsid w:val="00D72542"/>
    <w:rsid w:val="00D72554"/>
    <w:rsid w:val="00D72613"/>
    <w:rsid w:val="00D72722"/>
    <w:rsid w:val="00D7289B"/>
    <w:rsid w:val="00D729B8"/>
    <w:rsid w:val="00D72AA5"/>
    <w:rsid w:val="00D72B76"/>
    <w:rsid w:val="00D72B99"/>
    <w:rsid w:val="00D72C21"/>
    <w:rsid w:val="00D72C63"/>
    <w:rsid w:val="00D72E6F"/>
    <w:rsid w:val="00D732C4"/>
    <w:rsid w:val="00D73333"/>
    <w:rsid w:val="00D73338"/>
    <w:rsid w:val="00D73364"/>
    <w:rsid w:val="00D733B4"/>
    <w:rsid w:val="00D73460"/>
    <w:rsid w:val="00D734C5"/>
    <w:rsid w:val="00D7361A"/>
    <w:rsid w:val="00D736DC"/>
    <w:rsid w:val="00D737DD"/>
    <w:rsid w:val="00D7399A"/>
    <w:rsid w:val="00D73B72"/>
    <w:rsid w:val="00D73B8E"/>
    <w:rsid w:val="00D73BF2"/>
    <w:rsid w:val="00D73D10"/>
    <w:rsid w:val="00D73D16"/>
    <w:rsid w:val="00D73DB1"/>
    <w:rsid w:val="00D73E97"/>
    <w:rsid w:val="00D74057"/>
    <w:rsid w:val="00D74163"/>
    <w:rsid w:val="00D74226"/>
    <w:rsid w:val="00D7422A"/>
    <w:rsid w:val="00D7424A"/>
    <w:rsid w:val="00D74373"/>
    <w:rsid w:val="00D743CF"/>
    <w:rsid w:val="00D7474F"/>
    <w:rsid w:val="00D747E8"/>
    <w:rsid w:val="00D74808"/>
    <w:rsid w:val="00D748D5"/>
    <w:rsid w:val="00D74A82"/>
    <w:rsid w:val="00D74B89"/>
    <w:rsid w:val="00D74C24"/>
    <w:rsid w:val="00D74CDF"/>
    <w:rsid w:val="00D74CE1"/>
    <w:rsid w:val="00D74E29"/>
    <w:rsid w:val="00D74E62"/>
    <w:rsid w:val="00D7509E"/>
    <w:rsid w:val="00D7520E"/>
    <w:rsid w:val="00D75216"/>
    <w:rsid w:val="00D75250"/>
    <w:rsid w:val="00D752DD"/>
    <w:rsid w:val="00D75394"/>
    <w:rsid w:val="00D753F9"/>
    <w:rsid w:val="00D75407"/>
    <w:rsid w:val="00D7552D"/>
    <w:rsid w:val="00D75598"/>
    <w:rsid w:val="00D7563D"/>
    <w:rsid w:val="00D75683"/>
    <w:rsid w:val="00D75692"/>
    <w:rsid w:val="00D757CD"/>
    <w:rsid w:val="00D758C5"/>
    <w:rsid w:val="00D758FA"/>
    <w:rsid w:val="00D75904"/>
    <w:rsid w:val="00D75AB7"/>
    <w:rsid w:val="00D75ADC"/>
    <w:rsid w:val="00D75CFC"/>
    <w:rsid w:val="00D75D0F"/>
    <w:rsid w:val="00D75DB4"/>
    <w:rsid w:val="00D75E3A"/>
    <w:rsid w:val="00D75EB9"/>
    <w:rsid w:val="00D75EF4"/>
    <w:rsid w:val="00D76131"/>
    <w:rsid w:val="00D7621A"/>
    <w:rsid w:val="00D7629C"/>
    <w:rsid w:val="00D76327"/>
    <w:rsid w:val="00D7637A"/>
    <w:rsid w:val="00D76432"/>
    <w:rsid w:val="00D76450"/>
    <w:rsid w:val="00D76547"/>
    <w:rsid w:val="00D768F1"/>
    <w:rsid w:val="00D76931"/>
    <w:rsid w:val="00D7693C"/>
    <w:rsid w:val="00D76B99"/>
    <w:rsid w:val="00D76CD6"/>
    <w:rsid w:val="00D76CD9"/>
    <w:rsid w:val="00D76D44"/>
    <w:rsid w:val="00D76F03"/>
    <w:rsid w:val="00D7714E"/>
    <w:rsid w:val="00D77155"/>
    <w:rsid w:val="00D7730E"/>
    <w:rsid w:val="00D7732B"/>
    <w:rsid w:val="00D7736C"/>
    <w:rsid w:val="00D77370"/>
    <w:rsid w:val="00D776D9"/>
    <w:rsid w:val="00D77712"/>
    <w:rsid w:val="00D7771F"/>
    <w:rsid w:val="00D7788B"/>
    <w:rsid w:val="00D7791A"/>
    <w:rsid w:val="00D77A20"/>
    <w:rsid w:val="00D77A8E"/>
    <w:rsid w:val="00D77AF5"/>
    <w:rsid w:val="00D77B32"/>
    <w:rsid w:val="00D77D2C"/>
    <w:rsid w:val="00D77DA4"/>
    <w:rsid w:val="00D77DF6"/>
    <w:rsid w:val="00D77ED5"/>
    <w:rsid w:val="00D80157"/>
    <w:rsid w:val="00D8015A"/>
    <w:rsid w:val="00D802C4"/>
    <w:rsid w:val="00D8032D"/>
    <w:rsid w:val="00D80442"/>
    <w:rsid w:val="00D80457"/>
    <w:rsid w:val="00D80472"/>
    <w:rsid w:val="00D80498"/>
    <w:rsid w:val="00D80500"/>
    <w:rsid w:val="00D805A9"/>
    <w:rsid w:val="00D805AC"/>
    <w:rsid w:val="00D80724"/>
    <w:rsid w:val="00D80781"/>
    <w:rsid w:val="00D807E3"/>
    <w:rsid w:val="00D809F5"/>
    <w:rsid w:val="00D80A80"/>
    <w:rsid w:val="00D80BB2"/>
    <w:rsid w:val="00D80C57"/>
    <w:rsid w:val="00D80DA6"/>
    <w:rsid w:val="00D80E39"/>
    <w:rsid w:val="00D80EFF"/>
    <w:rsid w:val="00D8101E"/>
    <w:rsid w:val="00D81223"/>
    <w:rsid w:val="00D81316"/>
    <w:rsid w:val="00D8137B"/>
    <w:rsid w:val="00D81392"/>
    <w:rsid w:val="00D813FA"/>
    <w:rsid w:val="00D815B7"/>
    <w:rsid w:val="00D817DB"/>
    <w:rsid w:val="00D8195E"/>
    <w:rsid w:val="00D81A67"/>
    <w:rsid w:val="00D81D02"/>
    <w:rsid w:val="00D81D69"/>
    <w:rsid w:val="00D81D7E"/>
    <w:rsid w:val="00D81E7D"/>
    <w:rsid w:val="00D82248"/>
    <w:rsid w:val="00D8242F"/>
    <w:rsid w:val="00D8245E"/>
    <w:rsid w:val="00D824D3"/>
    <w:rsid w:val="00D8254B"/>
    <w:rsid w:val="00D8255C"/>
    <w:rsid w:val="00D82922"/>
    <w:rsid w:val="00D82B14"/>
    <w:rsid w:val="00D82B2C"/>
    <w:rsid w:val="00D82B9D"/>
    <w:rsid w:val="00D82D5C"/>
    <w:rsid w:val="00D82F27"/>
    <w:rsid w:val="00D830A8"/>
    <w:rsid w:val="00D830D5"/>
    <w:rsid w:val="00D83144"/>
    <w:rsid w:val="00D831FE"/>
    <w:rsid w:val="00D83275"/>
    <w:rsid w:val="00D8342A"/>
    <w:rsid w:val="00D835C2"/>
    <w:rsid w:val="00D8360F"/>
    <w:rsid w:val="00D837DA"/>
    <w:rsid w:val="00D83853"/>
    <w:rsid w:val="00D8393B"/>
    <w:rsid w:val="00D8393C"/>
    <w:rsid w:val="00D83ABD"/>
    <w:rsid w:val="00D83B5B"/>
    <w:rsid w:val="00D83C09"/>
    <w:rsid w:val="00D83CF2"/>
    <w:rsid w:val="00D83D15"/>
    <w:rsid w:val="00D83D72"/>
    <w:rsid w:val="00D840EB"/>
    <w:rsid w:val="00D841E7"/>
    <w:rsid w:val="00D8423E"/>
    <w:rsid w:val="00D842AF"/>
    <w:rsid w:val="00D8435C"/>
    <w:rsid w:val="00D843E4"/>
    <w:rsid w:val="00D84520"/>
    <w:rsid w:val="00D84536"/>
    <w:rsid w:val="00D84628"/>
    <w:rsid w:val="00D847A7"/>
    <w:rsid w:val="00D847F2"/>
    <w:rsid w:val="00D8495C"/>
    <w:rsid w:val="00D84B26"/>
    <w:rsid w:val="00D84B4D"/>
    <w:rsid w:val="00D84D4E"/>
    <w:rsid w:val="00D84FB5"/>
    <w:rsid w:val="00D85095"/>
    <w:rsid w:val="00D85131"/>
    <w:rsid w:val="00D851BC"/>
    <w:rsid w:val="00D852F4"/>
    <w:rsid w:val="00D85324"/>
    <w:rsid w:val="00D85332"/>
    <w:rsid w:val="00D8533F"/>
    <w:rsid w:val="00D853C2"/>
    <w:rsid w:val="00D85446"/>
    <w:rsid w:val="00D856E2"/>
    <w:rsid w:val="00D857E3"/>
    <w:rsid w:val="00D85861"/>
    <w:rsid w:val="00D85911"/>
    <w:rsid w:val="00D85912"/>
    <w:rsid w:val="00D859A1"/>
    <w:rsid w:val="00D85A6E"/>
    <w:rsid w:val="00D85ACB"/>
    <w:rsid w:val="00D85AEB"/>
    <w:rsid w:val="00D85C0D"/>
    <w:rsid w:val="00D85C51"/>
    <w:rsid w:val="00D85D44"/>
    <w:rsid w:val="00D85E1B"/>
    <w:rsid w:val="00D85E55"/>
    <w:rsid w:val="00D85FCD"/>
    <w:rsid w:val="00D8608D"/>
    <w:rsid w:val="00D86231"/>
    <w:rsid w:val="00D8626A"/>
    <w:rsid w:val="00D863A8"/>
    <w:rsid w:val="00D865C3"/>
    <w:rsid w:val="00D865D2"/>
    <w:rsid w:val="00D8674E"/>
    <w:rsid w:val="00D867BB"/>
    <w:rsid w:val="00D8680A"/>
    <w:rsid w:val="00D8691B"/>
    <w:rsid w:val="00D86AE9"/>
    <w:rsid w:val="00D86B39"/>
    <w:rsid w:val="00D86BD0"/>
    <w:rsid w:val="00D86BFC"/>
    <w:rsid w:val="00D86C65"/>
    <w:rsid w:val="00D86CB3"/>
    <w:rsid w:val="00D86E80"/>
    <w:rsid w:val="00D86E9F"/>
    <w:rsid w:val="00D86FAA"/>
    <w:rsid w:val="00D86FB8"/>
    <w:rsid w:val="00D8701B"/>
    <w:rsid w:val="00D8708D"/>
    <w:rsid w:val="00D8712C"/>
    <w:rsid w:val="00D87161"/>
    <w:rsid w:val="00D87174"/>
    <w:rsid w:val="00D871EB"/>
    <w:rsid w:val="00D87233"/>
    <w:rsid w:val="00D8726A"/>
    <w:rsid w:val="00D87461"/>
    <w:rsid w:val="00D874E1"/>
    <w:rsid w:val="00D875A6"/>
    <w:rsid w:val="00D876DA"/>
    <w:rsid w:val="00D8782F"/>
    <w:rsid w:val="00D878EF"/>
    <w:rsid w:val="00D879E9"/>
    <w:rsid w:val="00D87AD3"/>
    <w:rsid w:val="00D87C59"/>
    <w:rsid w:val="00D87DA3"/>
    <w:rsid w:val="00D87E7C"/>
    <w:rsid w:val="00D87F2E"/>
    <w:rsid w:val="00D87F55"/>
    <w:rsid w:val="00D90043"/>
    <w:rsid w:val="00D90221"/>
    <w:rsid w:val="00D90246"/>
    <w:rsid w:val="00D9053E"/>
    <w:rsid w:val="00D90986"/>
    <w:rsid w:val="00D90A5E"/>
    <w:rsid w:val="00D90C79"/>
    <w:rsid w:val="00D90DAF"/>
    <w:rsid w:val="00D90DC2"/>
    <w:rsid w:val="00D90EE0"/>
    <w:rsid w:val="00D90F61"/>
    <w:rsid w:val="00D90FC0"/>
    <w:rsid w:val="00D910DF"/>
    <w:rsid w:val="00D9129E"/>
    <w:rsid w:val="00D91473"/>
    <w:rsid w:val="00D91498"/>
    <w:rsid w:val="00D91510"/>
    <w:rsid w:val="00D91591"/>
    <w:rsid w:val="00D91596"/>
    <w:rsid w:val="00D915C9"/>
    <w:rsid w:val="00D915E4"/>
    <w:rsid w:val="00D91768"/>
    <w:rsid w:val="00D917E4"/>
    <w:rsid w:val="00D917F2"/>
    <w:rsid w:val="00D91964"/>
    <w:rsid w:val="00D91A27"/>
    <w:rsid w:val="00D91A5E"/>
    <w:rsid w:val="00D91ACA"/>
    <w:rsid w:val="00D91C91"/>
    <w:rsid w:val="00D91DF8"/>
    <w:rsid w:val="00D91EC3"/>
    <w:rsid w:val="00D91F90"/>
    <w:rsid w:val="00D920C6"/>
    <w:rsid w:val="00D92174"/>
    <w:rsid w:val="00D921D3"/>
    <w:rsid w:val="00D923EE"/>
    <w:rsid w:val="00D9247C"/>
    <w:rsid w:val="00D9250D"/>
    <w:rsid w:val="00D92582"/>
    <w:rsid w:val="00D926D3"/>
    <w:rsid w:val="00D929A8"/>
    <w:rsid w:val="00D92AA2"/>
    <w:rsid w:val="00D92E81"/>
    <w:rsid w:val="00D93097"/>
    <w:rsid w:val="00D9311D"/>
    <w:rsid w:val="00D93280"/>
    <w:rsid w:val="00D93368"/>
    <w:rsid w:val="00D935D4"/>
    <w:rsid w:val="00D9374C"/>
    <w:rsid w:val="00D937FA"/>
    <w:rsid w:val="00D9381D"/>
    <w:rsid w:val="00D9383B"/>
    <w:rsid w:val="00D938E6"/>
    <w:rsid w:val="00D938F0"/>
    <w:rsid w:val="00D939AB"/>
    <w:rsid w:val="00D939FB"/>
    <w:rsid w:val="00D93AE3"/>
    <w:rsid w:val="00D93D4B"/>
    <w:rsid w:val="00D93E9C"/>
    <w:rsid w:val="00D93FAA"/>
    <w:rsid w:val="00D94049"/>
    <w:rsid w:val="00D940A2"/>
    <w:rsid w:val="00D940F2"/>
    <w:rsid w:val="00D94372"/>
    <w:rsid w:val="00D943E9"/>
    <w:rsid w:val="00D944A3"/>
    <w:rsid w:val="00D946BA"/>
    <w:rsid w:val="00D9473E"/>
    <w:rsid w:val="00D9483B"/>
    <w:rsid w:val="00D94890"/>
    <w:rsid w:val="00D948E2"/>
    <w:rsid w:val="00D94AA0"/>
    <w:rsid w:val="00D94B63"/>
    <w:rsid w:val="00D94C03"/>
    <w:rsid w:val="00D94CAB"/>
    <w:rsid w:val="00D94D7C"/>
    <w:rsid w:val="00D94DCD"/>
    <w:rsid w:val="00D94EEA"/>
    <w:rsid w:val="00D94F28"/>
    <w:rsid w:val="00D95066"/>
    <w:rsid w:val="00D95157"/>
    <w:rsid w:val="00D95187"/>
    <w:rsid w:val="00D951B2"/>
    <w:rsid w:val="00D951FA"/>
    <w:rsid w:val="00D951FF"/>
    <w:rsid w:val="00D95391"/>
    <w:rsid w:val="00D95586"/>
    <w:rsid w:val="00D956EC"/>
    <w:rsid w:val="00D95884"/>
    <w:rsid w:val="00D958D3"/>
    <w:rsid w:val="00D958E4"/>
    <w:rsid w:val="00D95CA4"/>
    <w:rsid w:val="00D95D09"/>
    <w:rsid w:val="00D95E57"/>
    <w:rsid w:val="00D95FB1"/>
    <w:rsid w:val="00D95FBC"/>
    <w:rsid w:val="00D961ED"/>
    <w:rsid w:val="00D96234"/>
    <w:rsid w:val="00D966EA"/>
    <w:rsid w:val="00D96951"/>
    <w:rsid w:val="00D96B22"/>
    <w:rsid w:val="00D96C53"/>
    <w:rsid w:val="00D96CAE"/>
    <w:rsid w:val="00D96CC6"/>
    <w:rsid w:val="00D96D01"/>
    <w:rsid w:val="00D96D24"/>
    <w:rsid w:val="00D96EF1"/>
    <w:rsid w:val="00D96EFF"/>
    <w:rsid w:val="00D96F1E"/>
    <w:rsid w:val="00D97064"/>
    <w:rsid w:val="00D970D8"/>
    <w:rsid w:val="00D97248"/>
    <w:rsid w:val="00D97251"/>
    <w:rsid w:val="00D972A9"/>
    <w:rsid w:val="00D972AB"/>
    <w:rsid w:val="00D97328"/>
    <w:rsid w:val="00D97361"/>
    <w:rsid w:val="00D97362"/>
    <w:rsid w:val="00D975F3"/>
    <w:rsid w:val="00D976E2"/>
    <w:rsid w:val="00D977BA"/>
    <w:rsid w:val="00D978D8"/>
    <w:rsid w:val="00D979F0"/>
    <w:rsid w:val="00D97AD0"/>
    <w:rsid w:val="00D97B2B"/>
    <w:rsid w:val="00D97C59"/>
    <w:rsid w:val="00D97CCF"/>
    <w:rsid w:val="00D97D70"/>
    <w:rsid w:val="00D97E1C"/>
    <w:rsid w:val="00D97F40"/>
    <w:rsid w:val="00D97F96"/>
    <w:rsid w:val="00DA0276"/>
    <w:rsid w:val="00DA044A"/>
    <w:rsid w:val="00DA0509"/>
    <w:rsid w:val="00DA0521"/>
    <w:rsid w:val="00DA0522"/>
    <w:rsid w:val="00DA0600"/>
    <w:rsid w:val="00DA0695"/>
    <w:rsid w:val="00DA079F"/>
    <w:rsid w:val="00DA0829"/>
    <w:rsid w:val="00DA09E7"/>
    <w:rsid w:val="00DA0A7D"/>
    <w:rsid w:val="00DA0B38"/>
    <w:rsid w:val="00DA0B73"/>
    <w:rsid w:val="00DA0E5E"/>
    <w:rsid w:val="00DA0EC9"/>
    <w:rsid w:val="00DA0EE4"/>
    <w:rsid w:val="00DA0F4C"/>
    <w:rsid w:val="00DA1026"/>
    <w:rsid w:val="00DA1088"/>
    <w:rsid w:val="00DA1303"/>
    <w:rsid w:val="00DA136A"/>
    <w:rsid w:val="00DA13CB"/>
    <w:rsid w:val="00DA145B"/>
    <w:rsid w:val="00DA15F5"/>
    <w:rsid w:val="00DA1725"/>
    <w:rsid w:val="00DA181F"/>
    <w:rsid w:val="00DA1865"/>
    <w:rsid w:val="00DA19A2"/>
    <w:rsid w:val="00DA1C6E"/>
    <w:rsid w:val="00DA1E08"/>
    <w:rsid w:val="00DA1EC3"/>
    <w:rsid w:val="00DA1F0F"/>
    <w:rsid w:val="00DA2024"/>
    <w:rsid w:val="00DA2090"/>
    <w:rsid w:val="00DA2111"/>
    <w:rsid w:val="00DA2226"/>
    <w:rsid w:val="00DA2463"/>
    <w:rsid w:val="00DA2562"/>
    <w:rsid w:val="00DA2567"/>
    <w:rsid w:val="00DA2621"/>
    <w:rsid w:val="00DA267E"/>
    <w:rsid w:val="00DA2870"/>
    <w:rsid w:val="00DA2896"/>
    <w:rsid w:val="00DA291D"/>
    <w:rsid w:val="00DA295F"/>
    <w:rsid w:val="00DA296C"/>
    <w:rsid w:val="00DA298F"/>
    <w:rsid w:val="00DA29BE"/>
    <w:rsid w:val="00DA2AED"/>
    <w:rsid w:val="00DA2C84"/>
    <w:rsid w:val="00DA2D9D"/>
    <w:rsid w:val="00DA2E05"/>
    <w:rsid w:val="00DA2F6E"/>
    <w:rsid w:val="00DA30F4"/>
    <w:rsid w:val="00DA31DA"/>
    <w:rsid w:val="00DA32AB"/>
    <w:rsid w:val="00DA3345"/>
    <w:rsid w:val="00DA3510"/>
    <w:rsid w:val="00DA3942"/>
    <w:rsid w:val="00DA39D3"/>
    <w:rsid w:val="00DA39FC"/>
    <w:rsid w:val="00DA3BDB"/>
    <w:rsid w:val="00DA3BEF"/>
    <w:rsid w:val="00DA3C5E"/>
    <w:rsid w:val="00DA3CF8"/>
    <w:rsid w:val="00DA3E92"/>
    <w:rsid w:val="00DA400F"/>
    <w:rsid w:val="00DA40CD"/>
    <w:rsid w:val="00DA40D2"/>
    <w:rsid w:val="00DA424E"/>
    <w:rsid w:val="00DA4291"/>
    <w:rsid w:val="00DA42EC"/>
    <w:rsid w:val="00DA432C"/>
    <w:rsid w:val="00DA45C9"/>
    <w:rsid w:val="00DA47AA"/>
    <w:rsid w:val="00DA47B5"/>
    <w:rsid w:val="00DA48C9"/>
    <w:rsid w:val="00DA493E"/>
    <w:rsid w:val="00DA498D"/>
    <w:rsid w:val="00DA49CA"/>
    <w:rsid w:val="00DA4AFD"/>
    <w:rsid w:val="00DA4B1E"/>
    <w:rsid w:val="00DA4B99"/>
    <w:rsid w:val="00DA4CA3"/>
    <w:rsid w:val="00DA4DAE"/>
    <w:rsid w:val="00DA4E20"/>
    <w:rsid w:val="00DA4F39"/>
    <w:rsid w:val="00DA4F59"/>
    <w:rsid w:val="00DA5121"/>
    <w:rsid w:val="00DA5195"/>
    <w:rsid w:val="00DA5481"/>
    <w:rsid w:val="00DA5540"/>
    <w:rsid w:val="00DA562C"/>
    <w:rsid w:val="00DA569F"/>
    <w:rsid w:val="00DA58BD"/>
    <w:rsid w:val="00DA58D0"/>
    <w:rsid w:val="00DA58FC"/>
    <w:rsid w:val="00DA59D3"/>
    <w:rsid w:val="00DA5AD3"/>
    <w:rsid w:val="00DA5AE8"/>
    <w:rsid w:val="00DA5C19"/>
    <w:rsid w:val="00DA5CEB"/>
    <w:rsid w:val="00DA5EA3"/>
    <w:rsid w:val="00DA5F97"/>
    <w:rsid w:val="00DA606D"/>
    <w:rsid w:val="00DA607A"/>
    <w:rsid w:val="00DA6128"/>
    <w:rsid w:val="00DA62A2"/>
    <w:rsid w:val="00DA630F"/>
    <w:rsid w:val="00DA6567"/>
    <w:rsid w:val="00DA661B"/>
    <w:rsid w:val="00DA6729"/>
    <w:rsid w:val="00DA6747"/>
    <w:rsid w:val="00DA68F7"/>
    <w:rsid w:val="00DA6A58"/>
    <w:rsid w:val="00DA6C4F"/>
    <w:rsid w:val="00DA6CF7"/>
    <w:rsid w:val="00DA6F24"/>
    <w:rsid w:val="00DA6F47"/>
    <w:rsid w:val="00DA6F49"/>
    <w:rsid w:val="00DA6F7C"/>
    <w:rsid w:val="00DA7007"/>
    <w:rsid w:val="00DA70C0"/>
    <w:rsid w:val="00DA70FD"/>
    <w:rsid w:val="00DA736D"/>
    <w:rsid w:val="00DA74E1"/>
    <w:rsid w:val="00DA76AB"/>
    <w:rsid w:val="00DA7747"/>
    <w:rsid w:val="00DA77AB"/>
    <w:rsid w:val="00DA77CC"/>
    <w:rsid w:val="00DA796F"/>
    <w:rsid w:val="00DA79FA"/>
    <w:rsid w:val="00DA7A5A"/>
    <w:rsid w:val="00DA7B7C"/>
    <w:rsid w:val="00DA7C7C"/>
    <w:rsid w:val="00DA7CCD"/>
    <w:rsid w:val="00DA7D68"/>
    <w:rsid w:val="00DA7E2C"/>
    <w:rsid w:val="00DA7F22"/>
    <w:rsid w:val="00DA7F3C"/>
    <w:rsid w:val="00DA7FDE"/>
    <w:rsid w:val="00DB004B"/>
    <w:rsid w:val="00DB00D9"/>
    <w:rsid w:val="00DB01B2"/>
    <w:rsid w:val="00DB01C2"/>
    <w:rsid w:val="00DB01ED"/>
    <w:rsid w:val="00DB0211"/>
    <w:rsid w:val="00DB022F"/>
    <w:rsid w:val="00DB032C"/>
    <w:rsid w:val="00DB0388"/>
    <w:rsid w:val="00DB03BB"/>
    <w:rsid w:val="00DB04AE"/>
    <w:rsid w:val="00DB06C1"/>
    <w:rsid w:val="00DB08DD"/>
    <w:rsid w:val="00DB0A11"/>
    <w:rsid w:val="00DB0AD5"/>
    <w:rsid w:val="00DB0BA6"/>
    <w:rsid w:val="00DB0D44"/>
    <w:rsid w:val="00DB0DBD"/>
    <w:rsid w:val="00DB0E81"/>
    <w:rsid w:val="00DB1060"/>
    <w:rsid w:val="00DB10A2"/>
    <w:rsid w:val="00DB11A8"/>
    <w:rsid w:val="00DB12D2"/>
    <w:rsid w:val="00DB132B"/>
    <w:rsid w:val="00DB1340"/>
    <w:rsid w:val="00DB1805"/>
    <w:rsid w:val="00DB1B64"/>
    <w:rsid w:val="00DB1D06"/>
    <w:rsid w:val="00DB1E2E"/>
    <w:rsid w:val="00DB1E31"/>
    <w:rsid w:val="00DB1E95"/>
    <w:rsid w:val="00DB2049"/>
    <w:rsid w:val="00DB213E"/>
    <w:rsid w:val="00DB220A"/>
    <w:rsid w:val="00DB223C"/>
    <w:rsid w:val="00DB2276"/>
    <w:rsid w:val="00DB25C2"/>
    <w:rsid w:val="00DB2910"/>
    <w:rsid w:val="00DB299E"/>
    <w:rsid w:val="00DB29A7"/>
    <w:rsid w:val="00DB2BEF"/>
    <w:rsid w:val="00DB2C9E"/>
    <w:rsid w:val="00DB2CCE"/>
    <w:rsid w:val="00DB2DE3"/>
    <w:rsid w:val="00DB331D"/>
    <w:rsid w:val="00DB3322"/>
    <w:rsid w:val="00DB335E"/>
    <w:rsid w:val="00DB33B0"/>
    <w:rsid w:val="00DB342D"/>
    <w:rsid w:val="00DB3511"/>
    <w:rsid w:val="00DB3536"/>
    <w:rsid w:val="00DB3600"/>
    <w:rsid w:val="00DB3602"/>
    <w:rsid w:val="00DB36BE"/>
    <w:rsid w:val="00DB37BB"/>
    <w:rsid w:val="00DB389E"/>
    <w:rsid w:val="00DB3C48"/>
    <w:rsid w:val="00DB3DB6"/>
    <w:rsid w:val="00DB3E64"/>
    <w:rsid w:val="00DB3F2B"/>
    <w:rsid w:val="00DB4091"/>
    <w:rsid w:val="00DB42F0"/>
    <w:rsid w:val="00DB44BE"/>
    <w:rsid w:val="00DB454A"/>
    <w:rsid w:val="00DB46AF"/>
    <w:rsid w:val="00DB4781"/>
    <w:rsid w:val="00DB483F"/>
    <w:rsid w:val="00DB4CC0"/>
    <w:rsid w:val="00DB4CEE"/>
    <w:rsid w:val="00DB4DAB"/>
    <w:rsid w:val="00DB4E05"/>
    <w:rsid w:val="00DB4F05"/>
    <w:rsid w:val="00DB5197"/>
    <w:rsid w:val="00DB52C2"/>
    <w:rsid w:val="00DB52D3"/>
    <w:rsid w:val="00DB541B"/>
    <w:rsid w:val="00DB5433"/>
    <w:rsid w:val="00DB54B3"/>
    <w:rsid w:val="00DB57B4"/>
    <w:rsid w:val="00DB585F"/>
    <w:rsid w:val="00DB58F5"/>
    <w:rsid w:val="00DB5993"/>
    <w:rsid w:val="00DB59C7"/>
    <w:rsid w:val="00DB5AB0"/>
    <w:rsid w:val="00DB5B51"/>
    <w:rsid w:val="00DB5E35"/>
    <w:rsid w:val="00DB5E80"/>
    <w:rsid w:val="00DB6047"/>
    <w:rsid w:val="00DB6122"/>
    <w:rsid w:val="00DB62D6"/>
    <w:rsid w:val="00DB6304"/>
    <w:rsid w:val="00DB6399"/>
    <w:rsid w:val="00DB6427"/>
    <w:rsid w:val="00DB6536"/>
    <w:rsid w:val="00DB65A0"/>
    <w:rsid w:val="00DB65B9"/>
    <w:rsid w:val="00DB681D"/>
    <w:rsid w:val="00DB69B7"/>
    <w:rsid w:val="00DB69C4"/>
    <w:rsid w:val="00DB6A50"/>
    <w:rsid w:val="00DB6A86"/>
    <w:rsid w:val="00DB6A9B"/>
    <w:rsid w:val="00DB6B84"/>
    <w:rsid w:val="00DB6BBC"/>
    <w:rsid w:val="00DB6BDD"/>
    <w:rsid w:val="00DB6C6C"/>
    <w:rsid w:val="00DB6E06"/>
    <w:rsid w:val="00DB6EC7"/>
    <w:rsid w:val="00DB6EF4"/>
    <w:rsid w:val="00DB6F93"/>
    <w:rsid w:val="00DB7065"/>
    <w:rsid w:val="00DB70A5"/>
    <w:rsid w:val="00DB70F1"/>
    <w:rsid w:val="00DB70F3"/>
    <w:rsid w:val="00DB73D4"/>
    <w:rsid w:val="00DB7403"/>
    <w:rsid w:val="00DB744F"/>
    <w:rsid w:val="00DB7882"/>
    <w:rsid w:val="00DB7A57"/>
    <w:rsid w:val="00DB7B9A"/>
    <w:rsid w:val="00DB7C32"/>
    <w:rsid w:val="00DB7C83"/>
    <w:rsid w:val="00DB7D5D"/>
    <w:rsid w:val="00DB7D94"/>
    <w:rsid w:val="00DB7D98"/>
    <w:rsid w:val="00DB7E57"/>
    <w:rsid w:val="00DC0285"/>
    <w:rsid w:val="00DC043E"/>
    <w:rsid w:val="00DC0480"/>
    <w:rsid w:val="00DC0640"/>
    <w:rsid w:val="00DC074C"/>
    <w:rsid w:val="00DC0750"/>
    <w:rsid w:val="00DC08A1"/>
    <w:rsid w:val="00DC08ED"/>
    <w:rsid w:val="00DC0913"/>
    <w:rsid w:val="00DC099B"/>
    <w:rsid w:val="00DC0A4D"/>
    <w:rsid w:val="00DC0A75"/>
    <w:rsid w:val="00DC0BF8"/>
    <w:rsid w:val="00DC0D09"/>
    <w:rsid w:val="00DC0DC6"/>
    <w:rsid w:val="00DC0E1E"/>
    <w:rsid w:val="00DC0E3B"/>
    <w:rsid w:val="00DC0ED7"/>
    <w:rsid w:val="00DC0F1C"/>
    <w:rsid w:val="00DC0FF1"/>
    <w:rsid w:val="00DC1109"/>
    <w:rsid w:val="00DC118A"/>
    <w:rsid w:val="00DC11EA"/>
    <w:rsid w:val="00DC12B7"/>
    <w:rsid w:val="00DC14DD"/>
    <w:rsid w:val="00DC15B4"/>
    <w:rsid w:val="00DC1895"/>
    <w:rsid w:val="00DC190F"/>
    <w:rsid w:val="00DC1A5B"/>
    <w:rsid w:val="00DC1A5E"/>
    <w:rsid w:val="00DC1B5F"/>
    <w:rsid w:val="00DC1DB5"/>
    <w:rsid w:val="00DC1E4A"/>
    <w:rsid w:val="00DC1E9D"/>
    <w:rsid w:val="00DC1EE4"/>
    <w:rsid w:val="00DC1F3E"/>
    <w:rsid w:val="00DC20B8"/>
    <w:rsid w:val="00DC21A6"/>
    <w:rsid w:val="00DC221D"/>
    <w:rsid w:val="00DC23DD"/>
    <w:rsid w:val="00DC2465"/>
    <w:rsid w:val="00DC2466"/>
    <w:rsid w:val="00DC249C"/>
    <w:rsid w:val="00DC2922"/>
    <w:rsid w:val="00DC2A8C"/>
    <w:rsid w:val="00DC2B38"/>
    <w:rsid w:val="00DC2C5C"/>
    <w:rsid w:val="00DC2C97"/>
    <w:rsid w:val="00DC2D03"/>
    <w:rsid w:val="00DC2EFF"/>
    <w:rsid w:val="00DC2F2B"/>
    <w:rsid w:val="00DC2F9C"/>
    <w:rsid w:val="00DC3101"/>
    <w:rsid w:val="00DC3105"/>
    <w:rsid w:val="00DC3109"/>
    <w:rsid w:val="00DC333C"/>
    <w:rsid w:val="00DC34DE"/>
    <w:rsid w:val="00DC36EF"/>
    <w:rsid w:val="00DC37B1"/>
    <w:rsid w:val="00DC3B0B"/>
    <w:rsid w:val="00DC3B1E"/>
    <w:rsid w:val="00DC3B9F"/>
    <w:rsid w:val="00DC3D42"/>
    <w:rsid w:val="00DC3EA6"/>
    <w:rsid w:val="00DC3F79"/>
    <w:rsid w:val="00DC41F4"/>
    <w:rsid w:val="00DC43A2"/>
    <w:rsid w:val="00DC4574"/>
    <w:rsid w:val="00DC46B9"/>
    <w:rsid w:val="00DC47C7"/>
    <w:rsid w:val="00DC48BA"/>
    <w:rsid w:val="00DC48CC"/>
    <w:rsid w:val="00DC48F4"/>
    <w:rsid w:val="00DC48F9"/>
    <w:rsid w:val="00DC498D"/>
    <w:rsid w:val="00DC4AFE"/>
    <w:rsid w:val="00DC4C51"/>
    <w:rsid w:val="00DC4DAE"/>
    <w:rsid w:val="00DC4F1D"/>
    <w:rsid w:val="00DC5137"/>
    <w:rsid w:val="00DC515B"/>
    <w:rsid w:val="00DC53ED"/>
    <w:rsid w:val="00DC5471"/>
    <w:rsid w:val="00DC55EB"/>
    <w:rsid w:val="00DC5615"/>
    <w:rsid w:val="00DC561B"/>
    <w:rsid w:val="00DC5852"/>
    <w:rsid w:val="00DC585C"/>
    <w:rsid w:val="00DC59EF"/>
    <w:rsid w:val="00DC5A62"/>
    <w:rsid w:val="00DC5A73"/>
    <w:rsid w:val="00DC5D9C"/>
    <w:rsid w:val="00DC5F4D"/>
    <w:rsid w:val="00DC5FA4"/>
    <w:rsid w:val="00DC5FB0"/>
    <w:rsid w:val="00DC60C3"/>
    <w:rsid w:val="00DC621E"/>
    <w:rsid w:val="00DC623B"/>
    <w:rsid w:val="00DC639F"/>
    <w:rsid w:val="00DC64ED"/>
    <w:rsid w:val="00DC6511"/>
    <w:rsid w:val="00DC6642"/>
    <w:rsid w:val="00DC66DB"/>
    <w:rsid w:val="00DC6908"/>
    <w:rsid w:val="00DC6946"/>
    <w:rsid w:val="00DC6D00"/>
    <w:rsid w:val="00DC6E07"/>
    <w:rsid w:val="00DC6E5F"/>
    <w:rsid w:val="00DC6E70"/>
    <w:rsid w:val="00DC6E9D"/>
    <w:rsid w:val="00DC6EBC"/>
    <w:rsid w:val="00DC6F31"/>
    <w:rsid w:val="00DC6FA5"/>
    <w:rsid w:val="00DC6FA9"/>
    <w:rsid w:val="00DC70D9"/>
    <w:rsid w:val="00DC7105"/>
    <w:rsid w:val="00DC71D3"/>
    <w:rsid w:val="00DC7241"/>
    <w:rsid w:val="00DC72A5"/>
    <w:rsid w:val="00DC72E4"/>
    <w:rsid w:val="00DC73E8"/>
    <w:rsid w:val="00DC7452"/>
    <w:rsid w:val="00DC75C8"/>
    <w:rsid w:val="00DC76BC"/>
    <w:rsid w:val="00DC7788"/>
    <w:rsid w:val="00DC7931"/>
    <w:rsid w:val="00DC7A8D"/>
    <w:rsid w:val="00DC7C10"/>
    <w:rsid w:val="00DC7C40"/>
    <w:rsid w:val="00DC7CC0"/>
    <w:rsid w:val="00DC7D8A"/>
    <w:rsid w:val="00DC7E13"/>
    <w:rsid w:val="00DC7E82"/>
    <w:rsid w:val="00DC7E8A"/>
    <w:rsid w:val="00DC7EE1"/>
    <w:rsid w:val="00DC7F0D"/>
    <w:rsid w:val="00DC7F44"/>
    <w:rsid w:val="00DD0036"/>
    <w:rsid w:val="00DD032E"/>
    <w:rsid w:val="00DD0365"/>
    <w:rsid w:val="00DD04EF"/>
    <w:rsid w:val="00DD0731"/>
    <w:rsid w:val="00DD079D"/>
    <w:rsid w:val="00DD09AD"/>
    <w:rsid w:val="00DD09D7"/>
    <w:rsid w:val="00DD0AB5"/>
    <w:rsid w:val="00DD0B3F"/>
    <w:rsid w:val="00DD0B6F"/>
    <w:rsid w:val="00DD0B70"/>
    <w:rsid w:val="00DD0BB6"/>
    <w:rsid w:val="00DD0E12"/>
    <w:rsid w:val="00DD0EA4"/>
    <w:rsid w:val="00DD0F27"/>
    <w:rsid w:val="00DD0F46"/>
    <w:rsid w:val="00DD1053"/>
    <w:rsid w:val="00DD112D"/>
    <w:rsid w:val="00DD128B"/>
    <w:rsid w:val="00DD1516"/>
    <w:rsid w:val="00DD1524"/>
    <w:rsid w:val="00DD163B"/>
    <w:rsid w:val="00DD163D"/>
    <w:rsid w:val="00DD1804"/>
    <w:rsid w:val="00DD1841"/>
    <w:rsid w:val="00DD1949"/>
    <w:rsid w:val="00DD1B29"/>
    <w:rsid w:val="00DD1B31"/>
    <w:rsid w:val="00DD1B40"/>
    <w:rsid w:val="00DD1CA3"/>
    <w:rsid w:val="00DD1DA2"/>
    <w:rsid w:val="00DD1DD5"/>
    <w:rsid w:val="00DD1E4E"/>
    <w:rsid w:val="00DD20EA"/>
    <w:rsid w:val="00DD2238"/>
    <w:rsid w:val="00DD229D"/>
    <w:rsid w:val="00DD22CE"/>
    <w:rsid w:val="00DD264A"/>
    <w:rsid w:val="00DD2814"/>
    <w:rsid w:val="00DD2885"/>
    <w:rsid w:val="00DD296F"/>
    <w:rsid w:val="00DD2A55"/>
    <w:rsid w:val="00DD2D9C"/>
    <w:rsid w:val="00DD2DCC"/>
    <w:rsid w:val="00DD2DEF"/>
    <w:rsid w:val="00DD2FD8"/>
    <w:rsid w:val="00DD3058"/>
    <w:rsid w:val="00DD30B5"/>
    <w:rsid w:val="00DD3287"/>
    <w:rsid w:val="00DD32D5"/>
    <w:rsid w:val="00DD337B"/>
    <w:rsid w:val="00DD3431"/>
    <w:rsid w:val="00DD346E"/>
    <w:rsid w:val="00DD34DB"/>
    <w:rsid w:val="00DD3537"/>
    <w:rsid w:val="00DD3581"/>
    <w:rsid w:val="00DD35AC"/>
    <w:rsid w:val="00DD3644"/>
    <w:rsid w:val="00DD370E"/>
    <w:rsid w:val="00DD38D7"/>
    <w:rsid w:val="00DD3982"/>
    <w:rsid w:val="00DD39D2"/>
    <w:rsid w:val="00DD3C8F"/>
    <w:rsid w:val="00DD3CA5"/>
    <w:rsid w:val="00DD3DD5"/>
    <w:rsid w:val="00DD4008"/>
    <w:rsid w:val="00DD4146"/>
    <w:rsid w:val="00DD415A"/>
    <w:rsid w:val="00DD41F4"/>
    <w:rsid w:val="00DD41F7"/>
    <w:rsid w:val="00DD4241"/>
    <w:rsid w:val="00DD42F3"/>
    <w:rsid w:val="00DD43B3"/>
    <w:rsid w:val="00DD4473"/>
    <w:rsid w:val="00DD46BB"/>
    <w:rsid w:val="00DD4714"/>
    <w:rsid w:val="00DD4906"/>
    <w:rsid w:val="00DD4955"/>
    <w:rsid w:val="00DD4B0E"/>
    <w:rsid w:val="00DD4F1D"/>
    <w:rsid w:val="00DD5170"/>
    <w:rsid w:val="00DD5215"/>
    <w:rsid w:val="00DD529A"/>
    <w:rsid w:val="00DD5667"/>
    <w:rsid w:val="00DD57AB"/>
    <w:rsid w:val="00DD599E"/>
    <w:rsid w:val="00DD5A3E"/>
    <w:rsid w:val="00DD5C04"/>
    <w:rsid w:val="00DD5C73"/>
    <w:rsid w:val="00DD5DC6"/>
    <w:rsid w:val="00DD5FF6"/>
    <w:rsid w:val="00DD611B"/>
    <w:rsid w:val="00DD64DA"/>
    <w:rsid w:val="00DD66BF"/>
    <w:rsid w:val="00DD6780"/>
    <w:rsid w:val="00DD686B"/>
    <w:rsid w:val="00DD68A1"/>
    <w:rsid w:val="00DD6911"/>
    <w:rsid w:val="00DD69E6"/>
    <w:rsid w:val="00DD69FE"/>
    <w:rsid w:val="00DD6C10"/>
    <w:rsid w:val="00DD6CB8"/>
    <w:rsid w:val="00DD6D73"/>
    <w:rsid w:val="00DD6D88"/>
    <w:rsid w:val="00DD6E20"/>
    <w:rsid w:val="00DD6EC5"/>
    <w:rsid w:val="00DD6EE8"/>
    <w:rsid w:val="00DD6EEE"/>
    <w:rsid w:val="00DD6F2B"/>
    <w:rsid w:val="00DD6F98"/>
    <w:rsid w:val="00DD7180"/>
    <w:rsid w:val="00DD7326"/>
    <w:rsid w:val="00DD73EA"/>
    <w:rsid w:val="00DD7465"/>
    <w:rsid w:val="00DD75D9"/>
    <w:rsid w:val="00DD7785"/>
    <w:rsid w:val="00DD77B3"/>
    <w:rsid w:val="00DD78AF"/>
    <w:rsid w:val="00DD79D3"/>
    <w:rsid w:val="00DD7A44"/>
    <w:rsid w:val="00DD7C36"/>
    <w:rsid w:val="00DE00D2"/>
    <w:rsid w:val="00DE0147"/>
    <w:rsid w:val="00DE025D"/>
    <w:rsid w:val="00DE0480"/>
    <w:rsid w:val="00DE060D"/>
    <w:rsid w:val="00DE074E"/>
    <w:rsid w:val="00DE079F"/>
    <w:rsid w:val="00DE089C"/>
    <w:rsid w:val="00DE0AFC"/>
    <w:rsid w:val="00DE0E5C"/>
    <w:rsid w:val="00DE0E8E"/>
    <w:rsid w:val="00DE110F"/>
    <w:rsid w:val="00DE118D"/>
    <w:rsid w:val="00DE1615"/>
    <w:rsid w:val="00DE1822"/>
    <w:rsid w:val="00DE183A"/>
    <w:rsid w:val="00DE195C"/>
    <w:rsid w:val="00DE196D"/>
    <w:rsid w:val="00DE1985"/>
    <w:rsid w:val="00DE19A6"/>
    <w:rsid w:val="00DE19C1"/>
    <w:rsid w:val="00DE1B3B"/>
    <w:rsid w:val="00DE1B4F"/>
    <w:rsid w:val="00DE1B9D"/>
    <w:rsid w:val="00DE1C1A"/>
    <w:rsid w:val="00DE1F10"/>
    <w:rsid w:val="00DE2020"/>
    <w:rsid w:val="00DE216A"/>
    <w:rsid w:val="00DE21BE"/>
    <w:rsid w:val="00DE249E"/>
    <w:rsid w:val="00DE2539"/>
    <w:rsid w:val="00DE2597"/>
    <w:rsid w:val="00DE273F"/>
    <w:rsid w:val="00DE2773"/>
    <w:rsid w:val="00DE2845"/>
    <w:rsid w:val="00DE2846"/>
    <w:rsid w:val="00DE2A4C"/>
    <w:rsid w:val="00DE2AC9"/>
    <w:rsid w:val="00DE2B16"/>
    <w:rsid w:val="00DE2B93"/>
    <w:rsid w:val="00DE2CEF"/>
    <w:rsid w:val="00DE2E98"/>
    <w:rsid w:val="00DE2EAE"/>
    <w:rsid w:val="00DE2EB4"/>
    <w:rsid w:val="00DE2F47"/>
    <w:rsid w:val="00DE3052"/>
    <w:rsid w:val="00DE3076"/>
    <w:rsid w:val="00DE30B6"/>
    <w:rsid w:val="00DE30E4"/>
    <w:rsid w:val="00DE31B5"/>
    <w:rsid w:val="00DE3237"/>
    <w:rsid w:val="00DE3402"/>
    <w:rsid w:val="00DE34C0"/>
    <w:rsid w:val="00DE356E"/>
    <w:rsid w:val="00DE35DD"/>
    <w:rsid w:val="00DE365A"/>
    <w:rsid w:val="00DE374B"/>
    <w:rsid w:val="00DE38F6"/>
    <w:rsid w:val="00DE39AD"/>
    <w:rsid w:val="00DE3AEA"/>
    <w:rsid w:val="00DE3B96"/>
    <w:rsid w:val="00DE3BEA"/>
    <w:rsid w:val="00DE3E64"/>
    <w:rsid w:val="00DE3F45"/>
    <w:rsid w:val="00DE3F7E"/>
    <w:rsid w:val="00DE3FA7"/>
    <w:rsid w:val="00DE4040"/>
    <w:rsid w:val="00DE4147"/>
    <w:rsid w:val="00DE417F"/>
    <w:rsid w:val="00DE41CC"/>
    <w:rsid w:val="00DE42AF"/>
    <w:rsid w:val="00DE43E1"/>
    <w:rsid w:val="00DE43E7"/>
    <w:rsid w:val="00DE441D"/>
    <w:rsid w:val="00DE44A6"/>
    <w:rsid w:val="00DE44C2"/>
    <w:rsid w:val="00DE4547"/>
    <w:rsid w:val="00DE4642"/>
    <w:rsid w:val="00DE481B"/>
    <w:rsid w:val="00DE4976"/>
    <w:rsid w:val="00DE4CC5"/>
    <w:rsid w:val="00DE4E55"/>
    <w:rsid w:val="00DE4E59"/>
    <w:rsid w:val="00DE4FD9"/>
    <w:rsid w:val="00DE50F7"/>
    <w:rsid w:val="00DE51AE"/>
    <w:rsid w:val="00DE535B"/>
    <w:rsid w:val="00DE53D0"/>
    <w:rsid w:val="00DE542D"/>
    <w:rsid w:val="00DE545F"/>
    <w:rsid w:val="00DE5552"/>
    <w:rsid w:val="00DE570E"/>
    <w:rsid w:val="00DE5823"/>
    <w:rsid w:val="00DE58C7"/>
    <w:rsid w:val="00DE58E6"/>
    <w:rsid w:val="00DE5954"/>
    <w:rsid w:val="00DE59F7"/>
    <w:rsid w:val="00DE5AF5"/>
    <w:rsid w:val="00DE5C0F"/>
    <w:rsid w:val="00DE5E21"/>
    <w:rsid w:val="00DE5EF8"/>
    <w:rsid w:val="00DE6256"/>
    <w:rsid w:val="00DE6292"/>
    <w:rsid w:val="00DE6358"/>
    <w:rsid w:val="00DE637D"/>
    <w:rsid w:val="00DE637E"/>
    <w:rsid w:val="00DE643A"/>
    <w:rsid w:val="00DE64E9"/>
    <w:rsid w:val="00DE6513"/>
    <w:rsid w:val="00DE65DA"/>
    <w:rsid w:val="00DE677F"/>
    <w:rsid w:val="00DE69D4"/>
    <w:rsid w:val="00DE6A24"/>
    <w:rsid w:val="00DE6AD2"/>
    <w:rsid w:val="00DE6AF2"/>
    <w:rsid w:val="00DE6BA1"/>
    <w:rsid w:val="00DE6BEE"/>
    <w:rsid w:val="00DE6D57"/>
    <w:rsid w:val="00DE6D81"/>
    <w:rsid w:val="00DE6DA7"/>
    <w:rsid w:val="00DE6E5E"/>
    <w:rsid w:val="00DE6EFE"/>
    <w:rsid w:val="00DE70BD"/>
    <w:rsid w:val="00DE70E3"/>
    <w:rsid w:val="00DE71B9"/>
    <w:rsid w:val="00DE71C9"/>
    <w:rsid w:val="00DE71EF"/>
    <w:rsid w:val="00DE7304"/>
    <w:rsid w:val="00DE7431"/>
    <w:rsid w:val="00DE744C"/>
    <w:rsid w:val="00DE74C6"/>
    <w:rsid w:val="00DE74EA"/>
    <w:rsid w:val="00DE7522"/>
    <w:rsid w:val="00DE77D5"/>
    <w:rsid w:val="00DE7A94"/>
    <w:rsid w:val="00DE7BF3"/>
    <w:rsid w:val="00DE7C07"/>
    <w:rsid w:val="00DE7C95"/>
    <w:rsid w:val="00DE7CB6"/>
    <w:rsid w:val="00DE7CEB"/>
    <w:rsid w:val="00DE7CF9"/>
    <w:rsid w:val="00DE7DA2"/>
    <w:rsid w:val="00DE7DA7"/>
    <w:rsid w:val="00DE7F16"/>
    <w:rsid w:val="00DF00E3"/>
    <w:rsid w:val="00DF0100"/>
    <w:rsid w:val="00DF0156"/>
    <w:rsid w:val="00DF0301"/>
    <w:rsid w:val="00DF0377"/>
    <w:rsid w:val="00DF05C2"/>
    <w:rsid w:val="00DF0623"/>
    <w:rsid w:val="00DF0787"/>
    <w:rsid w:val="00DF087B"/>
    <w:rsid w:val="00DF0D3C"/>
    <w:rsid w:val="00DF0E19"/>
    <w:rsid w:val="00DF0EBC"/>
    <w:rsid w:val="00DF1023"/>
    <w:rsid w:val="00DF10C8"/>
    <w:rsid w:val="00DF114F"/>
    <w:rsid w:val="00DF1236"/>
    <w:rsid w:val="00DF1336"/>
    <w:rsid w:val="00DF141D"/>
    <w:rsid w:val="00DF141E"/>
    <w:rsid w:val="00DF1504"/>
    <w:rsid w:val="00DF1663"/>
    <w:rsid w:val="00DF178E"/>
    <w:rsid w:val="00DF17DD"/>
    <w:rsid w:val="00DF1819"/>
    <w:rsid w:val="00DF1AEF"/>
    <w:rsid w:val="00DF1B61"/>
    <w:rsid w:val="00DF1C7B"/>
    <w:rsid w:val="00DF1C8F"/>
    <w:rsid w:val="00DF1C96"/>
    <w:rsid w:val="00DF1CBF"/>
    <w:rsid w:val="00DF1CFC"/>
    <w:rsid w:val="00DF1D99"/>
    <w:rsid w:val="00DF1F4E"/>
    <w:rsid w:val="00DF2010"/>
    <w:rsid w:val="00DF2036"/>
    <w:rsid w:val="00DF21DB"/>
    <w:rsid w:val="00DF2226"/>
    <w:rsid w:val="00DF2331"/>
    <w:rsid w:val="00DF2334"/>
    <w:rsid w:val="00DF2398"/>
    <w:rsid w:val="00DF242B"/>
    <w:rsid w:val="00DF24A2"/>
    <w:rsid w:val="00DF24AB"/>
    <w:rsid w:val="00DF2636"/>
    <w:rsid w:val="00DF2654"/>
    <w:rsid w:val="00DF28DC"/>
    <w:rsid w:val="00DF2954"/>
    <w:rsid w:val="00DF29B2"/>
    <w:rsid w:val="00DF2A33"/>
    <w:rsid w:val="00DF2ACA"/>
    <w:rsid w:val="00DF2BB8"/>
    <w:rsid w:val="00DF2C1E"/>
    <w:rsid w:val="00DF2CAD"/>
    <w:rsid w:val="00DF2CC6"/>
    <w:rsid w:val="00DF2CF8"/>
    <w:rsid w:val="00DF2F06"/>
    <w:rsid w:val="00DF309B"/>
    <w:rsid w:val="00DF33FF"/>
    <w:rsid w:val="00DF3600"/>
    <w:rsid w:val="00DF3689"/>
    <w:rsid w:val="00DF36F5"/>
    <w:rsid w:val="00DF373C"/>
    <w:rsid w:val="00DF3A26"/>
    <w:rsid w:val="00DF3AA4"/>
    <w:rsid w:val="00DF3B9D"/>
    <w:rsid w:val="00DF3BFF"/>
    <w:rsid w:val="00DF3C8C"/>
    <w:rsid w:val="00DF3CDA"/>
    <w:rsid w:val="00DF3CF9"/>
    <w:rsid w:val="00DF3F18"/>
    <w:rsid w:val="00DF3F62"/>
    <w:rsid w:val="00DF41EC"/>
    <w:rsid w:val="00DF4300"/>
    <w:rsid w:val="00DF436D"/>
    <w:rsid w:val="00DF43FE"/>
    <w:rsid w:val="00DF442E"/>
    <w:rsid w:val="00DF4547"/>
    <w:rsid w:val="00DF45C2"/>
    <w:rsid w:val="00DF464A"/>
    <w:rsid w:val="00DF4707"/>
    <w:rsid w:val="00DF47D0"/>
    <w:rsid w:val="00DF4955"/>
    <w:rsid w:val="00DF4A2A"/>
    <w:rsid w:val="00DF4A56"/>
    <w:rsid w:val="00DF4B12"/>
    <w:rsid w:val="00DF4B3C"/>
    <w:rsid w:val="00DF4CC0"/>
    <w:rsid w:val="00DF507D"/>
    <w:rsid w:val="00DF5122"/>
    <w:rsid w:val="00DF5254"/>
    <w:rsid w:val="00DF552A"/>
    <w:rsid w:val="00DF55ED"/>
    <w:rsid w:val="00DF55EE"/>
    <w:rsid w:val="00DF5717"/>
    <w:rsid w:val="00DF5884"/>
    <w:rsid w:val="00DF58C1"/>
    <w:rsid w:val="00DF5A31"/>
    <w:rsid w:val="00DF5B23"/>
    <w:rsid w:val="00DF5C06"/>
    <w:rsid w:val="00DF5D64"/>
    <w:rsid w:val="00DF5D70"/>
    <w:rsid w:val="00DF5E77"/>
    <w:rsid w:val="00DF5ECD"/>
    <w:rsid w:val="00DF6002"/>
    <w:rsid w:val="00DF605C"/>
    <w:rsid w:val="00DF6161"/>
    <w:rsid w:val="00DF6416"/>
    <w:rsid w:val="00DF67B3"/>
    <w:rsid w:val="00DF691B"/>
    <w:rsid w:val="00DF6966"/>
    <w:rsid w:val="00DF69AA"/>
    <w:rsid w:val="00DF69AD"/>
    <w:rsid w:val="00DF6AFA"/>
    <w:rsid w:val="00DF6C35"/>
    <w:rsid w:val="00DF6D25"/>
    <w:rsid w:val="00DF6DF8"/>
    <w:rsid w:val="00DF6E45"/>
    <w:rsid w:val="00DF6EE6"/>
    <w:rsid w:val="00DF6F4B"/>
    <w:rsid w:val="00DF6F4E"/>
    <w:rsid w:val="00DF70C4"/>
    <w:rsid w:val="00DF7360"/>
    <w:rsid w:val="00DF7405"/>
    <w:rsid w:val="00DF7553"/>
    <w:rsid w:val="00DF7943"/>
    <w:rsid w:val="00DF7B7F"/>
    <w:rsid w:val="00DF7C5E"/>
    <w:rsid w:val="00DF7D9A"/>
    <w:rsid w:val="00DF7DDB"/>
    <w:rsid w:val="00E0008B"/>
    <w:rsid w:val="00E001EF"/>
    <w:rsid w:val="00E002A4"/>
    <w:rsid w:val="00E0030D"/>
    <w:rsid w:val="00E00420"/>
    <w:rsid w:val="00E0042C"/>
    <w:rsid w:val="00E00458"/>
    <w:rsid w:val="00E004B9"/>
    <w:rsid w:val="00E00647"/>
    <w:rsid w:val="00E007F4"/>
    <w:rsid w:val="00E008F7"/>
    <w:rsid w:val="00E008FA"/>
    <w:rsid w:val="00E00911"/>
    <w:rsid w:val="00E00BC2"/>
    <w:rsid w:val="00E00BC7"/>
    <w:rsid w:val="00E00BD0"/>
    <w:rsid w:val="00E00C57"/>
    <w:rsid w:val="00E00D40"/>
    <w:rsid w:val="00E00EBF"/>
    <w:rsid w:val="00E0128D"/>
    <w:rsid w:val="00E016AB"/>
    <w:rsid w:val="00E016B6"/>
    <w:rsid w:val="00E017C9"/>
    <w:rsid w:val="00E018AC"/>
    <w:rsid w:val="00E01972"/>
    <w:rsid w:val="00E01B43"/>
    <w:rsid w:val="00E01D18"/>
    <w:rsid w:val="00E01D23"/>
    <w:rsid w:val="00E01D33"/>
    <w:rsid w:val="00E01D35"/>
    <w:rsid w:val="00E01D42"/>
    <w:rsid w:val="00E01D68"/>
    <w:rsid w:val="00E01E81"/>
    <w:rsid w:val="00E01E86"/>
    <w:rsid w:val="00E01EF3"/>
    <w:rsid w:val="00E01F27"/>
    <w:rsid w:val="00E02224"/>
    <w:rsid w:val="00E022DD"/>
    <w:rsid w:val="00E02332"/>
    <w:rsid w:val="00E02333"/>
    <w:rsid w:val="00E02395"/>
    <w:rsid w:val="00E024EB"/>
    <w:rsid w:val="00E026BC"/>
    <w:rsid w:val="00E02781"/>
    <w:rsid w:val="00E02865"/>
    <w:rsid w:val="00E02D3F"/>
    <w:rsid w:val="00E02E1C"/>
    <w:rsid w:val="00E02E20"/>
    <w:rsid w:val="00E02E5A"/>
    <w:rsid w:val="00E02EBD"/>
    <w:rsid w:val="00E02F84"/>
    <w:rsid w:val="00E03171"/>
    <w:rsid w:val="00E0346D"/>
    <w:rsid w:val="00E03706"/>
    <w:rsid w:val="00E037E7"/>
    <w:rsid w:val="00E03831"/>
    <w:rsid w:val="00E0383E"/>
    <w:rsid w:val="00E03879"/>
    <w:rsid w:val="00E038A6"/>
    <w:rsid w:val="00E038EF"/>
    <w:rsid w:val="00E0395A"/>
    <w:rsid w:val="00E039B3"/>
    <w:rsid w:val="00E039D7"/>
    <w:rsid w:val="00E03B0D"/>
    <w:rsid w:val="00E03B10"/>
    <w:rsid w:val="00E03BE7"/>
    <w:rsid w:val="00E03BFC"/>
    <w:rsid w:val="00E03C6E"/>
    <w:rsid w:val="00E03CAB"/>
    <w:rsid w:val="00E03F71"/>
    <w:rsid w:val="00E042ED"/>
    <w:rsid w:val="00E04398"/>
    <w:rsid w:val="00E0446F"/>
    <w:rsid w:val="00E044AB"/>
    <w:rsid w:val="00E04643"/>
    <w:rsid w:val="00E04969"/>
    <w:rsid w:val="00E04995"/>
    <w:rsid w:val="00E049A8"/>
    <w:rsid w:val="00E04DB1"/>
    <w:rsid w:val="00E04DCC"/>
    <w:rsid w:val="00E04E27"/>
    <w:rsid w:val="00E05001"/>
    <w:rsid w:val="00E050A5"/>
    <w:rsid w:val="00E05439"/>
    <w:rsid w:val="00E05470"/>
    <w:rsid w:val="00E0549B"/>
    <w:rsid w:val="00E054FE"/>
    <w:rsid w:val="00E055D2"/>
    <w:rsid w:val="00E05610"/>
    <w:rsid w:val="00E056D9"/>
    <w:rsid w:val="00E057B6"/>
    <w:rsid w:val="00E05856"/>
    <w:rsid w:val="00E059D2"/>
    <w:rsid w:val="00E05B4D"/>
    <w:rsid w:val="00E05DB9"/>
    <w:rsid w:val="00E05EDD"/>
    <w:rsid w:val="00E05F6A"/>
    <w:rsid w:val="00E06165"/>
    <w:rsid w:val="00E06168"/>
    <w:rsid w:val="00E06269"/>
    <w:rsid w:val="00E0636B"/>
    <w:rsid w:val="00E0640D"/>
    <w:rsid w:val="00E064A1"/>
    <w:rsid w:val="00E06583"/>
    <w:rsid w:val="00E06665"/>
    <w:rsid w:val="00E066CB"/>
    <w:rsid w:val="00E06840"/>
    <w:rsid w:val="00E06C8A"/>
    <w:rsid w:val="00E06E16"/>
    <w:rsid w:val="00E06E19"/>
    <w:rsid w:val="00E06EC4"/>
    <w:rsid w:val="00E07053"/>
    <w:rsid w:val="00E07171"/>
    <w:rsid w:val="00E072F9"/>
    <w:rsid w:val="00E0731B"/>
    <w:rsid w:val="00E0732D"/>
    <w:rsid w:val="00E073F4"/>
    <w:rsid w:val="00E07687"/>
    <w:rsid w:val="00E076D2"/>
    <w:rsid w:val="00E0784A"/>
    <w:rsid w:val="00E078D3"/>
    <w:rsid w:val="00E07952"/>
    <w:rsid w:val="00E079A5"/>
    <w:rsid w:val="00E07A90"/>
    <w:rsid w:val="00E07AD6"/>
    <w:rsid w:val="00E07B94"/>
    <w:rsid w:val="00E07BB0"/>
    <w:rsid w:val="00E07DDE"/>
    <w:rsid w:val="00E100B9"/>
    <w:rsid w:val="00E10389"/>
    <w:rsid w:val="00E105B8"/>
    <w:rsid w:val="00E10723"/>
    <w:rsid w:val="00E107DB"/>
    <w:rsid w:val="00E10B6F"/>
    <w:rsid w:val="00E10BDA"/>
    <w:rsid w:val="00E10C61"/>
    <w:rsid w:val="00E10CA0"/>
    <w:rsid w:val="00E10CB0"/>
    <w:rsid w:val="00E10E40"/>
    <w:rsid w:val="00E10E91"/>
    <w:rsid w:val="00E10F19"/>
    <w:rsid w:val="00E10F30"/>
    <w:rsid w:val="00E10F83"/>
    <w:rsid w:val="00E11006"/>
    <w:rsid w:val="00E1103D"/>
    <w:rsid w:val="00E112CA"/>
    <w:rsid w:val="00E11375"/>
    <w:rsid w:val="00E113AE"/>
    <w:rsid w:val="00E113C6"/>
    <w:rsid w:val="00E1152C"/>
    <w:rsid w:val="00E11552"/>
    <w:rsid w:val="00E11585"/>
    <w:rsid w:val="00E116C6"/>
    <w:rsid w:val="00E117CF"/>
    <w:rsid w:val="00E1197F"/>
    <w:rsid w:val="00E119CA"/>
    <w:rsid w:val="00E11AA7"/>
    <w:rsid w:val="00E11B1D"/>
    <w:rsid w:val="00E11BC4"/>
    <w:rsid w:val="00E11BC7"/>
    <w:rsid w:val="00E11BE1"/>
    <w:rsid w:val="00E11CDF"/>
    <w:rsid w:val="00E11D9E"/>
    <w:rsid w:val="00E11FF7"/>
    <w:rsid w:val="00E1205E"/>
    <w:rsid w:val="00E12091"/>
    <w:rsid w:val="00E12167"/>
    <w:rsid w:val="00E12191"/>
    <w:rsid w:val="00E1246C"/>
    <w:rsid w:val="00E12472"/>
    <w:rsid w:val="00E124D6"/>
    <w:rsid w:val="00E1259A"/>
    <w:rsid w:val="00E1280E"/>
    <w:rsid w:val="00E12C14"/>
    <w:rsid w:val="00E12CDF"/>
    <w:rsid w:val="00E12DB7"/>
    <w:rsid w:val="00E12E78"/>
    <w:rsid w:val="00E12E8B"/>
    <w:rsid w:val="00E12FFF"/>
    <w:rsid w:val="00E130FF"/>
    <w:rsid w:val="00E131E8"/>
    <w:rsid w:val="00E1323A"/>
    <w:rsid w:val="00E133EB"/>
    <w:rsid w:val="00E1348D"/>
    <w:rsid w:val="00E13535"/>
    <w:rsid w:val="00E13547"/>
    <w:rsid w:val="00E138AB"/>
    <w:rsid w:val="00E1393C"/>
    <w:rsid w:val="00E13BD9"/>
    <w:rsid w:val="00E13C00"/>
    <w:rsid w:val="00E13C68"/>
    <w:rsid w:val="00E13C85"/>
    <w:rsid w:val="00E13DAF"/>
    <w:rsid w:val="00E13DC8"/>
    <w:rsid w:val="00E13E22"/>
    <w:rsid w:val="00E13E79"/>
    <w:rsid w:val="00E13F3F"/>
    <w:rsid w:val="00E13F46"/>
    <w:rsid w:val="00E1405F"/>
    <w:rsid w:val="00E14098"/>
    <w:rsid w:val="00E140FF"/>
    <w:rsid w:val="00E14139"/>
    <w:rsid w:val="00E14141"/>
    <w:rsid w:val="00E1415E"/>
    <w:rsid w:val="00E14293"/>
    <w:rsid w:val="00E14513"/>
    <w:rsid w:val="00E1454B"/>
    <w:rsid w:val="00E145F0"/>
    <w:rsid w:val="00E14627"/>
    <w:rsid w:val="00E14688"/>
    <w:rsid w:val="00E146E5"/>
    <w:rsid w:val="00E1485D"/>
    <w:rsid w:val="00E14951"/>
    <w:rsid w:val="00E14B31"/>
    <w:rsid w:val="00E14BEA"/>
    <w:rsid w:val="00E14CBF"/>
    <w:rsid w:val="00E14D39"/>
    <w:rsid w:val="00E14D88"/>
    <w:rsid w:val="00E14F35"/>
    <w:rsid w:val="00E14F6F"/>
    <w:rsid w:val="00E15257"/>
    <w:rsid w:val="00E152AF"/>
    <w:rsid w:val="00E152EC"/>
    <w:rsid w:val="00E155F9"/>
    <w:rsid w:val="00E157BE"/>
    <w:rsid w:val="00E1582C"/>
    <w:rsid w:val="00E1588B"/>
    <w:rsid w:val="00E159CC"/>
    <w:rsid w:val="00E15AC4"/>
    <w:rsid w:val="00E15ACF"/>
    <w:rsid w:val="00E15AF0"/>
    <w:rsid w:val="00E15AF6"/>
    <w:rsid w:val="00E15B2E"/>
    <w:rsid w:val="00E15B3D"/>
    <w:rsid w:val="00E15D6D"/>
    <w:rsid w:val="00E15D99"/>
    <w:rsid w:val="00E15E5F"/>
    <w:rsid w:val="00E1605E"/>
    <w:rsid w:val="00E1609B"/>
    <w:rsid w:val="00E1623F"/>
    <w:rsid w:val="00E162D3"/>
    <w:rsid w:val="00E1631B"/>
    <w:rsid w:val="00E164C8"/>
    <w:rsid w:val="00E16652"/>
    <w:rsid w:val="00E1669D"/>
    <w:rsid w:val="00E167DD"/>
    <w:rsid w:val="00E16826"/>
    <w:rsid w:val="00E168ED"/>
    <w:rsid w:val="00E16A78"/>
    <w:rsid w:val="00E16B2E"/>
    <w:rsid w:val="00E16CA9"/>
    <w:rsid w:val="00E16D79"/>
    <w:rsid w:val="00E16DAE"/>
    <w:rsid w:val="00E16E76"/>
    <w:rsid w:val="00E16F0B"/>
    <w:rsid w:val="00E17040"/>
    <w:rsid w:val="00E1708D"/>
    <w:rsid w:val="00E170F8"/>
    <w:rsid w:val="00E1713F"/>
    <w:rsid w:val="00E1718F"/>
    <w:rsid w:val="00E1744D"/>
    <w:rsid w:val="00E17541"/>
    <w:rsid w:val="00E175EC"/>
    <w:rsid w:val="00E17806"/>
    <w:rsid w:val="00E17868"/>
    <w:rsid w:val="00E17BDB"/>
    <w:rsid w:val="00E17CD5"/>
    <w:rsid w:val="00E17D0C"/>
    <w:rsid w:val="00E17D63"/>
    <w:rsid w:val="00E17F5E"/>
    <w:rsid w:val="00E17FDB"/>
    <w:rsid w:val="00E200E8"/>
    <w:rsid w:val="00E200F6"/>
    <w:rsid w:val="00E202E1"/>
    <w:rsid w:val="00E203BD"/>
    <w:rsid w:val="00E20492"/>
    <w:rsid w:val="00E204A5"/>
    <w:rsid w:val="00E204F3"/>
    <w:rsid w:val="00E2055C"/>
    <w:rsid w:val="00E2064B"/>
    <w:rsid w:val="00E2066C"/>
    <w:rsid w:val="00E20686"/>
    <w:rsid w:val="00E206D7"/>
    <w:rsid w:val="00E2072F"/>
    <w:rsid w:val="00E20760"/>
    <w:rsid w:val="00E207EF"/>
    <w:rsid w:val="00E2098D"/>
    <w:rsid w:val="00E209E0"/>
    <w:rsid w:val="00E20A12"/>
    <w:rsid w:val="00E20AC6"/>
    <w:rsid w:val="00E20AFF"/>
    <w:rsid w:val="00E20B17"/>
    <w:rsid w:val="00E20B64"/>
    <w:rsid w:val="00E20DE3"/>
    <w:rsid w:val="00E20FA0"/>
    <w:rsid w:val="00E20FCC"/>
    <w:rsid w:val="00E21086"/>
    <w:rsid w:val="00E210A9"/>
    <w:rsid w:val="00E21109"/>
    <w:rsid w:val="00E211D3"/>
    <w:rsid w:val="00E21207"/>
    <w:rsid w:val="00E214C6"/>
    <w:rsid w:val="00E217DB"/>
    <w:rsid w:val="00E217F3"/>
    <w:rsid w:val="00E2182F"/>
    <w:rsid w:val="00E218B9"/>
    <w:rsid w:val="00E218DC"/>
    <w:rsid w:val="00E21ABF"/>
    <w:rsid w:val="00E21B12"/>
    <w:rsid w:val="00E21C5F"/>
    <w:rsid w:val="00E21D4E"/>
    <w:rsid w:val="00E21D6C"/>
    <w:rsid w:val="00E21F6F"/>
    <w:rsid w:val="00E21FBB"/>
    <w:rsid w:val="00E2215C"/>
    <w:rsid w:val="00E22354"/>
    <w:rsid w:val="00E22417"/>
    <w:rsid w:val="00E224F9"/>
    <w:rsid w:val="00E2258F"/>
    <w:rsid w:val="00E226D4"/>
    <w:rsid w:val="00E2277D"/>
    <w:rsid w:val="00E2285B"/>
    <w:rsid w:val="00E228DA"/>
    <w:rsid w:val="00E22ADF"/>
    <w:rsid w:val="00E22B26"/>
    <w:rsid w:val="00E22C24"/>
    <w:rsid w:val="00E22C57"/>
    <w:rsid w:val="00E22CD0"/>
    <w:rsid w:val="00E22D6A"/>
    <w:rsid w:val="00E22E9D"/>
    <w:rsid w:val="00E23061"/>
    <w:rsid w:val="00E23084"/>
    <w:rsid w:val="00E23197"/>
    <w:rsid w:val="00E231C9"/>
    <w:rsid w:val="00E231D7"/>
    <w:rsid w:val="00E2324B"/>
    <w:rsid w:val="00E2329D"/>
    <w:rsid w:val="00E232F5"/>
    <w:rsid w:val="00E2361D"/>
    <w:rsid w:val="00E23645"/>
    <w:rsid w:val="00E236E3"/>
    <w:rsid w:val="00E23733"/>
    <w:rsid w:val="00E23742"/>
    <w:rsid w:val="00E237D4"/>
    <w:rsid w:val="00E23802"/>
    <w:rsid w:val="00E2392A"/>
    <w:rsid w:val="00E23B20"/>
    <w:rsid w:val="00E23BB2"/>
    <w:rsid w:val="00E23C60"/>
    <w:rsid w:val="00E23C9B"/>
    <w:rsid w:val="00E23F2D"/>
    <w:rsid w:val="00E23F36"/>
    <w:rsid w:val="00E240F0"/>
    <w:rsid w:val="00E241B1"/>
    <w:rsid w:val="00E24290"/>
    <w:rsid w:val="00E243A6"/>
    <w:rsid w:val="00E24499"/>
    <w:rsid w:val="00E244CF"/>
    <w:rsid w:val="00E245E4"/>
    <w:rsid w:val="00E24817"/>
    <w:rsid w:val="00E24819"/>
    <w:rsid w:val="00E24859"/>
    <w:rsid w:val="00E249CB"/>
    <w:rsid w:val="00E249E4"/>
    <w:rsid w:val="00E24B0A"/>
    <w:rsid w:val="00E24D32"/>
    <w:rsid w:val="00E24D92"/>
    <w:rsid w:val="00E24E06"/>
    <w:rsid w:val="00E24E83"/>
    <w:rsid w:val="00E24F35"/>
    <w:rsid w:val="00E24F4D"/>
    <w:rsid w:val="00E24F6A"/>
    <w:rsid w:val="00E24FF3"/>
    <w:rsid w:val="00E25056"/>
    <w:rsid w:val="00E25102"/>
    <w:rsid w:val="00E25368"/>
    <w:rsid w:val="00E25391"/>
    <w:rsid w:val="00E253B5"/>
    <w:rsid w:val="00E25545"/>
    <w:rsid w:val="00E2565C"/>
    <w:rsid w:val="00E25682"/>
    <w:rsid w:val="00E25754"/>
    <w:rsid w:val="00E25847"/>
    <w:rsid w:val="00E2589C"/>
    <w:rsid w:val="00E258B6"/>
    <w:rsid w:val="00E258D1"/>
    <w:rsid w:val="00E258FA"/>
    <w:rsid w:val="00E25A24"/>
    <w:rsid w:val="00E25B33"/>
    <w:rsid w:val="00E25B6A"/>
    <w:rsid w:val="00E25BF3"/>
    <w:rsid w:val="00E25DF0"/>
    <w:rsid w:val="00E25EAD"/>
    <w:rsid w:val="00E25FF8"/>
    <w:rsid w:val="00E2627A"/>
    <w:rsid w:val="00E263FA"/>
    <w:rsid w:val="00E2660F"/>
    <w:rsid w:val="00E26618"/>
    <w:rsid w:val="00E267F4"/>
    <w:rsid w:val="00E26A36"/>
    <w:rsid w:val="00E26A4A"/>
    <w:rsid w:val="00E26A8C"/>
    <w:rsid w:val="00E26C0D"/>
    <w:rsid w:val="00E26F3D"/>
    <w:rsid w:val="00E270C8"/>
    <w:rsid w:val="00E271BE"/>
    <w:rsid w:val="00E27284"/>
    <w:rsid w:val="00E272F5"/>
    <w:rsid w:val="00E27815"/>
    <w:rsid w:val="00E279DC"/>
    <w:rsid w:val="00E27A33"/>
    <w:rsid w:val="00E27A3E"/>
    <w:rsid w:val="00E27B63"/>
    <w:rsid w:val="00E27BA2"/>
    <w:rsid w:val="00E27C33"/>
    <w:rsid w:val="00E27D16"/>
    <w:rsid w:val="00E27D8D"/>
    <w:rsid w:val="00E27DD3"/>
    <w:rsid w:val="00E27F17"/>
    <w:rsid w:val="00E27F3A"/>
    <w:rsid w:val="00E300AF"/>
    <w:rsid w:val="00E300CC"/>
    <w:rsid w:val="00E3023E"/>
    <w:rsid w:val="00E30277"/>
    <w:rsid w:val="00E304F5"/>
    <w:rsid w:val="00E3054C"/>
    <w:rsid w:val="00E30744"/>
    <w:rsid w:val="00E30782"/>
    <w:rsid w:val="00E30D5B"/>
    <w:rsid w:val="00E30E57"/>
    <w:rsid w:val="00E30EC2"/>
    <w:rsid w:val="00E30EFD"/>
    <w:rsid w:val="00E30F8B"/>
    <w:rsid w:val="00E31135"/>
    <w:rsid w:val="00E31191"/>
    <w:rsid w:val="00E312D4"/>
    <w:rsid w:val="00E3161D"/>
    <w:rsid w:val="00E3165C"/>
    <w:rsid w:val="00E31678"/>
    <w:rsid w:val="00E3175C"/>
    <w:rsid w:val="00E3176A"/>
    <w:rsid w:val="00E31858"/>
    <w:rsid w:val="00E3198A"/>
    <w:rsid w:val="00E31A53"/>
    <w:rsid w:val="00E31AA7"/>
    <w:rsid w:val="00E31AD4"/>
    <w:rsid w:val="00E31B68"/>
    <w:rsid w:val="00E31D8A"/>
    <w:rsid w:val="00E31DC5"/>
    <w:rsid w:val="00E31DF3"/>
    <w:rsid w:val="00E31ECE"/>
    <w:rsid w:val="00E31F11"/>
    <w:rsid w:val="00E3200A"/>
    <w:rsid w:val="00E3201A"/>
    <w:rsid w:val="00E320AD"/>
    <w:rsid w:val="00E321B2"/>
    <w:rsid w:val="00E3221F"/>
    <w:rsid w:val="00E32346"/>
    <w:rsid w:val="00E3234E"/>
    <w:rsid w:val="00E32433"/>
    <w:rsid w:val="00E32461"/>
    <w:rsid w:val="00E32773"/>
    <w:rsid w:val="00E327CA"/>
    <w:rsid w:val="00E32B2B"/>
    <w:rsid w:val="00E32CED"/>
    <w:rsid w:val="00E32E3D"/>
    <w:rsid w:val="00E32EBE"/>
    <w:rsid w:val="00E3308B"/>
    <w:rsid w:val="00E330EB"/>
    <w:rsid w:val="00E331B7"/>
    <w:rsid w:val="00E3339E"/>
    <w:rsid w:val="00E333B1"/>
    <w:rsid w:val="00E3341B"/>
    <w:rsid w:val="00E33426"/>
    <w:rsid w:val="00E33492"/>
    <w:rsid w:val="00E33520"/>
    <w:rsid w:val="00E33606"/>
    <w:rsid w:val="00E339B7"/>
    <w:rsid w:val="00E339D8"/>
    <w:rsid w:val="00E339E2"/>
    <w:rsid w:val="00E33B41"/>
    <w:rsid w:val="00E33DCF"/>
    <w:rsid w:val="00E33DE7"/>
    <w:rsid w:val="00E33E30"/>
    <w:rsid w:val="00E33F77"/>
    <w:rsid w:val="00E34369"/>
    <w:rsid w:val="00E34468"/>
    <w:rsid w:val="00E3454D"/>
    <w:rsid w:val="00E346E2"/>
    <w:rsid w:val="00E34809"/>
    <w:rsid w:val="00E3487D"/>
    <w:rsid w:val="00E349D9"/>
    <w:rsid w:val="00E349DD"/>
    <w:rsid w:val="00E34A25"/>
    <w:rsid w:val="00E34BDA"/>
    <w:rsid w:val="00E34CA5"/>
    <w:rsid w:val="00E34E32"/>
    <w:rsid w:val="00E34E75"/>
    <w:rsid w:val="00E34F97"/>
    <w:rsid w:val="00E34FBA"/>
    <w:rsid w:val="00E34FF0"/>
    <w:rsid w:val="00E35001"/>
    <w:rsid w:val="00E350E7"/>
    <w:rsid w:val="00E35115"/>
    <w:rsid w:val="00E35242"/>
    <w:rsid w:val="00E3526E"/>
    <w:rsid w:val="00E35289"/>
    <w:rsid w:val="00E35355"/>
    <w:rsid w:val="00E353B5"/>
    <w:rsid w:val="00E35433"/>
    <w:rsid w:val="00E354D3"/>
    <w:rsid w:val="00E3551F"/>
    <w:rsid w:val="00E356FC"/>
    <w:rsid w:val="00E35850"/>
    <w:rsid w:val="00E358D7"/>
    <w:rsid w:val="00E359A3"/>
    <w:rsid w:val="00E359D7"/>
    <w:rsid w:val="00E35A7E"/>
    <w:rsid w:val="00E35AE8"/>
    <w:rsid w:val="00E35B03"/>
    <w:rsid w:val="00E35B16"/>
    <w:rsid w:val="00E35F03"/>
    <w:rsid w:val="00E36083"/>
    <w:rsid w:val="00E36153"/>
    <w:rsid w:val="00E3622E"/>
    <w:rsid w:val="00E36265"/>
    <w:rsid w:val="00E36287"/>
    <w:rsid w:val="00E363B3"/>
    <w:rsid w:val="00E36499"/>
    <w:rsid w:val="00E36591"/>
    <w:rsid w:val="00E36633"/>
    <w:rsid w:val="00E366C8"/>
    <w:rsid w:val="00E36836"/>
    <w:rsid w:val="00E368B0"/>
    <w:rsid w:val="00E36B1F"/>
    <w:rsid w:val="00E36E7D"/>
    <w:rsid w:val="00E36F3F"/>
    <w:rsid w:val="00E36F64"/>
    <w:rsid w:val="00E37047"/>
    <w:rsid w:val="00E3711A"/>
    <w:rsid w:val="00E372EC"/>
    <w:rsid w:val="00E37314"/>
    <w:rsid w:val="00E373A3"/>
    <w:rsid w:val="00E3744A"/>
    <w:rsid w:val="00E3749D"/>
    <w:rsid w:val="00E374DC"/>
    <w:rsid w:val="00E3762B"/>
    <w:rsid w:val="00E37660"/>
    <w:rsid w:val="00E37856"/>
    <w:rsid w:val="00E3787B"/>
    <w:rsid w:val="00E3794B"/>
    <w:rsid w:val="00E37A59"/>
    <w:rsid w:val="00E37B8D"/>
    <w:rsid w:val="00E37BCE"/>
    <w:rsid w:val="00E37CE8"/>
    <w:rsid w:val="00E37DA6"/>
    <w:rsid w:val="00E37E96"/>
    <w:rsid w:val="00E37EF9"/>
    <w:rsid w:val="00E401BA"/>
    <w:rsid w:val="00E40247"/>
    <w:rsid w:val="00E40290"/>
    <w:rsid w:val="00E402BA"/>
    <w:rsid w:val="00E4052E"/>
    <w:rsid w:val="00E40813"/>
    <w:rsid w:val="00E40926"/>
    <w:rsid w:val="00E40ABC"/>
    <w:rsid w:val="00E40AE6"/>
    <w:rsid w:val="00E40AF8"/>
    <w:rsid w:val="00E40B62"/>
    <w:rsid w:val="00E40BFE"/>
    <w:rsid w:val="00E40C08"/>
    <w:rsid w:val="00E40C27"/>
    <w:rsid w:val="00E40C32"/>
    <w:rsid w:val="00E40DCC"/>
    <w:rsid w:val="00E40E64"/>
    <w:rsid w:val="00E40E6D"/>
    <w:rsid w:val="00E40F21"/>
    <w:rsid w:val="00E4117E"/>
    <w:rsid w:val="00E41214"/>
    <w:rsid w:val="00E413A3"/>
    <w:rsid w:val="00E413CD"/>
    <w:rsid w:val="00E413F9"/>
    <w:rsid w:val="00E41444"/>
    <w:rsid w:val="00E414C0"/>
    <w:rsid w:val="00E41526"/>
    <w:rsid w:val="00E415C5"/>
    <w:rsid w:val="00E41905"/>
    <w:rsid w:val="00E4197F"/>
    <w:rsid w:val="00E419EE"/>
    <w:rsid w:val="00E41DFB"/>
    <w:rsid w:val="00E41E4F"/>
    <w:rsid w:val="00E41E78"/>
    <w:rsid w:val="00E41EB4"/>
    <w:rsid w:val="00E41EB8"/>
    <w:rsid w:val="00E41F47"/>
    <w:rsid w:val="00E4206B"/>
    <w:rsid w:val="00E420E5"/>
    <w:rsid w:val="00E42196"/>
    <w:rsid w:val="00E421F2"/>
    <w:rsid w:val="00E4221D"/>
    <w:rsid w:val="00E422C1"/>
    <w:rsid w:val="00E422C7"/>
    <w:rsid w:val="00E42335"/>
    <w:rsid w:val="00E4239B"/>
    <w:rsid w:val="00E42427"/>
    <w:rsid w:val="00E4243F"/>
    <w:rsid w:val="00E424A6"/>
    <w:rsid w:val="00E424C4"/>
    <w:rsid w:val="00E4250E"/>
    <w:rsid w:val="00E425B1"/>
    <w:rsid w:val="00E42603"/>
    <w:rsid w:val="00E428C1"/>
    <w:rsid w:val="00E42AED"/>
    <w:rsid w:val="00E42BF9"/>
    <w:rsid w:val="00E42C40"/>
    <w:rsid w:val="00E42C95"/>
    <w:rsid w:val="00E42CA0"/>
    <w:rsid w:val="00E42D37"/>
    <w:rsid w:val="00E42E2D"/>
    <w:rsid w:val="00E42FB9"/>
    <w:rsid w:val="00E433A0"/>
    <w:rsid w:val="00E435A2"/>
    <w:rsid w:val="00E4365D"/>
    <w:rsid w:val="00E43855"/>
    <w:rsid w:val="00E43879"/>
    <w:rsid w:val="00E43A99"/>
    <w:rsid w:val="00E43AF7"/>
    <w:rsid w:val="00E43B41"/>
    <w:rsid w:val="00E43B81"/>
    <w:rsid w:val="00E43CA8"/>
    <w:rsid w:val="00E43D82"/>
    <w:rsid w:val="00E43DC7"/>
    <w:rsid w:val="00E43FD5"/>
    <w:rsid w:val="00E440C1"/>
    <w:rsid w:val="00E440D1"/>
    <w:rsid w:val="00E440FD"/>
    <w:rsid w:val="00E4414A"/>
    <w:rsid w:val="00E44344"/>
    <w:rsid w:val="00E443E0"/>
    <w:rsid w:val="00E44428"/>
    <w:rsid w:val="00E44605"/>
    <w:rsid w:val="00E446E0"/>
    <w:rsid w:val="00E4470B"/>
    <w:rsid w:val="00E447B1"/>
    <w:rsid w:val="00E44B21"/>
    <w:rsid w:val="00E44B78"/>
    <w:rsid w:val="00E44CAC"/>
    <w:rsid w:val="00E44E1D"/>
    <w:rsid w:val="00E44E25"/>
    <w:rsid w:val="00E44E4F"/>
    <w:rsid w:val="00E44FB0"/>
    <w:rsid w:val="00E45205"/>
    <w:rsid w:val="00E45454"/>
    <w:rsid w:val="00E4549D"/>
    <w:rsid w:val="00E455A0"/>
    <w:rsid w:val="00E4568A"/>
    <w:rsid w:val="00E456D5"/>
    <w:rsid w:val="00E456F3"/>
    <w:rsid w:val="00E45753"/>
    <w:rsid w:val="00E4577F"/>
    <w:rsid w:val="00E457E7"/>
    <w:rsid w:val="00E4593D"/>
    <w:rsid w:val="00E459C0"/>
    <w:rsid w:val="00E45A72"/>
    <w:rsid w:val="00E45B33"/>
    <w:rsid w:val="00E45B48"/>
    <w:rsid w:val="00E45DF0"/>
    <w:rsid w:val="00E45F46"/>
    <w:rsid w:val="00E4617B"/>
    <w:rsid w:val="00E4628B"/>
    <w:rsid w:val="00E462EE"/>
    <w:rsid w:val="00E46321"/>
    <w:rsid w:val="00E4650C"/>
    <w:rsid w:val="00E4653F"/>
    <w:rsid w:val="00E46561"/>
    <w:rsid w:val="00E4663C"/>
    <w:rsid w:val="00E4676A"/>
    <w:rsid w:val="00E46788"/>
    <w:rsid w:val="00E467AE"/>
    <w:rsid w:val="00E468C2"/>
    <w:rsid w:val="00E4695C"/>
    <w:rsid w:val="00E46A7B"/>
    <w:rsid w:val="00E46BDD"/>
    <w:rsid w:val="00E46E46"/>
    <w:rsid w:val="00E46EB6"/>
    <w:rsid w:val="00E46FE9"/>
    <w:rsid w:val="00E47051"/>
    <w:rsid w:val="00E471E9"/>
    <w:rsid w:val="00E4733B"/>
    <w:rsid w:val="00E473A0"/>
    <w:rsid w:val="00E474E8"/>
    <w:rsid w:val="00E4755A"/>
    <w:rsid w:val="00E476F4"/>
    <w:rsid w:val="00E47B2E"/>
    <w:rsid w:val="00E47D41"/>
    <w:rsid w:val="00E47DA7"/>
    <w:rsid w:val="00E47E01"/>
    <w:rsid w:val="00E47EBE"/>
    <w:rsid w:val="00E50169"/>
    <w:rsid w:val="00E503E2"/>
    <w:rsid w:val="00E50748"/>
    <w:rsid w:val="00E50902"/>
    <w:rsid w:val="00E5098E"/>
    <w:rsid w:val="00E50B7C"/>
    <w:rsid w:val="00E50BD3"/>
    <w:rsid w:val="00E50C99"/>
    <w:rsid w:val="00E50D14"/>
    <w:rsid w:val="00E50ED9"/>
    <w:rsid w:val="00E5106D"/>
    <w:rsid w:val="00E511EC"/>
    <w:rsid w:val="00E51363"/>
    <w:rsid w:val="00E5142B"/>
    <w:rsid w:val="00E51473"/>
    <w:rsid w:val="00E51583"/>
    <w:rsid w:val="00E515F5"/>
    <w:rsid w:val="00E51683"/>
    <w:rsid w:val="00E5175F"/>
    <w:rsid w:val="00E517C1"/>
    <w:rsid w:val="00E5184A"/>
    <w:rsid w:val="00E518DB"/>
    <w:rsid w:val="00E5197B"/>
    <w:rsid w:val="00E5199E"/>
    <w:rsid w:val="00E51B52"/>
    <w:rsid w:val="00E51B9B"/>
    <w:rsid w:val="00E51CE7"/>
    <w:rsid w:val="00E51D69"/>
    <w:rsid w:val="00E51EBB"/>
    <w:rsid w:val="00E51ED9"/>
    <w:rsid w:val="00E51F3F"/>
    <w:rsid w:val="00E5212C"/>
    <w:rsid w:val="00E5215B"/>
    <w:rsid w:val="00E521E8"/>
    <w:rsid w:val="00E521EE"/>
    <w:rsid w:val="00E5239F"/>
    <w:rsid w:val="00E52480"/>
    <w:rsid w:val="00E5260E"/>
    <w:rsid w:val="00E526FE"/>
    <w:rsid w:val="00E52773"/>
    <w:rsid w:val="00E527CD"/>
    <w:rsid w:val="00E52826"/>
    <w:rsid w:val="00E52A32"/>
    <w:rsid w:val="00E52B0E"/>
    <w:rsid w:val="00E52CA1"/>
    <w:rsid w:val="00E52CA4"/>
    <w:rsid w:val="00E5300E"/>
    <w:rsid w:val="00E5318B"/>
    <w:rsid w:val="00E5355F"/>
    <w:rsid w:val="00E53650"/>
    <w:rsid w:val="00E536BD"/>
    <w:rsid w:val="00E53837"/>
    <w:rsid w:val="00E538E3"/>
    <w:rsid w:val="00E53BBF"/>
    <w:rsid w:val="00E53D11"/>
    <w:rsid w:val="00E53E3D"/>
    <w:rsid w:val="00E53F09"/>
    <w:rsid w:val="00E53F11"/>
    <w:rsid w:val="00E53FA2"/>
    <w:rsid w:val="00E540FF"/>
    <w:rsid w:val="00E54163"/>
    <w:rsid w:val="00E5420D"/>
    <w:rsid w:val="00E54462"/>
    <w:rsid w:val="00E545A0"/>
    <w:rsid w:val="00E545D6"/>
    <w:rsid w:val="00E545FE"/>
    <w:rsid w:val="00E546E6"/>
    <w:rsid w:val="00E547F0"/>
    <w:rsid w:val="00E54838"/>
    <w:rsid w:val="00E54848"/>
    <w:rsid w:val="00E548BC"/>
    <w:rsid w:val="00E54911"/>
    <w:rsid w:val="00E54B2E"/>
    <w:rsid w:val="00E54BCB"/>
    <w:rsid w:val="00E54C8E"/>
    <w:rsid w:val="00E54EC2"/>
    <w:rsid w:val="00E54F3F"/>
    <w:rsid w:val="00E54F87"/>
    <w:rsid w:val="00E55063"/>
    <w:rsid w:val="00E551B0"/>
    <w:rsid w:val="00E55219"/>
    <w:rsid w:val="00E55334"/>
    <w:rsid w:val="00E5534D"/>
    <w:rsid w:val="00E554C5"/>
    <w:rsid w:val="00E554D8"/>
    <w:rsid w:val="00E55550"/>
    <w:rsid w:val="00E555C7"/>
    <w:rsid w:val="00E555DE"/>
    <w:rsid w:val="00E556AB"/>
    <w:rsid w:val="00E5585E"/>
    <w:rsid w:val="00E55860"/>
    <w:rsid w:val="00E559AC"/>
    <w:rsid w:val="00E55A11"/>
    <w:rsid w:val="00E55C1B"/>
    <w:rsid w:val="00E55CDE"/>
    <w:rsid w:val="00E55EB2"/>
    <w:rsid w:val="00E560FB"/>
    <w:rsid w:val="00E56126"/>
    <w:rsid w:val="00E56237"/>
    <w:rsid w:val="00E5623B"/>
    <w:rsid w:val="00E5626A"/>
    <w:rsid w:val="00E5629D"/>
    <w:rsid w:val="00E563CF"/>
    <w:rsid w:val="00E563DD"/>
    <w:rsid w:val="00E563F1"/>
    <w:rsid w:val="00E56480"/>
    <w:rsid w:val="00E56511"/>
    <w:rsid w:val="00E565F1"/>
    <w:rsid w:val="00E5663B"/>
    <w:rsid w:val="00E56A66"/>
    <w:rsid w:val="00E56B2E"/>
    <w:rsid w:val="00E56B3C"/>
    <w:rsid w:val="00E56D7E"/>
    <w:rsid w:val="00E56E21"/>
    <w:rsid w:val="00E56F5A"/>
    <w:rsid w:val="00E56FE4"/>
    <w:rsid w:val="00E570CB"/>
    <w:rsid w:val="00E5728B"/>
    <w:rsid w:val="00E5746C"/>
    <w:rsid w:val="00E574A2"/>
    <w:rsid w:val="00E57571"/>
    <w:rsid w:val="00E57599"/>
    <w:rsid w:val="00E57645"/>
    <w:rsid w:val="00E5767F"/>
    <w:rsid w:val="00E57951"/>
    <w:rsid w:val="00E579DD"/>
    <w:rsid w:val="00E57A05"/>
    <w:rsid w:val="00E57A34"/>
    <w:rsid w:val="00E57BB0"/>
    <w:rsid w:val="00E57C23"/>
    <w:rsid w:val="00E57C55"/>
    <w:rsid w:val="00E57DDE"/>
    <w:rsid w:val="00E57E5F"/>
    <w:rsid w:val="00E57E8A"/>
    <w:rsid w:val="00E601FB"/>
    <w:rsid w:val="00E603F8"/>
    <w:rsid w:val="00E60502"/>
    <w:rsid w:val="00E60512"/>
    <w:rsid w:val="00E60648"/>
    <w:rsid w:val="00E6066A"/>
    <w:rsid w:val="00E606A9"/>
    <w:rsid w:val="00E6098A"/>
    <w:rsid w:val="00E609A5"/>
    <w:rsid w:val="00E609CC"/>
    <w:rsid w:val="00E60AEB"/>
    <w:rsid w:val="00E60B42"/>
    <w:rsid w:val="00E60D92"/>
    <w:rsid w:val="00E60F20"/>
    <w:rsid w:val="00E60F2D"/>
    <w:rsid w:val="00E60F48"/>
    <w:rsid w:val="00E61055"/>
    <w:rsid w:val="00E61110"/>
    <w:rsid w:val="00E61155"/>
    <w:rsid w:val="00E61277"/>
    <w:rsid w:val="00E61287"/>
    <w:rsid w:val="00E61297"/>
    <w:rsid w:val="00E61306"/>
    <w:rsid w:val="00E61543"/>
    <w:rsid w:val="00E61634"/>
    <w:rsid w:val="00E6174E"/>
    <w:rsid w:val="00E61881"/>
    <w:rsid w:val="00E6197B"/>
    <w:rsid w:val="00E61F63"/>
    <w:rsid w:val="00E61FFD"/>
    <w:rsid w:val="00E621D2"/>
    <w:rsid w:val="00E621DE"/>
    <w:rsid w:val="00E622BF"/>
    <w:rsid w:val="00E62413"/>
    <w:rsid w:val="00E62576"/>
    <w:rsid w:val="00E625EC"/>
    <w:rsid w:val="00E62652"/>
    <w:rsid w:val="00E62725"/>
    <w:rsid w:val="00E62738"/>
    <w:rsid w:val="00E6278B"/>
    <w:rsid w:val="00E627AC"/>
    <w:rsid w:val="00E62B2A"/>
    <w:rsid w:val="00E62C9A"/>
    <w:rsid w:val="00E62D56"/>
    <w:rsid w:val="00E62E43"/>
    <w:rsid w:val="00E632D4"/>
    <w:rsid w:val="00E6341D"/>
    <w:rsid w:val="00E634C8"/>
    <w:rsid w:val="00E63506"/>
    <w:rsid w:val="00E6352B"/>
    <w:rsid w:val="00E63645"/>
    <w:rsid w:val="00E636C9"/>
    <w:rsid w:val="00E63847"/>
    <w:rsid w:val="00E63932"/>
    <w:rsid w:val="00E63967"/>
    <w:rsid w:val="00E63A74"/>
    <w:rsid w:val="00E63AD1"/>
    <w:rsid w:val="00E63B94"/>
    <w:rsid w:val="00E63BA6"/>
    <w:rsid w:val="00E63BF5"/>
    <w:rsid w:val="00E63DD2"/>
    <w:rsid w:val="00E63E4A"/>
    <w:rsid w:val="00E6410A"/>
    <w:rsid w:val="00E64170"/>
    <w:rsid w:val="00E64498"/>
    <w:rsid w:val="00E644FA"/>
    <w:rsid w:val="00E64534"/>
    <w:rsid w:val="00E64570"/>
    <w:rsid w:val="00E646E3"/>
    <w:rsid w:val="00E6495B"/>
    <w:rsid w:val="00E6496D"/>
    <w:rsid w:val="00E649C4"/>
    <w:rsid w:val="00E649F9"/>
    <w:rsid w:val="00E64B17"/>
    <w:rsid w:val="00E64C91"/>
    <w:rsid w:val="00E64CF5"/>
    <w:rsid w:val="00E64D32"/>
    <w:rsid w:val="00E64F03"/>
    <w:rsid w:val="00E64F7F"/>
    <w:rsid w:val="00E64FCF"/>
    <w:rsid w:val="00E65251"/>
    <w:rsid w:val="00E6541C"/>
    <w:rsid w:val="00E6545D"/>
    <w:rsid w:val="00E655A3"/>
    <w:rsid w:val="00E655F1"/>
    <w:rsid w:val="00E657A5"/>
    <w:rsid w:val="00E65944"/>
    <w:rsid w:val="00E6596F"/>
    <w:rsid w:val="00E65A0D"/>
    <w:rsid w:val="00E65ACB"/>
    <w:rsid w:val="00E65C64"/>
    <w:rsid w:val="00E65C88"/>
    <w:rsid w:val="00E65D3C"/>
    <w:rsid w:val="00E65D8A"/>
    <w:rsid w:val="00E65DBF"/>
    <w:rsid w:val="00E65DD9"/>
    <w:rsid w:val="00E65E5D"/>
    <w:rsid w:val="00E65ED1"/>
    <w:rsid w:val="00E65F03"/>
    <w:rsid w:val="00E65F23"/>
    <w:rsid w:val="00E65F2A"/>
    <w:rsid w:val="00E65FD4"/>
    <w:rsid w:val="00E660CD"/>
    <w:rsid w:val="00E66178"/>
    <w:rsid w:val="00E663A0"/>
    <w:rsid w:val="00E6641F"/>
    <w:rsid w:val="00E6666C"/>
    <w:rsid w:val="00E666C9"/>
    <w:rsid w:val="00E667C8"/>
    <w:rsid w:val="00E667E6"/>
    <w:rsid w:val="00E668B6"/>
    <w:rsid w:val="00E66930"/>
    <w:rsid w:val="00E6693F"/>
    <w:rsid w:val="00E669AC"/>
    <w:rsid w:val="00E66A1C"/>
    <w:rsid w:val="00E66A22"/>
    <w:rsid w:val="00E66B6B"/>
    <w:rsid w:val="00E66BC7"/>
    <w:rsid w:val="00E66BCD"/>
    <w:rsid w:val="00E66BDC"/>
    <w:rsid w:val="00E66D50"/>
    <w:rsid w:val="00E66D71"/>
    <w:rsid w:val="00E66E07"/>
    <w:rsid w:val="00E66E96"/>
    <w:rsid w:val="00E66F42"/>
    <w:rsid w:val="00E6728F"/>
    <w:rsid w:val="00E67295"/>
    <w:rsid w:val="00E673C6"/>
    <w:rsid w:val="00E673EF"/>
    <w:rsid w:val="00E675F6"/>
    <w:rsid w:val="00E675FF"/>
    <w:rsid w:val="00E677E5"/>
    <w:rsid w:val="00E6786D"/>
    <w:rsid w:val="00E67909"/>
    <w:rsid w:val="00E67A8D"/>
    <w:rsid w:val="00E67BFC"/>
    <w:rsid w:val="00E67C85"/>
    <w:rsid w:val="00E67CD5"/>
    <w:rsid w:val="00E67D71"/>
    <w:rsid w:val="00E67EB0"/>
    <w:rsid w:val="00E67EBF"/>
    <w:rsid w:val="00E67F72"/>
    <w:rsid w:val="00E7001E"/>
    <w:rsid w:val="00E700CC"/>
    <w:rsid w:val="00E700CF"/>
    <w:rsid w:val="00E701D8"/>
    <w:rsid w:val="00E701F2"/>
    <w:rsid w:val="00E70269"/>
    <w:rsid w:val="00E70291"/>
    <w:rsid w:val="00E70309"/>
    <w:rsid w:val="00E70345"/>
    <w:rsid w:val="00E70385"/>
    <w:rsid w:val="00E70424"/>
    <w:rsid w:val="00E704C7"/>
    <w:rsid w:val="00E70904"/>
    <w:rsid w:val="00E709A7"/>
    <w:rsid w:val="00E70AB8"/>
    <w:rsid w:val="00E70C29"/>
    <w:rsid w:val="00E70E81"/>
    <w:rsid w:val="00E70EB4"/>
    <w:rsid w:val="00E70F5D"/>
    <w:rsid w:val="00E71110"/>
    <w:rsid w:val="00E71126"/>
    <w:rsid w:val="00E7146C"/>
    <w:rsid w:val="00E716E4"/>
    <w:rsid w:val="00E71799"/>
    <w:rsid w:val="00E71846"/>
    <w:rsid w:val="00E71892"/>
    <w:rsid w:val="00E718B6"/>
    <w:rsid w:val="00E71AF5"/>
    <w:rsid w:val="00E71B6F"/>
    <w:rsid w:val="00E71C09"/>
    <w:rsid w:val="00E71C2B"/>
    <w:rsid w:val="00E71CB7"/>
    <w:rsid w:val="00E71CDD"/>
    <w:rsid w:val="00E71D37"/>
    <w:rsid w:val="00E71F45"/>
    <w:rsid w:val="00E71F5E"/>
    <w:rsid w:val="00E72123"/>
    <w:rsid w:val="00E722CF"/>
    <w:rsid w:val="00E7234D"/>
    <w:rsid w:val="00E723C4"/>
    <w:rsid w:val="00E723EA"/>
    <w:rsid w:val="00E724A0"/>
    <w:rsid w:val="00E7259B"/>
    <w:rsid w:val="00E725E1"/>
    <w:rsid w:val="00E726C4"/>
    <w:rsid w:val="00E72768"/>
    <w:rsid w:val="00E72982"/>
    <w:rsid w:val="00E729F8"/>
    <w:rsid w:val="00E72B85"/>
    <w:rsid w:val="00E72C44"/>
    <w:rsid w:val="00E72C70"/>
    <w:rsid w:val="00E72D6C"/>
    <w:rsid w:val="00E72E11"/>
    <w:rsid w:val="00E72F0C"/>
    <w:rsid w:val="00E72FBC"/>
    <w:rsid w:val="00E73127"/>
    <w:rsid w:val="00E7329A"/>
    <w:rsid w:val="00E7343C"/>
    <w:rsid w:val="00E7350E"/>
    <w:rsid w:val="00E7368B"/>
    <w:rsid w:val="00E73749"/>
    <w:rsid w:val="00E73973"/>
    <w:rsid w:val="00E739C5"/>
    <w:rsid w:val="00E73A4B"/>
    <w:rsid w:val="00E73A8F"/>
    <w:rsid w:val="00E73BE4"/>
    <w:rsid w:val="00E73C02"/>
    <w:rsid w:val="00E73CAA"/>
    <w:rsid w:val="00E73CBD"/>
    <w:rsid w:val="00E73D72"/>
    <w:rsid w:val="00E73DD1"/>
    <w:rsid w:val="00E73F33"/>
    <w:rsid w:val="00E73FA4"/>
    <w:rsid w:val="00E74021"/>
    <w:rsid w:val="00E741A5"/>
    <w:rsid w:val="00E742B6"/>
    <w:rsid w:val="00E742DF"/>
    <w:rsid w:val="00E74604"/>
    <w:rsid w:val="00E747CB"/>
    <w:rsid w:val="00E74831"/>
    <w:rsid w:val="00E74B5A"/>
    <w:rsid w:val="00E74DBA"/>
    <w:rsid w:val="00E74DFF"/>
    <w:rsid w:val="00E74E2C"/>
    <w:rsid w:val="00E74E30"/>
    <w:rsid w:val="00E74E74"/>
    <w:rsid w:val="00E74E93"/>
    <w:rsid w:val="00E74EE7"/>
    <w:rsid w:val="00E74EF6"/>
    <w:rsid w:val="00E74F70"/>
    <w:rsid w:val="00E7516B"/>
    <w:rsid w:val="00E7523C"/>
    <w:rsid w:val="00E75497"/>
    <w:rsid w:val="00E754B4"/>
    <w:rsid w:val="00E75558"/>
    <w:rsid w:val="00E755DF"/>
    <w:rsid w:val="00E756D8"/>
    <w:rsid w:val="00E75737"/>
    <w:rsid w:val="00E757D8"/>
    <w:rsid w:val="00E7584F"/>
    <w:rsid w:val="00E75918"/>
    <w:rsid w:val="00E7599A"/>
    <w:rsid w:val="00E75D01"/>
    <w:rsid w:val="00E75D44"/>
    <w:rsid w:val="00E75E18"/>
    <w:rsid w:val="00E75E27"/>
    <w:rsid w:val="00E75E3B"/>
    <w:rsid w:val="00E75FC1"/>
    <w:rsid w:val="00E75FFE"/>
    <w:rsid w:val="00E7603C"/>
    <w:rsid w:val="00E7607D"/>
    <w:rsid w:val="00E76126"/>
    <w:rsid w:val="00E76218"/>
    <w:rsid w:val="00E76237"/>
    <w:rsid w:val="00E7623E"/>
    <w:rsid w:val="00E762E6"/>
    <w:rsid w:val="00E762ED"/>
    <w:rsid w:val="00E76490"/>
    <w:rsid w:val="00E7652B"/>
    <w:rsid w:val="00E765FD"/>
    <w:rsid w:val="00E7668C"/>
    <w:rsid w:val="00E7697A"/>
    <w:rsid w:val="00E76A4D"/>
    <w:rsid w:val="00E76A78"/>
    <w:rsid w:val="00E76B30"/>
    <w:rsid w:val="00E76D65"/>
    <w:rsid w:val="00E76D69"/>
    <w:rsid w:val="00E76E5F"/>
    <w:rsid w:val="00E77016"/>
    <w:rsid w:val="00E77053"/>
    <w:rsid w:val="00E7706B"/>
    <w:rsid w:val="00E770AE"/>
    <w:rsid w:val="00E7716E"/>
    <w:rsid w:val="00E77275"/>
    <w:rsid w:val="00E77294"/>
    <w:rsid w:val="00E775F9"/>
    <w:rsid w:val="00E7767E"/>
    <w:rsid w:val="00E777AC"/>
    <w:rsid w:val="00E77B7A"/>
    <w:rsid w:val="00E77C13"/>
    <w:rsid w:val="00E77E35"/>
    <w:rsid w:val="00E77EA3"/>
    <w:rsid w:val="00E80146"/>
    <w:rsid w:val="00E801AD"/>
    <w:rsid w:val="00E801D5"/>
    <w:rsid w:val="00E8025A"/>
    <w:rsid w:val="00E80477"/>
    <w:rsid w:val="00E8056B"/>
    <w:rsid w:val="00E80612"/>
    <w:rsid w:val="00E80669"/>
    <w:rsid w:val="00E80691"/>
    <w:rsid w:val="00E806AB"/>
    <w:rsid w:val="00E8072D"/>
    <w:rsid w:val="00E8088C"/>
    <w:rsid w:val="00E808D1"/>
    <w:rsid w:val="00E80B3D"/>
    <w:rsid w:val="00E80C1C"/>
    <w:rsid w:val="00E80CA6"/>
    <w:rsid w:val="00E80F00"/>
    <w:rsid w:val="00E80FF7"/>
    <w:rsid w:val="00E81084"/>
    <w:rsid w:val="00E8114E"/>
    <w:rsid w:val="00E81210"/>
    <w:rsid w:val="00E81256"/>
    <w:rsid w:val="00E8153A"/>
    <w:rsid w:val="00E8153C"/>
    <w:rsid w:val="00E815FB"/>
    <w:rsid w:val="00E817AC"/>
    <w:rsid w:val="00E817B7"/>
    <w:rsid w:val="00E81831"/>
    <w:rsid w:val="00E818FA"/>
    <w:rsid w:val="00E8199E"/>
    <w:rsid w:val="00E81A5D"/>
    <w:rsid w:val="00E81B19"/>
    <w:rsid w:val="00E81E6A"/>
    <w:rsid w:val="00E81E8C"/>
    <w:rsid w:val="00E81F09"/>
    <w:rsid w:val="00E82104"/>
    <w:rsid w:val="00E8221A"/>
    <w:rsid w:val="00E82256"/>
    <w:rsid w:val="00E82281"/>
    <w:rsid w:val="00E8230F"/>
    <w:rsid w:val="00E82376"/>
    <w:rsid w:val="00E82496"/>
    <w:rsid w:val="00E824E4"/>
    <w:rsid w:val="00E824FE"/>
    <w:rsid w:val="00E8264E"/>
    <w:rsid w:val="00E82681"/>
    <w:rsid w:val="00E82742"/>
    <w:rsid w:val="00E8278C"/>
    <w:rsid w:val="00E827C3"/>
    <w:rsid w:val="00E8285F"/>
    <w:rsid w:val="00E8287A"/>
    <w:rsid w:val="00E82A49"/>
    <w:rsid w:val="00E82AD4"/>
    <w:rsid w:val="00E82B8F"/>
    <w:rsid w:val="00E82BDC"/>
    <w:rsid w:val="00E82BE4"/>
    <w:rsid w:val="00E82C9A"/>
    <w:rsid w:val="00E82ECE"/>
    <w:rsid w:val="00E82F9C"/>
    <w:rsid w:val="00E82FA2"/>
    <w:rsid w:val="00E830AD"/>
    <w:rsid w:val="00E83245"/>
    <w:rsid w:val="00E832AA"/>
    <w:rsid w:val="00E832D7"/>
    <w:rsid w:val="00E833DF"/>
    <w:rsid w:val="00E836F4"/>
    <w:rsid w:val="00E83940"/>
    <w:rsid w:val="00E83B8F"/>
    <w:rsid w:val="00E83C54"/>
    <w:rsid w:val="00E83C64"/>
    <w:rsid w:val="00E83CCD"/>
    <w:rsid w:val="00E83D03"/>
    <w:rsid w:val="00E83E7F"/>
    <w:rsid w:val="00E83EA6"/>
    <w:rsid w:val="00E83ECD"/>
    <w:rsid w:val="00E83F31"/>
    <w:rsid w:val="00E83F6A"/>
    <w:rsid w:val="00E83F77"/>
    <w:rsid w:val="00E83F83"/>
    <w:rsid w:val="00E8419B"/>
    <w:rsid w:val="00E84207"/>
    <w:rsid w:val="00E8425F"/>
    <w:rsid w:val="00E84324"/>
    <w:rsid w:val="00E8432E"/>
    <w:rsid w:val="00E8461E"/>
    <w:rsid w:val="00E84651"/>
    <w:rsid w:val="00E84721"/>
    <w:rsid w:val="00E847E0"/>
    <w:rsid w:val="00E8487E"/>
    <w:rsid w:val="00E849DC"/>
    <w:rsid w:val="00E84AE4"/>
    <w:rsid w:val="00E84AE5"/>
    <w:rsid w:val="00E84AF0"/>
    <w:rsid w:val="00E84AF5"/>
    <w:rsid w:val="00E84C16"/>
    <w:rsid w:val="00E84C19"/>
    <w:rsid w:val="00E84D7E"/>
    <w:rsid w:val="00E84E49"/>
    <w:rsid w:val="00E84EF7"/>
    <w:rsid w:val="00E85011"/>
    <w:rsid w:val="00E8501B"/>
    <w:rsid w:val="00E85027"/>
    <w:rsid w:val="00E850D6"/>
    <w:rsid w:val="00E853A8"/>
    <w:rsid w:val="00E853B6"/>
    <w:rsid w:val="00E85479"/>
    <w:rsid w:val="00E85583"/>
    <w:rsid w:val="00E85667"/>
    <w:rsid w:val="00E85723"/>
    <w:rsid w:val="00E859B5"/>
    <w:rsid w:val="00E859B7"/>
    <w:rsid w:val="00E85C42"/>
    <w:rsid w:val="00E85D5F"/>
    <w:rsid w:val="00E85D6A"/>
    <w:rsid w:val="00E85E51"/>
    <w:rsid w:val="00E85F2E"/>
    <w:rsid w:val="00E860C4"/>
    <w:rsid w:val="00E860E8"/>
    <w:rsid w:val="00E861B7"/>
    <w:rsid w:val="00E861BB"/>
    <w:rsid w:val="00E861E2"/>
    <w:rsid w:val="00E8621A"/>
    <w:rsid w:val="00E86239"/>
    <w:rsid w:val="00E863A0"/>
    <w:rsid w:val="00E86400"/>
    <w:rsid w:val="00E8648A"/>
    <w:rsid w:val="00E86514"/>
    <w:rsid w:val="00E8668F"/>
    <w:rsid w:val="00E86696"/>
    <w:rsid w:val="00E868CE"/>
    <w:rsid w:val="00E86AA6"/>
    <w:rsid w:val="00E86AF2"/>
    <w:rsid w:val="00E86B0F"/>
    <w:rsid w:val="00E86B1A"/>
    <w:rsid w:val="00E86C14"/>
    <w:rsid w:val="00E86EF1"/>
    <w:rsid w:val="00E86F1E"/>
    <w:rsid w:val="00E86FAF"/>
    <w:rsid w:val="00E86FC1"/>
    <w:rsid w:val="00E8700C"/>
    <w:rsid w:val="00E870AF"/>
    <w:rsid w:val="00E870B7"/>
    <w:rsid w:val="00E87118"/>
    <w:rsid w:val="00E87226"/>
    <w:rsid w:val="00E87276"/>
    <w:rsid w:val="00E87458"/>
    <w:rsid w:val="00E87545"/>
    <w:rsid w:val="00E875F7"/>
    <w:rsid w:val="00E8762B"/>
    <w:rsid w:val="00E87BE3"/>
    <w:rsid w:val="00E87C2F"/>
    <w:rsid w:val="00E87C43"/>
    <w:rsid w:val="00E87C57"/>
    <w:rsid w:val="00E87DC1"/>
    <w:rsid w:val="00E87FE0"/>
    <w:rsid w:val="00E8AA8D"/>
    <w:rsid w:val="00E90021"/>
    <w:rsid w:val="00E90035"/>
    <w:rsid w:val="00E900A7"/>
    <w:rsid w:val="00E900C7"/>
    <w:rsid w:val="00E90112"/>
    <w:rsid w:val="00E90225"/>
    <w:rsid w:val="00E90242"/>
    <w:rsid w:val="00E902FE"/>
    <w:rsid w:val="00E903CE"/>
    <w:rsid w:val="00E907F2"/>
    <w:rsid w:val="00E9092D"/>
    <w:rsid w:val="00E90B1D"/>
    <w:rsid w:val="00E90BDA"/>
    <w:rsid w:val="00E90C08"/>
    <w:rsid w:val="00E90D32"/>
    <w:rsid w:val="00E90D96"/>
    <w:rsid w:val="00E90E7E"/>
    <w:rsid w:val="00E90F41"/>
    <w:rsid w:val="00E90F81"/>
    <w:rsid w:val="00E91055"/>
    <w:rsid w:val="00E91060"/>
    <w:rsid w:val="00E91087"/>
    <w:rsid w:val="00E911F8"/>
    <w:rsid w:val="00E91273"/>
    <w:rsid w:val="00E9140B"/>
    <w:rsid w:val="00E91427"/>
    <w:rsid w:val="00E91470"/>
    <w:rsid w:val="00E914C1"/>
    <w:rsid w:val="00E91614"/>
    <w:rsid w:val="00E9176D"/>
    <w:rsid w:val="00E918B4"/>
    <w:rsid w:val="00E9194A"/>
    <w:rsid w:val="00E919C2"/>
    <w:rsid w:val="00E919D6"/>
    <w:rsid w:val="00E91AD7"/>
    <w:rsid w:val="00E91C88"/>
    <w:rsid w:val="00E91C9E"/>
    <w:rsid w:val="00E91E6E"/>
    <w:rsid w:val="00E91E8E"/>
    <w:rsid w:val="00E91EA5"/>
    <w:rsid w:val="00E91F69"/>
    <w:rsid w:val="00E91F7E"/>
    <w:rsid w:val="00E91FC9"/>
    <w:rsid w:val="00E91FE5"/>
    <w:rsid w:val="00E92087"/>
    <w:rsid w:val="00E9211A"/>
    <w:rsid w:val="00E92329"/>
    <w:rsid w:val="00E92344"/>
    <w:rsid w:val="00E92406"/>
    <w:rsid w:val="00E9243D"/>
    <w:rsid w:val="00E924C9"/>
    <w:rsid w:val="00E9259E"/>
    <w:rsid w:val="00E9262E"/>
    <w:rsid w:val="00E9277C"/>
    <w:rsid w:val="00E928AF"/>
    <w:rsid w:val="00E928DA"/>
    <w:rsid w:val="00E92A90"/>
    <w:rsid w:val="00E92CD6"/>
    <w:rsid w:val="00E92D84"/>
    <w:rsid w:val="00E92E37"/>
    <w:rsid w:val="00E92F37"/>
    <w:rsid w:val="00E930A4"/>
    <w:rsid w:val="00E9316B"/>
    <w:rsid w:val="00E93179"/>
    <w:rsid w:val="00E9324B"/>
    <w:rsid w:val="00E93324"/>
    <w:rsid w:val="00E9334D"/>
    <w:rsid w:val="00E93408"/>
    <w:rsid w:val="00E934B8"/>
    <w:rsid w:val="00E93545"/>
    <w:rsid w:val="00E9357F"/>
    <w:rsid w:val="00E936DD"/>
    <w:rsid w:val="00E9373F"/>
    <w:rsid w:val="00E937BF"/>
    <w:rsid w:val="00E937DB"/>
    <w:rsid w:val="00E9386C"/>
    <w:rsid w:val="00E93875"/>
    <w:rsid w:val="00E938DD"/>
    <w:rsid w:val="00E938F0"/>
    <w:rsid w:val="00E939F8"/>
    <w:rsid w:val="00E93B16"/>
    <w:rsid w:val="00E93BD0"/>
    <w:rsid w:val="00E93E08"/>
    <w:rsid w:val="00E93E30"/>
    <w:rsid w:val="00E93E55"/>
    <w:rsid w:val="00E93E97"/>
    <w:rsid w:val="00E940DF"/>
    <w:rsid w:val="00E94121"/>
    <w:rsid w:val="00E94172"/>
    <w:rsid w:val="00E94289"/>
    <w:rsid w:val="00E9432C"/>
    <w:rsid w:val="00E9437C"/>
    <w:rsid w:val="00E94447"/>
    <w:rsid w:val="00E945EA"/>
    <w:rsid w:val="00E9463E"/>
    <w:rsid w:val="00E9473D"/>
    <w:rsid w:val="00E94876"/>
    <w:rsid w:val="00E94A02"/>
    <w:rsid w:val="00E94A16"/>
    <w:rsid w:val="00E94A72"/>
    <w:rsid w:val="00E94AA5"/>
    <w:rsid w:val="00E94B2B"/>
    <w:rsid w:val="00E94D27"/>
    <w:rsid w:val="00E94F6E"/>
    <w:rsid w:val="00E94F98"/>
    <w:rsid w:val="00E950D7"/>
    <w:rsid w:val="00E95313"/>
    <w:rsid w:val="00E95447"/>
    <w:rsid w:val="00E955B7"/>
    <w:rsid w:val="00E955DE"/>
    <w:rsid w:val="00E955FA"/>
    <w:rsid w:val="00E958C6"/>
    <w:rsid w:val="00E958F0"/>
    <w:rsid w:val="00E95A44"/>
    <w:rsid w:val="00E95AD7"/>
    <w:rsid w:val="00E95AF6"/>
    <w:rsid w:val="00E95B7D"/>
    <w:rsid w:val="00E95C49"/>
    <w:rsid w:val="00E95C66"/>
    <w:rsid w:val="00E95CF4"/>
    <w:rsid w:val="00E95E1A"/>
    <w:rsid w:val="00E95E8F"/>
    <w:rsid w:val="00E95F0C"/>
    <w:rsid w:val="00E95F83"/>
    <w:rsid w:val="00E95FCE"/>
    <w:rsid w:val="00E9600E"/>
    <w:rsid w:val="00E960DB"/>
    <w:rsid w:val="00E961BD"/>
    <w:rsid w:val="00E96226"/>
    <w:rsid w:val="00E962E9"/>
    <w:rsid w:val="00E9639C"/>
    <w:rsid w:val="00E965D6"/>
    <w:rsid w:val="00E9661F"/>
    <w:rsid w:val="00E9662D"/>
    <w:rsid w:val="00E96675"/>
    <w:rsid w:val="00E966C1"/>
    <w:rsid w:val="00E966F1"/>
    <w:rsid w:val="00E9695B"/>
    <w:rsid w:val="00E969B5"/>
    <w:rsid w:val="00E96A32"/>
    <w:rsid w:val="00E96A38"/>
    <w:rsid w:val="00E96B31"/>
    <w:rsid w:val="00E96B9A"/>
    <w:rsid w:val="00E96C1C"/>
    <w:rsid w:val="00E96CDE"/>
    <w:rsid w:val="00E96EDC"/>
    <w:rsid w:val="00E96F8A"/>
    <w:rsid w:val="00E96FBF"/>
    <w:rsid w:val="00E97139"/>
    <w:rsid w:val="00E9726E"/>
    <w:rsid w:val="00E9730C"/>
    <w:rsid w:val="00E9738C"/>
    <w:rsid w:val="00E974AF"/>
    <w:rsid w:val="00E974B7"/>
    <w:rsid w:val="00E97551"/>
    <w:rsid w:val="00E97582"/>
    <w:rsid w:val="00E9760A"/>
    <w:rsid w:val="00E97641"/>
    <w:rsid w:val="00E9799B"/>
    <w:rsid w:val="00E97A3F"/>
    <w:rsid w:val="00E97AA1"/>
    <w:rsid w:val="00E97B2C"/>
    <w:rsid w:val="00E97B51"/>
    <w:rsid w:val="00E97B80"/>
    <w:rsid w:val="00E97E0D"/>
    <w:rsid w:val="00E97E16"/>
    <w:rsid w:val="00E97F52"/>
    <w:rsid w:val="00EA002C"/>
    <w:rsid w:val="00EA0197"/>
    <w:rsid w:val="00EA0204"/>
    <w:rsid w:val="00EA02D5"/>
    <w:rsid w:val="00EA03D0"/>
    <w:rsid w:val="00EA053D"/>
    <w:rsid w:val="00EA057F"/>
    <w:rsid w:val="00EA0796"/>
    <w:rsid w:val="00EA0AD8"/>
    <w:rsid w:val="00EA0B02"/>
    <w:rsid w:val="00EA0BED"/>
    <w:rsid w:val="00EA0C57"/>
    <w:rsid w:val="00EA0DA0"/>
    <w:rsid w:val="00EA0DA7"/>
    <w:rsid w:val="00EA0DA8"/>
    <w:rsid w:val="00EA0DDF"/>
    <w:rsid w:val="00EA0FD4"/>
    <w:rsid w:val="00EA105F"/>
    <w:rsid w:val="00EA10E7"/>
    <w:rsid w:val="00EA120B"/>
    <w:rsid w:val="00EA1406"/>
    <w:rsid w:val="00EA1576"/>
    <w:rsid w:val="00EA15FA"/>
    <w:rsid w:val="00EA1919"/>
    <w:rsid w:val="00EA193B"/>
    <w:rsid w:val="00EA19E1"/>
    <w:rsid w:val="00EA1A97"/>
    <w:rsid w:val="00EA1B74"/>
    <w:rsid w:val="00EA1C42"/>
    <w:rsid w:val="00EA1D00"/>
    <w:rsid w:val="00EA1D94"/>
    <w:rsid w:val="00EA1E01"/>
    <w:rsid w:val="00EA1F73"/>
    <w:rsid w:val="00EA24F2"/>
    <w:rsid w:val="00EA25E9"/>
    <w:rsid w:val="00EA26C5"/>
    <w:rsid w:val="00EA275B"/>
    <w:rsid w:val="00EA2788"/>
    <w:rsid w:val="00EA2789"/>
    <w:rsid w:val="00EA2A78"/>
    <w:rsid w:val="00EA2BD8"/>
    <w:rsid w:val="00EA2BDD"/>
    <w:rsid w:val="00EA2BDE"/>
    <w:rsid w:val="00EA2D11"/>
    <w:rsid w:val="00EA2D72"/>
    <w:rsid w:val="00EA2EAC"/>
    <w:rsid w:val="00EA308E"/>
    <w:rsid w:val="00EA3177"/>
    <w:rsid w:val="00EA342E"/>
    <w:rsid w:val="00EA352D"/>
    <w:rsid w:val="00EA37F1"/>
    <w:rsid w:val="00EA3819"/>
    <w:rsid w:val="00EA394E"/>
    <w:rsid w:val="00EA39D4"/>
    <w:rsid w:val="00EA3B17"/>
    <w:rsid w:val="00EA3BF0"/>
    <w:rsid w:val="00EA3D72"/>
    <w:rsid w:val="00EA3EC5"/>
    <w:rsid w:val="00EA3FA4"/>
    <w:rsid w:val="00EA3FEC"/>
    <w:rsid w:val="00EA4102"/>
    <w:rsid w:val="00EA41AF"/>
    <w:rsid w:val="00EA4413"/>
    <w:rsid w:val="00EA4566"/>
    <w:rsid w:val="00EA4740"/>
    <w:rsid w:val="00EA48B5"/>
    <w:rsid w:val="00EA48FC"/>
    <w:rsid w:val="00EA4986"/>
    <w:rsid w:val="00EA4A40"/>
    <w:rsid w:val="00EA4A73"/>
    <w:rsid w:val="00EA4AB0"/>
    <w:rsid w:val="00EA4B5C"/>
    <w:rsid w:val="00EA4C3A"/>
    <w:rsid w:val="00EA4CBA"/>
    <w:rsid w:val="00EA4D15"/>
    <w:rsid w:val="00EA4D60"/>
    <w:rsid w:val="00EA51A9"/>
    <w:rsid w:val="00EA51E1"/>
    <w:rsid w:val="00EA530A"/>
    <w:rsid w:val="00EA53C6"/>
    <w:rsid w:val="00EA54E9"/>
    <w:rsid w:val="00EA570A"/>
    <w:rsid w:val="00EA5853"/>
    <w:rsid w:val="00EA59B8"/>
    <w:rsid w:val="00EA5A79"/>
    <w:rsid w:val="00EA5A7B"/>
    <w:rsid w:val="00EA5BBE"/>
    <w:rsid w:val="00EA5F8E"/>
    <w:rsid w:val="00EA5FB2"/>
    <w:rsid w:val="00EA610B"/>
    <w:rsid w:val="00EA61FE"/>
    <w:rsid w:val="00EA6298"/>
    <w:rsid w:val="00EA62B0"/>
    <w:rsid w:val="00EA6344"/>
    <w:rsid w:val="00EA63FD"/>
    <w:rsid w:val="00EA64FD"/>
    <w:rsid w:val="00EA65DE"/>
    <w:rsid w:val="00EA67F8"/>
    <w:rsid w:val="00EA6A19"/>
    <w:rsid w:val="00EA6B41"/>
    <w:rsid w:val="00EA7118"/>
    <w:rsid w:val="00EA715A"/>
    <w:rsid w:val="00EA7317"/>
    <w:rsid w:val="00EA7498"/>
    <w:rsid w:val="00EA758D"/>
    <w:rsid w:val="00EA759C"/>
    <w:rsid w:val="00EA7600"/>
    <w:rsid w:val="00EA76EE"/>
    <w:rsid w:val="00EA7715"/>
    <w:rsid w:val="00EA7967"/>
    <w:rsid w:val="00EA7AC6"/>
    <w:rsid w:val="00EA7AC8"/>
    <w:rsid w:val="00EA7B51"/>
    <w:rsid w:val="00EA7BC3"/>
    <w:rsid w:val="00EA7C5B"/>
    <w:rsid w:val="00EA7C8E"/>
    <w:rsid w:val="00EA7D33"/>
    <w:rsid w:val="00EA7FAA"/>
    <w:rsid w:val="00EB02FA"/>
    <w:rsid w:val="00EB04F7"/>
    <w:rsid w:val="00EB0537"/>
    <w:rsid w:val="00EB07B2"/>
    <w:rsid w:val="00EB07B8"/>
    <w:rsid w:val="00EB0954"/>
    <w:rsid w:val="00EB09FF"/>
    <w:rsid w:val="00EB0A86"/>
    <w:rsid w:val="00EB0AC6"/>
    <w:rsid w:val="00EB0AEA"/>
    <w:rsid w:val="00EB0BA7"/>
    <w:rsid w:val="00EB0DF7"/>
    <w:rsid w:val="00EB0E7D"/>
    <w:rsid w:val="00EB0F52"/>
    <w:rsid w:val="00EB1169"/>
    <w:rsid w:val="00EB11B9"/>
    <w:rsid w:val="00EB1259"/>
    <w:rsid w:val="00EB1297"/>
    <w:rsid w:val="00EB13AA"/>
    <w:rsid w:val="00EB1616"/>
    <w:rsid w:val="00EB16A2"/>
    <w:rsid w:val="00EB16EE"/>
    <w:rsid w:val="00EB1943"/>
    <w:rsid w:val="00EB1B81"/>
    <w:rsid w:val="00EB1C39"/>
    <w:rsid w:val="00EB1D2D"/>
    <w:rsid w:val="00EB1D5A"/>
    <w:rsid w:val="00EB1F82"/>
    <w:rsid w:val="00EB1F9D"/>
    <w:rsid w:val="00EB212C"/>
    <w:rsid w:val="00EB2146"/>
    <w:rsid w:val="00EB228F"/>
    <w:rsid w:val="00EB249A"/>
    <w:rsid w:val="00EB249B"/>
    <w:rsid w:val="00EB261D"/>
    <w:rsid w:val="00EB2636"/>
    <w:rsid w:val="00EB2668"/>
    <w:rsid w:val="00EB2823"/>
    <w:rsid w:val="00EB2866"/>
    <w:rsid w:val="00EB2A4C"/>
    <w:rsid w:val="00EB2AC7"/>
    <w:rsid w:val="00EB2B42"/>
    <w:rsid w:val="00EB2BBC"/>
    <w:rsid w:val="00EB2C47"/>
    <w:rsid w:val="00EB2C64"/>
    <w:rsid w:val="00EB2C9F"/>
    <w:rsid w:val="00EB2D99"/>
    <w:rsid w:val="00EB2FB5"/>
    <w:rsid w:val="00EB3123"/>
    <w:rsid w:val="00EB3153"/>
    <w:rsid w:val="00EB31CE"/>
    <w:rsid w:val="00EB3232"/>
    <w:rsid w:val="00EB33CF"/>
    <w:rsid w:val="00EB34D8"/>
    <w:rsid w:val="00EB3565"/>
    <w:rsid w:val="00EB3578"/>
    <w:rsid w:val="00EB3692"/>
    <w:rsid w:val="00EB38EA"/>
    <w:rsid w:val="00EB38F0"/>
    <w:rsid w:val="00EB3B56"/>
    <w:rsid w:val="00EB3CE1"/>
    <w:rsid w:val="00EB3D99"/>
    <w:rsid w:val="00EB3FB4"/>
    <w:rsid w:val="00EB3FE8"/>
    <w:rsid w:val="00EB4062"/>
    <w:rsid w:val="00EB4206"/>
    <w:rsid w:val="00EB4356"/>
    <w:rsid w:val="00EB437A"/>
    <w:rsid w:val="00EB4544"/>
    <w:rsid w:val="00EB4577"/>
    <w:rsid w:val="00EB473C"/>
    <w:rsid w:val="00EB47F5"/>
    <w:rsid w:val="00EB48F4"/>
    <w:rsid w:val="00EB4AF9"/>
    <w:rsid w:val="00EB4B05"/>
    <w:rsid w:val="00EB4C1D"/>
    <w:rsid w:val="00EB4C5F"/>
    <w:rsid w:val="00EB4DB7"/>
    <w:rsid w:val="00EB4DC1"/>
    <w:rsid w:val="00EB4E2B"/>
    <w:rsid w:val="00EB4F11"/>
    <w:rsid w:val="00EB4F41"/>
    <w:rsid w:val="00EB4FDF"/>
    <w:rsid w:val="00EB5061"/>
    <w:rsid w:val="00EB50CB"/>
    <w:rsid w:val="00EB51D2"/>
    <w:rsid w:val="00EB5202"/>
    <w:rsid w:val="00EB53A7"/>
    <w:rsid w:val="00EB53F2"/>
    <w:rsid w:val="00EB540D"/>
    <w:rsid w:val="00EB5506"/>
    <w:rsid w:val="00EB5641"/>
    <w:rsid w:val="00EB568B"/>
    <w:rsid w:val="00EB5717"/>
    <w:rsid w:val="00EB5904"/>
    <w:rsid w:val="00EB5990"/>
    <w:rsid w:val="00EB59FF"/>
    <w:rsid w:val="00EB5A60"/>
    <w:rsid w:val="00EB5B4D"/>
    <w:rsid w:val="00EB5B5C"/>
    <w:rsid w:val="00EB5B99"/>
    <w:rsid w:val="00EB5C7A"/>
    <w:rsid w:val="00EB5C98"/>
    <w:rsid w:val="00EB5D40"/>
    <w:rsid w:val="00EB5E6F"/>
    <w:rsid w:val="00EB5FD8"/>
    <w:rsid w:val="00EB61AD"/>
    <w:rsid w:val="00EB61C1"/>
    <w:rsid w:val="00EB634E"/>
    <w:rsid w:val="00EB636C"/>
    <w:rsid w:val="00EB63A3"/>
    <w:rsid w:val="00EB66C2"/>
    <w:rsid w:val="00EB66F1"/>
    <w:rsid w:val="00EB6876"/>
    <w:rsid w:val="00EB68A0"/>
    <w:rsid w:val="00EB68AA"/>
    <w:rsid w:val="00EB69FC"/>
    <w:rsid w:val="00EB6AEF"/>
    <w:rsid w:val="00EB6BCD"/>
    <w:rsid w:val="00EB6BCF"/>
    <w:rsid w:val="00EB6C17"/>
    <w:rsid w:val="00EB6C48"/>
    <w:rsid w:val="00EB6DDE"/>
    <w:rsid w:val="00EB6DEB"/>
    <w:rsid w:val="00EB6E2D"/>
    <w:rsid w:val="00EB6F96"/>
    <w:rsid w:val="00EB7255"/>
    <w:rsid w:val="00EB7258"/>
    <w:rsid w:val="00EB72E8"/>
    <w:rsid w:val="00EB741B"/>
    <w:rsid w:val="00EB74FA"/>
    <w:rsid w:val="00EB7566"/>
    <w:rsid w:val="00EB757D"/>
    <w:rsid w:val="00EB765E"/>
    <w:rsid w:val="00EB78F1"/>
    <w:rsid w:val="00EB79F4"/>
    <w:rsid w:val="00EB7A55"/>
    <w:rsid w:val="00EB7B9A"/>
    <w:rsid w:val="00EB7BE7"/>
    <w:rsid w:val="00EB7CF9"/>
    <w:rsid w:val="00EB7D1D"/>
    <w:rsid w:val="00EB7F66"/>
    <w:rsid w:val="00EC014C"/>
    <w:rsid w:val="00EC02D2"/>
    <w:rsid w:val="00EC03EC"/>
    <w:rsid w:val="00EC054B"/>
    <w:rsid w:val="00EC05F3"/>
    <w:rsid w:val="00EC060B"/>
    <w:rsid w:val="00EC060D"/>
    <w:rsid w:val="00EC06C6"/>
    <w:rsid w:val="00EC071B"/>
    <w:rsid w:val="00EC0734"/>
    <w:rsid w:val="00EC076E"/>
    <w:rsid w:val="00EC07A5"/>
    <w:rsid w:val="00EC089C"/>
    <w:rsid w:val="00EC08D0"/>
    <w:rsid w:val="00EC09A1"/>
    <w:rsid w:val="00EC0A8B"/>
    <w:rsid w:val="00EC0D3E"/>
    <w:rsid w:val="00EC0E61"/>
    <w:rsid w:val="00EC11D1"/>
    <w:rsid w:val="00EC14AF"/>
    <w:rsid w:val="00EC15FE"/>
    <w:rsid w:val="00EC1627"/>
    <w:rsid w:val="00EC169C"/>
    <w:rsid w:val="00EC1A3C"/>
    <w:rsid w:val="00EC1A57"/>
    <w:rsid w:val="00EC1A73"/>
    <w:rsid w:val="00EC1AE4"/>
    <w:rsid w:val="00EC1AF6"/>
    <w:rsid w:val="00EC1B3A"/>
    <w:rsid w:val="00EC1C0C"/>
    <w:rsid w:val="00EC1C4A"/>
    <w:rsid w:val="00EC1E2F"/>
    <w:rsid w:val="00EC1E5A"/>
    <w:rsid w:val="00EC1E85"/>
    <w:rsid w:val="00EC20BF"/>
    <w:rsid w:val="00EC20DC"/>
    <w:rsid w:val="00EC2115"/>
    <w:rsid w:val="00EC2149"/>
    <w:rsid w:val="00EC214F"/>
    <w:rsid w:val="00EC2221"/>
    <w:rsid w:val="00EC23AD"/>
    <w:rsid w:val="00EC247F"/>
    <w:rsid w:val="00EC2490"/>
    <w:rsid w:val="00EC251F"/>
    <w:rsid w:val="00EC2533"/>
    <w:rsid w:val="00EC2613"/>
    <w:rsid w:val="00EC2703"/>
    <w:rsid w:val="00EC2708"/>
    <w:rsid w:val="00EC2B05"/>
    <w:rsid w:val="00EC2C21"/>
    <w:rsid w:val="00EC2CF8"/>
    <w:rsid w:val="00EC2D16"/>
    <w:rsid w:val="00EC2F4B"/>
    <w:rsid w:val="00EC303B"/>
    <w:rsid w:val="00EC3098"/>
    <w:rsid w:val="00EC31B5"/>
    <w:rsid w:val="00EC343C"/>
    <w:rsid w:val="00EC3481"/>
    <w:rsid w:val="00EC35B5"/>
    <w:rsid w:val="00EC36E8"/>
    <w:rsid w:val="00EC376A"/>
    <w:rsid w:val="00EC384F"/>
    <w:rsid w:val="00EC3896"/>
    <w:rsid w:val="00EC38F3"/>
    <w:rsid w:val="00EC3957"/>
    <w:rsid w:val="00EC3A84"/>
    <w:rsid w:val="00EC3AEA"/>
    <w:rsid w:val="00EC3B49"/>
    <w:rsid w:val="00EC3B7B"/>
    <w:rsid w:val="00EC3B92"/>
    <w:rsid w:val="00EC3C74"/>
    <w:rsid w:val="00EC3CD1"/>
    <w:rsid w:val="00EC3CE4"/>
    <w:rsid w:val="00EC3D39"/>
    <w:rsid w:val="00EC3DB3"/>
    <w:rsid w:val="00EC3E92"/>
    <w:rsid w:val="00EC3E99"/>
    <w:rsid w:val="00EC3F7B"/>
    <w:rsid w:val="00EC3FDB"/>
    <w:rsid w:val="00EC4006"/>
    <w:rsid w:val="00EC41DE"/>
    <w:rsid w:val="00EC42A3"/>
    <w:rsid w:val="00EC4631"/>
    <w:rsid w:val="00EC4948"/>
    <w:rsid w:val="00EC4992"/>
    <w:rsid w:val="00EC4A72"/>
    <w:rsid w:val="00EC4D43"/>
    <w:rsid w:val="00EC4D54"/>
    <w:rsid w:val="00EC4DE9"/>
    <w:rsid w:val="00EC4EE7"/>
    <w:rsid w:val="00EC5052"/>
    <w:rsid w:val="00EC51BA"/>
    <w:rsid w:val="00EC5258"/>
    <w:rsid w:val="00EC540C"/>
    <w:rsid w:val="00EC55B9"/>
    <w:rsid w:val="00EC572A"/>
    <w:rsid w:val="00EC577C"/>
    <w:rsid w:val="00EC5929"/>
    <w:rsid w:val="00EC5B06"/>
    <w:rsid w:val="00EC5BCA"/>
    <w:rsid w:val="00EC5C05"/>
    <w:rsid w:val="00EC5CB7"/>
    <w:rsid w:val="00EC5E6C"/>
    <w:rsid w:val="00EC5ECE"/>
    <w:rsid w:val="00EC5F43"/>
    <w:rsid w:val="00EC617D"/>
    <w:rsid w:val="00EC6217"/>
    <w:rsid w:val="00EC6257"/>
    <w:rsid w:val="00EC626D"/>
    <w:rsid w:val="00EC64B8"/>
    <w:rsid w:val="00EC6549"/>
    <w:rsid w:val="00EC65D2"/>
    <w:rsid w:val="00EC663B"/>
    <w:rsid w:val="00EC6C56"/>
    <w:rsid w:val="00EC6DF2"/>
    <w:rsid w:val="00EC6E29"/>
    <w:rsid w:val="00EC6EC1"/>
    <w:rsid w:val="00EC6EDD"/>
    <w:rsid w:val="00EC7013"/>
    <w:rsid w:val="00EC7140"/>
    <w:rsid w:val="00EC7199"/>
    <w:rsid w:val="00EC756C"/>
    <w:rsid w:val="00EC7642"/>
    <w:rsid w:val="00EC77CF"/>
    <w:rsid w:val="00EC77ED"/>
    <w:rsid w:val="00EC7996"/>
    <w:rsid w:val="00EC7B9C"/>
    <w:rsid w:val="00EC7C55"/>
    <w:rsid w:val="00EC7D0B"/>
    <w:rsid w:val="00EC7DB4"/>
    <w:rsid w:val="00EC7E4B"/>
    <w:rsid w:val="00EC7F23"/>
    <w:rsid w:val="00ED009D"/>
    <w:rsid w:val="00ED0247"/>
    <w:rsid w:val="00ED02A2"/>
    <w:rsid w:val="00ED032A"/>
    <w:rsid w:val="00ED032B"/>
    <w:rsid w:val="00ED0393"/>
    <w:rsid w:val="00ED03EA"/>
    <w:rsid w:val="00ED044A"/>
    <w:rsid w:val="00ED049E"/>
    <w:rsid w:val="00ED04F5"/>
    <w:rsid w:val="00ED05EC"/>
    <w:rsid w:val="00ED05F6"/>
    <w:rsid w:val="00ED0A3C"/>
    <w:rsid w:val="00ED0F37"/>
    <w:rsid w:val="00ED1001"/>
    <w:rsid w:val="00ED1102"/>
    <w:rsid w:val="00ED12B6"/>
    <w:rsid w:val="00ED14AC"/>
    <w:rsid w:val="00ED1687"/>
    <w:rsid w:val="00ED16DC"/>
    <w:rsid w:val="00ED172D"/>
    <w:rsid w:val="00ED1799"/>
    <w:rsid w:val="00ED194A"/>
    <w:rsid w:val="00ED1A15"/>
    <w:rsid w:val="00ED1A2F"/>
    <w:rsid w:val="00ED1A49"/>
    <w:rsid w:val="00ED1AB1"/>
    <w:rsid w:val="00ED1BFC"/>
    <w:rsid w:val="00ED1CD9"/>
    <w:rsid w:val="00ED1EB6"/>
    <w:rsid w:val="00ED2164"/>
    <w:rsid w:val="00ED2307"/>
    <w:rsid w:val="00ED2369"/>
    <w:rsid w:val="00ED248D"/>
    <w:rsid w:val="00ED24A8"/>
    <w:rsid w:val="00ED27DD"/>
    <w:rsid w:val="00ED293C"/>
    <w:rsid w:val="00ED2947"/>
    <w:rsid w:val="00ED294B"/>
    <w:rsid w:val="00ED2972"/>
    <w:rsid w:val="00ED29C5"/>
    <w:rsid w:val="00ED2A19"/>
    <w:rsid w:val="00ED2B09"/>
    <w:rsid w:val="00ED2C53"/>
    <w:rsid w:val="00ED2C79"/>
    <w:rsid w:val="00ED2D0E"/>
    <w:rsid w:val="00ED2DEA"/>
    <w:rsid w:val="00ED2E9B"/>
    <w:rsid w:val="00ED32C9"/>
    <w:rsid w:val="00ED34E3"/>
    <w:rsid w:val="00ED398F"/>
    <w:rsid w:val="00ED3B72"/>
    <w:rsid w:val="00ED3BCF"/>
    <w:rsid w:val="00ED3DD1"/>
    <w:rsid w:val="00ED3E55"/>
    <w:rsid w:val="00ED3EEE"/>
    <w:rsid w:val="00ED3F16"/>
    <w:rsid w:val="00ED4212"/>
    <w:rsid w:val="00ED4639"/>
    <w:rsid w:val="00ED46DA"/>
    <w:rsid w:val="00ED46F7"/>
    <w:rsid w:val="00ED474F"/>
    <w:rsid w:val="00ED4870"/>
    <w:rsid w:val="00ED48B1"/>
    <w:rsid w:val="00ED4BF0"/>
    <w:rsid w:val="00ED4C28"/>
    <w:rsid w:val="00ED4D40"/>
    <w:rsid w:val="00ED4DF9"/>
    <w:rsid w:val="00ED4F2D"/>
    <w:rsid w:val="00ED5121"/>
    <w:rsid w:val="00ED5225"/>
    <w:rsid w:val="00ED5232"/>
    <w:rsid w:val="00ED535C"/>
    <w:rsid w:val="00ED5392"/>
    <w:rsid w:val="00ED551A"/>
    <w:rsid w:val="00ED5601"/>
    <w:rsid w:val="00ED5673"/>
    <w:rsid w:val="00ED5700"/>
    <w:rsid w:val="00ED5950"/>
    <w:rsid w:val="00ED5A41"/>
    <w:rsid w:val="00ED5A60"/>
    <w:rsid w:val="00ED5B2A"/>
    <w:rsid w:val="00ED5BFD"/>
    <w:rsid w:val="00ED5C76"/>
    <w:rsid w:val="00ED5C8C"/>
    <w:rsid w:val="00ED5E2E"/>
    <w:rsid w:val="00ED5EB5"/>
    <w:rsid w:val="00ED5FEA"/>
    <w:rsid w:val="00ED601C"/>
    <w:rsid w:val="00ED6119"/>
    <w:rsid w:val="00ED612A"/>
    <w:rsid w:val="00ED61C0"/>
    <w:rsid w:val="00ED6235"/>
    <w:rsid w:val="00ED6281"/>
    <w:rsid w:val="00ED636A"/>
    <w:rsid w:val="00ED6491"/>
    <w:rsid w:val="00ED65CE"/>
    <w:rsid w:val="00ED68ED"/>
    <w:rsid w:val="00ED69BC"/>
    <w:rsid w:val="00ED6ABF"/>
    <w:rsid w:val="00ED6B01"/>
    <w:rsid w:val="00ED6BA0"/>
    <w:rsid w:val="00ED6D98"/>
    <w:rsid w:val="00ED6ED8"/>
    <w:rsid w:val="00ED6F93"/>
    <w:rsid w:val="00ED7063"/>
    <w:rsid w:val="00ED706E"/>
    <w:rsid w:val="00ED71B2"/>
    <w:rsid w:val="00ED73F4"/>
    <w:rsid w:val="00ED74DB"/>
    <w:rsid w:val="00ED75C3"/>
    <w:rsid w:val="00ED75D3"/>
    <w:rsid w:val="00ED772F"/>
    <w:rsid w:val="00ED792F"/>
    <w:rsid w:val="00ED7A86"/>
    <w:rsid w:val="00ED7AC1"/>
    <w:rsid w:val="00ED7AE8"/>
    <w:rsid w:val="00ED7AEA"/>
    <w:rsid w:val="00ED7B17"/>
    <w:rsid w:val="00ED7C06"/>
    <w:rsid w:val="00ED7C08"/>
    <w:rsid w:val="00ED7D99"/>
    <w:rsid w:val="00ED7DD7"/>
    <w:rsid w:val="00ED7E28"/>
    <w:rsid w:val="00ED7EF6"/>
    <w:rsid w:val="00ED7EF7"/>
    <w:rsid w:val="00ED7F5B"/>
    <w:rsid w:val="00ED7FCE"/>
    <w:rsid w:val="00ED7FD3"/>
    <w:rsid w:val="00EE078F"/>
    <w:rsid w:val="00EE0841"/>
    <w:rsid w:val="00EE0939"/>
    <w:rsid w:val="00EE0993"/>
    <w:rsid w:val="00EE0B0C"/>
    <w:rsid w:val="00EE0C42"/>
    <w:rsid w:val="00EE0C9B"/>
    <w:rsid w:val="00EE0E5D"/>
    <w:rsid w:val="00EE0ED5"/>
    <w:rsid w:val="00EE0EF1"/>
    <w:rsid w:val="00EE0F29"/>
    <w:rsid w:val="00EE0F4E"/>
    <w:rsid w:val="00EE0F65"/>
    <w:rsid w:val="00EE1045"/>
    <w:rsid w:val="00EE1175"/>
    <w:rsid w:val="00EE125A"/>
    <w:rsid w:val="00EE1410"/>
    <w:rsid w:val="00EE1529"/>
    <w:rsid w:val="00EE156A"/>
    <w:rsid w:val="00EE1806"/>
    <w:rsid w:val="00EE1885"/>
    <w:rsid w:val="00EE18B9"/>
    <w:rsid w:val="00EE197D"/>
    <w:rsid w:val="00EE1A28"/>
    <w:rsid w:val="00EE1A70"/>
    <w:rsid w:val="00EE1A9C"/>
    <w:rsid w:val="00EE1AEC"/>
    <w:rsid w:val="00EE1C14"/>
    <w:rsid w:val="00EE1CCA"/>
    <w:rsid w:val="00EE1DD0"/>
    <w:rsid w:val="00EE1E4B"/>
    <w:rsid w:val="00EE1EBC"/>
    <w:rsid w:val="00EE1F82"/>
    <w:rsid w:val="00EE1FC6"/>
    <w:rsid w:val="00EE1FD0"/>
    <w:rsid w:val="00EE2138"/>
    <w:rsid w:val="00EE217F"/>
    <w:rsid w:val="00EE2306"/>
    <w:rsid w:val="00EE2370"/>
    <w:rsid w:val="00EE2560"/>
    <w:rsid w:val="00EE27AF"/>
    <w:rsid w:val="00EE27FB"/>
    <w:rsid w:val="00EE2806"/>
    <w:rsid w:val="00EE2942"/>
    <w:rsid w:val="00EE2987"/>
    <w:rsid w:val="00EE29DF"/>
    <w:rsid w:val="00EE2A49"/>
    <w:rsid w:val="00EE2BBC"/>
    <w:rsid w:val="00EE2BBE"/>
    <w:rsid w:val="00EE2DAC"/>
    <w:rsid w:val="00EE2FED"/>
    <w:rsid w:val="00EE31CE"/>
    <w:rsid w:val="00EE321E"/>
    <w:rsid w:val="00EE3222"/>
    <w:rsid w:val="00EE336C"/>
    <w:rsid w:val="00EE3378"/>
    <w:rsid w:val="00EE34B3"/>
    <w:rsid w:val="00EE34F9"/>
    <w:rsid w:val="00EE35FC"/>
    <w:rsid w:val="00EE361E"/>
    <w:rsid w:val="00EE38B0"/>
    <w:rsid w:val="00EE39A9"/>
    <w:rsid w:val="00EE39F7"/>
    <w:rsid w:val="00EE3B21"/>
    <w:rsid w:val="00EE3B35"/>
    <w:rsid w:val="00EE3BE3"/>
    <w:rsid w:val="00EE3BE8"/>
    <w:rsid w:val="00EE3C4E"/>
    <w:rsid w:val="00EE3CA5"/>
    <w:rsid w:val="00EE3CF1"/>
    <w:rsid w:val="00EE3DDF"/>
    <w:rsid w:val="00EE3EBE"/>
    <w:rsid w:val="00EE3EE4"/>
    <w:rsid w:val="00EE3F9C"/>
    <w:rsid w:val="00EE4064"/>
    <w:rsid w:val="00EE41CB"/>
    <w:rsid w:val="00EE429B"/>
    <w:rsid w:val="00EE439D"/>
    <w:rsid w:val="00EE43B5"/>
    <w:rsid w:val="00EE45D8"/>
    <w:rsid w:val="00EE45DA"/>
    <w:rsid w:val="00EE4852"/>
    <w:rsid w:val="00EE48A1"/>
    <w:rsid w:val="00EE48D2"/>
    <w:rsid w:val="00EE4ABC"/>
    <w:rsid w:val="00EE4B2E"/>
    <w:rsid w:val="00EE4BBC"/>
    <w:rsid w:val="00EE4C80"/>
    <w:rsid w:val="00EE4DA7"/>
    <w:rsid w:val="00EE4DB2"/>
    <w:rsid w:val="00EE4E2B"/>
    <w:rsid w:val="00EE4EB3"/>
    <w:rsid w:val="00EE4EFF"/>
    <w:rsid w:val="00EE4F70"/>
    <w:rsid w:val="00EE4FEA"/>
    <w:rsid w:val="00EE55E7"/>
    <w:rsid w:val="00EE5672"/>
    <w:rsid w:val="00EE5844"/>
    <w:rsid w:val="00EE5873"/>
    <w:rsid w:val="00EE5957"/>
    <w:rsid w:val="00EE5A17"/>
    <w:rsid w:val="00EE5A6A"/>
    <w:rsid w:val="00EE5AC5"/>
    <w:rsid w:val="00EE5CA6"/>
    <w:rsid w:val="00EE5CCC"/>
    <w:rsid w:val="00EE5DE4"/>
    <w:rsid w:val="00EE5E9E"/>
    <w:rsid w:val="00EE5F2C"/>
    <w:rsid w:val="00EE611D"/>
    <w:rsid w:val="00EE6172"/>
    <w:rsid w:val="00EE61D4"/>
    <w:rsid w:val="00EE63F8"/>
    <w:rsid w:val="00EE6536"/>
    <w:rsid w:val="00EE6615"/>
    <w:rsid w:val="00EE662B"/>
    <w:rsid w:val="00EE672D"/>
    <w:rsid w:val="00EE694A"/>
    <w:rsid w:val="00EE6B17"/>
    <w:rsid w:val="00EE6C01"/>
    <w:rsid w:val="00EE6C56"/>
    <w:rsid w:val="00EE6CD7"/>
    <w:rsid w:val="00EE6DA2"/>
    <w:rsid w:val="00EE6F0F"/>
    <w:rsid w:val="00EE6F7B"/>
    <w:rsid w:val="00EE6F9D"/>
    <w:rsid w:val="00EE7056"/>
    <w:rsid w:val="00EE711D"/>
    <w:rsid w:val="00EE7232"/>
    <w:rsid w:val="00EE72A7"/>
    <w:rsid w:val="00EE72B3"/>
    <w:rsid w:val="00EE7360"/>
    <w:rsid w:val="00EE7380"/>
    <w:rsid w:val="00EE73A3"/>
    <w:rsid w:val="00EE740A"/>
    <w:rsid w:val="00EE753C"/>
    <w:rsid w:val="00EE754D"/>
    <w:rsid w:val="00EE7580"/>
    <w:rsid w:val="00EE7765"/>
    <w:rsid w:val="00EE77FB"/>
    <w:rsid w:val="00EE77FD"/>
    <w:rsid w:val="00EE787E"/>
    <w:rsid w:val="00EE78A6"/>
    <w:rsid w:val="00EE7989"/>
    <w:rsid w:val="00EE7A21"/>
    <w:rsid w:val="00EE7ABC"/>
    <w:rsid w:val="00EE7AEE"/>
    <w:rsid w:val="00EE7B72"/>
    <w:rsid w:val="00EE7C06"/>
    <w:rsid w:val="00EE7C8B"/>
    <w:rsid w:val="00EE7D40"/>
    <w:rsid w:val="00EE7F02"/>
    <w:rsid w:val="00EE7F7A"/>
    <w:rsid w:val="00EE7FE4"/>
    <w:rsid w:val="00EF01B2"/>
    <w:rsid w:val="00EF044F"/>
    <w:rsid w:val="00EF055C"/>
    <w:rsid w:val="00EF0620"/>
    <w:rsid w:val="00EF063F"/>
    <w:rsid w:val="00EF06A2"/>
    <w:rsid w:val="00EF070B"/>
    <w:rsid w:val="00EF07BF"/>
    <w:rsid w:val="00EF08DC"/>
    <w:rsid w:val="00EF09B7"/>
    <w:rsid w:val="00EF0A2E"/>
    <w:rsid w:val="00EF0A98"/>
    <w:rsid w:val="00EF0AEB"/>
    <w:rsid w:val="00EF0C1D"/>
    <w:rsid w:val="00EF0CD9"/>
    <w:rsid w:val="00EF0D45"/>
    <w:rsid w:val="00EF1194"/>
    <w:rsid w:val="00EF13F1"/>
    <w:rsid w:val="00EF143F"/>
    <w:rsid w:val="00EF14D4"/>
    <w:rsid w:val="00EF1684"/>
    <w:rsid w:val="00EF1A24"/>
    <w:rsid w:val="00EF1CF0"/>
    <w:rsid w:val="00EF1EA1"/>
    <w:rsid w:val="00EF20F6"/>
    <w:rsid w:val="00EF2195"/>
    <w:rsid w:val="00EF22F8"/>
    <w:rsid w:val="00EF230B"/>
    <w:rsid w:val="00EF23D9"/>
    <w:rsid w:val="00EF2471"/>
    <w:rsid w:val="00EF26E9"/>
    <w:rsid w:val="00EF2748"/>
    <w:rsid w:val="00EF2972"/>
    <w:rsid w:val="00EF29E0"/>
    <w:rsid w:val="00EF2AA9"/>
    <w:rsid w:val="00EF2BBE"/>
    <w:rsid w:val="00EF2C53"/>
    <w:rsid w:val="00EF3137"/>
    <w:rsid w:val="00EF3150"/>
    <w:rsid w:val="00EF3208"/>
    <w:rsid w:val="00EF321B"/>
    <w:rsid w:val="00EF333D"/>
    <w:rsid w:val="00EF3446"/>
    <w:rsid w:val="00EF34D9"/>
    <w:rsid w:val="00EF358D"/>
    <w:rsid w:val="00EF373F"/>
    <w:rsid w:val="00EF392D"/>
    <w:rsid w:val="00EF3A86"/>
    <w:rsid w:val="00EF3A98"/>
    <w:rsid w:val="00EF3B2F"/>
    <w:rsid w:val="00EF3B62"/>
    <w:rsid w:val="00EF3C22"/>
    <w:rsid w:val="00EF3D46"/>
    <w:rsid w:val="00EF3EA7"/>
    <w:rsid w:val="00EF3EDF"/>
    <w:rsid w:val="00EF3F26"/>
    <w:rsid w:val="00EF3F35"/>
    <w:rsid w:val="00EF3F54"/>
    <w:rsid w:val="00EF3F68"/>
    <w:rsid w:val="00EF3FBD"/>
    <w:rsid w:val="00EF40A0"/>
    <w:rsid w:val="00EF41B1"/>
    <w:rsid w:val="00EF41D6"/>
    <w:rsid w:val="00EF4236"/>
    <w:rsid w:val="00EF42FE"/>
    <w:rsid w:val="00EF43D0"/>
    <w:rsid w:val="00EF43D5"/>
    <w:rsid w:val="00EF4422"/>
    <w:rsid w:val="00EF4499"/>
    <w:rsid w:val="00EF458E"/>
    <w:rsid w:val="00EF47CE"/>
    <w:rsid w:val="00EF48EE"/>
    <w:rsid w:val="00EF4914"/>
    <w:rsid w:val="00EF4917"/>
    <w:rsid w:val="00EF49AF"/>
    <w:rsid w:val="00EF49BC"/>
    <w:rsid w:val="00EF4AF5"/>
    <w:rsid w:val="00EF4B54"/>
    <w:rsid w:val="00EF4C3E"/>
    <w:rsid w:val="00EF4CF0"/>
    <w:rsid w:val="00EF4CFD"/>
    <w:rsid w:val="00EF4DA9"/>
    <w:rsid w:val="00EF4E5D"/>
    <w:rsid w:val="00EF4F08"/>
    <w:rsid w:val="00EF4FB0"/>
    <w:rsid w:val="00EF5047"/>
    <w:rsid w:val="00EF5135"/>
    <w:rsid w:val="00EF53EC"/>
    <w:rsid w:val="00EF5407"/>
    <w:rsid w:val="00EF5558"/>
    <w:rsid w:val="00EF5713"/>
    <w:rsid w:val="00EF57D8"/>
    <w:rsid w:val="00EF58C0"/>
    <w:rsid w:val="00EF58E7"/>
    <w:rsid w:val="00EF5923"/>
    <w:rsid w:val="00EF5997"/>
    <w:rsid w:val="00EF5A67"/>
    <w:rsid w:val="00EF5CCA"/>
    <w:rsid w:val="00EF5CEB"/>
    <w:rsid w:val="00EF5FCF"/>
    <w:rsid w:val="00EF622D"/>
    <w:rsid w:val="00EF6494"/>
    <w:rsid w:val="00EF649C"/>
    <w:rsid w:val="00EF656A"/>
    <w:rsid w:val="00EF6705"/>
    <w:rsid w:val="00EF67EB"/>
    <w:rsid w:val="00EF67FE"/>
    <w:rsid w:val="00EF680C"/>
    <w:rsid w:val="00EF69DA"/>
    <w:rsid w:val="00EF6BB5"/>
    <w:rsid w:val="00EF6BBA"/>
    <w:rsid w:val="00EF6CE9"/>
    <w:rsid w:val="00EF6F2E"/>
    <w:rsid w:val="00EF6F7F"/>
    <w:rsid w:val="00EF714E"/>
    <w:rsid w:val="00EF7192"/>
    <w:rsid w:val="00EF7206"/>
    <w:rsid w:val="00EF723C"/>
    <w:rsid w:val="00EF7244"/>
    <w:rsid w:val="00EF72AF"/>
    <w:rsid w:val="00EF72FC"/>
    <w:rsid w:val="00EF764C"/>
    <w:rsid w:val="00EF76AD"/>
    <w:rsid w:val="00EF76D2"/>
    <w:rsid w:val="00EF7AF5"/>
    <w:rsid w:val="00EF7C65"/>
    <w:rsid w:val="00EF7CCB"/>
    <w:rsid w:val="00EF7E12"/>
    <w:rsid w:val="00EF7EF5"/>
    <w:rsid w:val="00EF7F6A"/>
    <w:rsid w:val="00F00108"/>
    <w:rsid w:val="00F00209"/>
    <w:rsid w:val="00F002EB"/>
    <w:rsid w:val="00F00381"/>
    <w:rsid w:val="00F00546"/>
    <w:rsid w:val="00F0063B"/>
    <w:rsid w:val="00F0074B"/>
    <w:rsid w:val="00F007C4"/>
    <w:rsid w:val="00F00826"/>
    <w:rsid w:val="00F009B4"/>
    <w:rsid w:val="00F009B9"/>
    <w:rsid w:val="00F00B18"/>
    <w:rsid w:val="00F00BDE"/>
    <w:rsid w:val="00F00BF2"/>
    <w:rsid w:val="00F00CE4"/>
    <w:rsid w:val="00F00DCC"/>
    <w:rsid w:val="00F00EB0"/>
    <w:rsid w:val="00F00EB1"/>
    <w:rsid w:val="00F010AC"/>
    <w:rsid w:val="00F01141"/>
    <w:rsid w:val="00F0139F"/>
    <w:rsid w:val="00F013CE"/>
    <w:rsid w:val="00F014BE"/>
    <w:rsid w:val="00F01554"/>
    <w:rsid w:val="00F015B9"/>
    <w:rsid w:val="00F01A26"/>
    <w:rsid w:val="00F01A6B"/>
    <w:rsid w:val="00F01BC5"/>
    <w:rsid w:val="00F01C69"/>
    <w:rsid w:val="00F01D36"/>
    <w:rsid w:val="00F01E82"/>
    <w:rsid w:val="00F01F3B"/>
    <w:rsid w:val="00F01F62"/>
    <w:rsid w:val="00F01FCC"/>
    <w:rsid w:val="00F020B2"/>
    <w:rsid w:val="00F02289"/>
    <w:rsid w:val="00F022A1"/>
    <w:rsid w:val="00F022D2"/>
    <w:rsid w:val="00F0254D"/>
    <w:rsid w:val="00F02632"/>
    <w:rsid w:val="00F02731"/>
    <w:rsid w:val="00F02980"/>
    <w:rsid w:val="00F02A65"/>
    <w:rsid w:val="00F02ACB"/>
    <w:rsid w:val="00F02D17"/>
    <w:rsid w:val="00F02FA9"/>
    <w:rsid w:val="00F02FD9"/>
    <w:rsid w:val="00F03070"/>
    <w:rsid w:val="00F0312C"/>
    <w:rsid w:val="00F0314D"/>
    <w:rsid w:val="00F031C1"/>
    <w:rsid w:val="00F03215"/>
    <w:rsid w:val="00F03333"/>
    <w:rsid w:val="00F0333A"/>
    <w:rsid w:val="00F0338F"/>
    <w:rsid w:val="00F0351C"/>
    <w:rsid w:val="00F0352D"/>
    <w:rsid w:val="00F0355A"/>
    <w:rsid w:val="00F0375E"/>
    <w:rsid w:val="00F037EE"/>
    <w:rsid w:val="00F03A67"/>
    <w:rsid w:val="00F03BAA"/>
    <w:rsid w:val="00F03C7D"/>
    <w:rsid w:val="00F03E2F"/>
    <w:rsid w:val="00F03E79"/>
    <w:rsid w:val="00F03F0D"/>
    <w:rsid w:val="00F03FD8"/>
    <w:rsid w:val="00F03FDD"/>
    <w:rsid w:val="00F0402C"/>
    <w:rsid w:val="00F0403F"/>
    <w:rsid w:val="00F04075"/>
    <w:rsid w:val="00F0407F"/>
    <w:rsid w:val="00F04197"/>
    <w:rsid w:val="00F043D2"/>
    <w:rsid w:val="00F04510"/>
    <w:rsid w:val="00F04573"/>
    <w:rsid w:val="00F04593"/>
    <w:rsid w:val="00F04664"/>
    <w:rsid w:val="00F046AD"/>
    <w:rsid w:val="00F0474A"/>
    <w:rsid w:val="00F04823"/>
    <w:rsid w:val="00F04E6D"/>
    <w:rsid w:val="00F04EB6"/>
    <w:rsid w:val="00F050E9"/>
    <w:rsid w:val="00F05181"/>
    <w:rsid w:val="00F051CA"/>
    <w:rsid w:val="00F052C6"/>
    <w:rsid w:val="00F053AD"/>
    <w:rsid w:val="00F05523"/>
    <w:rsid w:val="00F0582B"/>
    <w:rsid w:val="00F058A9"/>
    <w:rsid w:val="00F05904"/>
    <w:rsid w:val="00F05973"/>
    <w:rsid w:val="00F05C13"/>
    <w:rsid w:val="00F05C17"/>
    <w:rsid w:val="00F05C99"/>
    <w:rsid w:val="00F05C9A"/>
    <w:rsid w:val="00F05E5B"/>
    <w:rsid w:val="00F05E64"/>
    <w:rsid w:val="00F05EA1"/>
    <w:rsid w:val="00F05F4F"/>
    <w:rsid w:val="00F05F75"/>
    <w:rsid w:val="00F061B7"/>
    <w:rsid w:val="00F06242"/>
    <w:rsid w:val="00F0629C"/>
    <w:rsid w:val="00F063BC"/>
    <w:rsid w:val="00F064FC"/>
    <w:rsid w:val="00F067AB"/>
    <w:rsid w:val="00F067EF"/>
    <w:rsid w:val="00F0683C"/>
    <w:rsid w:val="00F06921"/>
    <w:rsid w:val="00F06981"/>
    <w:rsid w:val="00F06A19"/>
    <w:rsid w:val="00F06E25"/>
    <w:rsid w:val="00F0701B"/>
    <w:rsid w:val="00F07108"/>
    <w:rsid w:val="00F0724A"/>
    <w:rsid w:val="00F072B4"/>
    <w:rsid w:val="00F076E2"/>
    <w:rsid w:val="00F0775C"/>
    <w:rsid w:val="00F0779E"/>
    <w:rsid w:val="00F07911"/>
    <w:rsid w:val="00F07A8D"/>
    <w:rsid w:val="00F07D8B"/>
    <w:rsid w:val="00F07E57"/>
    <w:rsid w:val="00F07E69"/>
    <w:rsid w:val="00F07EA5"/>
    <w:rsid w:val="00F07F87"/>
    <w:rsid w:val="00F07FBB"/>
    <w:rsid w:val="00F0BC40"/>
    <w:rsid w:val="00F100B9"/>
    <w:rsid w:val="00F100EA"/>
    <w:rsid w:val="00F101B5"/>
    <w:rsid w:val="00F101B7"/>
    <w:rsid w:val="00F1034D"/>
    <w:rsid w:val="00F1034E"/>
    <w:rsid w:val="00F10374"/>
    <w:rsid w:val="00F10409"/>
    <w:rsid w:val="00F10482"/>
    <w:rsid w:val="00F10533"/>
    <w:rsid w:val="00F10545"/>
    <w:rsid w:val="00F10547"/>
    <w:rsid w:val="00F105CD"/>
    <w:rsid w:val="00F10684"/>
    <w:rsid w:val="00F106FF"/>
    <w:rsid w:val="00F1070B"/>
    <w:rsid w:val="00F1074B"/>
    <w:rsid w:val="00F10851"/>
    <w:rsid w:val="00F10A74"/>
    <w:rsid w:val="00F10B98"/>
    <w:rsid w:val="00F10C5F"/>
    <w:rsid w:val="00F10CE3"/>
    <w:rsid w:val="00F10DB6"/>
    <w:rsid w:val="00F10DE1"/>
    <w:rsid w:val="00F10DFE"/>
    <w:rsid w:val="00F10E18"/>
    <w:rsid w:val="00F10F40"/>
    <w:rsid w:val="00F1101A"/>
    <w:rsid w:val="00F1123D"/>
    <w:rsid w:val="00F11453"/>
    <w:rsid w:val="00F11476"/>
    <w:rsid w:val="00F1178E"/>
    <w:rsid w:val="00F117D4"/>
    <w:rsid w:val="00F1197C"/>
    <w:rsid w:val="00F11ABC"/>
    <w:rsid w:val="00F11AF3"/>
    <w:rsid w:val="00F11BFE"/>
    <w:rsid w:val="00F11C4C"/>
    <w:rsid w:val="00F11C68"/>
    <w:rsid w:val="00F11CBD"/>
    <w:rsid w:val="00F11CCC"/>
    <w:rsid w:val="00F11D04"/>
    <w:rsid w:val="00F12038"/>
    <w:rsid w:val="00F122A4"/>
    <w:rsid w:val="00F123B7"/>
    <w:rsid w:val="00F123EF"/>
    <w:rsid w:val="00F125B5"/>
    <w:rsid w:val="00F12600"/>
    <w:rsid w:val="00F12949"/>
    <w:rsid w:val="00F12AC6"/>
    <w:rsid w:val="00F12C88"/>
    <w:rsid w:val="00F12D90"/>
    <w:rsid w:val="00F12E4E"/>
    <w:rsid w:val="00F12FD4"/>
    <w:rsid w:val="00F130AA"/>
    <w:rsid w:val="00F13145"/>
    <w:rsid w:val="00F1316F"/>
    <w:rsid w:val="00F131AA"/>
    <w:rsid w:val="00F132FB"/>
    <w:rsid w:val="00F137B6"/>
    <w:rsid w:val="00F137D5"/>
    <w:rsid w:val="00F1380E"/>
    <w:rsid w:val="00F138C6"/>
    <w:rsid w:val="00F139A7"/>
    <w:rsid w:val="00F13A44"/>
    <w:rsid w:val="00F13A70"/>
    <w:rsid w:val="00F13AEE"/>
    <w:rsid w:val="00F13BCE"/>
    <w:rsid w:val="00F13D68"/>
    <w:rsid w:val="00F13D97"/>
    <w:rsid w:val="00F13DF2"/>
    <w:rsid w:val="00F13EEE"/>
    <w:rsid w:val="00F13FA0"/>
    <w:rsid w:val="00F140DF"/>
    <w:rsid w:val="00F1414B"/>
    <w:rsid w:val="00F143EB"/>
    <w:rsid w:val="00F1446C"/>
    <w:rsid w:val="00F14554"/>
    <w:rsid w:val="00F1455B"/>
    <w:rsid w:val="00F146AB"/>
    <w:rsid w:val="00F146E8"/>
    <w:rsid w:val="00F14732"/>
    <w:rsid w:val="00F14737"/>
    <w:rsid w:val="00F147FA"/>
    <w:rsid w:val="00F14817"/>
    <w:rsid w:val="00F148D4"/>
    <w:rsid w:val="00F149FE"/>
    <w:rsid w:val="00F14DC8"/>
    <w:rsid w:val="00F14E28"/>
    <w:rsid w:val="00F14E34"/>
    <w:rsid w:val="00F14E70"/>
    <w:rsid w:val="00F14F31"/>
    <w:rsid w:val="00F152D5"/>
    <w:rsid w:val="00F153E2"/>
    <w:rsid w:val="00F154D7"/>
    <w:rsid w:val="00F15531"/>
    <w:rsid w:val="00F155A6"/>
    <w:rsid w:val="00F15864"/>
    <w:rsid w:val="00F15892"/>
    <w:rsid w:val="00F15923"/>
    <w:rsid w:val="00F15B46"/>
    <w:rsid w:val="00F15CEA"/>
    <w:rsid w:val="00F15EF9"/>
    <w:rsid w:val="00F15FC5"/>
    <w:rsid w:val="00F16037"/>
    <w:rsid w:val="00F161A6"/>
    <w:rsid w:val="00F161EB"/>
    <w:rsid w:val="00F16442"/>
    <w:rsid w:val="00F16513"/>
    <w:rsid w:val="00F16565"/>
    <w:rsid w:val="00F1657D"/>
    <w:rsid w:val="00F165C5"/>
    <w:rsid w:val="00F165F6"/>
    <w:rsid w:val="00F167F4"/>
    <w:rsid w:val="00F1692B"/>
    <w:rsid w:val="00F16A21"/>
    <w:rsid w:val="00F16AA7"/>
    <w:rsid w:val="00F16B22"/>
    <w:rsid w:val="00F16B5A"/>
    <w:rsid w:val="00F16B7C"/>
    <w:rsid w:val="00F16C4F"/>
    <w:rsid w:val="00F16CC9"/>
    <w:rsid w:val="00F16D67"/>
    <w:rsid w:val="00F16E60"/>
    <w:rsid w:val="00F16EDF"/>
    <w:rsid w:val="00F16F1C"/>
    <w:rsid w:val="00F16F2F"/>
    <w:rsid w:val="00F170C0"/>
    <w:rsid w:val="00F1710E"/>
    <w:rsid w:val="00F1711C"/>
    <w:rsid w:val="00F1727B"/>
    <w:rsid w:val="00F173A1"/>
    <w:rsid w:val="00F173F3"/>
    <w:rsid w:val="00F17466"/>
    <w:rsid w:val="00F17522"/>
    <w:rsid w:val="00F175BA"/>
    <w:rsid w:val="00F176DA"/>
    <w:rsid w:val="00F176FA"/>
    <w:rsid w:val="00F17787"/>
    <w:rsid w:val="00F1798E"/>
    <w:rsid w:val="00F17A48"/>
    <w:rsid w:val="00F17ABA"/>
    <w:rsid w:val="00F17AFF"/>
    <w:rsid w:val="00F17CBE"/>
    <w:rsid w:val="00F17D8A"/>
    <w:rsid w:val="00F17E0D"/>
    <w:rsid w:val="00F20053"/>
    <w:rsid w:val="00F20162"/>
    <w:rsid w:val="00F203E1"/>
    <w:rsid w:val="00F20423"/>
    <w:rsid w:val="00F204F5"/>
    <w:rsid w:val="00F205B6"/>
    <w:rsid w:val="00F2092C"/>
    <w:rsid w:val="00F209B3"/>
    <w:rsid w:val="00F209E1"/>
    <w:rsid w:val="00F20A43"/>
    <w:rsid w:val="00F20B9E"/>
    <w:rsid w:val="00F20BB0"/>
    <w:rsid w:val="00F20D72"/>
    <w:rsid w:val="00F20D7D"/>
    <w:rsid w:val="00F20F37"/>
    <w:rsid w:val="00F20FB6"/>
    <w:rsid w:val="00F20FEC"/>
    <w:rsid w:val="00F21186"/>
    <w:rsid w:val="00F21318"/>
    <w:rsid w:val="00F2139F"/>
    <w:rsid w:val="00F216F0"/>
    <w:rsid w:val="00F217D0"/>
    <w:rsid w:val="00F217EC"/>
    <w:rsid w:val="00F218C7"/>
    <w:rsid w:val="00F218F0"/>
    <w:rsid w:val="00F21995"/>
    <w:rsid w:val="00F219A9"/>
    <w:rsid w:val="00F219E5"/>
    <w:rsid w:val="00F21AEB"/>
    <w:rsid w:val="00F21C7E"/>
    <w:rsid w:val="00F21D7B"/>
    <w:rsid w:val="00F21D99"/>
    <w:rsid w:val="00F21DD0"/>
    <w:rsid w:val="00F21E4B"/>
    <w:rsid w:val="00F22073"/>
    <w:rsid w:val="00F2216F"/>
    <w:rsid w:val="00F22237"/>
    <w:rsid w:val="00F2224B"/>
    <w:rsid w:val="00F2228C"/>
    <w:rsid w:val="00F22481"/>
    <w:rsid w:val="00F226AD"/>
    <w:rsid w:val="00F226F4"/>
    <w:rsid w:val="00F229D1"/>
    <w:rsid w:val="00F229F6"/>
    <w:rsid w:val="00F22A0B"/>
    <w:rsid w:val="00F22A8F"/>
    <w:rsid w:val="00F22C44"/>
    <w:rsid w:val="00F22C89"/>
    <w:rsid w:val="00F22E4B"/>
    <w:rsid w:val="00F22E89"/>
    <w:rsid w:val="00F22FB2"/>
    <w:rsid w:val="00F23031"/>
    <w:rsid w:val="00F23176"/>
    <w:rsid w:val="00F23209"/>
    <w:rsid w:val="00F23306"/>
    <w:rsid w:val="00F233CD"/>
    <w:rsid w:val="00F234EE"/>
    <w:rsid w:val="00F2362B"/>
    <w:rsid w:val="00F23A57"/>
    <w:rsid w:val="00F23BB7"/>
    <w:rsid w:val="00F23BD1"/>
    <w:rsid w:val="00F23D4E"/>
    <w:rsid w:val="00F23D51"/>
    <w:rsid w:val="00F23DDB"/>
    <w:rsid w:val="00F23F58"/>
    <w:rsid w:val="00F23F88"/>
    <w:rsid w:val="00F24017"/>
    <w:rsid w:val="00F2407B"/>
    <w:rsid w:val="00F24205"/>
    <w:rsid w:val="00F2429F"/>
    <w:rsid w:val="00F242EB"/>
    <w:rsid w:val="00F2448B"/>
    <w:rsid w:val="00F244A3"/>
    <w:rsid w:val="00F244B9"/>
    <w:rsid w:val="00F245E4"/>
    <w:rsid w:val="00F2463B"/>
    <w:rsid w:val="00F24642"/>
    <w:rsid w:val="00F248E8"/>
    <w:rsid w:val="00F2492C"/>
    <w:rsid w:val="00F249F3"/>
    <w:rsid w:val="00F24AB0"/>
    <w:rsid w:val="00F24B1F"/>
    <w:rsid w:val="00F24B8B"/>
    <w:rsid w:val="00F24D56"/>
    <w:rsid w:val="00F24DBB"/>
    <w:rsid w:val="00F24DCD"/>
    <w:rsid w:val="00F24F3B"/>
    <w:rsid w:val="00F25021"/>
    <w:rsid w:val="00F25112"/>
    <w:rsid w:val="00F2550E"/>
    <w:rsid w:val="00F25567"/>
    <w:rsid w:val="00F25814"/>
    <w:rsid w:val="00F259DC"/>
    <w:rsid w:val="00F25C0D"/>
    <w:rsid w:val="00F261F7"/>
    <w:rsid w:val="00F26272"/>
    <w:rsid w:val="00F263C1"/>
    <w:rsid w:val="00F263EE"/>
    <w:rsid w:val="00F263FB"/>
    <w:rsid w:val="00F2640D"/>
    <w:rsid w:val="00F26594"/>
    <w:rsid w:val="00F26596"/>
    <w:rsid w:val="00F26631"/>
    <w:rsid w:val="00F2672B"/>
    <w:rsid w:val="00F2674A"/>
    <w:rsid w:val="00F26755"/>
    <w:rsid w:val="00F26839"/>
    <w:rsid w:val="00F2684C"/>
    <w:rsid w:val="00F26C68"/>
    <w:rsid w:val="00F26D64"/>
    <w:rsid w:val="00F26D70"/>
    <w:rsid w:val="00F26E34"/>
    <w:rsid w:val="00F26F0F"/>
    <w:rsid w:val="00F26FBB"/>
    <w:rsid w:val="00F270E6"/>
    <w:rsid w:val="00F271B0"/>
    <w:rsid w:val="00F271E5"/>
    <w:rsid w:val="00F27219"/>
    <w:rsid w:val="00F2731B"/>
    <w:rsid w:val="00F273ED"/>
    <w:rsid w:val="00F27432"/>
    <w:rsid w:val="00F2745F"/>
    <w:rsid w:val="00F27499"/>
    <w:rsid w:val="00F275FD"/>
    <w:rsid w:val="00F276C6"/>
    <w:rsid w:val="00F276F5"/>
    <w:rsid w:val="00F27772"/>
    <w:rsid w:val="00F2791F"/>
    <w:rsid w:val="00F27BC8"/>
    <w:rsid w:val="00F27C54"/>
    <w:rsid w:val="00F27CA7"/>
    <w:rsid w:val="00F27CED"/>
    <w:rsid w:val="00F27CFF"/>
    <w:rsid w:val="00F27D1A"/>
    <w:rsid w:val="00F27DAA"/>
    <w:rsid w:val="00F27E27"/>
    <w:rsid w:val="00F27E82"/>
    <w:rsid w:val="00F30079"/>
    <w:rsid w:val="00F30129"/>
    <w:rsid w:val="00F30155"/>
    <w:rsid w:val="00F30455"/>
    <w:rsid w:val="00F3047F"/>
    <w:rsid w:val="00F304A7"/>
    <w:rsid w:val="00F30670"/>
    <w:rsid w:val="00F306A4"/>
    <w:rsid w:val="00F3072B"/>
    <w:rsid w:val="00F309B5"/>
    <w:rsid w:val="00F30A76"/>
    <w:rsid w:val="00F30BD2"/>
    <w:rsid w:val="00F30D88"/>
    <w:rsid w:val="00F30DF2"/>
    <w:rsid w:val="00F30E03"/>
    <w:rsid w:val="00F30E7B"/>
    <w:rsid w:val="00F30EF0"/>
    <w:rsid w:val="00F3101B"/>
    <w:rsid w:val="00F310AD"/>
    <w:rsid w:val="00F31130"/>
    <w:rsid w:val="00F31450"/>
    <w:rsid w:val="00F314A1"/>
    <w:rsid w:val="00F314F8"/>
    <w:rsid w:val="00F31555"/>
    <w:rsid w:val="00F315C0"/>
    <w:rsid w:val="00F31616"/>
    <w:rsid w:val="00F31638"/>
    <w:rsid w:val="00F31776"/>
    <w:rsid w:val="00F317CE"/>
    <w:rsid w:val="00F31825"/>
    <w:rsid w:val="00F31888"/>
    <w:rsid w:val="00F31AED"/>
    <w:rsid w:val="00F31D48"/>
    <w:rsid w:val="00F32110"/>
    <w:rsid w:val="00F32123"/>
    <w:rsid w:val="00F321B0"/>
    <w:rsid w:val="00F322B4"/>
    <w:rsid w:val="00F32362"/>
    <w:rsid w:val="00F3253C"/>
    <w:rsid w:val="00F327CF"/>
    <w:rsid w:val="00F32806"/>
    <w:rsid w:val="00F328E6"/>
    <w:rsid w:val="00F329AA"/>
    <w:rsid w:val="00F329C6"/>
    <w:rsid w:val="00F32A16"/>
    <w:rsid w:val="00F32A47"/>
    <w:rsid w:val="00F32BAA"/>
    <w:rsid w:val="00F32BD1"/>
    <w:rsid w:val="00F32C16"/>
    <w:rsid w:val="00F32DBA"/>
    <w:rsid w:val="00F32F17"/>
    <w:rsid w:val="00F32F9F"/>
    <w:rsid w:val="00F3306B"/>
    <w:rsid w:val="00F33137"/>
    <w:rsid w:val="00F331A8"/>
    <w:rsid w:val="00F33589"/>
    <w:rsid w:val="00F335DF"/>
    <w:rsid w:val="00F3362F"/>
    <w:rsid w:val="00F3384D"/>
    <w:rsid w:val="00F33AC2"/>
    <w:rsid w:val="00F33BE0"/>
    <w:rsid w:val="00F33CFE"/>
    <w:rsid w:val="00F33E01"/>
    <w:rsid w:val="00F33EE7"/>
    <w:rsid w:val="00F33F47"/>
    <w:rsid w:val="00F33F8C"/>
    <w:rsid w:val="00F34144"/>
    <w:rsid w:val="00F344D3"/>
    <w:rsid w:val="00F3455D"/>
    <w:rsid w:val="00F34574"/>
    <w:rsid w:val="00F3465D"/>
    <w:rsid w:val="00F34669"/>
    <w:rsid w:val="00F34846"/>
    <w:rsid w:val="00F34A8B"/>
    <w:rsid w:val="00F34C23"/>
    <w:rsid w:val="00F34C3C"/>
    <w:rsid w:val="00F34D03"/>
    <w:rsid w:val="00F34DCB"/>
    <w:rsid w:val="00F34DD5"/>
    <w:rsid w:val="00F34FA6"/>
    <w:rsid w:val="00F35063"/>
    <w:rsid w:val="00F35087"/>
    <w:rsid w:val="00F3539D"/>
    <w:rsid w:val="00F354BC"/>
    <w:rsid w:val="00F35502"/>
    <w:rsid w:val="00F35611"/>
    <w:rsid w:val="00F3593E"/>
    <w:rsid w:val="00F35AB6"/>
    <w:rsid w:val="00F35D63"/>
    <w:rsid w:val="00F35D99"/>
    <w:rsid w:val="00F35DE0"/>
    <w:rsid w:val="00F35E86"/>
    <w:rsid w:val="00F35EC3"/>
    <w:rsid w:val="00F36013"/>
    <w:rsid w:val="00F36024"/>
    <w:rsid w:val="00F36042"/>
    <w:rsid w:val="00F360E9"/>
    <w:rsid w:val="00F3629D"/>
    <w:rsid w:val="00F36303"/>
    <w:rsid w:val="00F366C3"/>
    <w:rsid w:val="00F368F7"/>
    <w:rsid w:val="00F3698A"/>
    <w:rsid w:val="00F36ADA"/>
    <w:rsid w:val="00F36BFB"/>
    <w:rsid w:val="00F36C94"/>
    <w:rsid w:val="00F36CCC"/>
    <w:rsid w:val="00F36D0F"/>
    <w:rsid w:val="00F36D2A"/>
    <w:rsid w:val="00F36D49"/>
    <w:rsid w:val="00F36F20"/>
    <w:rsid w:val="00F36F5D"/>
    <w:rsid w:val="00F37012"/>
    <w:rsid w:val="00F37114"/>
    <w:rsid w:val="00F371E8"/>
    <w:rsid w:val="00F3724D"/>
    <w:rsid w:val="00F37420"/>
    <w:rsid w:val="00F3742F"/>
    <w:rsid w:val="00F376C3"/>
    <w:rsid w:val="00F3780E"/>
    <w:rsid w:val="00F37848"/>
    <w:rsid w:val="00F378B0"/>
    <w:rsid w:val="00F37925"/>
    <w:rsid w:val="00F37AC0"/>
    <w:rsid w:val="00F37AC4"/>
    <w:rsid w:val="00F37AD2"/>
    <w:rsid w:val="00F37B06"/>
    <w:rsid w:val="00F37BE6"/>
    <w:rsid w:val="00F37D39"/>
    <w:rsid w:val="00F37D99"/>
    <w:rsid w:val="00F37E13"/>
    <w:rsid w:val="00F37E68"/>
    <w:rsid w:val="00F37E6A"/>
    <w:rsid w:val="00F37F98"/>
    <w:rsid w:val="00F37FE5"/>
    <w:rsid w:val="00F400C1"/>
    <w:rsid w:val="00F400CC"/>
    <w:rsid w:val="00F40119"/>
    <w:rsid w:val="00F403B8"/>
    <w:rsid w:val="00F403C2"/>
    <w:rsid w:val="00F404C1"/>
    <w:rsid w:val="00F40505"/>
    <w:rsid w:val="00F405C5"/>
    <w:rsid w:val="00F405D2"/>
    <w:rsid w:val="00F40660"/>
    <w:rsid w:val="00F406A3"/>
    <w:rsid w:val="00F406F0"/>
    <w:rsid w:val="00F407A7"/>
    <w:rsid w:val="00F408CD"/>
    <w:rsid w:val="00F40B16"/>
    <w:rsid w:val="00F40BE0"/>
    <w:rsid w:val="00F40E09"/>
    <w:rsid w:val="00F40F0D"/>
    <w:rsid w:val="00F40FC2"/>
    <w:rsid w:val="00F41149"/>
    <w:rsid w:val="00F4116F"/>
    <w:rsid w:val="00F41284"/>
    <w:rsid w:val="00F412B6"/>
    <w:rsid w:val="00F41442"/>
    <w:rsid w:val="00F41510"/>
    <w:rsid w:val="00F415A5"/>
    <w:rsid w:val="00F4161F"/>
    <w:rsid w:val="00F4169A"/>
    <w:rsid w:val="00F4179A"/>
    <w:rsid w:val="00F41986"/>
    <w:rsid w:val="00F41A09"/>
    <w:rsid w:val="00F41A89"/>
    <w:rsid w:val="00F41AB0"/>
    <w:rsid w:val="00F41AB5"/>
    <w:rsid w:val="00F41C65"/>
    <w:rsid w:val="00F41DBA"/>
    <w:rsid w:val="00F420A7"/>
    <w:rsid w:val="00F42149"/>
    <w:rsid w:val="00F4223D"/>
    <w:rsid w:val="00F42280"/>
    <w:rsid w:val="00F425A4"/>
    <w:rsid w:val="00F425E4"/>
    <w:rsid w:val="00F42A25"/>
    <w:rsid w:val="00F42A81"/>
    <w:rsid w:val="00F42B5D"/>
    <w:rsid w:val="00F42D56"/>
    <w:rsid w:val="00F42DD2"/>
    <w:rsid w:val="00F43070"/>
    <w:rsid w:val="00F43096"/>
    <w:rsid w:val="00F430BF"/>
    <w:rsid w:val="00F43297"/>
    <w:rsid w:val="00F43326"/>
    <w:rsid w:val="00F4344C"/>
    <w:rsid w:val="00F435AB"/>
    <w:rsid w:val="00F4369A"/>
    <w:rsid w:val="00F436ED"/>
    <w:rsid w:val="00F438B8"/>
    <w:rsid w:val="00F43E82"/>
    <w:rsid w:val="00F43E9E"/>
    <w:rsid w:val="00F43F78"/>
    <w:rsid w:val="00F4400A"/>
    <w:rsid w:val="00F44050"/>
    <w:rsid w:val="00F4408E"/>
    <w:rsid w:val="00F440AA"/>
    <w:rsid w:val="00F441CC"/>
    <w:rsid w:val="00F44548"/>
    <w:rsid w:val="00F445D9"/>
    <w:rsid w:val="00F445F6"/>
    <w:rsid w:val="00F44870"/>
    <w:rsid w:val="00F44910"/>
    <w:rsid w:val="00F4497E"/>
    <w:rsid w:val="00F449C7"/>
    <w:rsid w:val="00F44A72"/>
    <w:rsid w:val="00F44A7A"/>
    <w:rsid w:val="00F44AA0"/>
    <w:rsid w:val="00F44BAF"/>
    <w:rsid w:val="00F44C30"/>
    <w:rsid w:val="00F44CD1"/>
    <w:rsid w:val="00F44D1D"/>
    <w:rsid w:val="00F44E90"/>
    <w:rsid w:val="00F44F64"/>
    <w:rsid w:val="00F44F75"/>
    <w:rsid w:val="00F4501B"/>
    <w:rsid w:val="00F4533E"/>
    <w:rsid w:val="00F453A9"/>
    <w:rsid w:val="00F4540A"/>
    <w:rsid w:val="00F455EC"/>
    <w:rsid w:val="00F458D2"/>
    <w:rsid w:val="00F45927"/>
    <w:rsid w:val="00F45946"/>
    <w:rsid w:val="00F45965"/>
    <w:rsid w:val="00F45AAF"/>
    <w:rsid w:val="00F45B96"/>
    <w:rsid w:val="00F45D76"/>
    <w:rsid w:val="00F45E3D"/>
    <w:rsid w:val="00F45FE1"/>
    <w:rsid w:val="00F46060"/>
    <w:rsid w:val="00F46152"/>
    <w:rsid w:val="00F461F9"/>
    <w:rsid w:val="00F46585"/>
    <w:rsid w:val="00F46682"/>
    <w:rsid w:val="00F466C3"/>
    <w:rsid w:val="00F466E7"/>
    <w:rsid w:val="00F468FD"/>
    <w:rsid w:val="00F46CC2"/>
    <w:rsid w:val="00F46D16"/>
    <w:rsid w:val="00F46ED8"/>
    <w:rsid w:val="00F46EFF"/>
    <w:rsid w:val="00F46FA9"/>
    <w:rsid w:val="00F47084"/>
    <w:rsid w:val="00F47176"/>
    <w:rsid w:val="00F47227"/>
    <w:rsid w:val="00F47250"/>
    <w:rsid w:val="00F47312"/>
    <w:rsid w:val="00F47510"/>
    <w:rsid w:val="00F47546"/>
    <w:rsid w:val="00F4757B"/>
    <w:rsid w:val="00F47590"/>
    <w:rsid w:val="00F4759D"/>
    <w:rsid w:val="00F47B94"/>
    <w:rsid w:val="00F47EBF"/>
    <w:rsid w:val="00F47F37"/>
    <w:rsid w:val="00F50321"/>
    <w:rsid w:val="00F50335"/>
    <w:rsid w:val="00F5034D"/>
    <w:rsid w:val="00F50385"/>
    <w:rsid w:val="00F504FF"/>
    <w:rsid w:val="00F506B2"/>
    <w:rsid w:val="00F507AB"/>
    <w:rsid w:val="00F508B4"/>
    <w:rsid w:val="00F50976"/>
    <w:rsid w:val="00F5099E"/>
    <w:rsid w:val="00F50A39"/>
    <w:rsid w:val="00F50B87"/>
    <w:rsid w:val="00F50D84"/>
    <w:rsid w:val="00F50DC7"/>
    <w:rsid w:val="00F50EC8"/>
    <w:rsid w:val="00F51029"/>
    <w:rsid w:val="00F510E0"/>
    <w:rsid w:val="00F5111E"/>
    <w:rsid w:val="00F5116E"/>
    <w:rsid w:val="00F5121E"/>
    <w:rsid w:val="00F51401"/>
    <w:rsid w:val="00F517B4"/>
    <w:rsid w:val="00F517C8"/>
    <w:rsid w:val="00F51812"/>
    <w:rsid w:val="00F51839"/>
    <w:rsid w:val="00F5186F"/>
    <w:rsid w:val="00F519AC"/>
    <w:rsid w:val="00F519D1"/>
    <w:rsid w:val="00F51A0F"/>
    <w:rsid w:val="00F51A30"/>
    <w:rsid w:val="00F51AE1"/>
    <w:rsid w:val="00F51AE3"/>
    <w:rsid w:val="00F51B5D"/>
    <w:rsid w:val="00F51BBB"/>
    <w:rsid w:val="00F51CA7"/>
    <w:rsid w:val="00F51E10"/>
    <w:rsid w:val="00F51EF9"/>
    <w:rsid w:val="00F51F47"/>
    <w:rsid w:val="00F52083"/>
    <w:rsid w:val="00F520BE"/>
    <w:rsid w:val="00F520E9"/>
    <w:rsid w:val="00F522AF"/>
    <w:rsid w:val="00F522E3"/>
    <w:rsid w:val="00F52370"/>
    <w:rsid w:val="00F524E4"/>
    <w:rsid w:val="00F52526"/>
    <w:rsid w:val="00F52583"/>
    <w:rsid w:val="00F5269E"/>
    <w:rsid w:val="00F52791"/>
    <w:rsid w:val="00F5279C"/>
    <w:rsid w:val="00F52ADE"/>
    <w:rsid w:val="00F52BE5"/>
    <w:rsid w:val="00F52DB8"/>
    <w:rsid w:val="00F52EA0"/>
    <w:rsid w:val="00F52F09"/>
    <w:rsid w:val="00F52F6F"/>
    <w:rsid w:val="00F530D5"/>
    <w:rsid w:val="00F5315C"/>
    <w:rsid w:val="00F53209"/>
    <w:rsid w:val="00F53216"/>
    <w:rsid w:val="00F53282"/>
    <w:rsid w:val="00F53355"/>
    <w:rsid w:val="00F53389"/>
    <w:rsid w:val="00F5364F"/>
    <w:rsid w:val="00F53718"/>
    <w:rsid w:val="00F53AEC"/>
    <w:rsid w:val="00F53C72"/>
    <w:rsid w:val="00F53CA9"/>
    <w:rsid w:val="00F53D5A"/>
    <w:rsid w:val="00F53DDB"/>
    <w:rsid w:val="00F53EE4"/>
    <w:rsid w:val="00F53F18"/>
    <w:rsid w:val="00F53F47"/>
    <w:rsid w:val="00F53F6C"/>
    <w:rsid w:val="00F53F78"/>
    <w:rsid w:val="00F5402B"/>
    <w:rsid w:val="00F54090"/>
    <w:rsid w:val="00F542EF"/>
    <w:rsid w:val="00F54396"/>
    <w:rsid w:val="00F5451A"/>
    <w:rsid w:val="00F54554"/>
    <w:rsid w:val="00F5465C"/>
    <w:rsid w:val="00F5472A"/>
    <w:rsid w:val="00F547C1"/>
    <w:rsid w:val="00F548D7"/>
    <w:rsid w:val="00F549B3"/>
    <w:rsid w:val="00F54C55"/>
    <w:rsid w:val="00F54DC5"/>
    <w:rsid w:val="00F54DF5"/>
    <w:rsid w:val="00F54F17"/>
    <w:rsid w:val="00F54F66"/>
    <w:rsid w:val="00F54FF1"/>
    <w:rsid w:val="00F5502A"/>
    <w:rsid w:val="00F5502F"/>
    <w:rsid w:val="00F55061"/>
    <w:rsid w:val="00F55285"/>
    <w:rsid w:val="00F5543E"/>
    <w:rsid w:val="00F55511"/>
    <w:rsid w:val="00F5565E"/>
    <w:rsid w:val="00F556E5"/>
    <w:rsid w:val="00F55716"/>
    <w:rsid w:val="00F5574A"/>
    <w:rsid w:val="00F5581F"/>
    <w:rsid w:val="00F5591C"/>
    <w:rsid w:val="00F5599E"/>
    <w:rsid w:val="00F559D8"/>
    <w:rsid w:val="00F55ABA"/>
    <w:rsid w:val="00F55B75"/>
    <w:rsid w:val="00F55CA1"/>
    <w:rsid w:val="00F55CEF"/>
    <w:rsid w:val="00F55D1A"/>
    <w:rsid w:val="00F55F4B"/>
    <w:rsid w:val="00F56107"/>
    <w:rsid w:val="00F56356"/>
    <w:rsid w:val="00F56424"/>
    <w:rsid w:val="00F564EF"/>
    <w:rsid w:val="00F56551"/>
    <w:rsid w:val="00F5658D"/>
    <w:rsid w:val="00F56662"/>
    <w:rsid w:val="00F5682B"/>
    <w:rsid w:val="00F568C7"/>
    <w:rsid w:val="00F5694D"/>
    <w:rsid w:val="00F56A25"/>
    <w:rsid w:val="00F56A26"/>
    <w:rsid w:val="00F56AEA"/>
    <w:rsid w:val="00F56C62"/>
    <w:rsid w:val="00F56D7A"/>
    <w:rsid w:val="00F56EFC"/>
    <w:rsid w:val="00F56EFD"/>
    <w:rsid w:val="00F57225"/>
    <w:rsid w:val="00F57548"/>
    <w:rsid w:val="00F57575"/>
    <w:rsid w:val="00F5765F"/>
    <w:rsid w:val="00F576DD"/>
    <w:rsid w:val="00F57789"/>
    <w:rsid w:val="00F5789B"/>
    <w:rsid w:val="00F5794A"/>
    <w:rsid w:val="00F57A1A"/>
    <w:rsid w:val="00F57D31"/>
    <w:rsid w:val="00F57DD3"/>
    <w:rsid w:val="00F57EBF"/>
    <w:rsid w:val="00F57F75"/>
    <w:rsid w:val="00F57F83"/>
    <w:rsid w:val="00F60091"/>
    <w:rsid w:val="00F601E1"/>
    <w:rsid w:val="00F60225"/>
    <w:rsid w:val="00F603BD"/>
    <w:rsid w:val="00F60421"/>
    <w:rsid w:val="00F6047E"/>
    <w:rsid w:val="00F604D6"/>
    <w:rsid w:val="00F604DF"/>
    <w:rsid w:val="00F604F6"/>
    <w:rsid w:val="00F6060B"/>
    <w:rsid w:val="00F60640"/>
    <w:rsid w:val="00F6077B"/>
    <w:rsid w:val="00F6085E"/>
    <w:rsid w:val="00F608FE"/>
    <w:rsid w:val="00F60981"/>
    <w:rsid w:val="00F60ADD"/>
    <w:rsid w:val="00F60BCB"/>
    <w:rsid w:val="00F60CCE"/>
    <w:rsid w:val="00F60D0A"/>
    <w:rsid w:val="00F60EF8"/>
    <w:rsid w:val="00F60F43"/>
    <w:rsid w:val="00F60F4E"/>
    <w:rsid w:val="00F61108"/>
    <w:rsid w:val="00F611EA"/>
    <w:rsid w:val="00F612AA"/>
    <w:rsid w:val="00F612F8"/>
    <w:rsid w:val="00F613EA"/>
    <w:rsid w:val="00F61468"/>
    <w:rsid w:val="00F614B6"/>
    <w:rsid w:val="00F61576"/>
    <w:rsid w:val="00F615CD"/>
    <w:rsid w:val="00F615E1"/>
    <w:rsid w:val="00F61825"/>
    <w:rsid w:val="00F618BE"/>
    <w:rsid w:val="00F618EA"/>
    <w:rsid w:val="00F61A3F"/>
    <w:rsid w:val="00F61AF5"/>
    <w:rsid w:val="00F61C14"/>
    <w:rsid w:val="00F61C2E"/>
    <w:rsid w:val="00F61DE6"/>
    <w:rsid w:val="00F61E74"/>
    <w:rsid w:val="00F61FD5"/>
    <w:rsid w:val="00F62065"/>
    <w:rsid w:val="00F620F7"/>
    <w:rsid w:val="00F62307"/>
    <w:rsid w:val="00F62335"/>
    <w:rsid w:val="00F62337"/>
    <w:rsid w:val="00F62355"/>
    <w:rsid w:val="00F62369"/>
    <w:rsid w:val="00F6240E"/>
    <w:rsid w:val="00F625B4"/>
    <w:rsid w:val="00F626A2"/>
    <w:rsid w:val="00F626DE"/>
    <w:rsid w:val="00F62755"/>
    <w:rsid w:val="00F62951"/>
    <w:rsid w:val="00F62AF1"/>
    <w:rsid w:val="00F62C05"/>
    <w:rsid w:val="00F62CA9"/>
    <w:rsid w:val="00F62D92"/>
    <w:rsid w:val="00F62DA1"/>
    <w:rsid w:val="00F62E4D"/>
    <w:rsid w:val="00F62F07"/>
    <w:rsid w:val="00F62F17"/>
    <w:rsid w:val="00F62F75"/>
    <w:rsid w:val="00F6332D"/>
    <w:rsid w:val="00F63505"/>
    <w:rsid w:val="00F6351F"/>
    <w:rsid w:val="00F63982"/>
    <w:rsid w:val="00F639B2"/>
    <w:rsid w:val="00F639C2"/>
    <w:rsid w:val="00F63BDF"/>
    <w:rsid w:val="00F63C57"/>
    <w:rsid w:val="00F63C58"/>
    <w:rsid w:val="00F63CDC"/>
    <w:rsid w:val="00F63D52"/>
    <w:rsid w:val="00F63E13"/>
    <w:rsid w:val="00F64068"/>
    <w:rsid w:val="00F64173"/>
    <w:rsid w:val="00F64436"/>
    <w:rsid w:val="00F6462B"/>
    <w:rsid w:val="00F64788"/>
    <w:rsid w:val="00F647F8"/>
    <w:rsid w:val="00F6488D"/>
    <w:rsid w:val="00F64A2F"/>
    <w:rsid w:val="00F64C3F"/>
    <w:rsid w:val="00F64D7E"/>
    <w:rsid w:val="00F64DC7"/>
    <w:rsid w:val="00F64E46"/>
    <w:rsid w:val="00F64E4C"/>
    <w:rsid w:val="00F651B5"/>
    <w:rsid w:val="00F6522C"/>
    <w:rsid w:val="00F652C8"/>
    <w:rsid w:val="00F653A7"/>
    <w:rsid w:val="00F65470"/>
    <w:rsid w:val="00F6554F"/>
    <w:rsid w:val="00F6557A"/>
    <w:rsid w:val="00F65720"/>
    <w:rsid w:val="00F6575C"/>
    <w:rsid w:val="00F65785"/>
    <w:rsid w:val="00F6579C"/>
    <w:rsid w:val="00F658DA"/>
    <w:rsid w:val="00F6593B"/>
    <w:rsid w:val="00F65A99"/>
    <w:rsid w:val="00F65CAB"/>
    <w:rsid w:val="00F65CB1"/>
    <w:rsid w:val="00F65DC5"/>
    <w:rsid w:val="00F65DFE"/>
    <w:rsid w:val="00F660A6"/>
    <w:rsid w:val="00F660B6"/>
    <w:rsid w:val="00F660D7"/>
    <w:rsid w:val="00F6625E"/>
    <w:rsid w:val="00F6627F"/>
    <w:rsid w:val="00F665E8"/>
    <w:rsid w:val="00F666EC"/>
    <w:rsid w:val="00F667D5"/>
    <w:rsid w:val="00F66A96"/>
    <w:rsid w:val="00F66B05"/>
    <w:rsid w:val="00F66DAE"/>
    <w:rsid w:val="00F66EBD"/>
    <w:rsid w:val="00F66F0B"/>
    <w:rsid w:val="00F66FA9"/>
    <w:rsid w:val="00F6704C"/>
    <w:rsid w:val="00F670DE"/>
    <w:rsid w:val="00F671EA"/>
    <w:rsid w:val="00F672E6"/>
    <w:rsid w:val="00F67588"/>
    <w:rsid w:val="00F676C0"/>
    <w:rsid w:val="00F67746"/>
    <w:rsid w:val="00F677EE"/>
    <w:rsid w:val="00F67928"/>
    <w:rsid w:val="00F67A82"/>
    <w:rsid w:val="00F67B21"/>
    <w:rsid w:val="00F67B8C"/>
    <w:rsid w:val="00F67B93"/>
    <w:rsid w:val="00F67CB6"/>
    <w:rsid w:val="00F67D88"/>
    <w:rsid w:val="00F7002A"/>
    <w:rsid w:val="00F700AC"/>
    <w:rsid w:val="00F700F4"/>
    <w:rsid w:val="00F70112"/>
    <w:rsid w:val="00F70216"/>
    <w:rsid w:val="00F70340"/>
    <w:rsid w:val="00F706B6"/>
    <w:rsid w:val="00F70802"/>
    <w:rsid w:val="00F708E0"/>
    <w:rsid w:val="00F70925"/>
    <w:rsid w:val="00F7094C"/>
    <w:rsid w:val="00F70C4D"/>
    <w:rsid w:val="00F70CF8"/>
    <w:rsid w:val="00F70D50"/>
    <w:rsid w:val="00F70D84"/>
    <w:rsid w:val="00F70D87"/>
    <w:rsid w:val="00F70E29"/>
    <w:rsid w:val="00F710AF"/>
    <w:rsid w:val="00F711E6"/>
    <w:rsid w:val="00F71587"/>
    <w:rsid w:val="00F71878"/>
    <w:rsid w:val="00F718D2"/>
    <w:rsid w:val="00F7194F"/>
    <w:rsid w:val="00F71969"/>
    <w:rsid w:val="00F71A4F"/>
    <w:rsid w:val="00F71B65"/>
    <w:rsid w:val="00F71C44"/>
    <w:rsid w:val="00F71CAA"/>
    <w:rsid w:val="00F71CB7"/>
    <w:rsid w:val="00F71EC2"/>
    <w:rsid w:val="00F71FF9"/>
    <w:rsid w:val="00F7205A"/>
    <w:rsid w:val="00F7208B"/>
    <w:rsid w:val="00F7209B"/>
    <w:rsid w:val="00F720BB"/>
    <w:rsid w:val="00F721E2"/>
    <w:rsid w:val="00F723CB"/>
    <w:rsid w:val="00F727B9"/>
    <w:rsid w:val="00F727CB"/>
    <w:rsid w:val="00F72848"/>
    <w:rsid w:val="00F7284E"/>
    <w:rsid w:val="00F7290A"/>
    <w:rsid w:val="00F72B8D"/>
    <w:rsid w:val="00F72BDE"/>
    <w:rsid w:val="00F72CBA"/>
    <w:rsid w:val="00F72D4A"/>
    <w:rsid w:val="00F72DDE"/>
    <w:rsid w:val="00F72E4C"/>
    <w:rsid w:val="00F72EB2"/>
    <w:rsid w:val="00F72F52"/>
    <w:rsid w:val="00F72FC0"/>
    <w:rsid w:val="00F72FFA"/>
    <w:rsid w:val="00F730AA"/>
    <w:rsid w:val="00F730C1"/>
    <w:rsid w:val="00F73209"/>
    <w:rsid w:val="00F73336"/>
    <w:rsid w:val="00F737EA"/>
    <w:rsid w:val="00F7381C"/>
    <w:rsid w:val="00F738EE"/>
    <w:rsid w:val="00F739AC"/>
    <w:rsid w:val="00F73AE0"/>
    <w:rsid w:val="00F73B0B"/>
    <w:rsid w:val="00F73C09"/>
    <w:rsid w:val="00F73C12"/>
    <w:rsid w:val="00F73E10"/>
    <w:rsid w:val="00F73E35"/>
    <w:rsid w:val="00F73E54"/>
    <w:rsid w:val="00F73EC8"/>
    <w:rsid w:val="00F73FD8"/>
    <w:rsid w:val="00F74145"/>
    <w:rsid w:val="00F74167"/>
    <w:rsid w:val="00F74361"/>
    <w:rsid w:val="00F7439D"/>
    <w:rsid w:val="00F743EA"/>
    <w:rsid w:val="00F74428"/>
    <w:rsid w:val="00F7451B"/>
    <w:rsid w:val="00F74627"/>
    <w:rsid w:val="00F74649"/>
    <w:rsid w:val="00F746DC"/>
    <w:rsid w:val="00F747DE"/>
    <w:rsid w:val="00F74B8C"/>
    <w:rsid w:val="00F74BA2"/>
    <w:rsid w:val="00F74BED"/>
    <w:rsid w:val="00F74BF2"/>
    <w:rsid w:val="00F74BFC"/>
    <w:rsid w:val="00F74CFC"/>
    <w:rsid w:val="00F74E5A"/>
    <w:rsid w:val="00F74F92"/>
    <w:rsid w:val="00F74FD8"/>
    <w:rsid w:val="00F75049"/>
    <w:rsid w:val="00F750A0"/>
    <w:rsid w:val="00F75270"/>
    <w:rsid w:val="00F7533C"/>
    <w:rsid w:val="00F7539D"/>
    <w:rsid w:val="00F753E3"/>
    <w:rsid w:val="00F7568B"/>
    <w:rsid w:val="00F757DC"/>
    <w:rsid w:val="00F757DF"/>
    <w:rsid w:val="00F75957"/>
    <w:rsid w:val="00F759CB"/>
    <w:rsid w:val="00F75A33"/>
    <w:rsid w:val="00F75A9A"/>
    <w:rsid w:val="00F75AC4"/>
    <w:rsid w:val="00F75B5B"/>
    <w:rsid w:val="00F75BC3"/>
    <w:rsid w:val="00F75BF8"/>
    <w:rsid w:val="00F75C37"/>
    <w:rsid w:val="00F75C81"/>
    <w:rsid w:val="00F75C95"/>
    <w:rsid w:val="00F75D3E"/>
    <w:rsid w:val="00F75D60"/>
    <w:rsid w:val="00F75E9A"/>
    <w:rsid w:val="00F75EE9"/>
    <w:rsid w:val="00F75F31"/>
    <w:rsid w:val="00F75F63"/>
    <w:rsid w:val="00F7609C"/>
    <w:rsid w:val="00F76450"/>
    <w:rsid w:val="00F7656E"/>
    <w:rsid w:val="00F7658C"/>
    <w:rsid w:val="00F7664D"/>
    <w:rsid w:val="00F766B7"/>
    <w:rsid w:val="00F767E1"/>
    <w:rsid w:val="00F7683B"/>
    <w:rsid w:val="00F76A84"/>
    <w:rsid w:val="00F76CDB"/>
    <w:rsid w:val="00F76D30"/>
    <w:rsid w:val="00F76DE1"/>
    <w:rsid w:val="00F76EBF"/>
    <w:rsid w:val="00F76FE9"/>
    <w:rsid w:val="00F770DF"/>
    <w:rsid w:val="00F771F2"/>
    <w:rsid w:val="00F772A0"/>
    <w:rsid w:val="00F772C2"/>
    <w:rsid w:val="00F77314"/>
    <w:rsid w:val="00F7738B"/>
    <w:rsid w:val="00F774AA"/>
    <w:rsid w:val="00F774D5"/>
    <w:rsid w:val="00F77564"/>
    <w:rsid w:val="00F77636"/>
    <w:rsid w:val="00F77825"/>
    <w:rsid w:val="00F779BB"/>
    <w:rsid w:val="00F77A09"/>
    <w:rsid w:val="00F77A12"/>
    <w:rsid w:val="00F77A52"/>
    <w:rsid w:val="00F77B23"/>
    <w:rsid w:val="00F77B68"/>
    <w:rsid w:val="00F77B6B"/>
    <w:rsid w:val="00F77BD0"/>
    <w:rsid w:val="00F77BE3"/>
    <w:rsid w:val="00F77C85"/>
    <w:rsid w:val="00F77CC6"/>
    <w:rsid w:val="00F77D46"/>
    <w:rsid w:val="00F77E40"/>
    <w:rsid w:val="00F800D4"/>
    <w:rsid w:val="00F80110"/>
    <w:rsid w:val="00F801F0"/>
    <w:rsid w:val="00F802A4"/>
    <w:rsid w:val="00F803D7"/>
    <w:rsid w:val="00F8042E"/>
    <w:rsid w:val="00F80492"/>
    <w:rsid w:val="00F805C9"/>
    <w:rsid w:val="00F80671"/>
    <w:rsid w:val="00F80698"/>
    <w:rsid w:val="00F8072A"/>
    <w:rsid w:val="00F807B9"/>
    <w:rsid w:val="00F8082E"/>
    <w:rsid w:val="00F80970"/>
    <w:rsid w:val="00F80B2F"/>
    <w:rsid w:val="00F80BDE"/>
    <w:rsid w:val="00F80BFE"/>
    <w:rsid w:val="00F80DB8"/>
    <w:rsid w:val="00F80E21"/>
    <w:rsid w:val="00F80F28"/>
    <w:rsid w:val="00F8115B"/>
    <w:rsid w:val="00F812A1"/>
    <w:rsid w:val="00F812B1"/>
    <w:rsid w:val="00F812C5"/>
    <w:rsid w:val="00F81325"/>
    <w:rsid w:val="00F81340"/>
    <w:rsid w:val="00F81349"/>
    <w:rsid w:val="00F8135B"/>
    <w:rsid w:val="00F819CF"/>
    <w:rsid w:val="00F81A47"/>
    <w:rsid w:val="00F81E26"/>
    <w:rsid w:val="00F81FC4"/>
    <w:rsid w:val="00F82109"/>
    <w:rsid w:val="00F8218E"/>
    <w:rsid w:val="00F82382"/>
    <w:rsid w:val="00F8250D"/>
    <w:rsid w:val="00F82671"/>
    <w:rsid w:val="00F82721"/>
    <w:rsid w:val="00F8277E"/>
    <w:rsid w:val="00F8278C"/>
    <w:rsid w:val="00F82792"/>
    <w:rsid w:val="00F82875"/>
    <w:rsid w:val="00F82961"/>
    <w:rsid w:val="00F82983"/>
    <w:rsid w:val="00F829AD"/>
    <w:rsid w:val="00F82A21"/>
    <w:rsid w:val="00F82AF0"/>
    <w:rsid w:val="00F82B8B"/>
    <w:rsid w:val="00F82E50"/>
    <w:rsid w:val="00F8301A"/>
    <w:rsid w:val="00F830FA"/>
    <w:rsid w:val="00F83107"/>
    <w:rsid w:val="00F83408"/>
    <w:rsid w:val="00F83493"/>
    <w:rsid w:val="00F834B7"/>
    <w:rsid w:val="00F8351C"/>
    <w:rsid w:val="00F835C2"/>
    <w:rsid w:val="00F8378F"/>
    <w:rsid w:val="00F8381B"/>
    <w:rsid w:val="00F838AB"/>
    <w:rsid w:val="00F83A9E"/>
    <w:rsid w:val="00F83B23"/>
    <w:rsid w:val="00F83B36"/>
    <w:rsid w:val="00F83B99"/>
    <w:rsid w:val="00F83BDC"/>
    <w:rsid w:val="00F83CFA"/>
    <w:rsid w:val="00F84238"/>
    <w:rsid w:val="00F84289"/>
    <w:rsid w:val="00F843BC"/>
    <w:rsid w:val="00F843F6"/>
    <w:rsid w:val="00F8447F"/>
    <w:rsid w:val="00F844B8"/>
    <w:rsid w:val="00F844D0"/>
    <w:rsid w:val="00F845F2"/>
    <w:rsid w:val="00F8460B"/>
    <w:rsid w:val="00F846E7"/>
    <w:rsid w:val="00F84889"/>
    <w:rsid w:val="00F84A69"/>
    <w:rsid w:val="00F84A7A"/>
    <w:rsid w:val="00F84A91"/>
    <w:rsid w:val="00F84CAD"/>
    <w:rsid w:val="00F84E34"/>
    <w:rsid w:val="00F84F15"/>
    <w:rsid w:val="00F84FD3"/>
    <w:rsid w:val="00F84FD6"/>
    <w:rsid w:val="00F850C8"/>
    <w:rsid w:val="00F8512A"/>
    <w:rsid w:val="00F852BA"/>
    <w:rsid w:val="00F85334"/>
    <w:rsid w:val="00F853B1"/>
    <w:rsid w:val="00F85584"/>
    <w:rsid w:val="00F85662"/>
    <w:rsid w:val="00F856F1"/>
    <w:rsid w:val="00F85707"/>
    <w:rsid w:val="00F85792"/>
    <w:rsid w:val="00F857AA"/>
    <w:rsid w:val="00F85810"/>
    <w:rsid w:val="00F85838"/>
    <w:rsid w:val="00F85845"/>
    <w:rsid w:val="00F85903"/>
    <w:rsid w:val="00F8590B"/>
    <w:rsid w:val="00F85B11"/>
    <w:rsid w:val="00F85D40"/>
    <w:rsid w:val="00F85D67"/>
    <w:rsid w:val="00F85D7D"/>
    <w:rsid w:val="00F85E09"/>
    <w:rsid w:val="00F85E4E"/>
    <w:rsid w:val="00F85EC2"/>
    <w:rsid w:val="00F85EEF"/>
    <w:rsid w:val="00F85FCC"/>
    <w:rsid w:val="00F860EB"/>
    <w:rsid w:val="00F86223"/>
    <w:rsid w:val="00F8654C"/>
    <w:rsid w:val="00F86550"/>
    <w:rsid w:val="00F86582"/>
    <w:rsid w:val="00F86593"/>
    <w:rsid w:val="00F86714"/>
    <w:rsid w:val="00F8671D"/>
    <w:rsid w:val="00F8679E"/>
    <w:rsid w:val="00F867DF"/>
    <w:rsid w:val="00F868AE"/>
    <w:rsid w:val="00F868EB"/>
    <w:rsid w:val="00F86A7A"/>
    <w:rsid w:val="00F86BC8"/>
    <w:rsid w:val="00F86C38"/>
    <w:rsid w:val="00F86F1D"/>
    <w:rsid w:val="00F86F8D"/>
    <w:rsid w:val="00F87194"/>
    <w:rsid w:val="00F87247"/>
    <w:rsid w:val="00F872FA"/>
    <w:rsid w:val="00F87351"/>
    <w:rsid w:val="00F874B6"/>
    <w:rsid w:val="00F875B3"/>
    <w:rsid w:val="00F87630"/>
    <w:rsid w:val="00F8771D"/>
    <w:rsid w:val="00F877F0"/>
    <w:rsid w:val="00F87917"/>
    <w:rsid w:val="00F8791C"/>
    <w:rsid w:val="00F8797C"/>
    <w:rsid w:val="00F87B54"/>
    <w:rsid w:val="00F87DAF"/>
    <w:rsid w:val="00F87DF2"/>
    <w:rsid w:val="00F87E28"/>
    <w:rsid w:val="00F87EF7"/>
    <w:rsid w:val="00F87FAB"/>
    <w:rsid w:val="00F90172"/>
    <w:rsid w:val="00F90191"/>
    <w:rsid w:val="00F901F3"/>
    <w:rsid w:val="00F902A6"/>
    <w:rsid w:val="00F90377"/>
    <w:rsid w:val="00F90389"/>
    <w:rsid w:val="00F90507"/>
    <w:rsid w:val="00F90566"/>
    <w:rsid w:val="00F905D2"/>
    <w:rsid w:val="00F905FD"/>
    <w:rsid w:val="00F9069B"/>
    <w:rsid w:val="00F9075C"/>
    <w:rsid w:val="00F90797"/>
    <w:rsid w:val="00F90AB2"/>
    <w:rsid w:val="00F90ADE"/>
    <w:rsid w:val="00F90BEA"/>
    <w:rsid w:val="00F90C4D"/>
    <w:rsid w:val="00F90DF8"/>
    <w:rsid w:val="00F90E4F"/>
    <w:rsid w:val="00F90E64"/>
    <w:rsid w:val="00F90EE8"/>
    <w:rsid w:val="00F9104B"/>
    <w:rsid w:val="00F91076"/>
    <w:rsid w:val="00F91343"/>
    <w:rsid w:val="00F913E6"/>
    <w:rsid w:val="00F915A2"/>
    <w:rsid w:val="00F915D2"/>
    <w:rsid w:val="00F91742"/>
    <w:rsid w:val="00F918AA"/>
    <w:rsid w:val="00F918CF"/>
    <w:rsid w:val="00F91914"/>
    <w:rsid w:val="00F91A08"/>
    <w:rsid w:val="00F91C85"/>
    <w:rsid w:val="00F91CF3"/>
    <w:rsid w:val="00F91D29"/>
    <w:rsid w:val="00F91E73"/>
    <w:rsid w:val="00F91F1F"/>
    <w:rsid w:val="00F91F4F"/>
    <w:rsid w:val="00F91FB4"/>
    <w:rsid w:val="00F92111"/>
    <w:rsid w:val="00F9212F"/>
    <w:rsid w:val="00F92246"/>
    <w:rsid w:val="00F9226B"/>
    <w:rsid w:val="00F922B8"/>
    <w:rsid w:val="00F92361"/>
    <w:rsid w:val="00F9236F"/>
    <w:rsid w:val="00F92636"/>
    <w:rsid w:val="00F92723"/>
    <w:rsid w:val="00F92735"/>
    <w:rsid w:val="00F9288A"/>
    <w:rsid w:val="00F928A5"/>
    <w:rsid w:val="00F92A68"/>
    <w:rsid w:val="00F92CBF"/>
    <w:rsid w:val="00F92D22"/>
    <w:rsid w:val="00F92D89"/>
    <w:rsid w:val="00F92F15"/>
    <w:rsid w:val="00F92F4D"/>
    <w:rsid w:val="00F92FAF"/>
    <w:rsid w:val="00F92FFD"/>
    <w:rsid w:val="00F93022"/>
    <w:rsid w:val="00F93097"/>
    <w:rsid w:val="00F931D5"/>
    <w:rsid w:val="00F93210"/>
    <w:rsid w:val="00F93383"/>
    <w:rsid w:val="00F93476"/>
    <w:rsid w:val="00F9347B"/>
    <w:rsid w:val="00F934C0"/>
    <w:rsid w:val="00F93538"/>
    <w:rsid w:val="00F93575"/>
    <w:rsid w:val="00F93591"/>
    <w:rsid w:val="00F935B2"/>
    <w:rsid w:val="00F9365C"/>
    <w:rsid w:val="00F936D8"/>
    <w:rsid w:val="00F93760"/>
    <w:rsid w:val="00F9388B"/>
    <w:rsid w:val="00F938A1"/>
    <w:rsid w:val="00F93912"/>
    <w:rsid w:val="00F93982"/>
    <w:rsid w:val="00F93C45"/>
    <w:rsid w:val="00F93C95"/>
    <w:rsid w:val="00F93CCD"/>
    <w:rsid w:val="00F93D11"/>
    <w:rsid w:val="00F93D41"/>
    <w:rsid w:val="00F93D9E"/>
    <w:rsid w:val="00F93E19"/>
    <w:rsid w:val="00F93F0D"/>
    <w:rsid w:val="00F94061"/>
    <w:rsid w:val="00F940FD"/>
    <w:rsid w:val="00F9440E"/>
    <w:rsid w:val="00F9449E"/>
    <w:rsid w:val="00F944BF"/>
    <w:rsid w:val="00F945A2"/>
    <w:rsid w:val="00F94680"/>
    <w:rsid w:val="00F948B1"/>
    <w:rsid w:val="00F9499B"/>
    <w:rsid w:val="00F94B1C"/>
    <w:rsid w:val="00F94B9B"/>
    <w:rsid w:val="00F94BAD"/>
    <w:rsid w:val="00F94BC8"/>
    <w:rsid w:val="00F94CA1"/>
    <w:rsid w:val="00F94CB1"/>
    <w:rsid w:val="00F94DBF"/>
    <w:rsid w:val="00F94DF4"/>
    <w:rsid w:val="00F94F96"/>
    <w:rsid w:val="00F95007"/>
    <w:rsid w:val="00F950A4"/>
    <w:rsid w:val="00F95266"/>
    <w:rsid w:val="00F9559F"/>
    <w:rsid w:val="00F9563F"/>
    <w:rsid w:val="00F95838"/>
    <w:rsid w:val="00F958D4"/>
    <w:rsid w:val="00F959FC"/>
    <w:rsid w:val="00F95CD0"/>
    <w:rsid w:val="00F95D37"/>
    <w:rsid w:val="00F95DD8"/>
    <w:rsid w:val="00F95E8F"/>
    <w:rsid w:val="00F95F59"/>
    <w:rsid w:val="00F960B1"/>
    <w:rsid w:val="00F964B9"/>
    <w:rsid w:val="00F964C4"/>
    <w:rsid w:val="00F965FF"/>
    <w:rsid w:val="00F96618"/>
    <w:rsid w:val="00F96686"/>
    <w:rsid w:val="00F96769"/>
    <w:rsid w:val="00F967FF"/>
    <w:rsid w:val="00F96840"/>
    <w:rsid w:val="00F9694E"/>
    <w:rsid w:val="00F96991"/>
    <w:rsid w:val="00F96BE7"/>
    <w:rsid w:val="00F96D9A"/>
    <w:rsid w:val="00F96DAC"/>
    <w:rsid w:val="00F96E49"/>
    <w:rsid w:val="00F96EF3"/>
    <w:rsid w:val="00F96F45"/>
    <w:rsid w:val="00F96F52"/>
    <w:rsid w:val="00F971DA"/>
    <w:rsid w:val="00F97207"/>
    <w:rsid w:val="00F97222"/>
    <w:rsid w:val="00F9724A"/>
    <w:rsid w:val="00F9724E"/>
    <w:rsid w:val="00F97258"/>
    <w:rsid w:val="00F97370"/>
    <w:rsid w:val="00F9737F"/>
    <w:rsid w:val="00F97397"/>
    <w:rsid w:val="00F9758B"/>
    <w:rsid w:val="00F97817"/>
    <w:rsid w:val="00F97844"/>
    <w:rsid w:val="00F97983"/>
    <w:rsid w:val="00F97BDF"/>
    <w:rsid w:val="00F97BF2"/>
    <w:rsid w:val="00F97CA5"/>
    <w:rsid w:val="00F97F2D"/>
    <w:rsid w:val="00FA01D4"/>
    <w:rsid w:val="00FA0221"/>
    <w:rsid w:val="00FA022B"/>
    <w:rsid w:val="00FA033D"/>
    <w:rsid w:val="00FA03D7"/>
    <w:rsid w:val="00FA04B3"/>
    <w:rsid w:val="00FA05CA"/>
    <w:rsid w:val="00FA0663"/>
    <w:rsid w:val="00FA070F"/>
    <w:rsid w:val="00FA0807"/>
    <w:rsid w:val="00FA09AF"/>
    <w:rsid w:val="00FA0A6C"/>
    <w:rsid w:val="00FA0A87"/>
    <w:rsid w:val="00FA0A9D"/>
    <w:rsid w:val="00FA0DBD"/>
    <w:rsid w:val="00FA0E77"/>
    <w:rsid w:val="00FA0F05"/>
    <w:rsid w:val="00FA0F6F"/>
    <w:rsid w:val="00FA10C1"/>
    <w:rsid w:val="00FA113B"/>
    <w:rsid w:val="00FA11B0"/>
    <w:rsid w:val="00FA136A"/>
    <w:rsid w:val="00FA1470"/>
    <w:rsid w:val="00FA154B"/>
    <w:rsid w:val="00FA1613"/>
    <w:rsid w:val="00FA1890"/>
    <w:rsid w:val="00FA189C"/>
    <w:rsid w:val="00FA19E0"/>
    <w:rsid w:val="00FA1BB6"/>
    <w:rsid w:val="00FA1C37"/>
    <w:rsid w:val="00FA1C7D"/>
    <w:rsid w:val="00FA1D51"/>
    <w:rsid w:val="00FA1F12"/>
    <w:rsid w:val="00FA1FDA"/>
    <w:rsid w:val="00FA204C"/>
    <w:rsid w:val="00FA213D"/>
    <w:rsid w:val="00FA2185"/>
    <w:rsid w:val="00FA2213"/>
    <w:rsid w:val="00FA2228"/>
    <w:rsid w:val="00FA22AB"/>
    <w:rsid w:val="00FA22C6"/>
    <w:rsid w:val="00FA23E7"/>
    <w:rsid w:val="00FA270B"/>
    <w:rsid w:val="00FA298F"/>
    <w:rsid w:val="00FA2AF5"/>
    <w:rsid w:val="00FA2AF9"/>
    <w:rsid w:val="00FA2B2D"/>
    <w:rsid w:val="00FA2B51"/>
    <w:rsid w:val="00FA2BD5"/>
    <w:rsid w:val="00FA2DC2"/>
    <w:rsid w:val="00FA2DFE"/>
    <w:rsid w:val="00FA2ED3"/>
    <w:rsid w:val="00FA3137"/>
    <w:rsid w:val="00FA319D"/>
    <w:rsid w:val="00FA3323"/>
    <w:rsid w:val="00FA33AD"/>
    <w:rsid w:val="00FA342C"/>
    <w:rsid w:val="00FA3489"/>
    <w:rsid w:val="00FA3564"/>
    <w:rsid w:val="00FA35D5"/>
    <w:rsid w:val="00FA3602"/>
    <w:rsid w:val="00FA3707"/>
    <w:rsid w:val="00FA3B09"/>
    <w:rsid w:val="00FA3C7A"/>
    <w:rsid w:val="00FA3C9C"/>
    <w:rsid w:val="00FA3CDB"/>
    <w:rsid w:val="00FA3D48"/>
    <w:rsid w:val="00FA3DEA"/>
    <w:rsid w:val="00FA3EDA"/>
    <w:rsid w:val="00FA3EFF"/>
    <w:rsid w:val="00FA3FD5"/>
    <w:rsid w:val="00FA4019"/>
    <w:rsid w:val="00FA406F"/>
    <w:rsid w:val="00FA417A"/>
    <w:rsid w:val="00FA422C"/>
    <w:rsid w:val="00FA447A"/>
    <w:rsid w:val="00FA4582"/>
    <w:rsid w:val="00FA45B7"/>
    <w:rsid w:val="00FA478D"/>
    <w:rsid w:val="00FA490F"/>
    <w:rsid w:val="00FA49E4"/>
    <w:rsid w:val="00FA4A15"/>
    <w:rsid w:val="00FA4A35"/>
    <w:rsid w:val="00FA4B80"/>
    <w:rsid w:val="00FA4BB2"/>
    <w:rsid w:val="00FA4D18"/>
    <w:rsid w:val="00FA4E3D"/>
    <w:rsid w:val="00FA4E5A"/>
    <w:rsid w:val="00FA4FD8"/>
    <w:rsid w:val="00FA4FFE"/>
    <w:rsid w:val="00FA5046"/>
    <w:rsid w:val="00FA515D"/>
    <w:rsid w:val="00FA53A3"/>
    <w:rsid w:val="00FA54EA"/>
    <w:rsid w:val="00FA5502"/>
    <w:rsid w:val="00FA56D5"/>
    <w:rsid w:val="00FA5702"/>
    <w:rsid w:val="00FA590B"/>
    <w:rsid w:val="00FA5A2E"/>
    <w:rsid w:val="00FA5AAF"/>
    <w:rsid w:val="00FA5BF7"/>
    <w:rsid w:val="00FA5C95"/>
    <w:rsid w:val="00FA5D23"/>
    <w:rsid w:val="00FA5D74"/>
    <w:rsid w:val="00FA5EC0"/>
    <w:rsid w:val="00FA5F08"/>
    <w:rsid w:val="00FA5F6E"/>
    <w:rsid w:val="00FA6134"/>
    <w:rsid w:val="00FA622F"/>
    <w:rsid w:val="00FA6258"/>
    <w:rsid w:val="00FA62A0"/>
    <w:rsid w:val="00FA6446"/>
    <w:rsid w:val="00FA646D"/>
    <w:rsid w:val="00FA64D1"/>
    <w:rsid w:val="00FA6578"/>
    <w:rsid w:val="00FA6607"/>
    <w:rsid w:val="00FA6787"/>
    <w:rsid w:val="00FA6806"/>
    <w:rsid w:val="00FA68FD"/>
    <w:rsid w:val="00FA68FE"/>
    <w:rsid w:val="00FA69DC"/>
    <w:rsid w:val="00FA6B65"/>
    <w:rsid w:val="00FA6C0D"/>
    <w:rsid w:val="00FA6CC0"/>
    <w:rsid w:val="00FA6CFF"/>
    <w:rsid w:val="00FA6D80"/>
    <w:rsid w:val="00FA6DE3"/>
    <w:rsid w:val="00FA6E5D"/>
    <w:rsid w:val="00FA7197"/>
    <w:rsid w:val="00FA72B3"/>
    <w:rsid w:val="00FA7351"/>
    <w:rsid w:val="00FA753B"/>
    <w:rsid w:val="00FA758D"/>
    <w:rsid w:val="00FA75DF"/>
    <w:rsid w:val="00FA764B"/>
    <w:rsid w:val="00FA7766"/>
    <w:rsid w:val="00FA779E"/>
    <w:rsid w:val="00FA77BB"/>
    <w:rsid w:val="00FA77E8"/>
    <w:rsid w:val="00FA7B6C"/>
    <w:rsid w:val="00FA7C12"/>
    <w:rsid w:val="00FA7C35"/>
    <w:rsid w:val="00FA7F35"/>
    <w:rsid w:val="00FA7FA2"/>
    <w:rsid w:val="00FB017A"/>
    <w:rsid w:val="00FB0295"/>
    <w:rsid w:val="00FB03AE"/>
    <w:rsid w:val="00FB04CD"/>
    <w:rsid w:val="00FB04E3"/>
    <w:rsid w:val="00FB05AC"/>
    <w:rsid w:val="00FB05CD"/>
    <w:rsid w:val="00FB06AE"/>
    <w:rsid w:val="00FB073B"/>
    <w:rsid w:val="00FB075B"/>
    <w:rsid w:val="00FB0841"/>
    <w:rsid w:val="00FB089E"/>
    <w:rsid w:val="00FB09BD"/>
    <w:rsid w:val="00FB0A8C"/>
    <w:rsid w:val="00FB0B23"/>
    <w:rsid w:val="00FB0B2A"/>
    <w:rsid w:val="00FB0B87"/>
    <w:rsid w:val="00FB0BD9"/>
    <w:rsid w:val="00FB0CF2"/>
    <w:rsid w:val="00FB0D2E"/>
    <w:rsid w:val="00FB0DA4"/>
    <w:rsid w:val="00FB0EFD"/>
    <w:rsid w:val="00FB0F8D"/>
    <w:rsid w:val="00FB104C"/>
    <w:rsid w:val="00FB104F"/>
    <w:rsid w:val="00FB1095"/>
    <w:rsid w:val="00FB1216"/>
    <w:rsid w:val="00FB13E5"/>
    <w:rsid w:val="00FB1572"/>
    <w:rsid w:val="00FB1606"/>
    <w:rsid w:val="00FB1695"/>
    <w:rsid w:val="00FB16C5"/>
    <w:rsid w:val="00FB16E3"/>
    <w:rsid w:val="00FB178B"/>
    <w:rsid w:val="00FB17E2"/>
    <w:rsid w:val="00FB1870"/>
    <w:rsid w:val="00FB188C"/>
    <w:rsid w:val="00FB18A8"/>
    <w:rsid w:val="00FB1A66"/>
    <w:rsid w:val="00FB1A7B"/>
    <w:rsid w:val="00FB1A9D"/>
    <w:rsid w:val="00FB1B15"/>
    <w:rsid w:val="00FB1CEA"/>
    <w:rsid w:val="00FB1DAC"/>
    <w:rsid w:val="00FB2099"/>
    <w:rsid w:val="00FB2278"/>
    <w:rsid w:val="00FB2462"/>
    <w:rsid w:val="00FB271F"/>
    <w:rsid w:val="00FB27AA"/>
    <w:rsid w:val="00FB27D3"/>
    <w:rsid w:val="00FB285B"/>
    <w:rsid w:val="00FB2914"/>
    <w:rsid w:val="00FB293D"/>
    <w:rsid w:val="00FB2953"/>
    <w:rsid w:val="00FB2A07"/>
    <w:rsid w:val="00FB2AC7"/>
    <w:rsid w:val="00FB2B07"/>
    <w:rsid w:val="00FB2B38"/>
    <w:rsid w:val="00FB2C3D"/>
    <w:rsid w:val="00FB2C56"/>
    <w:rsid w:val="00FB2CDD"/>
    <w:rsid w:val="00FB2D36"/>
    <w:rsid w:val="00FB2D6D"/>
    <w:rsid w:val="00FB2EF1"/>
    <w:rsid w:val="00FB3133"/>
    <w:rsid w:val="00FB3369"/>
    <w:rsid w:val="00FB33CA"/>
    <w:rsid w:val="00FB33D5"/>
    <w:rsid w:val="00FB34C8"/>
    <w:rsid w:val="00FB3537"/>
    <w:rsid w:val="00FB3567"/>
    <w:rsid w:val="00FB370C"/>
    <w:rsid w:val="00FB3719"/>
    <w:rsid w:val="00FB38E8"/>
    <w:rsid w:val="00FB39CD"/>
    <w:rsid w:val="00FB3A4E"/>
    <w:rsid w:val="00FB3F2D"/>
    <w:rsid w:val="00FB3F3E"/>
    <w:rsid w:val="00FB3FA1"/>
    <w:rsid w:val="00FB3FD4"/>
    <w:rsid w:val="00FB3FF6"/>
    <w:rsid w:val="00FB4064"/>
    <w:rsid w:val="00FB41BE"/>
    <w:rsid w:val="00FB426F"/>
    <w:rsid w:val="00FB440F"/>
    <w:rsid w:val="00FB4441"/>
    <w:rsid w:val="00FB466A"/>
    <w:rsid w:val="00FB4696"/>
    <w:rsid w:val="00FB46D3"/>
    <w:rsid w:val="00FB4787"/>
    <w:rsid w:val="00FB47EB"/>
    <w:rsid w:val="00FB4872"/>
    <w:rsid w:val="00FB48FF"/>
    <w:rsid w:val="00FB49DE"/>
    <w:rsid w:val="00FB4A18"/>
    <w:rsid w:val="00FB4BA1"/>
    <w:rsid w:val="00FB4DB9"/>
    <w:rsid w:val="00FB4DBE"/>
    <w:rsid w:val="00FB4DF3"/>
    <w:rsid w:val="00FB4E08"/>
    <w:rsid w:val="00FB4FB0"/>
    <w:rsid w:val="00FB505A"/>
    <w:rsid w:val="00FB505F"/>
    <w:rsid w:val="00FB5089"/>
    <w:rsid w:val="00FB5163"/>
    <w:rsid w:val="00FB51BB"/>
    <w:rsid w:val="00FB528F"/>
    <w:rsid w:val="00FB5391"/>
    <w:rsid w:val="00FB53F7"/>
    <w:rsid w:val="00FB5682"/>
    <w:rsid w:val="00FB5696"/>
    <w:rsid w:val="00FB5863"/>
    <w:rsid w:val="00FB58BD"/>
    <w:rsid w:val="00FB5922"/>
    <w:rsid w:val="00FB5AE5"/>
    <w:rsid w:val="00FB5E23"/>
    <w:rsid w:val="00FB60C2"/>
    <w:rsid w:val="00FB6295"/>
    <w:rsid w:val="00FB689D"/>
    <w:rsid w:val="00FB6A30"/>
    <w:rsid w:val="00FB6B67"/>
    <w:rsid w:val="00FB6E01"/>
    <w:rsid w:val="00FB7069"/>
    <w:rsid w:val="00FB716B"/>
    <w:rsid w:val="00FB719F"/>
    <w:rsid w:val="00FB71AC"/>
    <w:rsid w:val="00FB71B7"/>
    <w:rsid w:val="00FB71ED"/>
    <w:rsid w:val="00FB7262"/>
    <w:rsid w:val="00FB7510"/>
    <w:rsid w:val="00FB772A"/>
    <w:rsid w:val="00FB775F"/>
    <w:rsid w:val="00FB78A7"/>
    <w:rsid w:val="00FB7930"/>
    <w:rsid w:val="00FB7961"/>
    <w:rsid w:val="00FB79D3"/>
    <w:rsid w:val="00FB7A16"/>
    <w:rsid w:val="00FB7C29"/>
    <w:rsid w:val="00FB7C94"/>
    <w:rsid w:val="00FB7EC2"/>
    <w:rsid w:val="00FB7F7A"/>
    <w:rsid w:val="00FB7F7C"/>
    <w:rsid w:val="00FC0248"/>
    <w:rsid w:val="00FC02BC"/>
    <w:rsid w:val="00FC038B"/>
    <w:rsid w:val="00FC03A3"/>
    <w:rsid w:val="00FC04ED"/>
    <w:rsid w:val="00FC069E"/>
    <w:rsid w:val="00FC07CF"/>
    <w:rsid w:val="00FC0965"/>
    <w:rsid w:val="00FC09DA"/>
    <w:rsid w:val="00FC09FE"/>
    <w:rsid w:val="00FC0AD6"/>
    <w:rsid w:val="00FC0D4C"/>
    <w:rsid w:val="00FC0F23"/>
    <w:rsid w:val="00FC1131"/>
    <w:rsid w:val="00FC1211"/>
    <w:rsid w:val="00FC12A9"/>
    <w:rsid w:val="00FC148C"/>
    <w:rsid w:val="00FC14A6"/>
    <w:rsid w:val="00FC1503"/>
    <w:rsid w:val="00FC15D3"/>
    <w:rsid w:val="00FC15ED"/>
    <w:rsid w:val="00FC1640"/>
    <w:rsid w:val="00FC16C5"/>
    <w:rsid w:val="00FC1777"/>
    <w:rsid w:val="00FC18C5"/>
    <w:rsid w:val="00FC19C7"/>
    <w:rsid w:val="00FC1AE9"/>
    <w:rsid w:val="00FC1B25"/>
    <w:rsid w:val="00FC1C02"/>
    <w:rsid w:val="00FC1D3B"/>
    <w:rsid w:val="00FC1F4A"/>
    <w:rsid w:val="00FC20CE"/>
    <w:rsid w:val="00FC22DF"/>
    <w:rsid w:val="00FC23D7"/>
    <w:rsid w:val="00FC2433"/>
    <w:rsid w:val="00FC2586"/>
    <w:rsid w:val="00FC2737"/>
    <w:rsid w:val="00FC2825"/>
    <w:rsid w:val="00FC2868"/>
    <w:rsid w:val="00FC28BF"/>
    <w:rsid w:val="00FC29FA"/>
    <w:rsid w:val="00FC2A02"/>
    <w:rsid w:val="00FC2AAD"/>
    <w:rsid w:val="00FC2C06"/>
    <w:rsid w:val="00FC2C2D"/>
    <w:rsid w:val="00FC2C77"/>
    <w:rsid w:val="00FC2D02"/>
    <w:rsid w:val="00FC2E37"/>
    <w:rsid w:val="00FC2EDD"/>
    <w:rsid w:val="00FC2F40"/>
    <w:rsid w:val="00FC2F7D"/>
    <w:rsid w:val="00FC2F87"/>
    <w:rsid w:val="00FC2FD9"/>
    <w:rsid w:val="00FC31EC"/>
    <w:rsid w:val="00FC3205"/>
    <w:rsid w:val="00FC3209"/>
    <w:rsid w:val="00FC3254"/>
    <w:rsid w:val="00FC33BC"/>
    <w:rsid w:val="00FC3427"/>
    <w:rsid w:val="00FC3491"/>
    <w:rsid w:val="00FC34C2"/>
    <w:rsid w:val="00FC3706"/>
    <w:rsid w:val="00FC376D"/>
    <w:rsid w:val="00FC37A1"/>
    <w:rsid w:val="00FC3B1B"/>
    <w:rsid w:val="00FC3B4B"/>
    <w:rsid w:val="00FC3B69"/>
    <w:rsid w:val="00FC3CBD"/>
    <w:rsid w:val="00FC3D4A"/>
    <w:rsid w:val="00FC3D8D"/>
    <w:rsid w:val="00FC3FF3"/>
    <w:rsid w:val="00FC4060"/>
    <w:rsid w:val="00FC407A"/>
    <w:rsid w:val="00FC4188"/>
    <w:rsid w:val="00FC41FF"/>
    <w:rsid w:val="00FC43C4"/>
    <w:rsid w:val="00FC44CD"/>
    <w:rsid w:val="00FC4639"/>
    <w:rsid w:val="00FC463E"/>
    <w:rsid w:val="00FC472B"/>
    <w:rsid w:val="00FC487F"/>
    <w:rsid w:val="00FC497A"/>
    <w:rsid w:val="00FC498B"/>
    <w:rsid w:val="00FC4A66"/>
    <w:rsid w:val="00FC4ABC"/>
    <w:rsid w:val="00FC4B29"/>
    <w:rsid w:val="00FC4BB3"/>
    <w:rsid w:val="00FC4C84"/>
    <w:rsid w:val="00FC4C8C"/>
    <w:rsid w:val="00FC4E94"/>
    <w:rsid w:val="00FC4EEF"/>
    <w:rsid w:val="00FC4EFB"/>
    <w:rsid w:val="00FC500E"/>
    <w:rsid w:val="00FC52EC"/>
    <w:rsid w:val="00FC5306"/>
    <w:rsid w:val="00FC5477"/>
    <w:rsid w:val="00FC5545"/>
    <w:rsid w:val="00FC5563"/>
    <w:rsid w:val="00FC557B"/>
    <w:rsid w:val="00FC56C7"/>
    <w:rsid w:val="00FC56EB"/>
    <w:rsid w:val="00FC5800"/>
    <w:rsid w:val="00FC599B"/>
    <w:rsid w:val="00FC599C"/>
    <w:rsid w:val="00FC5AF5"/>
    <w:rsid w:val="00FC5B28"/>
    <w:rsid w:val="00FC5B43"/>
    <w:rsid w:val="00FC5B98"/>
    <w:rsid w:val="00FC5BE7"/>
    <w:rsid w:val="00FC5D42"/>
    <w:rsid w:val="00FC5D57"/>
    <w:rsid w:val="00FC5E07"/>
    <w:rsid w:val="00FC5EB4"/>
    <w:rsid w:val="00FC6079"/>
    <w:rsid w:val="00FC615C"/>
    <w:rsid w:val="00FC6174"/>
    <w:rsid w:val="00FC62EF"/>
    <w:rsid w:val="00FC6393"/>
    <w:rsid w:val="00FC645B"/>
    <w:rsid w:val="00FC6525"/>
    <w:rsid w:val="00FC653C"/>
    <w:rsid w:val="00FC66B6"/>
    <w:rsid w:val="00FC66BA"/>
    <w:rsid w:val="00FC6702"/>
    <w:rsid w:val="00FC673D"/>
    <w:rsid w:val="00FC6753"/>
    <w:rsid w:val="00FC681E"/>
    <w:rsid w:val="00FC6908"/>
    <w:rsid w:val="00FC6AEB"/>
    <w:rsid w:val="00FC6B64"/>
    <w:rsid w:val="00FC6D2E"/>
    <w:rsid w:val="00FC6D42"/>
    <w:rsid w:val="00FC6DE2"/>
    <w:rsid w:val="00FC6E64"/>
    <w:rsid w:val="00FC6F57"/>
    <w:rsid w:val="00FC7097"/>
    <w:rsid w:val="00FC715F"/>
    <w:rsid w:val="00FC7335"/>
    <w:rsid w:val="00FC7546"/>
    <w:rsid w:val="00FC7956"/>
    <w:rsid w:val="00FC7A60"/>
    <w:rsid w:val="00FC7A6D"/>
    <w:rsid w:val="00FC7CDC"/>
    <w:rsid w:val="00FD00F4"/>
    <w:rsid w:val="00FD011B"/>
    <w:rsid w:val="00FD0168"/>
    <w:rsid w:val="00FD01E2"/>
    <w:rsid w:val="00FD0237"/>
    <w:rsid w:val="00FD0443"/>
    <w:rsid w:val="00FD05C1"/>
    <w:rsid w:val="00FD0606"/>
    <w:rsid w:val="00FD07CC"/>
    <w:rsid w:val="00FD08EC"/>
    <w:rsid w:val="00FD0931"/>
    <w:rsid w:val="00FD09CF"/>
    <w:rsid w:val="00FD09F6"/>
    <w:rsid w:val="00FD0B99"/>
    <w:rsid w:val="00FD0C89"/>
    <w:rsid w:val="00FD0CF1"/>
    <w:rsid w:val="00FD0D14"/>
    <w:rsid w:val="00FD0F4D"/>
    <w:rsid w:val="00FD1043"/>
    <w:rsid w:val="00FD1169"/>
    <w:rsid w:val="00FD13BA"/>
    <w:rsid w:val="00FD13EB"/>
    <w:rsid w:val="00FD144D"/>
    <w:rsid w:val="00FD1496"/>
    <w:rsid w:val="00FD1557"/>
    <w:rsid w:val="00FD15D8"/>
    <w:rsid w:val="00FD178D"/>
    <w:rsid w:val="00FD17BC"/>
    <w:rsid w:val="00FD17CB"/>
    <w:rsid w:val="00FD1840"/>
    <w:rsid w:val="00FD186A"/>
    <w:rsid w:val="00FD1A12"/>
    <w:rsid w:val="00FD1A5E"/>
    <w:rsid w:val="00FD1C20"/>
    <w:rsid w:val="00FD1C35"/>
    <w:rsid w:val="00FD1F96"/>
    <w:rsid w:val="00FD1F9C"/>
    <w:rsid w:val="00FD1FB6"/>
    <w:rsid w:val="00FD2090"/>
    <w:rsid w:val="00FD21EE"/>
    <w:rsid w:val="00FD221E"/>
    <w:rsid w:val="00FD22E0"/>
    <w:rsid w:val="00FD2390"/>
    <w:rsid w:val="00FD24AB"/>
    <w:rsid w:val="00FD24CD"/>
    <w:rsid w:val="00FD255B"/>
    <w:rsid w:val="00FD257C"/>
    <w:rsid w:val="00FD25A1"/>
    <w:rsid w:val="00FD25B6"/>
    <w:rsid w:val="00FD2640"/>
    <w:rsid w:val="00FD26F9"/>
    <w:rsid w:val="00FD2842"/>
    <w:rsid w:val="00FD2925"/>
    <w:rsid w:val="00FD292D"/>
    <w:rsid w:val="00FD2A0D"/>
    <w:rsid w:val="00FD2A86"/>
    <w:rsid w:val="00FD2AE4"/>
    <w:rsid w:val="00FD2B68"/>
    <w:rsid w:val="00FD2B7F"/>
    <w:rsid w:val="00FD2BFD"/>
    <w:rsid w:val="00FD2D42"/>
    <w:rsid w:val="00FD2EEE"/>
    <w:rsid w:val="00FD2F22"/>
    <w:rsid w:val="00FD2F71"/>
    <w:rsid w:val="00FD3030"/>
    <w:rsid w:val="00FD3041"/>
    <w:rsid w:val="00FD306B"/>
    <w:rsid w:val="00FD30CC"/>
    <w:rsid w:val="00FD321E"/>
    <w:rsid w:val="00FD336F"/>
    <w:rsid w:val="00FD3569"/>
    <w:rsid w:val="00FD35C3"/>
    <w:rsid w:val="00FD37A9"/>
    <w:rsid w:val="00FD37CD"/>
    <w:rsid w:val="00FD3A06"/>
    <w:rsid w:val="00FD3B61"/>
    <w:rsid w:val="00FD3BB8"/>
    <w:rsid w:val="00FD3BF6"/>
    <w:rsid w:val="00FD3D41"/>
    <w:rsid w:val="00FD3F73"/>
    <w:rsid w:val="00FD3FAD"/>
    <w:rsid w:val="00FD3FD8"/>
    <w:rsid w:val="00FD40B9"/>
    <w:rsid w:val="00FD4135"/>
    <w:rsid w:val="00FD4345"/>
    <w:rsid w:val="00FD4409"/>
    <w:rsid w:val="00FD45CA"/>
    <w:rsid w:val="00FD4612"/>
    <w:rsid w:val="00FD46A6"/>
    <w:rsid w:val="00FD46B8"/>
    <w:rsid w:val="00FD48D9"/>
    <w:rsid w:val="00FD4A2D"/>
    <w:rsid w:val="00FD4A35"/>
    <w:rsid w:val="00FD4B14"/>
    <w:rsid w:val="00FD4B29"/>
    <w:rsid w:val="00FD4EB4"/>
    <w:rsid w:val="00FD4F60"/>
    <w:rsid w:val="00FD4FBD"/>
    <w:rsid w:val="00FD4FD6"/>
    <w:rsid w:val="00FD5097"/>
    <w:rsid w:val="00FD512D"/>
    <w:rsid w:val="00FD512F"/>
    <w:rsid w:val="00FD5139"/>
    <w:rsid w:val="00FD514B"/>
    <w:rsid w:val="00FD5299"/>
    <w:rsid w:val="00FD52C1"/>
    <w:rsid w:val="00FD53D0"/>
    <w:rsid w:val="00FD552F"/>
    <w:rsid w:val="00FD5554"/>
    <w:rsid w:val="00FD5644"/>
    <w:rsid w:val="00FD584F"/>
    <w:rsid w:val="00FD5912"/>
    <w:rsid w:val="00FD5A3C"/>
    <w:rsid w:val="00FD5A91"/>
    <w:rsid w:val="00FD5BB4"/>
    <w:rsid w:val="00FD5C57"/>
    <w:rsid w:val="00FD5CD1"/>
    <w:rsid w:val="00FD5CF9"/>
    <w:rsid w:val="00FD5EF5"/>
    <w:rsid w:val="00FD5EFE"/>
    <w:rsid w:val="00FD5F09"/>
    <w:rsid w:val="00FD63B0"/>
    <w:rsid w:val="00FD6518"/>
    <w:rsid w:val="00FD654B"/>
    <w:rsid w:val="00FD66F3"/>
    <w:rsid w:val="00FD6B5A"/>
    <w:rsid w:val="00FD6B9E"/>
    <w:rsid w:val="00FD6BB1"/>
    <w:rsid w:val="00FD6D42"/>
    <w:rsid w:val="00FD6D8C"/>
    <w:rsid w:val="00FD6DD0"/>
    <w:rsid w:val="00FD6FB8"/>
    <w:rsid w:val="00FD70C5"/>
    <w:rsid w:val="00FD716E"/>
    <w:rsid w:val="00FD717E"/>
    <w:rsid w:val="00FD725C"/>
    <w:rsid w:val="00FD72C0"/>
    <w:rsid w:val="00FD72CF"/>
    <w:rsid w:val="00FD748F"/>
    <w:rsid w:val="00FD75F1"/>
    <w:rsid w:val="00FD7794"/>
    <w:rsid w:val="00FD783A"/>
    <w:rsid w:val="00FD7977"/>
    <w:rsid w:val="00FD797D"/>
    <w:rsid w:val="00FD7AD2"/>
    <w:rsid w:val="00FD7B8C"/>
    <w:rsid w:val="00FD7D31"/>
    <w:rsid w:val="00FD7DBA"/>
    <w:rsid w:val="00FD7F21"/>
    <w:rsid w:val="00FD7F44"/>
    <w:rsid w:val="00FD7FFD"/>
    <w:rsid w:val="00FE00B3"/>
    <w:rsid w:val="00FE00DA"/>
    <w:rsid w:val="00FE0165"/>
    <w:rsid w:val="00FE0203"/>
    <w:rsid w:val="00FE02B8"/>
    <w:rsid w:val="00FE035D"/>
    <w:rsid w:val="00FE03A0"/>
    <w:rsid w:val="00FE03EB"/>
    <w:rsid w:val="00FE050F"/>
    <w:rsid w:val="00FE052D"/>
    <w:rsid w:val="00FE055C"/>
    <w:rsid w:val="00FE0601"/>
    <w:rsid w:val="00FE0608"/>
    <w:rsid w:val="00FE08FF"/>
    <w:rsid w:val="00FE0AC6"/>
    <w:rsid w:val="00FE0E79"/>
    <w:rsid w:val="00FE0FA8"/>
    <w:rsid w:val="00FE100E"/>
    <w:rsid w:val="00FE11B7"/>
    <w:rsid w:val="00FE1269"/>
    <w:rsid w:val="00FE12A1"/>
    <w:rsid w:val="00FE13F5"/>
    <w:rsid w:val="00FE1404"/>
    <w:rsid w:val="00FE1611"/>
    <w:rsid w:val="00FE1630"/>
    <w:rsid w:val="00FE1675"/>
    <w:rsid w:val="00FE17CF"/>
    <w:rsid w:val="00FE1845"/>
    <w:rsid w:val="00FE188C"/>
    <w:rsid w:val="00FE19DF"/>
    <w:rsid w:val="00FE1A47"/>
    <w:rsid w:val="00FE1A8A"/>
    <w:rsid w:val="00FE1AA5"/>
    <w:rsid w:val="00FE1CCB"/>
    <w:rsid w:val="00FE1D10"/>
    <w:rsid w:val="00FE1D77"/>
    <w:rsid w:val="00FE1EA4"/>
    <w:rsid w:val="00FE1F37"/>
    <w:rsid w:val="00FE1FC8"/>
    <w:rsid w:val="00FE1FD1"/>
    <w:rsid w:val="00FE1FD4"/>
    <w:rsid w:val="00FE20E8"/>
    <w:rsid w:val="00FE21BC"/>
    <w:rsid w:val="00FE21D0"/>
    <w:rsid w:val="00FE228D"/>
    <w:rsid w:val="00FE22CD"/>
    <w:rsid w:val="00FE22E4"/>
    <w:rsid w:val="00FE2424"/>
    <w:rsid w:val="00FE243B"/>
    <w:rsid w:val="00FE2669"/>
    <w:rsid w:val="00FE26A1"/>
    <w:rsid w:val="00FE26E4"/>
    <w:rsid w:val="00FE285F"/>
    <w:rsid w:val="00FE295F"/>
    <w:rsid w:val="00FE2B6C"/>
    <w:rsid w:val="00FE2D79"/>
    <w:rsid w:val="00FE2D88"/>
    <w:rsid w:val="00FE2DEE"/>
    <w:rsid w:val="00FE2EAB"/>
    <w:rsid w:val="00FE2F13"/>
    <w:rsid w:val="00FE3086"/>
    <w:rsid w:val="00FE31AE"/>
    <w:rsid w:val="00FE31EF"/>
    <w:rsid w:val="00FE320E"/>
    <w:rsid w:val="00FE34C4"/>
    <w:rsid w:val="00FE3537"/>
    <w:rsid w:val="00FE357D"/>
    <w:rsid w:val="00FE3603"/>
    <w:rsid w:val="00FE3830"/>
    <w:rsid w:val="00FE388A"/>
    <w:rsid w:val="00FE3981"/>
    <w:rsid w:val="00FE3982"/>
    <w:rsid w:val="00FE39B7"/>
    <w:rsid w:val="00FE3A21"/>
    <w:rsid w:val="00FE3AD8"/>
    <w:rsid w:val="00FE3C10"/>
    <w:rsid w:val="00FE3D92"/>
    <w:rsid w:val="00FE3E4A"/>
    <w:rsid w:val="00FE3E4B"/>
    <w:rsid w:val="00FE3EBB"/>
    <w:rsid w:val="00FE3F2D"/>
    <w:rsid w:val="00FE3F4A"/>
    <w:rsid w:val="00FE3FE2"/>
    <w:rsid w:val="00FE46AB"/>
    <w:rsid w:val="00FE47AA"/>
    <w:rsid w:val="00FE492C"/>
    <w:rsid w:val="00FE494B"/>
    <w:rsid w:val="00FE4A57"/>
    <w:rsid w:val="00FE4A64"/>
    <w:rsid w:val="00FE4BF6"/>
    <w:rsid w:val="00FE4C5A"/>
    <w:rsid w:val="00FE4CF0"/>
    <w:rsid w:val="00FE4FAF"/>
    <w:rsid w:val="00FE504D"/>
    <w:rsid w:val="00FE507B"/>
    <w:rsid w:val="00FE5180"/>
    <w:rsid w:val="00FE51BC"/>
    <w:rsid w:val="00FE5269"/>
    <w:rsid w:val="00FE5289"/>
    <w:rsid w:val="00FE52A6"/>
    <w:rsid w:val="00FE54EB"/>
    <w:rsid w:val="00FE55A0"/>
    <w:rsid w:val="00FE55BD"/>
    <w:rsid w:val="00FE55C4"/>
    <w:rsid w:val="00FE581E"/>
    <w:rsid w:val="00FE58A6"/>
    <w:rsid w:val="00FE5938"/>
    <w:rsid w:val="00FE59BB"/>
    <w:rsid w:val="00FE5A85"/>
    <w:rsid w:val="00FE5B05"/>
    <w:rsid w:val="00FE5B9D"/>
    <w:rsid w:val="00FE5C98"/>
    <w:rsid w:val="00FE5D05"/>
    <w:rsid w:val="00FE5DC4"/>
    <w:rsid w:val="00FE5F58"/>
    <w:rsid w:val="00FE5F9A"/>
    <w:rsid w:val="00FE6030"/>
    <w:rsid w:val="00FE6096"/>
    <w:rsid w:val="00FE613F"/>
    <w:rsid w:val="00FE640A"/>
    <w:rsid w:val="00FE64F3"/>
    <w:rsid w:val="00FE65FD"/>
    <w:rsid w:val="00FE662A"/>
    <w:rsid w:val="00FE6703"/>
    <w:rsid w:val="00FE67E5"/>
    <w:rsid w:val="00FE6845"/>
    <w:rsid w:val="00FE693C"/>
    <w:rsid w:val="00FE6981"/>
    <w:rsid w:val="00FE69CF"/>
    <w:rsid w:val="00FE69D3"/>
    <w:rsid w:val="00FE6A4A"/>
    <w:rsid w:val="00FE6AF3"/>
    <w:rsid w:val="00FE6BA1"/>
    <w:rsid w:val="00FE6C48"/>
    <w:rsid w:val="00FE6D1D"/>
    <w:rsid w:val="00FE6E2C"/>
    <w:rsid w:val="00FE7003"/>
    <w:rsid w:val="00FE70C3"/>
    <w:rsid w:val="00FE716F"/>
    <w:rsid w:val="00FE724D"/>
    <w:rsid w:val="00FE7268"/>
    <w:rsid w:val="00FE727D"/>
    <w:rsid w:val="00FE733A"/>
    <w:rsid w:val="00FE7555"/>
    <w:rsid w:val="00FE76DC"/>
    <w:rsid w:val="00FE7837"/>
    <w:rsid w:val="00FE7859"/>
    <w:rsid w:val="00FE7A70"/>
    <w:rsid w:val="00FE7A7B"/>
    <w:rsid w:val="00FE7BFD"/>
    <w:rsid w:val="00FE7C5E"/>
    <w:rsid w:val="00FE7CDC"/>
    <w:rsid w:val="00FE7D1C"/>
    <w:rsid w:val="00FE7D38"/>
    <w:rsid w:val="00FE7D53"/>
    <w:rsid w:val="00FE7E20"/>
    <w:rsid w:val="00FE7E47"/>
    <w:rsid w:val="00FF019B"/>
    <w:rsid w:val="00FF0218"/>
    <w:rsid w:val="00FF0255"/>
    <w:rsid w:val="00FF0330"/>
    <w:rsid w:val="00FF04D3"/>
    <w:rsid w:val="00FF05EE"/>
    <w:rsid w:val="00FF061E"/>
    <w:rsid w:val="00FF0657"/>
    <w:rsid w:val="00FF065E"/>
    <w:rsid w:val="00FF0744"/>
    <w:rsid w:val="00FF090B"/>
    <w:rsid w:val="00FF0927"/>
    <w:rsid w:val="00FF0A32"/>
    <w:rsid w:val="00FF0A37"/>
    <w:rsid w:val="00FF0A62"/>
    <w:rsid w:val="00FF0C72"/>
    <w:rsid w:val="00FF0CA4"/>
    <w:rsid w:val="00FF0CB6"/>
    <w:rsid w:val="00FF0CF3"/>
    <w:rsid w:val="00FF0DFA"/>
    <w:rsid w:val="00FF0F27"/>
    <w:rsid w:val="00FF0F8F"/>
    <w:rsid w:val="00FF0FB2"/>
    <w:rsid w:val="00FF1022"/>
    <w:rsid w:val="00FF102E"/>
    <w:rsid w:val="00FF1221"/>
    <w:rsid w:val="00FF1259"/>
    <w:rsid w:val="00FF1319"/>
    <w:rsid w:val="00FF1331"/>
    <w:rsid w:val="00FF138E"/>
    <w:rsid w:val="00FF139B"/>
    <w:rsid w:val="00FF1413"/>
    <w:rsid w:val="00FF1602"/>
    <w:rsid w:val="00FF1695"/>
    <w:rsid w:val="00FF16F0"/>
    <w:rsid w:val="00FF178D"/>
    <w:rsid w:val="00FF1B65"/>
    <w:rsid w:val="00FF1BA8"/>
    <w:rsid w:val="00FF1F9A"/>
    <w:rsid w:val="00FF2069"/>
    <w:rsid w:val="00FF2199"/>
    <w:rsid w:val="00FF21A3"/>
    <w:rsid w:val="00FF21C3"/>
    <w:rsid w:val="00FF2266"/>
    <w:rsid w:val="00FF24CB"/>
    <w:rsid w:val="00FF24EE"/>
    <w:rsid w:val="00FF2674"/>
    <w:rsid w:val="00FF2711"/>
    <w:rsid w:val="00FF276F"/>
    <w:rsid w:val="00FF28AC"/>
    <w:rsid w:val="00FF28F7"/>
    <w:rsid w:val="00FF296D"/>
    <w:rsid w:val="00FF2AFE"/>
    <w:rsid w:val="00FF2B56"/>
    <w:rsid w:val="00FF2BC4"/>
    <w:rsid w:val="00FF2C15"/>
    <w:rsid w:val="00FF2C81"/>
    <w:rsid w:val="00FF2C91"/>
    <w:rsid w:val="00FF2CB6"/>
    <w:rsid w:val="00FF2D1E"/>
    <w:rsid w:val="00FF2D99"/>
    <w:rsid w:val="00FF2EC8"/>
    <w:rsid w:val="00FF2F7A"/>
    <w:rsid w:val="00FF324E"/>
    <w:rsid w:val="00FF3431"/>
    <w:rsid w:val="00FF3457"/>
    <w:rsid w:val="00FF34B3"/>
    <w:rsid w:val="00FF35AA"/>
    <w:rsid w:val="00FF35C1"/>
    <w:rsid w:val="00FF361E"/>
    <w:rsid w:val="00FF3757"/>
    <w:rsid w:val="00FF3828"/>
    <w:rsid w:val="00FF38AA"/>
    <w:rsid w:val="00FF38F6"/>
    <w:rsid w:val="00FF3A2C"/>
    <w:rsid w:val="00FF3AF2"/>
    <w:rsid w:val="00FF3B44"/>
    <w:rsid w:val="00FF3BD8"/>
    <w:rsid w:val="00FF3D32"/>
    <w:rsid w:val="00FF3E3D"/>
    <w:rsid w:val="00FF3F42"/>
    <w:rsid w:val="00FF3FF6"/>
    <w:rsid w:val="00FF4002"/>
    <w:rsid w:val="00FF401B"/>
    <w:rsid w:val="00FF409B"/>
    <w:rsid w:val="00FF40AD"/>
    <w:rsid w:val="00FF40DC"/>
    <w:rsid w:val="00FF41D8"/>
    <w:rsid w:val="00FF42F6"/>
    <w:rsid w:val="00FF431F"/>
    <w:rsid w:val="00FF4367"/>
    <w:rsid w:val="00FF43B0"/>
    <w:rsid w:val="00FF4492"/>
    <w:rsid w:val="00FF45FE"/>
    <w:rsid w:val="00FF483F"/>
    <w:rsid w:val="00FF499E"/>
    <w:rsid w:val="00FF49F3"/>
    <w:rsid w:val="00FF4BB1"/>
    <w:rsid w:val="00FF4D06"/>
    <w:rsid w:val="00FF4D07"/>
    <w:rsid w:val="00FF4DFC"/>
    <w:rsid w:val="00FF4E7D"/>
    <w:rsid w:val="00FF4FA6"/>
    <w:rsid w:val="00FF500F"/>
    <w:rsid w:val="00FF50E3"/>
    <w:rsid w:val="00FF50EE"/>
    <w:rsid w:val="00FF515C"/>
    <w:rsid w:val="00FF5167"/>
    <w:rsid w:val="00FF51F6"/>
    <w:rsid w:val="00FF5228"/>
    <w:rsid w:val="00FF5499"/>
    <w:rsid w:val="00FF54C6"/>
    <w:rsid w:val="00FF5608"/>
    <w:rsid w:val="00FF5682"/>
    <w:rsid w:val="00FF575D"/>
    <w:rsid w:val="00FF586F"/>
    <w:rsid w:val="00FF5A00"/>
    <w:rsid w:val="00FF5A2C"/>
    <w:rsid w:val="00FF5AE3"/>
    <w:rsid w:val="00FF5B3D"/>
    <w:rsid w:val="00FF5C67"/>
    <w:rsid w:val="00FF5D63"/>
    <w:rsid w:val="00FF5D82"/>
    <w:rsid w:val="00FF5F9E"/>
    <w:rsid w:val="00FF60D7"/>
    <w:rsid w:val="00FF60E8"/>
    <w:rsid w:val="00FF6150"/>
    <w:rsid w:val="00FF6171"/>
    <w:rsid w:val="00FF61EE"/>
    <w:rsid w:val="00FF6264"/>
    <w:rsid w:val="00FF6358"/>
    <w:rsid w:val="00FF63C6"/>
    <w:rsid w:val="00FF645F"/>
    <w:rsid w:val="00FF658F"/>
    <w:rsid w:val="00FF68A7"/>
    <w:rsid w:val="00FF68F4"/>
    <w:rsid w:val="00FF6966"/>
    <w:rsid w:val="00FF6A34"/>
    <w:rsid w:val="00FF6E43"/>
    <w:rsid w:val="00FF6EB1"/>
    <w:rsid w:val="00FF6F94"/>
    <w:rsid w:val="00FF70A9"/>
    <w:rsid w:val="00FF7134"/>
    <w:rsid w:val="00FF71DF"/>
    <w:rsid w:val="00FF7489"/>
    <w:rsid w:val="00FF74A0"/>
    <w:rsid w:val="00FF7570"/>
    <w:rsid w:val="00FF75A4"/>
    <w:rsid w:val="00FF768A"/>
    <w:rsid w:val="00FF7782"/>
    <w:rsid w:val="00FF77FD"/>
    <w:rsid w:val="00FF79DC"/>
    <w:rsid w:val="00FF7A9C"/>
    <w:rsid w:val="00FF7AC2"/>
    <w:rsid w:val="00FF7C80"/>
    <w:rsid w:val="00FF7DAC"/>
    <w:rsid w:val="00FF7E6A"/>
    <w:rsid w:val="00FF7ECD"/>
    <w:rsid w:val="0121D460"/>
    <w:rsid w:val="01295819"/>
    <w:rsid w:val="0131B112"/>
    <w:rsid w:val="013EA23C"/>
    <w:rsid w:val="014AAEA4"/>
    <w:rsid w:val="01561142"/>
    <w:rsid w:val="018D8C83"/>
    <w:rsid w:val="018DC4C6"/>
    <w:rsid w:val="01A8896F"/>
    <w:rsid w:val="01E7BA58"/>
    <w:rsid w:val="01FCE4B2"/>
    <w:rsid w:val="020FF172"/>
    <w:rsid w:val="023196E4"/>
    <w:rsid w:val="02333D0C"/>
    <w:rsid w:val="02466BC0"/>
    <w:rsid w:val="0294DBE4"/>
    <w:rsid w:val="02CE07B7"/>
    <w:rsid w:val="02E80B58"/>
    <w:rsid w:val="02EE7CD0"/>
    <w:rsid w:val="02F3BB72"/>
    <w:rsid w:val="02F97F85"/>
    <w:rsid w:val="03126A32"/>
    <w:rsid w:val="0364FC45"/>
    <w:rsid w:val="036A1AC8"/>
    <w:rsid w:val="03847C08"/>
    <w:rsid w:val="03A73836"/>
    <w:rsid w:val="03AE2B6F"/>
    <w:rsid w:val="03C99EAF"/>
    <w:rsid w:val="03D08B56"/>
    <w:rsid w:val="03D0B95B"/>
    <w:rsid w:val="03D4CCA0"/>
    <w:rsid w:val="03EDDE39"/>
    <w:rsid w:val="0408CFC4"/>
    <w:rsid w:val="040C2A47"/>
    <w:rsid w:val="0427EA86"/>
    <w:rsid w:val="0447AE12"/>
    <w:rsid w:val="044E1B03"/>
    <w:rsid w:val="044E37A8"/>
    <w:rsid w:val="0478D477"/>
    <w:rsid w:val="047DBE71"/>
    <w:rsid w:val="04A84642"/>
    <w:rsid w:val="04BA5A35"/>
    <w:rsid w:val="04C69478"/>
    <w:rsid w:val="04D376B7"/>
    <w:rsid w:val="04DDA493"/>
    <w:rsid w:val="04F9D818"/>
    <w:rsid w:val="050F3E1E"/>
    <w:rsid w:val="05133ED0"/>
    <w:rsid w:val="0541DADD"/>
    <w:rsid w:val="05467897"/>
    <w:rsid w:val="054978AF"/>
    <w:rsid w:val="05554C49"/>
    <w:rsid w:val="0573329A"/>
    <w:rsid w:val="0580403C"/>
    <w:rsid w:val="0599DE76"/>
    <w:rsid w:val="05A844E5"/>
    <w:rsid w:val="05DBB741"/>
    <w:rsid w:val="05DE3EC2"/>
    <w:rsid w:val="05ED0210"/>
    <w:rsid w:val="061E125D"/>
    <w:rsid w:val="062D32A8"/>
    <w:rsid w:val="063A8735"/>
    <w:rsid w:val="067DF4E8"/>
    <w:rsid w:val="069375F5"/>
    <w:rsid w:val="06AAFAC8"/>
    <w:rsid w:val="06AC9DF0"/>
    <w:rsid w:val="06B0AE3F"/>
    <w:rsid w:val="06BFC7E9"/>
    <w:rsid w:val="06C80C09"/>
    <w:rsid w:val="06D7F973"/>
    <w:rsid w:val="06DF9A37"/>
    <w:rsid w:val="074BDD61"/>
    <w:rsid w:val="0792B991"/>
    <w:rsid w:val="07A20080"/>
    <w:rsid w:val="07A6B3D5"/>
    <w:rsid w:val="07F2E77B"/>
    <w:rsid w:val="08082E14"/>
    <w:rsid w:val="08120F52"/>
    <w:rsid w:val="082462BE"/>
    <w:rsid w:val="0837B7F4"/>
    <w:rsid w:val="083F704B"/>
    <w:rsid w:val="08419892"/>
    <w:rsid w:val="08544A5A"/>
    <w:rsid w:val="0866212D"/>
    <w:rsid w:val="08BC3919"/>
    <w:rsid w:val="08C15009"/>
    <w:rsid w:val="08CB332D"/>
    <w:rsid w:val="08DCD83C"/>
    <w:rsid w:val="08DF68F5"/>
    <w:rsid w:val="09045552"/>
    <w:rsid w:val="09232394"/>
    <w:rsid w:val="093D968E"/>
    <w:rsid w:val="09527E6F"/>
    <w:rsid w:val="095A07D5"/>
    <w:rsid w:val="09C64DB9"/>
    <w:rsid w:val="0A01F085"/>
    <w:rsid w:val="0A23C19F"/>
    <w:rsid w:val="0A2603AF"/>
    <w:rsid w:val="0A2A90E4"/>
    <w:rsid w:val="0A2BCE7C"/>
    <w:rsid w:val="0A2C767E"/>
    <w:rsid w:val="0A3191DF"/>
    <w:rsid w:val="0A3C8D39"/>
    <w:rsid w:val="0A4258A1"/>
    <w:rsid w:val="0A610875"/>
    <w:rsid w:val="0A7B4747"/>
    <w:rsid w:val="0A7E7C1A"/>
    <w:rsid w:val="0A847EEC"/>
    <w:rsid w:val="0AAA18DD"/>
    <w:rsid w:val="0AB4AB96"/>
    <w:rsid w:val="0AD5D573"/>
    <w:rsid w:val="0AD76750"/>
    <w:rsid w:val="0AF31014"/>
    <w:rsid w:val="0B0F9710"/>
    <w:rsid w:val="0B11D848"/>
    <w:rsid w:val="0B160F09"/>
    <w:rsid w:val="0B1E5ADC"/>
    <w:rsid w:val="0B4119BF"/>
    <w:rsid w:val="0B59C459"/>
    <w:rsid w:val="0B670C6C"/>
    <w:rsid w:val="0B96AE7A"/>
    <w:rsid w:val="0BCCDC6B"/>
    <w:rsid w:val="0BD55F67"/>
    <w:rsid w:val="0BD62BDB"/>
    <w:rsid w:val="0BE0E67C"/>
    <w:rsid w:val="0BE76487"/>
    <w:rsid w:val="0C1736FB"/>
    <w:rsid w:val="0C26D25C"/>
    <w:rsid w:val="0C3B9908"/>
    <w:rsid w:val="0C441B65"/>
    <w:rsid w:val="0C5025A5"/>
    <w:rsid w:val="0C7C3EE0"/>
    <w:rsid w:val="0C884151"/>
    <w:rsid w:val="0C88B885"/>
    <w:rsid w:val="0C942D34"/>
    <w:rsid w:val="0C9BFF9C"/>
    <w:rsid w:val="0CA388F9"/>
    <w:rsid w:val="0CA8B5A7"/>
    <w:rsid w:val="0CB8E3A2"/>
    <w:rsid w:val="0CD22315"/>
    <w:rsid w:val="0CD5E6B4"/>
    <w:rsid w:val="0CDB2032"/>
    <w:rsid w:val="0CE01376"/>
    <w:rsid w:val="0CF3318A"/>
    <w:rsid w:val="0CF9F334"/>
    <w:rsid w:val="0D342F78"/>
    <w:rsid w:val="0D4834C9"/>
    <w:rsid w:val="0D490C38"/>
    <w:rsid w:val="0D67B9E2"/>
    <w:rsid w:val="0D7DF414"/>
    <w:rsid w:val="0D9BFEF2"/>
    <w:rsid w:val="0DA3D86E"/>
    <w:rsid w:val="0DA691D6"/>
    <w:rsid w:val="0DAA35B6"/>
    <w:rsid w:val="0DAC9F0E"/>
    <w:rsid w:val="0DD87FBF"/>
    <w:rsid w:val="0DF6A217"/>
    <w:rsid w:val="0E01A96B"/>
    <w:rsid w:val="0E02942E"/>
    <w:rsid w:val="0E123425"/>
    <w:rsid w:val="0E3C7D2C"/>
    <w:rsid w:val="0E4AC299"/>
    <w:rsid w:val="0E6C812B"/>
    <w:rsid w:val="0E7B5036"/>
    <w:rsid w:val="0E816992"/>
    <w:rsid w:val="0E854E6F"/>
    <w:rsid w:val="0E889B5A"/>
    <w:rsid w:val="0E8AF0FA"/>
    <w:rsid w:val="0EA7C216"/>
    <w:rsid w:val="0EB57835"/>
    <w:rsid w:val="0EB63B6A"/>
    <w:rsid w:val="0EC6B07C"/>
    <w:rsid w:val="0F0B4554"/>
    <w:rsid w:val="0F5536A4"/>
    <w:rsid w:val="0F74B748"/>
    <w:rsid w:val="0F80B412"/>
    <w:rsid w:val="0FB2351D"/>
    <w:rsid w:val="0FCF483E"/>
    <w:rsid w:val="0FD40324"/>
    <w:rsid w:val="0FE317A0"/>
    <w:rsid w:val="10160D31"/>
    <w:rsid w:val="101B5D2D"/>
    <w:rsid w:val="104DC525"/>
    <w:rsid w:val="1063D2AB"/>
    <w:rsid w:val="106B35C9"/>
    <w:rsid w:val="10791349"/>
    <w:rsid w:val="1080411E"/>
    <w:rsid w:val="1096CB6A"/>
    <w:rsid w:val="10A6B323"/>
    <w:rsid w:val="10BE459E"/>
    <w:rsid w:val="10CCF1A0"/>
    <w:rsid w:val="1101E2A5"/>
    <w:rsid w:val="1119F1B7"/>
    <w:rsid w:val="111F62D8"/>
    <w:rsid w:val="115165A7"/>
    <w:rsid w:val="1158CB7E"/>
    <w:rsid w:val="118B65AA"/>
    <w:rsid w:val="11A67CE9"/>
    <w:rsid w:val="11E2D63A"/>
    <w:rsid w:val="11E3E1E1"/>
    <w:rsid w:val="11ECA34B"/>
    <w:rsid w:val="121B7375"/>
    <w:rsid w:val="1220AD4E"/>
    <w:rsid w:val="122EA4E2"/>
    <w:rsid w:val="123986C5"/>
    <w:rsid w:val="12497E60"/>
    <w:rsid w:val="12545522"/>
    <w:rsid w:val="1255702B"/>
    <w:rsid w:val="125767CF"/>
    <w:rsid w:val="127A6529"/>
    <w:rsid w:val="1280AF48"/>
    <w:rsid w:val="128E9566"/>
    <w:rsid w:val="1294DDEF"/>
    <w:rsid w:val="129528D1"/>
    <w:rsid w:val="12ED888A"/>
    <w:rsid w:val="12F70EEF"/>
    <w:rsid w:val="13047DEB"/>
    <w:rsid w:val="131300EA"/>
    <w:rsid w:val="132B8350"/>
    <w:rsid w:val="133D8870"/>
    <w:rsid w:val="136F2DDD"/>
    <w:rsid w:val="137271FA"/>
    <w:rsid w:val="1391A02C"/>
    <w:rsid w:val="13BD3EB5"/>
    <w:rsid w:val="13F91761"/>
    <w:rsid w:val="13F9DBF9"/>
    <w:rsid w:val="13FB6DA2"/>
    <w:rsid w:val="1408FE49"/>
    <w:rsid w:val="140B3EAC"/>
    <w:rsid w:val="14170C73"/>
    <w:rsid w:val="143633DE"/>
    <w:rsid w:val="144D0873"/>
    <w:rsid w:val="144F86D1"/>
    <w:rsid w:val="148C56D5"/>
    <w:rsid w:val="14B33F1F"/>
    <w:rsid w:val="14B3B139"/>
    <w:rsid w:val="14C12C93"/>
    <w:rsid w:val="14D8A5BF"/>
    <w:rsid w:val="1501C8ED"/>
    <w:rsid w:val="1521B2D9"/>
    <w:rsid w:val="154C1FA5"/>
    <w:rsid w:val="155EFA04"/>
    <w:rsid w:val="156DAE0C"/>
    <w:rsid w:val="15816A28"/>
    <w:rsid w:val="15882DEA"/>
    <w:rsid w:val="1596B3A0"/>
    <w:rsid w:val="159BE6FC"/>
    <w:rsid w:val="15AA2F05"/>
    <w:rsid w:val="15B4B50B"/>
    <w:rsid w:val="15B7E8E5"/>
    <w:rsid w:val="15DE6A75"/>
    <w:rsid w:val="15E08C45"/>
    <w:rsid w:val="16117462"/>
    <w:rsid w:val="1613CAD1"/>
    <w:rsid w:val="1621006D"/>
    <w:rsid w:val="16858E9F"/>
    <w:rsid w:val="1694976C"/>
    <w:rsid w:val="16AD6408"/>
    <w:rsid w:val="16AF9D1D"/>
    <w:rsid w:val="16F3CDCA"/>
    <w:rsid w:val="175367A3"/>
    <w:rsid w:val="175B1B57"/>
    <w:rsid w:val="1779A72C"/>
    <w:rsid w:val="1788B12A"/>
    <w:rsid w:val="178C361A"/>
    <w:rsid w:val="1793FE3C"/>
    <w:rsid w:val="17B0C4E0"/>
    <w:rsid w:val="17B14062"/>
    <w:rsid w:val="17C2CCF4"/>
    <w:rsid w:val="17C5BC42"/>
    <w:rsid w:val="17CA8012"/>
    <w:rsid w:val="17D65E14"/>
    <w:rsid w:val="17E694A5"/>
    <w:rsid w:val="17F72E7B"/>
    <w:rsid w:val="17FF991B"/>
    <w:rsid w:val="180F3A88"/>
    <w:rsid w:val="18172623"/>
    <w:rsid w:val="184A5F4B"/>
    <w:rsid w:val="18763E0D"/>
    <w:rsid w:val="18879601"/>
    <w:rsid w:val="188B37C8"/>
    <w:rsid w:val="1891B0F6"/>
    <w:rsid w:val="189A3ED2"/>
    <w:rsid w:val="18CAE120"/>
    <w:rsid w:val="18D60D09"/>
    <w:rsid w:val="1902F61E"/>
    <w:rsid w:val="1909FB0A"/>
    <w:rsid w:val="190C229E"/>
    <w:rsid w:val="1921367E"/>
    <w:rsid w:val="1948B65B"/>
    <w:rsid w:val="19507195"/>
    <w:rsid w:val="19595CBA"/>
    <w:rsid w:val="195B1681"/>
    <w:rsid w:val="1984E473"/>
    <w:rsid w:val="198D488A"/>
    <w:rsid w:val="198E4F5A"/>
    <w:rsid w:val="19AF9865"/>
    <w:rsid w:val="19B6D048"/>
    <w:rsid w:val="19B7CBD9"/>
    <w:rsid w:val="19BA373E"/>
    <w:rsid w:val="19C52255"/>
    <w:rsid w:val="19FA918D"/>
    <w:rsid w:val="1A2D21DB"/>
    <w:rsid w:val="1A52519C"/>
    <w:rsid w:val="1A6402AB"/>
    <w:rsid w:val="1A696B13"/>
    <w:rsid w:val="1A7CCAAB"/>
    <w:rsid w:val="1A7F8D4F"/>
    <w:rsid w:val="1A876E19"/>
    <w:rsid w:val="1A8986FE"/>
    <w:rsid w:val="1A90ADCA"/>
    <w:rsid w:val="1A91A70F"/>
    <w:rsid w:val="1A9BDDAE"/>
    <w:rsid w:val="1AA2C420"/>
    <w:rsid w:val="1AA3FFD8"/>
    <w:rsid w:val="1AC2E890"/>
    <w:rsid w:val="1AC8BD3A"/>
    <w:rsid w:val="1ACE384A"/>
    <w:rsid w:val="1AE3CE73"/>
    <w:rsid w:val="1B194154"/>
    <w:rsid w:val="1B2263FD"/>
    <w:rsid w:val="1B2C774D"/>
    <w:rsid w:val="1B447D98"/>
    <w:rsid w:val="1B510671"/>
    <w:rsid w:val="1B57CC5F"/>
    <w:rsid w:val="1B6953B0"/>
    <w:rsid w:val="1B758BDA"/>
    <w:rsid w:val="1B791615"/>
    <w:rsid w:val="1B7B5953"/>
    <w:rsid w:val="1BA3944C"/>
    <w:rsid w:val="1BA3D54E"/>
    <w:rsid w:val="1BED70C9"/>
    <w:rsid w:val="1BEE0088"/>
    <w:rsid w:val="1BF92FBC"/>
    <w:rsid w:val="1C01B372"/>
    <w:rsid w:val="1C36779A"/>
    <w:rsid w:val="1C428F9A"/>
    <w:rsid w:val="1C44DD65"/>
    <w:rsid w:val="1CA6E1A6"/>
    <w:rsid w:val="1CE07E24"/>
    <w:rsid w:val="1CE250AC"/>
    <w:rsid w:val="1CE49C62"/>
    <w:rsid w:val="1CF38B03"/>
    <w:rsid w:val="1D01345B"/>
    <w:rsid w:val="1D0557C2"/>
    <w:rsid w:val="1D2EF92B"/>
    <w:rsid w:val="1D352856"/>
    <w:rsid w:val="1D3573D3"/>
    <w:rsid w:val="1D4743F9"/>
    <w:rsid w:val="1D58508E"/>
    <w:rsid w:val="1D6578D7"/>
    <w:rsid w:val="1D665D17"/>
    <w:rsid w:val="1D80B19B"/>
    <w:rsid w:val="1D8133D7"/>
    <w:rsid w:val="1D8B361D"/>
    <w:rsid w:val="1DBB759D"/>
    <w:rsid w:val="1DC1292B"/>
    <w:rsid w:val="1DE443EE"/>
    <w:rsid w:val="1DEB0A06"/>
    <w:rsid w:val="1DF39795"/>
    <w:rsid w:val="1DF65D16"/>
    <w:rsid w:val="1E119F26"/>
    <w:rsid w:val="1E1C5C23"/>
    <w:rsid w:val="1E424051"/>
    <w:rsid w:val="1E525802"/>
    <w:rsid w:val="1E54742A"/>
    <w:rsid w:val="1E76BB00"/>
    <w:rsid w:val="1E76C90E"/>
    <w:rsid w:val="1E9A188D"/>
    <w:rsid w:val="1EADB1F3"/>
    <w:rsid w:val="1EB67A49"/>
    <w:rsid w:val="1EC00E15"/>
    <w:rsid w:val="1EC6E32D"/>
    <w:rsid w:val="1EC86BBF"/>
    <w:rsid w:val="1EE7EEDB"/>
    <w:rsid w:val="1EF65051"/>
    <w:rsid w:val="1EF9318D"/>
    <w:rsid w:val="1F014938"/>
    <w:rsid w:val="1F0C56D5"/>
    <w:rsid w:val="1F26C6C5"/>
    <w:rsid w:val="1F6A2152"/>
    <w:rsid w:val="1F738635"/>
    <w:rsid w:val="1F7B7031"/>
    <w:rsid w:val="1F848C07"/>
    <w:rsid w:val="1F8731A6"/>
    <w:rsid w:val="1F9FF672"/>
    <w:rsid w:val="1FA254F8"/>
    <w:rsid w:val="1FBA299D"/>
    <w:rsid w:val="1FC81832"/>
    <w:rsid w:val="1FC8714B"/>
    <w:rsid w:val="1FD0394D"/>
    <w:rsid w:val="1FF1544B"/>
    <w:rsid w:val="1FFA430C"/>
    <w:rsid w:val="1FFFA7B2"/>
    <w:rsid w:val="201FAC63"/>
    <w:rsid w:val="2029D60B"/>
    <w:rsid w:val="2053B564"/>
    <w:rsid w:val="206AE54E"/>
    <w:rsid w:val="206FDB92"/>
    <w:rsid w:val="2085D23D"/>
    <w:rsid w:val="208FF150"/>
    <w:rsid w:val="209FEFBE"/>
    <w:rsid w:val="20B5B57F"/>
    <w:rsid w:val="20BA3819"/>
    <w:rsid w:val="20CDD246"/>
    <w:rsid w:val="20EEB888"/>
    <w:rsid w:val="210E3BB6"/>
    <w:rsid w:val="21318468"/>
    <w:rsid w:val="214A18DE"/>
    <w:rsid w:val="214C44B5"/>
    <w:rsid w:val="21599826"/>
    <w:rsid w:val="219DBB90"/>
    <w:rsid w:val="21BAF6EE"/>
    <w:rsid w:val="21CB9942"/>
    <w:rsid w:val="21E54347"/>
    <w:rsid w:val="21ED4D59"/>
    <w:rsid w:val="22006935"/>
    <w:rsid w:val="22103EB8"/>
    <w:rsid w:val="221A3C38"/>
    <w:rsid w:val="2223F07D"/>
    <w:rsid w:val="222E8841"/>
    <w:rsid w:val="22468F14"/>
    <w:rsid w:val="2254930D"/>
    <w:rsid w:val="226B51E9"/>
    <w:rsid w:val="228CB3CE"/>
    <w:rsid w:val="228E4DFC"/>
    <w:rsid w:val="2292DA56"/>
    <w:rsid w:val="22A18F6C"/>
    <w:rsid w:val="22B9CD5D"/>
    <w:rsid w:val="22BACC83"/>
    <w:rsid w:val="22CA58CF"/>
    <w:rsid w:val="22D57425"/>
    <w:rsid w:val="22DBBCA5"/>
    <w:rsid w:val="22FF7D4A"/>
    <w:rsid w:val="231CD8D1"/>
    <w:rsid w:val="2325E873"/>
    <w:rsid w:val="2333D747"/>
    <w:rsid w:val="233E5A9C"/>
    <w:rsid w:val="23402422"/>
    <w:rsid w:val="2349B859"/>
    <w:rsid w:val="235EDD1F"/>
    <w:rsid w:val="2372C77F"/>
    <w:rsid w:val="239B067B"/>
    <w:rsid w:val="23B0C40D"/>
    <w:rsid w:val="23C17E66"/>
    <w:rsid w:val="23C839CD"/>
    <w:rsid w:val="23DC1012"/>
    <w:rsid w:val="23DE028A"/>
    <w:rsid w:val="23EB3F2E"/>
    <w:rsid w:val="23EB6490"/>
    <w:rsid w:val="240687BE"/>
    <w:rsid w:val="2414F30A"/>
    <w:rsid w:val="241998D7"/>
    <w:rsid w:val="241EADC5"/>
    <w:rsid w:val="241EEF04"/>
    <w:rsid w:val="2422D1AA"/>
    <w:rsid w:val="24244CBD"/>
    <w:rsid w:val="24367731"/>
    <w:rsid w:val="24656259"/>
    <w:rsid w:val="248B4831"/>
    <w:rsid w:val="249878AC"/>
    <w:rsid w:val="24B9489E"/>
    <w:rsid w:val="24BF522C"/>
    <w:rsid w:val="24CC5015"/>
    <w:rsid w:val="24CCB9E9"/>
    <w:rsid w:val="24D99885"/>
    <w:rsid w:val="24EA1207"/>
    <w:rsid w:val="24EBCEFA"/>
    <w:rsid w:val="251B09A7"/>
    <w:rsid w:val="2537CD34"/>
    <w:rsid w:val="257ABEA3"/>
    <w:rsid w:val="25804C09"/>
    <w:rsid w:val="25A7C02E"/>
    <w:rsid w:val="25F5CD9B"/>
    <w:rsid w:val="25F75889"/>
    <w:rsid w:val="261882D5"/>
    <w:rsid w:val="262AAEFF"/>
    <w:rsid w:val="262CC4AF"/>
    <w:rsid w:val="263EAC5D"/>
    <w:rsid w:val="26422C9C"/>
    <w:rsid w:val="264C0121"/>
    <w:rsid w:val="2655D24C"/>
    <w:rsid w:val="265A50B9"/>
    <w:rsid w:val="267BDDEF"/>
    <w:rsid w:val="268B5E01"/>
    <w:rsid w:val="26A11FCC"/>
    <w:rsid w:val="26ACC164"/>
    <w:rsid w:val="26B19098"/>
    <w:rsid w:val="26B84B14"/>
    <w:rsid w:val="271DF720"/>
    <w:rsid w:val="27366ED5"/>
    <w:rsid w:val="2750B74A"/>
    <w:rsid w:val="27586407"/>
    <w:rsid w:val="275D8CAD"/>
    <w:rsid w:val="275DA8DD"/>
    <w:rsid w:val="2780D65E"/>
    <w:rsid w:val="2785E438"/>
    <w:rsid w:val="2788433B"/>
    <w:rsid w:val="27B8F16D"/>
    <w:rsid w:val="27BC9FAB"/>
    <w:rsid w:val="27D58038"/>
    <w:rsid w:val="27D679BF"/>
    <w:rsid w:val="27D7C3E6"/>
    <w:rsid w:val="27E4C2CC"/>
    <w:rsid w:val="27EC7FFF"/>
    <w:rsid w:val="280EFFF4"/>
    <w:rsid w:val="2816DEA5"/>
    <w:rsid w:val="2819672B"/>
    <w:rsid w:val="28363847"/>
    <w:rsid w:val="283E327C"/>
    <w:rsid w:val="283FAD1D"/>
    <w:rsid w:val="28517BB8"/>
    <w:rsid w:val="28643765"/>
    <w:rsid w:val="287D975C"/>
    <w:rsid w:val="289451E3"/>
    <w:rsid w:val="28CD9716"/>
    <w:rsid w:val="28EF7692"/>
    <w:rsid w:val="2901B7F3"/>
    <w:rsid w:val="2931C4E1"/>
    <w:rsid w:val="296ADE25"/>
    <w:rsid w:val="296E8AAF"/>
    <w:rsid w:val="29976502"/>
    <w:rsid w:val="29A3FBFB"/>
    <w:rsid w:val="29A59CEE"/>
    <w:rsid w:val="29F9584B"/>
    <w:rsid w:val="29FE9661"/>
    <w:rsid w:val="2A0E80A6"/>
    <w:rsid w:val="2A11F38D"/>
    <w:rsid w:val="2A337E3C"/>
    <w:rsid w:val="2A66ED9E"/>
    <w:rsid w:val="2A6B485A"/>
    <w:rsid w:val="2A707F83"/>
    <w:rsid w:val="2A72330B"/>
    <w:rsid w:val="2A9D8854"/>
    <w:rsid w:val="2AA3AF72"/>
    <w:rsid w:val="2AA50D39"/>
    <w:rsid w:val="2AB90D13"/>
    <w:rsid w:val="2ABA3837"/>
    <w:rsid w:val="2AD1D9CC"/>
    <w:rsid w:val="2AD28BFF"/>
    <w:rsid w:val="2AD31077"/>
    <w:rsid w:val="2AE551F9"/>
    <w:rsid w:val="2B4C8F5D"/>
    <w:rsid w:val="2B5BA8F0"/>
    <w:rsid w:val="2B629862"/>
    <w:rsid w:val="2B79046C"/>
    <w:rsid w:val="2B7B7CAB"/>
    <w:rsid w:val="2B7D9601"/>
    <w:rsid w:val="2B8CE8AC"/>
    <w:rsid w:val="2BA2788A"/>
    <w:rsid w:val="2BB9EA0E"/>
    <w:rsid w:val="2BE5E186"/>
    <w:rsid w:val="2BE76308"/>
    <w:rsid w:val="2C1E4112"/>
    <w:rsid w:val="2C4A0368"/>
    <w:rsid w:val="2C618F5D"/>
    <w:rsid w:val="2C67E105"/>
    <w:rsid w:val="2C80B688"/>
    <w:rsid w:val="2C9785F2"/>
    <w:rsid w:val="2CA25E58"/>
    <w:rsid w:val="2CB520F6"/>
    <w:rsid w:val="2CC84FC6"/>
    <w:rsid w:val="2CDB4572"/>
    <w:rsid w:val="2CEF8301"/>
    <w:rsid w:val="2CFCEA86"/>
    <w:rsid w:val="2D068269"/>
    <w:rsid w:val="2D0F6507"/>
    <w:rsid w:val="2D0FD66B"/>
    <w:rsid w:val="2D1AFCAD"/>
    <w:rsid w:val="2D23BE82"/>
    <w:rsid w:val="2D298254"/>
    <w:rsid w:val="2D598D6F"/>
    <w:rsid w:val="2D821E7E"/>
    <w:rsid w:val="2D83B8D6"/>
    <w:rsid w:val="2D85A50A"/>
    <w:rsid w:val="2D9064F8"/>
    <w:rsid w:val="2D971028"/>
    <w:rsid w:val="2DA29D82"/>
    <w:rsid w:val="2DD7B982"/>
    <w:rsid w:val="2DDA96F0"/>
    <w:rsid w:val="2DFF3028"/>
    <w:rsid w:val="2E05882E"/>
    <w:rsid w:val="2E0BB6C5"/>
    <w:rsid w:val="2E253865"/>
    <w:rsid w:val="2E361419"/>
    <w:rsid w:val="2E48EC6E"/>
    <w:rsid w:val="2E5FF66D"/>
    <w:rsid w:val="2E8E9A09"/>
    <w:rsid w:val="2EA669BF"/>
    <w:rsid w:val="2EAD4501"/>
    <w:rsid w:val="2ECE9280"/>
    <w:rsid w:val="2EE00C76"/>
    <w:rsid w:val="2EF21E7E"/>
    <w:rsid w:val="2F03C477"/>
    <w:rsid w:val="2F0BBD01"/>
    <w:rsid w:val="2F0CE5DE"/>
    <w:rsid w:val="2F337067"/>
    <w:rsid w:val="2F81BDED"/>
    <w:rsid w:val="2FBC0E79"/>
    <w:rsid w:val="2FE8A06F"/>
    <w:rsid w:val="3001CF87"/>
    <w:rsid w:val="3011F461"/>
    <w:rsid w:val="3013CE9D"/>
    <w:rsid w:val="3018B9AC"/>
    <w:rsid w:val="30301C04"/>
    <w:rsid w:val="30336F9F"/>
    <w:rsid w:val="303D929E"/>
    <w:rsid w:val="3046EBB8"/>
    <w:rsid w:val="305BD2C5"/>
    <w:rsid w:val="306225FC"/>
    <w:rsid w:val="3070B5A2"/>
    <w:rsid w:val="30757438"/>
    <w:rsid w:val="3088F453"/>
    <w:rsid w:val="3089C7A5"/>
    <w:rsid w:val="308E01B3"/>
    <w:rsid w:val="30945E22"/>
    <w:rsid w:val="309F4AD9"/>
    <w:rsid w:val="30AB7F33"/>
    <w:rsid w:val="30CF40C8"/>
    <w:rsid w:val="30D8C037"/>
    <w:rsid w:val="30ED4ECD"/>
    <w:rsid w:val="30FA54C4"/>
    <w:rsid w:val="31043BC8"/>
    <w:rsid w:val="3105A69B"/>
    <w:rsid w:val="310A60D3"/>
    <w:rsid w:val="311994F2"/>
    <w:rsid w:val="313CF4F5"/>
    <w:rsid w:val="313EC953"/>
    <w:rsid w:val="31489DC2"/>
    <w:rsid w:val="315FD470"/>
    <w:rsid w:val="3172D0A8"/>
    <w:rsid w:val="319A66B8"/>
    <w:rsid w:val="31A0BF7F"/>
    <w:rsid w:val="31A4141D"/>
    <w:rsid w:val="31AB922F"/>
    <w:rsid w:val="31B81A6E"/>
    <w:rsid w:val="32212D41"/>
    <w:rsid w:val="3228F3A2"/>
    <w:rsid w:val="322913B8"/>
    <w:rsid w:val="3255BB42"/>
    <w:rsid w:val="32B304B8"/>
    <w:rsid w:val="32C4D290"/>
    <w:rsid w:val="32C936C1"/>
    <w:rsid w:val="32D6BBA1"/>
    <w:rsid w:val="32F039C2"/>
    <w:rsid w:val="32F5A919"/>
    <w:rsid w:val="3301777E"/>
    <w:rsid w:val="3336C75A"/>
    <w:rsid w:val="3357089A"/>
    <w:rsid w:val="33623969"/>
    <w:rsid w:val="336BCEF6"/>
    <w:rsid w:val="33CFA6F2"/>
    <w:rsid w:val="33EB2F73"/>
    <w:rsid w:val="340BAB36"/>
    <w:rsid w:val="340F593B"/>
    <w:rsid w:val="3414B056"/>
    <w:rsid w:val="34648ADA"/>
    <w:rsid w:val="34682C93"/>
    <w:rsid w:val="34890289"/>
    <w:rsid w:val="34BA9635"/>
    <w:rsid w:val="34C521FD"/>
    <w:rsid w:val="34C9C551"/>
    <w:rsid w:val="34DA42DE"/>
    <w:rsid w:val="34DFB7A9"/>
    <w:rsid w:val="34F715EC"/>
    <w:rsid w:val="34FCDF26"/>
    <w:rsid w:val="3542DD3F"/>
    <w:rsid w:val="3559BA4D"/>
    <w:rsid w:val="355FBF4F"/>
    <w:rsid w:val="35602708"/>
    <w:rsid w:val="358D5C04"/>
    <w:rsid w:val="359300DA"/>
    <w:rsid w:val="35B09021"/>
    <w:rsid w:val="35B72301"/>
    <w:rsid w:val="35CB2A1B"/>
    <w:rsid w:val="35CDE5F9"/>
    <w:rsid w:val="35F7B101"/>
    <w:rsid w:val="36067155"/>
    <w:rsid w:val="361AD7B6"/>
    <w:rsid w:val="361BCDA6"/>
    <w:rsid w:val="362C3E29"/>
    <w:rsid w:val="363106B7"/>
    <w:rsid w:val="3660F25E"/>
    <w:rsid w:val="366BD96B"/>
    <w:rsid w:val="368BF501"/>
    <w:rsid w:val="36920A07"/>
    <w:rsid w:val="3693BC39"/>
    <w:rsid w:val="36A9A127"/>
    <w:rsid w:val="36BBA42C"/>
    <w:rsid w:val="36CA2FA8"/>
    <w:rsid w:val="36CAFE70"/>
    <w:rsid w:val="36D784AC"/>
    <w:rsid w:val="36E035A6"/>
    <w:rsid w:val="36EC7992"/>
    <w:rsid w:val="37157A1A"/>
    <w:rsid w:val="37162A2E"/>
    <w:rsid w:val="3720E168"/>
    <w:rsid w:val="3744A700"/>
    <w:rsid w:val="37611FB8"/>
    <w:rsid w:val="37648EB4"/>
    <w:rsid w:val="37824DED"/>
    <w:rsid w:val="3786407B"/>
    <w:rsid w:val="378CDE0A"/>
    <w:rsid w:val="37BFA004"/>
    <w:rsid w:val="37E55608"/>
    <w:rsid w:val="385266E8"/>
    <w:rsid w:val="38679A8A"/>
    <w:rsid w:val="387B1F9E"/>
    <w:rsid w:val="387CA144"/>
    <w:rsid w:val="388DB90F"/>
    <w:rsid w:val="389FEC28"/>
    <w:rsid w:val="38D7E8B9"/>
    <w:rsid w:val="38DB9971"/>
    <w:rsid w:val="38EC426D"/>
    <w:rsid w:val="38F737E2"/>
    <w:rsid w:val="38F99946"/>
    <w:rsid w:val="38FBBA58"/>
    <w:rsid w:val="390B530D"/>
    <w:rsid w:val="391111B0"/>
    <w:rsid w:val="392EBA07"/>
    <w:rsid w:val="392F5B4A"/>
    <w:rsid w:val="393ADD6E"/>
    <w:rsid w:val="395355E3"/>
    <w:rsid w:val="39A7C622"/>
    <w:rsid w:val="39AE0A63"/>
    <w:rsid w:val="39D6FE4A"/>
    <w:rsid w:val="39DAC7A4"/>
    <w:rsid w:val="39E37790"/>
    <w:rsid w:val="39EE6ED9"/>
    <w:rsid w:val="39F149AB"/>
    <w:rsid w:val="3A1AF24E"/>
    <w:rsid w:val="3A1E35A0"/>
    <w:rsid w:val="3A247359"/>
    <w:rsid w:val="3A2907C4"/>
    <w:rsid w:val="3A29BE85"/>
    <w:rsid w:val="3A3E9A11"/>
    <w:rsid w:val="3A56F713"/>
    <w:rsid w:val="3A615037"/>
    <w:rsid w:val="3A839B54"/>
    <w:rsid w:val="3A84E409"/>
    <w:rsid w:val="3A8D6096"/>
    <w:rsid w:val="3A998D80"/>
    <w:rsid w:val="3AA6FE1C"/>
    <w:rsid w:val="3ABF65A1"/>
    <w:rsid w:val="3AD86973"/>
    <w:rsid w:val="3ADF9DD1"/>
    <w:rsid w:val="3AE3135C"/>
    <w:rsid w:val="3AE35D53"/>
    <w:rsid w:val="3AEF18E0"/>
    <w:rsid w:val="3AFA4681"/>
    <w:rsid w:val="3B0E23EA"/>
    <w:rsid w:val="3B1EE866"/>
    <w:rsid w:val="3B431626"/>
    <w:rsid w:val="3B74AB68"/>
    <w:rsid w:val="3B8C02F5"/>
    <w:rsid w:val="3B8FA5A6"/>
    <w:rsid w:val="3BCFBBB6"/>
    <w:rsid w:val="3C0F2A1C"/>
    <w:rsid w:val="3C391870"/>
    <w:rsid w:val="3C404053"/>
    <w:rsid w:val="3C705835"/>
    <w:rsid w:val="3C775C60"/>
    <w:rsid w:val="3C7F45DF"/>
    <w:rsid w:val="3CB60E79"/>
    <w:rsid w:val="3CB68946"/>
    <w:rsid w:val="3CC3F02D"/>
    <w:rsid w:val="3CC4D585"/>
    <w:rsid w:val="3CE2FB0F"/>
    <w:rsid w:val="3CE49239"/>
    <w:rsid w:val="3CF89D8A"/>
    <w:rsid w:val="3CFDC210"/>
    <w:rsid w:val="3D094110"/>
    <w:rsid w:val="3D0E9F0C"/>
    <w:rsid w:val="3D1C2ED4"/>
    <w:rsid w:val="3D7F19EB"/>
    <w:rsid w:val="3D8F26CD"/>
    <w:rsid w:val="3D938366"/>
    <w:rsid w:val="3DA45678"/>
    <w:rsid w:val="3DB50A55"/>
    <w:rsid w:val="3DECC4BE"/>
    <w:rsid w:val="3DEF9398"/>
    <w:rsid w:val="3DFB054F"/>
    <w:rsid w:val="3DFD27D7"/>
    <w:rsid w:val="3E286631"/>
    <w:rsid w:val="3E2D0DBA"/>
    <w:rsid w:val="3E6962E3"/>
    <w:rsid w:val="3E6DFAA4"/>
    <w:rsid w:val="3E9A5E87"/>
    <w:rsid w:val="3EAC4152"/>
    <w:rsid w:val="3EAF5A38"/>
    <w:rsid w:val="3EAFC001"/>
    <w:rsid w:val="3ECDB2C8"/>
    <w:rsid w:val="3EEBA0EA"/>
    <w:rsid w:val="3F091DC4"/>
    <w:rsid w:val="3F541DA4"/>
    <w:rsid w:val="3F55C175"/>
    <w:rsid w:val="3F6A1FEC"/>
    <w:rsid w:val="3F77E115"/>
    <w:rsid w:val="3FC45614"/>
    <w:rsid w:val="3FD556CC"/>
    <w:rsid w:val="3FDED46A"/>
    <w:rsid w:val="405FADD1"/>
    <w:rsid w:val="4062B3F6"/>
    <w:rsid w:val="4073F53A"/>
    <w:rsid w:val="408B1A4B"/>
    <w:rsid w:val="409AAAB0"/>
    <w:rsid w:val="40C9E9E8"/>
    <w:rsid w:val="40CBE678"/>
    <w:rsid w:val="40D779ED"/>
    <w:rsid w:val="40E15B4D"/>
    <w:rsid w:val="40F0E628"/>
    <w:rsid w:val="40F91DBB"/>
    <w:rsid w:val="41087C3F"/>
    <w:rsid w:val="41204F93"/>
    <w:rsid w:val="413E2492"/>
    <w:rsid w:val="414A01EF"/>
    <w:rsid w:val="416B6922"/>
    <w:rsid w:val="41741CFE"/>
    <w:rsid w:val="4175D9E9"/>
    <w:rsid w:val="4183D4E7"/>
    <w:rsid w:val="4183DC2A"/>
    <w:rsid w:val="418EDD7E"/>
    <w:rsid w:val="418F7313"/>
    <w:rsid w:val="4195EB5F"/>
    <w:rsid w:val="419C3D93"/>
    <w:rsid w:val="41A22B8E"/>
    <w:rsid w:val="41B32E9B"/>
    <w:rsid w:val="41DAF4B9"/>
    <w:rsid w:val="420B5EF0"/>
    <w:rsid w:val="421ABF76"/>
    <w:rsid w:val="421C9945"/>
    <w:rsid w:val="4226E715"/>
    <w:rsid w:val="423FF3F4"/>
    <w:rsid w:val="425B2951"/>
    <w:rsid w:val="426685B1"/>
    <w:rsid w:val="4284C460"/>
    <w:rsid w:val="42BBC9F1"/>
    <w:rsid w:val="42BC165B"/>
    <w:rsid w:val="42CE9ED7"/>
    <w:rsid w:val="42CF1AEA"/>
    <w:rsid w:val="42D6B84B"/>
    <w:rsid w:val="42D85301"/>
    <w:rsid w:val="42E86186"/>
    <w:rsid w:val="42FE5282"/>
    <w:rsid w:val="430BBC0E"/>
    <w:rsid w:val="430EE96B"/>
    <w:rsid w:val="43261E04"/>
    <w:rsid w:val="432649B5"/>
    <w:rsid w:val="437D9D75"/>
    <w:rsid w:val="437DE090"/>
    <w:rsid w:val="4383F7EF"/>
    <w:rsid w:val="438F724B"/>
    <w:rsid w:val="439EBFDC"/>
    <w:rsid w:val="43A369FE"/>
    <w:rsid w:val="43AEF232"/>
    <w:rsid w:val="43BBDDE5"/>
    <w:rsid w:val="43D7DB8B"/>
    <w:rsid w:val="43F22082"/>
    <w:rsid w:val="43F5C5C2"/>
    <w:rsid w:val="43FA916D"/>
    <w:rsid w:val="43FD6C32"/>
    <w:rsid w:val="4407AF22"/>
    <w:rsid w:val="443454EA"/>
    <w:rsid w:val="44374E6D"/>
    <w:rsid w:val="447E1136"/>
    <w:rsid w:val="4481AE76"/>
    <w:rsid w:val="4492B3D4"/>
    <w:rsid w:val="44B7ACAE"/>
    <w:rsid w:val="44CF7630"/>
    <w:rsid w:val="44D21D13"/>
    <w:rsid w:val="45191655"/>
    <w:rsid w:val="45338ABA"/>
    <w:rsid w:val="453F1569"/>
    <w:rsid w:val="4540547A"/>
    <w:rsid w:val="4550FCAA"/>
    <w:rsid w:val="455315BA"/>
    <w:rsid w:val="4583A958"/>
    <w:rsid w:val="45875B05"/>
    <w:rsid w:val="4589999D"/>
    <w:rsid w:val="458A6B6F"/>
    <w:rsid w:val="459097D1"/>
    <w:rsid w:val="459F7FD1"/>
    <w:rsid w:val="459FF8B9"/>
    <w:rsid w:val="45AEFE3C"/>
    <w:rsid w:val="45CCD6DF"/>
    <w:rsid w:val="45E18C85"/>
    <w:rsid w:val="45FEC9AB"/>
    <w:rsid w:val="461B4783"/>
    <w:rsid w:val="462E6A24"/>
    <w:rsid w:val="4630FCBB"/>
    <w:rsid w:val="4640ED47"/>
    <w:rsid w:val="4669932B"/>
    <w:rsid w:val="467317F0"/>
    <w:rsid w:val="467BB0EF"/>
    <w:rsid w:val="469884BF"/>
    <w:rsid w:val="469E4B62"/>
    <w:rsid w:val="46AD5B2A"/>
    <w:rsid w:val="46E81CC2"/>
    <w:rsid w:val="471082E0"/>
    <w:rsid w:val="471A8DB9"/>
    <w:rsid w:val="472CED98"/>
    <w:rsid w:val="47424CED"/>
    <w:rsid w:val="474B50FE"/>
    <w:rsid w:val="474C229D"/>
    <w:rsid w:val="475027EF"/>
    <w:rsid w:val="4757F45B"/>
    <w:rsid w:val="477B3845"/>
    <w:rsid w:val="4789A127"/>
    <w:rsid w:val="478A20CF"/>
    <w:rsid w:val="47ACF28E"/>
    <w:rsid w:val="47CEDA55"/>
    <w:rsid w:val="47E26DE3"/>
    <w:rsid w:val="47FB2E51"/>
    <w:rsid w:val="480193E1"/>
    <w:rsid w:val="48094B57"/>
    <w:rsid w:val="480D71B1"/>
    <w:rsid w:val="481DDF62"/>
    <w:rsid w:val="482A6A26"/>
    <w:rsid w:val="4842AE7B"/>
    <w:rsid w:val="484588CB"/>
    <w:rsid w:val="485F7080"/>
    <w:rsid w:val="486DB402"/>
    <w:rsid w:val="48756B95"/>
    <w:rsid w:val="4876DB21"/>
    <w:rsid w:val="4883A37B"/>
    <w:rsid w:val="48843B7A"/>
    <w:rsid w:val="4889DE59"/>
    <w:rsid w:val="489BB511"/>
    <w:rsid w:val="48A00DF3"/>
    <w:rsid w:val="48BCC120"/>
    <w:rsid w:val="48C0D073"/>
    <w:rsid w:val="48D92441"/>
    <w:rsid w:val="48E0C2EA"/>
    <w:rsid w:val="48E89D62"/>
    <w:rsid w:val="48F51DA9"/>
    <w:rsid w:val="48FA57DE"/>
    <w:rsid w:val="490867AC"/>
    <w:rsid w:val="492E9708"/>
    <w:rsid w:val="49361BA9"/>
    <w:rsid w:val="495455AA"/>
    <w:rsid w:val="4976735F"/>
    <w:rsid w:val="497D6C82"/>
    <w:rsid w:val="49861D10"/>
    <w:rsid w:val="49957A2C"/>
    <w:rsid w:val="49D62D06"/>
    <w:rsid w:val="49EAEAC5"/>
    <w:rsid w:val="4A1AB546"/>
    <w:rsid w:val="4A1FBE04"/>
    <w:rsid w:val="4A65A965"/>
    <w:rsid w:val="4A6C4097"/>
    <w:rsid w:val="4A83D588"/>
    <w:rsid w:val="4AA153E2"/>
    <w:rsid w:val="4AA40594"/>
    <w:rsid w:val="4ADD1503"/>
    <w:rsid w:val="4AEB540F"/>
    <w:rsid w:val="4AF19144"/>
    <w:rsid w:val="4B31D399"/>
    <w:rsid w:val="4B35E111"/>
    <w:rsid w:val="4B39840F"/>
    <w:rsid w:val="4B44F4E2"/>
    <w:rsid w:val="4B467E03"/>
    <w:rsid w:val="4B588538"/>
    <w:rsid w:val="4B7048E3"/>
    <w:rsid w:val="4B8CE249"/>
    <w:rsid w:val="4BA8DC39"/>
    <w:rsid w:val="4BB04EED"/>
    <w:rsid w:val="4BCBCDEF"/>
    <w:rsid w:val="4BD878AC"/>
    <w:rsid w:val="4BE92E9C"/>
    <w:rsid w:val="4BEAC8A0"/>
    <w:rsid w:val="4C3B0351"/>
    <w:rsid w:val="4C435C71"/>
    <w:rsid w:val="4C555B40"/>
    <w:rsid w:val="4C632C57"/>
    <w:rsid w:val="4C7CB568"/>
    <w:rsid w:val="4C86F175"/>
    <w:rsid w:val="4C88208F"/>
    <w:rsid w:val="4C8E45A0"/>
    <w:rsid w:val="4CED91FE"/>
    <w:rsid w:val="4CEE4532"/>
    <w:rsid w:val="4CF02B11"/>
    <w:rsid w:val="4D009ED6"/>
    <w:rsid w:val="4D0F322B"/>
    <w:rsid w:val="4D38A23C"/>
    <w:rsid w:val="4D4054D0"/>
    <w:rsid w:val="4D585ADB"/>
    <w:rsid w:val="4D60977E"/>
    <w:rsid w:val="4D9FD68E"/>
    <w:rsid w:val="4DA8E9CC"/>
    <w:rsid w:val="4DB11CDD"/>
    <w:rsid w:val="4DD35433"/>
    <w:rsid w:val="4DD76DB4"/>
    <w:rsid w:val="4DF7D0BE"/>
    <w:rsid w:val="4E259E71"/>
    <w:rsid w:val="4E395604"/>
    <w:rsid w:val="4E4C7C9C"/>
    <w:rsid w:val="4E55C040"/>
    <w:rsid w:val="4E58503D"/>
    <w:rsid w:val="4E5961E0"/>
    <w:rsid w:val="4E82F7AF"/>
    <w:rsid w:val="4E9826B9"/>
    <w:rsid w:val="4EBA45F3"/>
    <w:rsid w:val="4ECAB846"/>
    <w:rsid w:val="4ECB7610"/>
    <w:rsid w:val="4ED3EBE4"/>
    <w:rsid w:val="4EF50739"/>
    <w:rsid w:val="4F23FACA"/>
    <w:rsid w:val="4F2533DA"/>
    <w:rsid w:val="4F2F3C93"/>
    <w:rsid w:val="4F40C978"/>
    <w:rsid w:val="4FC20B24"/>
    <w:rsid w:val="4FF513D1"/>
    <w:rsid w:val="4FFEDF59"/>
    <w:rsid w:val="5014C241"/>
    <w:rsid w:val="5017F0FA"/>
    <w:rsid w:val="5026BE25"/>
    <w:rsid w:val="5034A0AF"/>
    <w:rsid w:val="506F553E"/>
    <w:rsid w:val="5078AB5C"/>
    <w:rsid w:val="508F5764"/>
    <w:rsid w:val="509C0C99"/>
    <w:rsid w:val="50A8191D"/>
    <w:rsid w:val="50A847A2"/>
    <w:rsid w:val="50C5F478"/>
    <w:rsid w:val="50E02CEC"/>
    <w:rsid w:val="5108AFF0"/>
    <w:rsid w:val="510D906E"/>
    <w:rsid w:val="5117DE3E"/>
    <w:rsid w:val="512310DA"/>
    <w:rsid w:val="512F020C"/>
    <w:rsid w:val="5145EBBA"/>
    <w:rsid w:val="51563EF2"/>
    <w:rsid w:val="51579FC2"/>
    <w:rsid w:val="5178AB41"/>
    <w:rsid w:val="51790B0C"/>
    <w:rsid w:val="51A85723"/>
    <w:rsid w:val="51BDA2A2"/>
    <w:rsid w:val="51C0201D"/>
    <w:rsid w:val="521F4AC8"/>
    <w:rsid w:val="5229F00C"/>
    <w:rsid w:val="524F4C10"/>
    <w:rsid w:val="5256D1C5"/>
    <w:rsid w:val="5269758A"/>
    <w:rsid w:val="526DEADC"/>
    <w:rsid w:val="529572F5"/>
    <w:rsid w:val="529D8CAB"/>
    <w:rsid w:val="52BBF1A4"/>
    <w:rsid w:val="52BF0445"/>
    <w:rsid w:val="52CE49AB"/>
    <w:rsid w:val="52D08561"/>
    <w:rsid w:val="52DAECD7"/>
    <w:rsid w:val="52E2EE68"/>
    <w:rsid w:val="52F76213"/>
    <w:rsid w:val="52FA8FDD"/>
    <w:rsid w:val="52FC8D12"/>
    <w:rsid w:val="52FE26A5"/>
    <w:rsid w:val="534C5D51"/>
    <w:rsid w:val="5358C42A"/>
    <w:rsid w:val="535D9EA1"/>
    <w:rsid w:val="535F357F"/>
    <w:rsid w:val="53714B7C"/>
    <w:rsid w:val="5393E7A6"/>
    <w:rsid w:val="5397837F"/>
    <w:rsid w:val="539B032A"/>
    <w:rsid w:val="53A865E8"/>
    <w:rsid w:val="53AD22F9"/>
    <w:rsid w:val="53B027A8"/>
    <w:rsid w:val="53B9DCF9"/>
    <w:rsid w:val="53CC64FA"/>
    <w:rsid w:val="53DA1D03"/>
    <w:rsid w:val="541C1BD6"/>
    <w:rsid w:val="542AB4B5"/>
    <w:rsid w:val="54317640"/>
    <w:rsid w:val="544C4EDA"/>
    <w:rsid w:val="5489CB2F"/>
    <w:rsid w:val="549B5715"/>
    <w:rsid w:val="54A22EDC"/>
    <w:rsid w:val="54C9D86D"/>
    <w:rsid w:val="54DB8E5A"/>
    <w:rsid w:val="54E4D234"/>
    <w:rsid w:val="54E66F5A"/>
    <w:rsid w:val="54EDF51F"/>
    <w:rsid w:val="551B834A"/>
    <w:rsid w:val="551DB926"/>
    <w:rsid w:val="55324663"/>
    <w:rsid w:val="554A8A9F"/>
    <w:rsid w:val="554FFBE8"/>
    <w:rsid w:val="555C7425"/>
    <w:rsid w:val="55AFA338"/>
    <w:rsid w:val="55C0F33F"/>
    <w:rsid w:val="55CA30A2"/>
    <w:rsid w:val="55D6A37C"/>
    <w:rsid w:val="55DAE4AE"/>
    <w:rsid w:val="55E82049"/>
    <w:rsid w:val="55E94298"/>
    <w:rsid w:val="55EACCF6"/>
    <w:rsid w:val="560CFA87"/>
    <w:rsid w:val="5625E75A"/>
    <w:rsid w:val="562B1219"/>
    <w:rsid w:val="5665E1D5"/>
    <w:rsid w:val="56795453"/>
    <w:rsid w:val="567BDCDF"/>
    <w:rsid w:val="56DF264A"/>
    <w:rsid w:val="56EAF2D7"/>
    <w:rsid w:val="56FB57E8"/>
    <w:rsid w:val="56FE3238"/>
    <w:rsid w:val="5708F45D"/>
    <w:rsid w:val="5710C580"/>
    <w:rsid w:val="57127984"/>
    <w:rsid w:val="5734D155"/>
    <w:rsid w:val="573E4511"/>
    <w:rsid w:val="57667F98"/>
    <w:rsid w:val="57A5B745"/>
    <w:rsid w:val="57B76BD7"/>
    <w:rsid w:val="57D32269"/>
    <w:rsid w:val="57E5D853"/>
    <w:rsid w:val="580EA1A2"/>
    <w:rsid w:val="582297A0"/>
    <w:rsid w:val="583F1B1C"/>
    <w:rsid w:val="58561395"/>
    <w:rsid w:val="58AB6981"/>
    <w:rsid w:val="58AE3F04"/>
    <w:rsid w:val="58BC7360"/>
    <w:rsid w:val="58F34BB4"/>
    <w:rsid w:val="58F521CC"/>
    <w:rsid w:val="58FC02E6"/>
    <w:rsid w:val="591D0341"/>
    <w:rsid w:val="592A6FF7"/>
    <w:rsid w:val="5937ED9F"/>
    <w:rsid w:val="59454146"/>
    <w:rsid w:val="596AAAB6"/>
    <w:rsid w:val="599646C5"/>
    <w:rsid w:val="599C54D2"/>
    <w:rsid w:val="59A2FBB8"/>
    <w:rsid w:val="59E05DF5"/>
    <w:rsid w:val="59F31766"/>
    <w:rsid w:val="5A57FF1D"/>
    <w:rsid w:val="5A6C1282"/>
    <w:rsid w:val="5AAD3848"/>
    <w:rsid w:val="5AAE680A"/>
    <w:rsid w:val="5AC72CFE"/>
    <w:rsid w:val="5AD0BADB"/>
    <w:rsid w:val="5AF2D84B"/>
    <w:rsid w:val="5AFAD76A"/>
    <w:rsid w:val="5B00BF90"/>
    <w:rsid w:val="5B0E6775"/>
    <w:rsid w:val="5B0F8B39"/>
    <w:rsid w:val="5B429EB3"/>
    <w:rsid w:val="5B5BA5AE"/>
    <w:rsid w:val="5B5E5686"/>
    <w:rsid w:val="5B642525"/>
    <w:rsid w:val="5B669C11"/>
    <w:rsid w:val="5B76FEEB"/>
    <w:rsid w:val="5B7F7C9A"/>
    <w:rsid w:val="5B8FF404"/>
    <w:rsid w:val="5BCBAF1A"/>
    <w:rsid w:val="5BCEFBB8"/>
    <w:rsid w:val="5BFD5A28"/>
    <w:rsid w:val="5C0032EA"/>
    <w:rsid w:val="5C01C75B"/>
    <w:rsid w:val="5C11FF47"/>
    <w:rsid w:val="5C34E5EB"/>
    <w:rsid w:val="5C4A6934"/>
    <w:rsid w:val="5C5CE7FC"/>
    <w:rsid w:val="5C853E3C"/>
    <w:rsid w:val="5C947095"/>
    <w:rsid w:val="5CAA0D17"/>
    <w:rsid w:val="5CAF1507"/>
    <w:rsid w:val="5CB36435"/>
    <w:rsid w:val="5CB52E52"/>
    <w:rsid w:val="5CE1B713"/>
    <w:rsid w:val="5CF31559"/>
    <w:rsid w:val="5D00D446"/>
    <w:rsid w:val="5D4EF997"/>
    <w:rsid w:val="5D8128F4"/>
    <w:rsid w:val="5D91DF33"/>
    <w:rsid w:val="5D993B8E"/>
    <w:rsid w:val="5E01350B"/>
    <w:rsid w:val="5E3EF7C2"/>
    <w:rsid w:val="5E6AEDFE"/>
    <w:rsid w:val="5E78B205"/>
    <w:rsid w:val="5E8FCF2F"/>
    <w:rsid w:val="5E9F2350"/>
    <w:rsid w:val="5EEE940B"/>
    <w:rsid w:val="5EFAEF88"/>
    <w:rsid w:val="5F2093BF"/>
    <w:rsid w:val="5F856E2D"/>
    <w:rsid w:val="5F8DE546"/>
    <w:rsid w:val="5F9F2C06"/>
    <w:rsid w:val="5FB96337"/>
    <w:rsid w:val="5FB9A69F"/>
    <w:rsid w:val="5FBD8F46"/>
    <w:rsid w:val="5FD67B73"/>
    <w:rsid w:val="60022ED2"/>
    <w:rsid w:val="600AB220"/>
    <w:rsid w:val="6015D1EF"/>
    <w:rsid w:val="60160FD6"/>
    <w:rsid w:val="6022CDDA"/>
    <w:rsid w:val="602C3D6F"/>
    <w:rsid w:val="60398556"/>
    <w:rsid w:val="607DDAC1"/>
    <w:rsid w:val="60A54F12"/>
    <w:rsid w:val="60B4AFDB"/>
    <w:rsid w:val="60CA9AF1"/>
    <w:rsid w:val="60F15D57"/>
    <w:rsid w:val="61259557"/>
    <w:rsid w:val="61272991"/>
    <w:rsid w:val="61294074"/>
    <w:rsid w:val="613074F8"/>
    <w:rsid w:val="61426583"/>
    <w:rsid w:val="6156838E"/>
    <w:rsid w:val="615D478E"/>
    <w:rsid w:val="619950EF"/>
    <w:rsid w:val="61D10AEF"/>
    <w:rsid w:val="61DA4952"/>
    <w:rsid w:val="61DF162A"/>
    <w:rsid w:val="61F6913F"/>
    <w:rsid w:val="61F721D3"/>
    <w:rsid w:val="620E619A"/>
    <w:rsid w:val="6229D387"/>
    <w:rsid w:val="625695C5"/>
    <w:rsid w:val="626BDD8D"/>
    <w:rsid w:val="6274CC0D"/>
    <w:rsid w:val="62870731"/>
    <w:rsid w:val="62A32278"/>
    <w:rsid w:val="62AD8DBF"/>
    <w:rsid w:val="62C8D2C4"/>
    <w:rsid w:val="62F031C4"/>
    <w:rsid w:val="632A51B9"/>
    <w:rsid w:val="633A2F99"/>
    <w:rsid w:val="63577A99"/>
    <w:rsid w:val="6378FA1C"/>
    <w:rsid w:val="6388284C"/>
    <w:rsid w:val="639C9EBA"/>
    <w:rsid w:val="63B36937"/>
    <w:rsid w:val="63D228AA"/>
    <w:rsid w:val="63F217C2"/>
    <w:rsid w:val="640148D0"/>
    <w:rsid w:val="640C6180"/>
    <w:rsid w:val="644538CA"/>
    <w:rsid w:val="644B0E51"/>
    <w:rsid w:val="6459CFDC"/>
    <w:rsid w:val="64769029"/>
    <w:rsid w:val="64871050"/>
    <w:rsid w:val="64932121"/>
    <w:rsid w:val="64AE9242"/>
    <w:rsid w:val="64C7EB38"/>
    <w:rsid w:val="64D2AA38"/>
    <w:rsid w:val="64E980F9"/>
    <w:rsid w:val="64EB25FF"/>
    <w:rsid w:val="650E0D0C"/>
    <w:rsid w:val="6519EB47"/>
    <w:rsid w:val="651B511C"/>
    <w:rsid w:val="6538B771"/>
    <w:rsid w:val="653B49F9"/>
    <w:rsid w:val="6570824E"/>
    <w:rsid w:val="6579ADD1"/>
    <w:rsid w:val="659937B3"/>
    <w:rsid w:val="65AE6440"/>
    <w:rsid w:val="65B9881A"/>
    <w:rsid w:val="65BAFC68"/>
    <w:rsid w:val="65C16FBC"/>
    <w:rsid w:val="65CF8BD1"/>
    <w:rsid w:val="65D4C286"/>
    <w:rsid w:val="65EFA01E"/>
    <w:rsid w:val="65FBA41B"/>
    <w:rsid w:val="6600A321"/>
    <w:rsid w:val="66042794"/>
    <w:rsid w:val="662880A1"/>
    <w:rsid w:val="662CF97C"/>
    <w:rsid w:val="66692D32"/>
    <w:rsid w:val="666B4782"/>
    <w:rsid w:val="666DBEE8"/>
    <w:rsid w:val="667C5136"/>
    <w:rsid w:val="6685515A"/>
    <w:rsid w:val="668BA8FB"/>
    <w:rsid w:val="66981066"/>
    <w:rsid w:val="66A00E5D"/>
    <w:rsid w:val="66B02FC8"/>
    <w:rsid w:val="66B06E7A"/>
    <w:rsid w:val="66B96C54"/>
    <w:rsid w:val="66C0AD32"/>
    <w:rsid w:val="66DC0B36"/>
    <w:rsid w:val="6716A700"/>
    <w:rsid w:val="6729B88F"/>
    <w:rsid w:val="675460A8"/>
    <w:rsid w:val="6762E0C4"/>
    <w:rsid w:val="6768DB67"/>
    <w:rsid w:val="676F3BCD"/>
    <w:rsid w:val="67AC26AC"/>
    <w:rsid w:val="67B2FFD4"/>
    <w:rsid w:val="67E69740"/>
    <w:rsid w:val="67E6FFB9"/>
    <w:rsid w:val="67F50CD7"/>
    <w:rsid w:val="67FA50B0"/>
    <w:rsid w:val="68028D63"/>
    <w:rsid w:val="682670A6"/>
    <w:rsid w:val="6827E051"/>
    <w:rsid w:val="685971E3"/>
    <w:rsid w:val="686D0555"/>
    <w:rsid w:val="6876B210"/>
    <w:rsid w:val="6876CD78"/>
    <w:rsid w:val="688A8A5F"/>
    <w:rsid w:val="68A785CC"/>
    <w:rsid w:val="68E409EB"/>
    <w:rsid w:val="68F95BD1"/>
    <w:rsid w:val="691EA910"/>
    <w:rsid w:val="695287E0"/>
    <w:rsid w:val="69602163"/>
    <w:rsid w:val="69767C87"/>
    <w:rsid w:val="69893CF7"/>
    <w:rsid w:val="69929754"/>
    <w:rsid w:val="69953708"/>
    <w:rsid w:val="69974477"/>
    <w:rsid w:val="69AA4BF2"/>
    <w:rsid w:val="69D168A9"/>
    <w:rsid w:val="69D54A59"/>
    <w:rsid w:val="69D6AF7D"/>
    <w:rsid w:val="69EBD332"/>
    <w:rsid w:val="6A1203AF"/>
    <w:rsid w:val="6A204270"/>
    <w:rsid w:val="6A28D821"/>
    <w:rsid w:val="6A37A855"/>
    <w:rsid w:val="6A3A15AA"/>
    <w:rsid w:val="6A3ECDE2"/>
    <w:rsid w:val="6A4CB30A"/>
    <w:rsid w:val="6A686AF8"/>
    <w:rsid w:val="6A8A3160"/>
    <w:rsid w:val="6A8D0C48"/>
    <w:rsid w:val="6AA09A85"/>
    <w:rsid w:val="6AA10C1B"/>
    <w:rsid w:val="6AAFF992"/>
    <w:rsid w:val="6AB4E719"/>
    <w:rsid w:val="6ABA7971"/>
    <w:rsid w:val="6ABCA1E2"/>
    <w:rsid w:val="6ACF3F97"/>
    <w:rsid w:val="6AD1EC6B"/>
    <w:rsid w:val="6AD9BB93"/>
    <w:rsid w:val="6ADCC341"/>
    <w:rsid w:val="6B44FDE9"/>
    <w:rsid w:val="6B67163B"/>
    <w:rsid w:val="6B88D929"/>
    <w:rsid w:val="6B8BAC6E"/>
    <w:rsid w:val="6BA2A666"/>
    <w:rsid w:val="6BAD721B"/>
    <w:rsid w:val="6BCF7F71"/>
    <w:rsid w:val="6BEFC24B"/>
    <w:rsid w:val="6BF1E745"/>
    <w:rsid w:val="6BFA3692"/>
    <w:rsid w:val="6C0CB06B"/>
    <w:rsid w:val="6C1F2F90"/>
    <w:rsid w:val="6C1F3F4E"/>
    <w:rsid w:val="6C569710"/>
    <w:rsid w:val="6C7A6892"/>
    <w:rsid w:val="6C946A68"/>
    <w:rsid w:val="6CB9D8D1"/>
    <w:rsid w:val="6CC02B34"/>
    <w:rsid w:val="6CD0CFE8"/>
    <w:rsid w:val="6CE73FE3"/>
    <w:rsid w:val="6D058B82"/>
    <w:rsid w:val="6D1DBE8C"/>
    <w:rsid w:val="6D2F780E"/>
    <w:rsid w:val="6D3A7C3C"/>
    <w:rsid w:val="6D3A8D49"/>
    <w:rsid w:val="6D3C64D6"/>
    <w:rsid w:val="6D447DD5"/>
    <w:rsid w:val="6D44FD72"/>
    <w:rsid w:val="6D49BC34"/>
    <w:rsid w:val="6D55D9D3"/>
    <w:rsid w:val="6D67D1BB"/>
    <w:rsid w:val="6D7CF4F5"/>
    <w:rsid w:val="6DA48BBE"/>
    <w:rsid w:val="6DA4BB64"/>
    <w:rsid w:val="6DA9BA37"/>
    <w:rsid w:val="6DAD8482"/>
    <w:rsid w:val="6DD89908"/>
    <w:rsid w:val="6DEB423F"/>
    <w:rsid w:val="6DECE1DC"/>
    <w:rsid w:val="6E09DCA4"/>
    <w:rsid w:val="6E339286"/>
    <w:rsid w:val="6E97287D"/>
    <w:rsid w:val="6E99928A"/>
    <w:rsid w:val="6EA2FA2A"/>
    <w:rsid w:val="6EAFB261"/>
    <w:rsid w:val="6EB3506C"/>
    <w:rsid w:val="6EBE2868"/>
    <w:rsid w:val="6EC97C22"/>
    <w:rsid w:val="6ED7F0E8"/>
    <w:rsid w:val="6EDCA610"/>
    <w:rsid w:val="6EE29F71"/>
    <w:rsid w:val="6F09DD0F"/>
    <w:rsid w:val="6F184DA4"/>
    <w:rsid w:val="6F1F8865"/>
    <w:rsid w:val="6F273E01"/>
    <w:rsid w:val="6F80A6A6"/>
    <w:rsid w:val="6F9BFA12"/>
    <w:rsid w:val="6FD5E173"/>
    <w:rsid w:val="6FE35DA4"/>
    <w:rsid w:val="7013CEA7"/>
    <w:rsid w:val="7016230F"/>
    <w:rsid w:val="701710CC"/>
    <w:rsid w:val="701FF358"/>
    <w:rsid w:val="7030C905"/>
    <w:rsid w:val="7036A924"/>
    <w:rsid w:val="70454BA0"/>
    <w:rsid w:val="706180A2"/>
    <w:rsid w:val="7088F141"/>
    <w:rsid w:val="70B1EBFC"/>
    <w:rsid w:val="70BC6078"/>
    <w:rsid w:val="70DD4BFE"/>
    <w:rsid w:val="70EA4C0F"/>
    <w:rsid w:val="70EF6DFF"/>
    <w:rsid w:val="70F62859"/>
    <w:rsid w:val="7108D5E4"/>
    <w:rsid w:val="711E2DBC"/>
    <w:rsid w:val="711FF693"/>
    <w:rsid w:val="71268806"/>
    <w:rsid w:val="713AC3F6"/>
    <w:rsid w:val="71480290"/>
    <w:rsid w:val="714869E1"/>
    <w:rsid w:val="714F729D"/>
    <w:rsid w:val="716AE295"/>
    <w:rsid w:val="716B286D"/>
    <w:rsid w:val="71B7BF84"/>
    <w:rsid w:val="71CA49B4"/>
    <w:rsid w:val="72188CC6"/>
    <w:rsid w:val="7223F665"/>
    <w:rsid w:val="722C52D4"/>
    <w:rsid w:val="72305777"/>
    <w:rsid w:val="7237B602"/>
    <w:rsid w:val="72571326"/>
    <w:rsid w:val="725901EE"/>
    <w:rsid w:val="725E06BA"/>
    <w:rsid w:val="726440B1"/>
    <w:rsid w:val="7274CC6F"/>
    <w:rsid w:val="7279824C"/>
    <w:rsid w:val="72969B84"/>
    <w:rsid w:val="72A13ED1"/>
    <w:rsid w:val="72AFD5C4"/>
    <w:rsid w:val="72B2A8D0"/>
    <w:rsid w:val="72CB87D5"/>
    <w:rsid w:val="72F5118B"/>
    <w:rsid w:val="72F5795A"/>
    <w:rsid w:val="73002599"/>
    <w:rsid w:val="73140D09"/>
    <w:rsid w:val="731DAB7E"/>
    <w:rsid w:val="7321A6D5"/>
    <w:rsid w:val="732C8D17"/>
    <w:rsid w:val="7335B04A"/>
    <w:rsid w:val="733BCFB0"/>
    <w:rsid w:val="735D5A0C"/>
    <w:rsid w:val="736BC1E8"/>
    <w:rsid w:val="736F5F2C"/>
    <w:rsid w:val="7375E5B7"/>
    <w:rsid w:val="737925BC"/>
    <w:rsid w:val="7381C423"/>
    <w:rsid w:val="738789D8"/>
    <w:rsid w:val="738C15D2"/>
    <w:rsid w:val="738D60DA"/>
    <w:rsid w:val="73A59402"/>
    <w:rsid w:val="73A7B647"/>
    <w:rsid w:val="73AE2492"/>
    <w:rsid w:val="73C6BECC"/>
    <w:rsid w:val="73E8AF1D"/>
    <w:rsid w:val="740B8DB6"/>
    <w:rsid w:val="744BE654"/>
    <w:rsid w:val="745A387A"/>
    <w:rsid w:val="7466B671"/>
    <w:rsid w:val="7473BA44"/>
    <w:rsid w:val="748F19F7"/>
    <w:rsid w:val="748F254F"/>
    <w:rsid w:val="74A75532"/>
    <w:rsid w:val="74D17AB9"/>
    <w:rsid w:val="74E56CCA"/>
    <w:rsid w:val="74FA268C"/>
    <w:rsid w:val="751E800C"/>
    <w:rsid w:val="754394B2"/>
    <w:rsid w:val="75577A00"/>
    <w:rsid w:val="755A7253"/>
    <w:rsid w:val="75704933"/>
    <w:rsid w:val="75719C73"/>
    <w:rsid w:val="75869F80"/>
    <w:rsid w:val="758DBB56"/>
    <w:rsid w:val="75911731"/>
    <w:rsid w:val="759EDD07"/>
    <w:rsid w:val="75D841DC"/>
    <w:rsid w:val="75DFBF40"/>
    <w:rsid w:val="761440BA"/>
    <w:rsid w:val="76528D9D"/>
    <w:rsid w:val="765A604A"/>
    <w:rsid w:val="7692F9AA"/>
    <w:rsid w:val="769B42F5"/>
    <w:rsid w:val="76C69244"/>
    <w:rsid w:val="76D48D40"/>
    <w:rsid w:val="76E0E5BA"/>
    <w:rsid w:val="7712799F"/>
    <w:rsid w:val="77294797"/>
    <w:rsid w:val="77325251"/>
    <w:rsid w:val="773A79FA"/>
    <w:rsid w:val="774AEAC5"/>
    <w:rsid w:val="7755CBB4"/>
    <w:rsid w:val="775FE69A"/>
    <w:rsid w:val="7783992F"/>
    <w:rsid w:val="778B1045"/>
    <w:rsid w:val="778F3817"/>
    <w:rsid w:val="77953308"/>
    <w:rsid w:val="77A9249B"/>
    <w:rsid w:val="77DF382A"/>
    <w:rsid w:val="7803DE33"/>
    <w:rsid w:val="780C885E"/>
    <w:rsid w:val="780F89D5"/>
    <w:rsid w:val="78425242"/>
    <w:rsid w:val="784A63E3"/>
    <w:rsid w:val="784F2F87"/>
    <w:rsid w:val="785749BB"/>
    <w:rsid w:val="787258E7"/>
    <w:rsid w:val="787975EC"/>
    <w:rsid w:val="78838090"/>
    <w:rsid w:val="78985217"/>
    <w:rsid w:val="78AF5D65"/>
    <w:rsid w:val="78B101EF"/>
    <w:rsid w:val="78BD8254"/>
    <w:rsid w:val="78CC6F2B"/>
    <w:rsid w:val="78D15C76"/>
    <w:rsid w:val="78E0C623"/>
    <w:rsid w:val="793E8678"/>
    <w:rsid w:val="79411C9D"/>
    <w:rsid w:val="79692224"/>
    <w:rsid w:val="796E4ECC"/>
    <w:rsid w:val="7971375D"/>
    <w:rsid w:val="798A9990"/>
    <w:rsid w:val="798A99F9"/>
    <w:rsid w:val="798D283C"/>
    <w:rsid w:val="79AA2C4F"/>
    <w:rsid w:val="79B31080"/>
    <w:rsid w:val="79C75BE7"/>
    <w:rsid w:val="79D16109"/>
    <w:rsid w:val="79DE7466"/>
    <w:rsid w:val="79E55330"/>
    <w:rsid w:val="79FB3943"/>
    <w:rsid w:val="7A046839"/>
    <w:rsid w:val="7A2F2C97"/>
    <w:rsid w:val="7A2FEE93"/>
    <w:rsid w:val="7A38DF8A"/>
    <w:rsid w:val="7A41D0C3"/>
    <w:rsid w:val="7A498706"/>
    <w:rsid w:val="7A8D5DFD"/>
    <w:rsid w:val="7A9E82CF"/>
    <w:rsid w:val="7AB917C7"/>
    <w:rsid w:val="7ABEE666"/>
    <w:rsid w:val="7AC445C1"/>
    <w:rsid w:val="7AD806BA"/>
    <w:rsid w:val="7ADD6832"/>
    <w:rsid w:val="7AE2F743"/>
    <w:rsid w:val="7AF9EFBF"/>
    <w:rsid w:val="7B1E769F"/>
    <w:rsid w:val="7B2E0869"/>
    <w:rsid w:val="7B3C97BE"/>
    <w:rsid w:val="7B6E3527"/>
    <w:rsid w:val="7B7251B5"/>
    <w:rsid w:val="7B87858E"/>
    <w:rsid w:val="7BA40B88"/>
    <w:rsid w:val="7BAAC207"/>
    <w:rsid w:val="7BC4602E"/>
    <w:rsid w:val="7BCEC34F"/>
    <w:rsid w:val="7BCF2121"/>
    <w:rsid w:val="7BCFE2AD"/>
    <w:rsid w:val="7BD6A52F"/>
    <w:rsid w:val="7BF6B08E"/>
    <w:rsid w:val="7C33517F"/>
    <w:rsid w:val="7C5DD324"/>
    <w:rsid w:val="7C5E5223"/>
    <w:rsid w:val="7C71514D"/>
    <w:rsid w:val="7C7811F2"/>
    <w:rsid w:val="7C7A6A55"/>
    <w:rsid w:val="7C9F12E4"/>
    <w:rsid w:val="7CCA081A"/>
    <w:rsid w:val="7CE47A44"/>
    <w:rsid w:val="7CEB6946"/>
    <w:rsid w:val="7CF97BD1"/>
    <w:rsid w:val="7D12A42E"/>
    <w:rsid w:val="7D148AAB"/>
    <w:rsid w:val="7D151AA5"/>
    <w:rsid w:val="7D30B88E"/>
    <w:rsid w:val="7D3C50D2"/>
    <w:rsid w:val="7D3F5B2F"/>
    <w:rsid w:val="7D44C8FB"/>
    <w:rsid w:val="7D50F596"/>
    <w:rsid w:val="7D579A7E"/>
    <w:rsid w:val="7D760985"/>
    <w:rsid w:val="7D888085"/>
    <w:rsid w:val="7D8B4F28"/>
    <w:rsid w:val="7D9836AF"/>
    <w:rsid w:val="7DC84D23"/>
    <w:rsid w:val="7E100DD1"/>
    <w:rsid w:val="7E2D32C1"/>
    <w:rsid w:val="7E330138"/>
    <w:rsid w:val="7E34F75B"/>
    <w:rsid w:val="7E6BFBC5"/>
    <w:rsid w:val="7E963256"/>
    <w:rsid w:val="7EA9C613"/>
    <w:rsid w:val="7EE21B89"/>
    <w:rsid w:val="7EFCFD0F"/>
    <w:rsid w:val="7F2F1F93"/>
    <w:rsid w:val="7F6203B8"/>
    <w:rsid w:val="7F633043"/>
    <w:rsid w:val="7F7028D4"/>
    <w:rsid w:val="7F7959C5"/>
    <w:rsid w:val="7F7C1235"/>
    <w:rsid w:val="7F92CF9D"/>
    <w:rsid w:val="7F9665C9"/>
    <w:rsid w:val="7FACE9D9"/>
    <w:rsid w:val="7FBB7D79"/>
    <w:rsid w:val="7FBC18D0"/>
    <w:rsid w:val="7FEF7142"/>
  </w:rsids>
  <m:mathPr>
    <m:mathFont m:val="Cambria Math"/>
    <m:brkBin m:val="before"/>
    <m:brkBinSub m:val="--"/>
    <m:smallFrac m:val="0"/>
    <m:dispDef m:val="0"/>
    <m:lMargin m:val="0"/>
    <m:rMargin m:val="0"/>
    <m:defJc m:val="centerGroup"/>
    <m:wrapRight/>
    <m:intLim m:val="subSup"/>
    <m:naryLim m:val="subSup"/>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64582D"/>
  <w15:docId w15:val="{5A6CEB14-8978-4B6D-953F-AF0DDFAA5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80"/>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C531D"/>
    <w:pPr>
      <w:spacing w:after="180"/>
    </w:pPr>
    <w:rPr>
      <w:rFonts w:ascii="Arial" w:hAnsi="Arial"/>
      <w:color w:val="7F7F7F" w:themeColor="text1" w:themeTint="80"/>
      <w:sz w:val="20"/>
    </w:rPr>
  </w:style>
  <w:style w:type="paragraph" w:styleId="Heading1">
    <w:name w:val="heading 1"/>
    <w:basedOn w:val="Normal"/>
    <w:next w:val="Normal"/>
    <w:link w:val="Heading1Char"/>
    <w:uiPriority w:val="9"/>
    <w:rsid w:val="00320A8D"/>
    <w:pPr>
      <w:keepNext/>
      <w:keepLines/>
      <w:spacing w:before="360" w:after="0"/>
      <w:outlineLvl w:val="0"/>
    </w:pPr>
    <w:rPr>
      <w:rFonts w:ascii="Tahoma" w:eastAsiaTheme="majorEastAsia" w:hAnsi="Tahoma" w:cs="Times New Roman (Headings CS)"/>
      <w:bCs/>
      <w:color w:val="595959" w:themeColor="text2" w:themeTint="A6"/>
      <w:spacing w:val="20"/>
      <w:sz w:val="48"/>
      <w:szCs w:val="28"/>
    </w:rPr>
  </w:style>
  <w:style w:type="paragraph" w:styleId="Heading2">
    <w:name w:val="heading 2"/>
    <w:basedOn w:val="Normal"/>
    <w:next w:val="Normal"/>
    <w:link w:val="Heading2Char"/>
    <w:uiPriority w:val="9"/>
    <w:unhideWhenUsed/>
    <w:rsid w:val="00320A8D"/>
    <w:pPr>
      <w:keepNext/>
      <w:keepLines/>
      <w:spacing w:before="120" w:after="0"/>
      <w:outlineLvl w:val="1"/>
    </w:pPr>
    <w:rPr>
      <w:rFonts w:eastAsiaTheme="majorEastAsia" w:cstheme="majorBidi"/>
      <w:b/>
      <w:bCs/>
      <w:color w:val="26664E" w:themeColor="accent1"/>
      <w:sz w:val="28"/>
      <w:szCs w:val="26"/>
    </w:rPr>
  </w:style>
  <w:style w:type="paragraph" w:styleId="Heading3">
    <w:name w:val="heading 3"/>
    <w:basedOn w:val="Normal"/>
    <w:next w:val="Normal"/>
    <w:link w:val="Heading3Char"/>
    <w:uiPriority w:val="9"/>
    <w:unhideWhenUsed/>
    <w:rsid w:val="00320A8D"/>
    <w:pPr>
      <w:keepNext/>
      <w:keepLines/>
      <w:spacing w:before="20" w:after="0"/>
      <w:outlineLvl w:val="2"/>
    </w:pPr>
    <w:rPr>
      <w:rFonts w:asciiTheme="majorHAnsi" w:eastAsiaTheme="majorEastAsia" w:hAnsiTheme="majorHAnsi" w:cstheme="majorBidi"/>
      <w:bCs/>
      <w:color w:val="000000" w:themeColor="text2"/>
      <w:spacing w:val="14"/>
      <w:sz w:val="24"/>
    </w:rPr>
  </w:style>
  <w:style w:type="paragraph" w:styleId="Heading4">
    <w:name w:val="heading 4"/>
    <w:basedOn w:val="Normal"/>
    <w:next w:val="Normal"/>
    <w:link w:val="Heading4Char"/>
    <w:uiPriority w:val="9"/>
    <w:unhideWhenUsed/>
    <w:rsid w:val="00320A8D"/>
    <w:pPr>
      <w:keepNext/>
      <w:keepLines/>
      <w:spacing w:before="200" w:after="0"/>
      <w:outlineLvl w:val="3"/>
    </w:pPr>
    <w:rPr>
      <w:rFonts w:eastAsiaTheme="majorEastAsia" w:cstheme="majorBidi"/>
      <w:b/>
      <w:bCs/>
      <w:i/>
      <w:iCs/>
      <w:color w:val="000000"/>
      <w:sz w:val="24"/>
    </w:rPr>
  </w:style>
  <w:style w:type="paragraph" w:styleId="Heading5">
    <w:name w:val="heading 5"/>
    <w:basedOn w:val="Normal"/>
    <w:next w:val="Normal"/>
    <w:link w:val="Heading5Char"/>
    <w:uiPriority w:val="9"/>
    <w:unhideWhenUsed/>
    <w:rsid w:val="00320A8D"/>
    <w:pPr>
      <w:keepNext/>
      <w:keepLines/>
      <w:spacing w:before="200" w:after="0"/>
      <w:outlineLvl w:val="4"/>
    </w:pPr>
    <w:rPr>
      <w:rFonts w:asciiTheme="majorHAnsi" w:eastAsiaTheme="majorEastAsia" w:hAnsiTheme="majorHAnsi" w:cstheme="majorBidi"/>
      <w:color w:val="000000"/>
      <w:sz w:val="22"/>
    </w:rPr>
  </w:style>
  <w:style w:type="paragraph" w:styleId="Heading6">
    <w:name w:val="heading 6"/>
    <w:basedOn w:val="Normal"/>
    <w:next w:val="Normal"/>
    <w:link w:val="Heading6Char"/>
    <w:uiPriority w:val="9"/>
    <w:unhideWhenUsed/>
    <w:rsid w:val="00320A8D"/>
    <w:pPr>
      <w:keepNext/>
      <w:keepLines/>
      <w:spacing w:before="200" w:after="0"/>
      <w:outlineLvl w:val="5"/>
    </w:pPr>
    <w:rPr>
      <w:rFonts w:asciiTheme="majorHAnsi" w:eastAsiaTheme="majorEastAsia" w:hAnsiTheme="majorHAnsi" w:cstheme="majorBidi"/>
      <w:iCs/>
      <w:color w:val="26664E" w:themeColor="accent1"/>
      <w:sz w:val="22"/>
    </w:rPr>
  </w:style>
  <w:style w:type="paragraph" w:styleId="Heading7">
    <w:name w:val="heading 7"/>
    <w:basedOn w:val="Normal"/>
    <w:next w:val="Normal"/>
    <w:link w:val="Heading7Char"/>
    <w:uiPriority w:val="9"/>
    <w:semiHidden/>
    <w:unhideWhenUsed/>
    <w:qFormat/>
    <w:rsid w:val="00320A8D"/>
    <w:pPr>
      <w:keepNext/>
      <w:keepLines/>
      <w:spacing w:before="200" w:after="0"/>
      <w:outlineLvl w:val="6"/>
    </w:pPr>
    <w:rPr>
      <w:rFonts w:asciiTheme="majorHAnsi" w:eastAsiaTheme="majorEastAsia" w:hAnsiTheme="majorHAnsi" w:cstheme="majorBidi"/>
      <w:i/>
      <w:iCs/>
      <w:color w:val="000000"/>
      <w:sz w:val="22"/>
    </w:rPr>
  </w:style>
  <w:style w:type="paragraph" w:styleId="Heading8">
    <w:name w:val="heading 8"/>
    <w:basedOn w:val="Normal"/>
    <w:next w:val="Normal"/>
    <w:link w:val="Heading8Char"/>
    <w:uiPriority w:val="9"/>
    <w:semiHidden/>
    <w:unhideWhenUsed/>
    <w:qFormat/>
    <w:rsid w:val="00320A8D"/>
    <w:pPr>
      <w:keepNext/>
      <w:keepLines/>
      <w:spacing w:before="200" w:after="0"/>
      <w:outlineLvl w:val="7"/>
    </w:pPr>
    <w:rPr>
      <w:rFonts w:asciiTheme="majorHAnsi" w:eastAsiaTheme="majorEastAsia" w:hAnsiTheme="majorHAnsi" w:cstheme="majorBidi"/>
      <w:color w:val="000000"/>
      <w:szCs w:val="20"/>
    </w:rPr>
  </w:style>
  <w:style w:type="paragraph" w:styleId="Heading9">
    <w:name w:val="heading 9"/>
    <w:basedOn w:val="Normal"/>
    <w:next w:val="Normal"/>
    <w:link w:val="Heading9Char"/>
    <w:uiPriority w:val="9"/>
    <w:semiHidden/>
    <w:unhideWhenUsed/>
    <w:qFormat/>
    <w:rsid w:val="00320A8D"/>
    <w:pPr>
      <w:keepNext/>
      <w:keepLines/>
      <w:spacing w:before="200" w:after="0"/>
      <w:outlineLvl w:val="8"/>
    </w:pPr>
    <w:rPr>
      <w:rFonts w:asciiTheme="majorHAnsi" w:eastAsiaTheme="majorEastAsia" w:hAnsiTheme="majorHAnsi" w:cstheme="majorBidi"/>
      <w:i/>
      <w:iCs/>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Bulletsinatable">
    <w:name w:val="11. Bullets in a table"/>
    <w:link w:val="11BulletsinatableChar"/>
    <w:qFormat/>
    <w:locked/>
    <w:rsid w:val="00A774C0"/>
    <w:pPr>
      <w:spacing w:after="0"/>
      <w:ind w:left="360" w:hanging="360"/>
    </w:pPr>
    <w:rPr>
      <w:rFonts w:ascii="Calibri Light" w:hAnsi="Calibri Light" w:cs="Arial"/>
      <w:bCs/>
      <w:color w:val="000000" w:themeColor="text1"/>
      <w:szCs w:val="20"/>
    </w:rPr>
  </w:style>
  <w:style w:type="character" w:customStyle="1" w:styleId="11BulletsinatableChar">
    <w:name w:val="11. Bullets in a table Char"/>
    <w:basedOn w:val="DefaultParagraphFont"/>
    <w:link w:val="11Bulletsinatable"/>
    <w:rsid w:val="00A774C0"/>
    <w:rPr>
      <w:rFonts w:ascii="Calibri Light" w:hAnsi="Calibri Light" w:cs="Arial"/>
      <w:bCs/>
      <w:color w:val="000000" w:themeColor="text1"/>
      <w:szCs w:val="20"/>
    </w:rPr>
  </w:style>
  <w:style w:type="paragraph" w:customStyle="1" w:styleId="Tableheading">
    <w:name w:val="Table heading"/>
    <w:link w:val="TableheadingChar"/>
    <w:qFormat/>
    <w:locked/>
    <w:rsid w:val="00537975"/>
    <w:pPr>
      <w:keepNext/>
      <w:spacing w:before="180" w:after="60"/>
    </w:pPr>
    <w:rPr>
      <w:rFonts w:ascii="Calibri Light" w:hAnsi="Calibri Light" w:cs="Arial"/>
      <w:b/>
      <w:color w:val="4D4D4D" w:themeColor="accent6"/>
      <w:sz w:val="24"/>
    </w:rPr>
  </w:style>
  <w:style w:type="character" w:customStyle="1" w:styleId="TableheadingChar">
    <w:name w:val="Table heading Char"/>
    <w:basedOn w:val="DefaultParagraphFont"/>
    <w:link w:val="Tableheading"/>
    <w:rsid w:val="00537975"/>
    <w:rPr>
      <w:rFonts w:ascii="Calibri Light" w:hAnsi="Calibri Light" w:cs="Arial"/>
      <w:b/>
      <w:color w:val="4D4D4D" w:themeColor="accent6"/>
      <w:sz w:val="24"/>
    </w:rPr>
  </w:style>
  <w:style w:type="paragraph" w:customStyle="1" w:styleId="08Figuretableboxheading">
    <w:name w:val="08. Figure/table/box heading"/>
    <w:basedOn w:val="Tableheading"/>
    <w:link w:val="08FiguretableboxheadingChar"/>
    <w:qFormat/>
    <w:locked/>
    <w:rsid w:val="006B3E9B"/>
    <w:rPr>
      <w:color w:val="26664E" w:themeColor="accent1"/>
      <w:szCs w:val="20"/>
    </w:rPr>
  </w:style>
  <w:style w:type="character" w:customStyle="1" w:styleId="08FiguretableboxheadingChar">
    <w:name w:val="08. Figure/table/box heading Char"/>
    <w:basedOn w:val="TableheadingChar"/>
    <w:link w:val="08Figuretableboxheading"/>
    <w:rsid w:val="00F771F2"/>
    <w:rPr>
      <w:rFonts w:ascii="Calibri Light" w:hAnsi="Calibri Light" w:cs="Arial"/>
      <w:b/>
      <w:color w:val="26664E" w:themeColor="accent1"/>
      <w:sz w:val="24"/>
      <w:szCs w:val="20"/>
    </w:rPr>
  </w:style>
  <w:style w:type="character" w:customStyle="1" w:styleId="Heading1Char">
    <w:name w:val="Heading 1 Char"/>
    <w:basedOn w:val="DefaultParagraphFont"/>
    <w:link w:val="Heading1"/>
    <w:uiPriority w:val="9"/>
    <w:rsid w:val="00320A8D"/>
    <w:rPr>
      <w:rFonts w:ascii="Tahoma" w:eastAsiaTheme="majorEastAsia" w:hAnsi="Tahoma" w:cs="Times New Roman (Headings CS)"/>
      <w:b w:val="0"/>
      <w:bCs/>
      <w:i w:val="0"/>
      <w:color w:val="595959" w:themeColor="text2" w:themeTint="A6"/>
      <w:spacing w:val="20"/>
      <w:sz w:val="48"/>
      <w:szCs w:val="28"/>
    </w:rPr>
  </w:style>
  <w:style w:type="character" w:customStyle="1" w:styleId="Heading2Char">
    <w:name w:val="Heading 2 Char"/>
    <w:basedOn w:val="DefaultParagraphFont"/>
    <w:link w:val="Heading2"/>
    <w:uiPriority w:val="9"/>
    <w:rsid w:val="00320A8D"/>
    <w:rPr>
      <w:rFonts w:ascii="Arial" w:eastAsiaTheme="majorEastAsia" w:hAnsi="Arial" w:cstheme="majorBidi"/>
      <w:b/>
      <w:bCs/>
      <w:i w:val="0"/>
      <w:color w:val="26664E" w:themeColor="accent1"/>
      <w:sz w:val="28"/>
      <w:szCs w:val="26"/>
    </w:rPr>
  </w:style>
  <w:style w:type="character" w:customStyle="1" w:styleId="Heading3Char">
    <w:name w:val="Heading 3 Char"/>
    <w:basedOn w:val="DefaultParagraphFont"/>
    <w:link w:val="Heading3"/>
    <w:uiPriority w:val="9"/>
    <w:rsid w:val="00320A8D"/>
    <w:rPr>
      <w:rFonts w:asciiTheme="majorHAnsi" w:eastAsiaTheme="majorEastAsia" w:hAnsiTheme="majorHAnsi" w:cstheme="majorBidi"/>
      <w:b w:val="0"/>
      <w:bCs/>
      <w:i w:val="0"/>
      <w:color w:val="000000" w:themeColor="text2"/>
      <w:spacing w:val="14"/>
      <w:sz w:val="24"/>
    </w:rPr>
  </w:style>
  <w:style w:type="character" w:customStyle="1" w:styleId="Heading4Char">
    <w:name w:val="Heading 4 Char"/>
    <w:basedOn w:val="DefaultParagraphFont"/>
    <w:link w:val="Heading4"/>
    <w:uiPriority w:val="9"/>
    <w:rsid w:val="00320A8D"/>
    <w:rPr>
      <w:rFonts w:ascii="Arial" w:eastAsiaTheme="majorEastAsia" w:hAnsi="Arial" w:cstheme="majorBidi"/>
      <w:b/>
      <w:bCs/>
      <w:i/>
      <w:iCs/>
      <w:color w:val="000000"/>
      <w:sz w:val="24"/>
    </w:rPr>
  </w:style>
  <w:style w:type="character" w:customStyle="1" w:styleId="Heading5Char">
    <w:name w:val="Heading 5 Char"/>
    <w:basedOn w:val="DefaultParagraphFont"/>
    <w:link w:val="Heading5"/>
    <w:uiPriority w:val="9"/>
    <w:rsid w:val="00320A8D"/>
    <w:rPr>
      <w:rFonts w:asciiTheme="majorHAnsi" w:eastAsiaTheme="majorEastAsia" w:hAnsiTheme="majorHAnsi" w:cstheme="majorBidi"/>
      <w:b w:val="0"/>
      <w:i w:val="0"/>
      <w:color w:val="000000"/>
      <w:sz w:val="20"/>
    </w:rPr>
  </w:style>
  <w:style w:type="character" w:customStyle="1" w:styleId="Heading6Char">
    <w:name w:val="Heading 6 Char"/>
    <w:basedOn w:val="DefaultParagraphFont"/>
    <w:link w:val="Heading6"/>
    <w:uiPriority w:val="9"/>
    <w:rsid w:val="00320A8D"/>
    <w:rPr>
      <w:rFonts w:asciiTheme="majorHAnsi" w:eastAsiaTheme="majorEastAsia" w:hAnsiTheme="majorHAnsi" w:cstheme="majorBidi"/>
      <w:b w:val="0"/>
      <w:i w:val="0"/>
      <w:iCs/>
      <w:color w:val="26664E" w:themeColor="accent1"/>
      <w:sz w:val="20"/>
    </w:rPr>
  </w:style>
  <w:style w:type="character" w:customStyle="1" w:styleId="Heading7Char">
    <w:name w:val="Heading 7 Char"/>
    <w:basedOn w:val="DefaultParagraphFont"/>
    <w:link w:val="Heading7"/>
    <w:uiPriority w:val="9"/>
    <w:semiHidden/>
    <w:rsid w:val="00320A8D"/>
    <w:rPr>
      <w:rFonts w:asciiTheme="majorHAnsi" w:eastAsiaTheme="majorEastAsia" w:hAnsiTheme="majorHAnsi" w:cstheme="majorBidi"/>
      <w:b w:val="0"/>
      <w:i/>
      <w:iCs/>
      <w:color w:val="000000"/>
      <w:sz w:val="20"/>
    </w:rPr>
  </w:style>
  <w:style w:type="character" w:customStyle="1" w:styleId="Heading8Char">
    <w:name w:val="Heading 8 Char"/>
    <w:basedOn w:val="DefaultParagraphFont"/>
    <w:link w:val="Heading8"/>
    <w:uiPriority w:val="9"/>
    <w:semiHidden/>
    <w:rsid w:val="00320A8D"/>
    <w:rPr>
      <w:rFonts w:asciiTheme="majorHAnsi" w:eastAsiaTheme="majorEastAsia" w:hAnsiTheme="majorHAnsi" w:cstheme="majorBidi"/>
      <w:b w:val="0"/>
      <w:i w:val="0"/>
      <w:color w:val="000000"/>
      <w:sz w:val="20"/>
      <w:szCs w:val="20"/>
    </w:rPr>
  </w:style>
  <w:style w:type="character" w:customStyle="1" w:styleId="Heading9Char">
    <w:name w:val="Heading 9 Char"/>
    <w:basedOn w:val="DefaultParagraphFont"/>
    <w:link w:val="Heading9"/>
    <w:uiPriority w:val="9"/>
    <w:semiHidden/>
    <w:rsid w:val="00320A8D"/>
    <w:rPr>
      <w:rFonts w:asciiTheme="majorHAnsi" w:eastAsiaTheme="majorEastAsia" w:hAnsiTheme="majorHAnsi" w:cstheme="majorBidi"/>
      <w:b w:val="0"/>
      <w:i/>
      <w:iCs/>
      <w:color w:val="000000"/>
      <w:sz w:val="20"/>
      <w:szCs w:val="20"/>
    </w:rPr>
  </w:style>
  <w:style w:type="paragraph" w:customStyle="1" w:styleId="Footnotes">
    <w:name w:val="Footnotes"/>
    <w:link w:val="FootnotesChar"/>
    <w:qFormat/>
    <w:locked/>
    <w:rsid w:val="00D75598"/>
    <w:pPr>
      <w:spacing w:after="0"/>
      <w:ind w:left="227" w:hanging="227"/>
    </w:pPr>
    <w:rPr>
      <w:rFonts w:ascii="Calibri Light" w:hAnsi="Calibri Light" w:cs="Times New Roman (Body CS)"/>
      <w:color w:val="000000" w:themeColor="text1"/>
      <w:spacing w:val="-6"/>
      <w:sz w:val="18"/>
      <w:szCs w:val="72"/>
    </w:rPr>
  </w:style>
  <w:style w:type="character" w:customStyle="1" w:styleId="FootnotesChar">
    <w:name w:val="Footnotes Char"/>
    <w:basedOn w:val="DefaultParagraphFont"/>
    <w:link w:val="Footnotes"/>
    <w:rsid w:val="00D75598"/>
    <w:rPr>
      <w:rFonts w:ascii="Calibri Light" w:hAnsi="Calibri Light" w:cs="Times New Roman (Body CS)"/>
      <w:color w:val="000000" w:themeColor="text1"/>
      <w:spacing w:val="-6"/>
      <w:sz w:val="18"/>
      <w:szCs w:val="72"/>
    </w:rPr>
  </w:style>
  <w:style w:type="table" w:styleId="ListTable3-Accent2">
    <w:name w:val="List Table 3 Accent 2"/>
    <w:basedOn w:val="TableNormal"/>
    <w:uiPriority w:val="48"/>
    <w:rsid w:val="00F771F2"/>
    <w:pPr>
      <w:spacing w:after="0"/>
    </w:pPr>
    <w:rPr>
      <w:rFonts w:ascii="Calibri Light" w:hAnsi="Calibri Light"/>
    </w:rPr>
    <w:tblPr>
      <w:tblStyleRowBandSize w:val="1"/>
      <w:tblStyleColBandSize w:val="1"/>
      <w:tblBorders>
        <w:top w:val="single" w:sz="4" w:space="0" w:color="148A5D" w:themeColor="accent2"/>
        <w:bottom w:val="single" w:sz="4" w:space="0" w:color="148A5D" w:themeColor="accent2"/>
        <w:insideH w:val="single" w:sz="4" w:space="0" w:color="148A5D" w:themeColor="accent2"/>
      </w:tblBorders>
    </w:tblPr>
    <w:tblStylePr w:type="firstRow">
      <w:rPr>
        <w:b/>
        <w:bCs/>
        <w:color w:val="FFFFFF" w:themeColor="background1"/>
      </w:rPr>
      <w:tblPr/>
      <w:tcPr>
        <w:shd w:val="clear" w:color="auto" w:fill="148A5D" w:themeFill="accent2"/>
      </w:tcPr>
    </w:tblStylePr>
    <w:tblStylePr w:type="lastRow">
      <w:rPr>
        <w:b/>
        <w:bCs/>
      </w:rPr>
      <w:tblPr/>
      <w:tcPr>
        <w:tcBorders>
          <w:top w:val="double" w:sz="4" w:space="0" w:color="148A5D" w:themeColor="accent2"/>
        </w:tcBorders>
        <w:shd w:val="clear" w:color="auto" w:fill="FFFFFF" w:themeFill="background1"/>
      </w:tcPr>
    </w:tblStylePr>
    <w:tblStylePr w:type="firstCol">
      <w:rPr>
        <w:b w:val="0"/>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48A5D" w:themeColor="accent2"/>
          <w:right w:val="single" w:sz="4" w:space="0" w:color="148A5D" w:themeColor="accent2"/>
        </w:tcBorders>
      </w:tcPr>
    </w:tblStylePr>
    <w:tblStylePr w:type="band1Horz">
      <w:tblPr/>
      <w:tcPr>
        <w:tcBorders>
          <w:top w:val="single" w:sz="4" w:space="0" w:color="148A5D" w:themeColor="accent2"/>
          <w:bottom w:val="single" w:sz="4" w:space="0" w:color="148A5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themeColor="accent2"/>
          <w:left w:val="nil"/>
        </w:tcBorders>
      </w:tcPr>
    </w:tblStylePr>
    <w:tblStylePr w:type="swCell">
      <w:tblPr/>
      <w:tcPr>
        <w:tcBorders>
          <w:top w:val="double" w:sz="4" w:space="0" w:color="148A5D" w:themeColor="accent2"/>
          <w:right w:val="nil"/>
        </w:tcBorders>
      </w:tcPr>
    </w:tblStylePr>
  </w:style>
  <w:style w:type="paragraph" w:customStyle="1" w:styleId="Notesfortablesfigures">
    <w:name w:val="Notes for tables/figures"/>
    <w:link w:val="NotesfortablesfiguresChar"/>
    <w:qFormat/>
    <w:locked/>
    <w:rsid w:val="00AC7E77"/>
    <w:pPr>
      <w:spacing w:after="0"/>
    </w:pPr>
    <w:rPr>
      <w:rFonts w:ascii="Calibri Light" w:hAnsi="Calibri Light"/>
      <w:color w:val="000000" w:themeColor="text1"/>
      <w:sz w:val="18"/>
      <w:szCs w:val="20"/>
    </w:rPr>
  </w:style>
  <w:style w:type="character" w:customStyle="1" w:styleId="NotesfortablesfiguresChar">
    <w:name w:val="Notes for tables/figures Char"/>
    <w:basedOn w:val="DefaultParagraphFont"/>
    <w:link w:val="Notesfortablesfigures"/>
    <w:rsid w:val="00AC7E77"/>
    <w:rPr>
      <w:rFonts w:ascii="Calibri Light" w:hAnsi="Calibri Light"/>
      <w:color w:val="000000" w:themeColor="text1"/>
      <w:sz w:val="18"/>
      <w:szCs w:val="20"/>
    </w:rPr>
  </w:style>
  <w:style w:type="paragraph" w:customStyle="1" w:styleId="Paragraph">
    <w:name w:val="Paragraph"/>
    <w:qFormat/>
    <w:locked/>
    <w:rsid w:val="00F771F2"/>
    <w:pPr>
      <w:spacing w:before="180" w:after="180" w:line="276" w:lineRule="auto"/>
      <w:jc w:val="both"/>
    </w:pPr>
    <w:rPr>
      <w:rFonts w:ascii="Calibri Light" w:hAnsi="Calibri Light" w:cs="Arial"/>
      <w:color w:val="4D4D4D" w:themeColor="accent6"/>
      <w:sz w:val="26"/>
      <w:szCs w:val="20"/>
    </w:rPr>
  </w:style>
  <w:style w:type="paragraph" w:customStyle="1" w:styleId="Parapraphbeforeabulletlist">
    <w:name w:val="Parapraph before a bullet list"/>
    <w:basedOn w:val="Paragraph"/>
    <w:link w:val="ParapraphbeforeabulletlistChar"/>
    <w:qFormat/>
    <w:locked/>
    <w:rsid w:val="00F771F2"/>
    <w:pPr>
      <w:spacing w:after="120"/>
    </w:pPr>
    <w:rPr>
      <w:rFonts w:ascii="@MS PMincho" w:hAnsi="@MS PMincho" w:cs="@MS PMincho"/>
      <w:szCs w:val="44"/>
    </w:rPr>
  </w:style>
  <w:style w:type="character" w:customStyle="1" w:styleId="ParapraphbeforeabulletlistChar">
    <w:name w:val="Parapraph before a bullet list Char"/>
    <w:basedOn w:val="DefaultParagraphFont"/>
    <w:link w:val="Parapraphbeforeabulletlist"/>
    <w:rsid w:val="00F771F2"/>
    <w:rPr>
      <w:rFonts w:ascii="@MS PMincho" w:hAnsi="@MS PMincho" w:cs="@MS PMincho"/>
      <w:color w:val="4D4D4D" w:themeColor="accent6"/>
      <w:sz w:val="26"/>
      <w:szCs w:val="44"/>
    </w:rPr>
  </w:style>
  <w:style w:type="paragraph" w:customStyle="1" w:styleId="09Sourcesandnotesfortablesfiguresboxes">
    <w:name w:val="09. Sources and notes for tables/figures/boxes"/>
    <w:basedOn w:val="Normal"/>
    <w:link w:val="09SourcesandnotesfortablesfiguresboxesChar"/>
    <w:qFormat/>
    <w:locked/>
    <w:rsid w:val="00FC34C2"/>
    <w:pPr>
      <w:spacing w:after="240"/>
      <w:ind w:right="-149"/>
      <w:contextualSpacing/>
    </w:pPr>
    <w:rPr>
      <w:rFonts w:ascii="Calibri Light" w:hAnsi="Calibri Light"/>
      <w:color w:val="000000" w:themeColor="text1"/>
      <w:sz w:val="18"/>
      <w:szCs w:val="20"/>
    </w:rPr>
  </w:style>
  <w:style w:type="character" w:customStyle="1" w:styleId="09SourcesandnotesfortablesfiguresboxesChar">
    <w:name w:val="09. Sources and notes for tables/figures/boxes Char"/>
    <w:basedOn w:val="DefaultParagraphFont"/>
    <w:link w:val="09Sourcesandnotesfortablesfiguresboxes"/>
    <w:rsid w:val="00FC34C2"/>
    <w:rPr>
      <w:rFonts w:ascii="Calibri Light" w:hAnsi="Calibri Light"/>
      <w:color w:val="000000" w:themeColor="text1"/>
      <w:sz w:val="18"/>
      <w:szCs w:val="20"/>
    </w:rPr>
  </w:style>
  <w:style w:type="paragraph" w:customStyle="1" w:styleId="Tabletext">
    <w:name w:val="Table text"/>
    <w:link w:val="TabletextChar"/>
    <w:qFormat/>
    <w:locked/>
    <w:rsid w:val="001434B6"/>
    <w:pPr>
      <w:spacing w:after="0"/>
    </w:pPr>
    <w:rPr>
      <w:rFonts w:ascii="Calibri Light" w:hAnsi="Calibri Light"/>
      <w:color w:val="000000" w:themeColor="text1"/>
    </w:rPr>
  </w:style>
  <w:style w:type="character" w:customStyle="1" w:styleId="TabletextChar">
    <w:name w:val="Table text Char"/>
    <w:basedOn w:val="DefaultParagraphFont"/>
    <w:link w:val="Tabletext"/>
    <w:rsid w:val="001434B6"/>
    <w:rPr>
      <w:rFonts w:ascii="Calibri Light" w:hAnsi="Calibri Light"/>
      <w:color w:val="000000" w:themeColor="text1"/>
    </w:rPr>
  </w:style>
  <w:style w:type="paragraph" w:customStyle="1" w:styleId="07VIRTBreakouttext">
    <w:name w:val="07. VIRT Breakout text"/>
    <w:basedOn w:val="Normal"/>
    <w:link w:val="07VIRTBreakouttextChar"/>
    <w:qFormat/>
    <w:locked/>
    <w:rsid w:val="00845CD0"/>
    <w:pPr>
      <w:tabs>
        <w:tab w:val="center" w:pos="4680"/>
        <w:tab w:val="right" w:pos="9360"/>
      </w:tabs>
      <w:spacing w:before="180" w:line="276" w:lineRule="auto"/>
      <w:ind w:left="567" w:right="567"/>
      <w:mirrorIndents/>
      <w:jc w:val="both"/>
    </w:pPr>
    <w:rPr>
      <w:rFonts w:ascii="Calibri Light" w:hAnsi="Calibri Light" w:cs="Times New Roman (Body CS)"/>
      <w:i/>
      <w:color w:val="0E7650"/>
      <w:spacing w:val="-6"/>
      <w:sz w:val="26"/>
    </w:rPr>
  </w:style>
  <w:style w:type="character" w:customStyle="1" w:styleId="07VIRTBreakouttextChar">
    <w:name w:val="07. VIRT Breakout text Char"/>
    <w:basedOn w:val="DefaultParagraphFont"/>
    <w:link w:val="07VIRTBreakouttext"/>
    <w:rsid w:val="00845CD0"/>
    <w:rPr>
      <w:rFonts w:ascii="Calibri Light" w:hAnsi="Calibri Light" w:cs="Times New Roman (Body CS)"/>
      <w:i/>
      <w:color w:val="0E7650"/>
      <w:spacing w:val="-6"/>
      <w:sz w:val="26"/>
    </w:rPr>
  </w:style>
  <w:style w:type="paragraph" w:customStyle="1" w:styleId="VIRTBulletpoints">
    <w:name w:val="VIRT Bullet points"/>
    <w:link w:val="VIRTBulletpointsChar"/>
    <w:qFormat/>
    <w:locked/>
    <w:rsid w:val="00AE11E9"/>
    <w:pPr>
      <w:spacing w:before="120" w:after="120" w:line="259" w:lineRule="auto"/>
      <w:contextualSpacing/>
    </w:pPr>
    <w:rPr>
      <w:rFonts w:ascii="Calibri Light" w:hAnsi="Calibri Light" w:cs="Arial"/>
      <w:color w:val="000000" w:themeColor="text1"/>
      <w:sz w:val="26"/>
      <w:szCs w:val="20"/>
    </w:rPr>
  </w:style>
  <w:style w:type="character" w:customStyle="1" w:styleId="VIRTBulletpointsChar">
    <w:name w:val="VIRT Bullet points Char"/>
    <w:basedOn w:val="DefaultParagraphFont"/>
    <w:link w:val="VIRTBulletpoints"/>
    <w:locked/>
    <w:rsid w:val="00AE11E9"/>
    <w:rPr>
      <w:rFonts w:ascii="Calibri Light" w:hAnsi="Calibri Light" w:cs="Arial"/>
      <w:color w:val="000000" w:themeColor="text1"/>
      <w:sz w:val="26"/>
      <w:szCs w:val="20"/>
    </w:rPr>
  </w:style>
  <w:style w:type="paragraph" w:customStyle="1" w:styleId="02VIRTHeading2">
    <w:name w:val="02. VIRT Heading 2"/>
    <w:basedOn w:val="Normal"/>
    <w:link w:val="02VIRTHeading2Char"/>
    <w:qFormat/>
    <w:locked/>
    <w:rsid w:val="004D3662"/>
    <w:pPr>
      <w:keepNext/>
      <w:spacing w:before="240" w:after="240"/>
      <w:ind w:left="1418" w:hanging="1418"/>
      <w:outlineLvl w:val="1"/>
    </w:pPr>
    <w:rPr>
      <w:rFonts w:ascii="Rockwell" w:hAnsi="Rockwell" w:cs="Times New Roman (Body CS)"/>
      <w:color w:val="007449"/>
      <w:sz w:val="44"/>
      <w:szCs w:val="44"/>
    </w:rPr>
  </w:style>
  <w:style w:type="character" w:customStyle="1" w:styleId="02VIRTHeading2Char">
    <w:name w:val="02. VIRT Heading 2 Char"/>
    <w:basedOn w:val="DefaultParagraphFont"/>
    <w:link w:val="02VIRTHeading2"/>
    <w:rsid w:val="004D3662"/>
    <w:rPr>
      <w:rFonts w:ascii="Rockwell" w:hAnsi="Rockwell" w:cs="Times New Roman (Body CS)"/>
      <w:color w:val="007449"/>
      <w:sz w:val="44"/>
      <w:szCs w:val="44"/>
    </w:rPr>
  </w:style>
  <w:style w:type="paragraph" w:customStyle="1" w:styleId="03VIRTHeading3">
    <w:name w:val="03. VIRT Heading 3"/>
    <w:basedOn w:val="Normal"/>
    <w:link w:val="03VIRTHeading3Char"/>
    <w:qFormat/>
    <w:locked/>
    <w:rsid w:val="00907136"/>
    <w:pPr>
      <w:keepNext/>
      <w:spacing w:before="240" w:after="240"/>
      <w:outlineLvl w:val="2"/>
    </w:pPr>
    <w:rPr>
      <w:rFonts w:ascii="Rockwell" w:hAnsi="Rockwell" w:cs="Arial"/>
      <w:color w:val="0F6745" w:themeColor="accent2" w:themeShade="BF"/>
      <w:spacing w:val="-6"/>
      <w:sz w:val="30"/>
    </w:rPr>
  </w:style>
  <w:style w:type="character" w:customStyle="1" w:styleId="03VIRTHeading3Char">
    <w:name w:val="03. VIRT Heading 3 Char"/>
    <w:basedOn w:val="DefaultParagraphFont"/>
    <w:link w:val="03VIRTHeading3"/>
    <w:locked/>
    <w:rsid w:val="00907136"/>
    <w:rPr>
      <w:rFonts w:ascii="Rockwell" w:hAnsi="Rockwell" w:cs="Arial"/>
      <w:color w:val="0F6745" w:themeColor="accent2" w:themeShade="BF"/>
      <w:spacing w:val="-6"/>
      <w:sz w:val="30"/>
    </w:rPr>
  </w:style>
  <w:style w:type="paragraph" w:customStyle="1" w:styleId="04VIRTheading4">
    <w:name w:val="04. VIRT heading 4"/>
    <w:link w:val="04VIRTheading4Char"/>
    <w:qFormat/>
    <w:locked/>
    <w:rsid w:val="00071E95"/>
    <w:pPr>
      <w:keepNext/>
      <w:spacing w:before="120" w:after="120"/>
    </w:pPr>
    <w:rPr>
      <w:rFonts w:ascii="Calibri Light" w:hAnsi="Calibri Light" w:cs="Arial"/>
      <w:b/>
      <w:color w:val="148A5D" w:themeColor="accent2"/>
      <w:sz w:val="26"/>
      <w:szCs w:val="20"/>
    </w:rPr>
  </w:style>
  <w:style w:type="character" w:customStyle="1" w:styleId="04VIRTheading4Char">
    <w:name w:val="04. VIRT heading 4 Char"/>
    <w:basedOn w:val="DefaultParagraphFont"/>
    <w:link w:val="04VIRTheading4"/>
    <w:rsid w:val="00F771F2"/>
    <w:rPr>
      <w:rFonts w:ascii="Calibri Light" w:hAnsi="Calibri Light" w:cs="Arial"/>
      <w:b/>
      <w:color w:val="148A5D" w:themeColor="accent2"/>
      <w:sz w:val="26"/>
      <w:szCs w:val="20"/>
    </w:rPr>
  </w:style>
  <w:style w:type="paragraph" w:styleId="BalloonText">
    <w:name w:val="Balloon Text"/>
    <w:basedOn w:val="Normal"/>
    <w:link w:val="BalloonTextChar"/>
    <w:uiPriority w:val="99"/>
    <w:semiHidden/>
    <w:unhideWhenUsed/>
    <w:rsid w:val="00F771F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71F2"/>
    <w:rPr>
      <w:rFonts w:ascii="Segoe UI" w:hAnsi="Segoe UI" w:cs="Segoe UI"/>
      <w:color w:val="7F7F7F" w:themeColor="text1" w:themeTint="80"/>
      <w:sz w:val="18"/>
      <w:szCs w:val="18"/>
    </w:rPr>
  </w:style>
  <w:style w:type="paragraph" w:customStyle="1" w:styleId="Chapterheading">
    <w:name w:val="Chapter heading"/>
    <w:link w:val="ChapterheadingChar"/>
    <w:qFormat/>
    <w:rsid w:val="008829E5"/>
    <w:pPr>
      <w:spacing w:after="720"/>
    </w:pPr>
    <w:rPr>
      <w:rFonts w:ascii="Rockwell" w:hAnsi="Rockwell"/>
      <w:color w:val="26664E" w:themeColor="accent1"/>
      <w:sz w:val="72"/>
    </w:rPr>
  </w:style>
  <w:style w:type="character" w:customStyle="1" w:styleId="ChapterheadingChar">
    <w:name w:val="Chapter heading Char"/>
    <w:basedOn w:val="DefaultParagraphFont"/>
    <w:link w:val="Chapterheading"/>
    <w:rsid w:val="008829E5"/>
    <w:rPr>
      <w:rFonts w:ascii="Rockwell" w:hAnsi="Rockwell"/>
      <w:color w:val="26664E" w:themeColor="accent1"/>
      <w:sz w:val="72"/>
    </w:rPr>
  </w:style>
  <w:style w:type="paragraph" w:styleId="Revision">
    <w:name w:val="Revision"/>
    <w:hidden/>
    <w:uiPriority w:val="99"/>
    <w:rsid w:val="00096A78"/>
    <w:pPr>
      <w:spacing w:after="0"/>
    </w:pPr>
    <w:rPr>
      <w:rFonts w:ascii="Arial" w:hAnsi="Arial"/>
      <w:color w:val="7F7F7F" w:themeColor="text1" w:themeTint="80"/>
      <w:sz w:val="20"/>
    </w:rPr>
  </w:style>
  <w:style w:type="paragraph" w:customStyle="1" w:styleId="Revision2">
    <w:name w:val="Revision2"/>
    <w:next w:val="Revision"/>
    <w:hidden/>
    <w:uiPriority w:val="71"/>
    <w:rsid w:val="00452A54"/>
    <w:pPr>
      <w:spacing w:after="0"/>
    </w:pPr>
    <w:rPr>
      <w:rFonts w:ascii="Arial" w:hAnsi="Arial"/>
      <w:color w:val="7F7F7F"/>
      <w:sz w:val="20"/>
    </w:rPr>
  </w:style>
  <w:style w:type="paragraph" w:styleId="Header">
    <w:name w:val="header"/>
    <w:basedOn w:val="Normal"/>
    <w:link w:val="HeaderChar"/>
    <w:uiPriority w:val="99"/>
    <w:unhideWhenUsed/>
    <w:rsid w:val="0006640C"/>
    <w:pPr>
      <w:tabs>
        <w:tab w:val="center" w:pos="4513"/>
        <w:tab w:val="right" w:pos="9026"/>
      </w:tabs>
      <w:spacing w:after="0"/>
    </w:pPr>
  </w:style>
  <w:style w:type="character" w:customStyle="1" w:styleId="HeaderChar">
    <w:name w:val="Header Char"/>
    <w:basedOn w:val="DefaultParagraphFont"/>
    <w:link w:val="Header"/>
    <w:uiPriority w:val="99"/>
    <w:rsid w:val="0006640C"/>
    <w:rPr>
      <w:rFonts w:ascii="Arial" w:hAnsi="Arial"/>
      <w:color w:val="7F7F7F" w:themeColor="text1" w:themeTint="80"/>
      <w:sz w:val="20"/>
    </w:rPr>
  </w:style>
  <w:style w:type="paragraph" w:styleId="Footer">
    <w:name w:val="footer"/>
    <w:basedOn w:val="Normal"/>
    <w:link w:val="FooterChar"/>
    <w:uiPriority w:val="99"/>
    <w:unhideWhenUsed/>
    <w:rsid w:val="0006640C"/>
    <w:pPr>
      <w:tabs>
        <w:tab w:val="center" w:pos="4513"/>
        <w:tab w:val="right" w:pos="9026"/>
      </w:tabs>
      <w:spacing w:after="0"/>
    </w:pPr>
  </w:style>
  <w:style w:type="character" w:customStyle="1" w:styleId="FooterChar">
    <w:name w:val="Footer Char"/>
    <w:basedOn w:val="DefaultParagraphFont"/>
    <w:link w:val="Footer"/>
    <w:uiPriority w:val="99"/>
    <w:rsid w:val="0006640C"/>
    <w:rPr>
      <w:rFonts w:ascii="Arial" w:hAnsi="Arial"/>
      <w:color w:val="7F7F7F" w:themeColor="text1" w:themeTint="80"/>
      <w:sz w:val="20"/>
    </w:rPr>
  </w:style>
  <w:style w:type="table" w:customStyle="1" w:styleId="Style1">
    <w:name w:val="Style1"/>
    <w:basedOn w:val="TableNormal"/>
    <w:uiPriority w:val="99"/>
    <w:rsid w:val="00622042"/>
    <w:pPr>
      <w:spacing w:after="0"/>
    </w:pPr>
    <w:rPr>
      <w:rFonts w:ascii="Calibri Light" w:hAnsi="Calibri Light"/>
    </w:rPr>
    <w:tblPr>
      <w:tblBorders>
        <w:bottom w:val="single" w:sz="4" w:space="0" w:color="148A5D" w:themeColor="accent2"/>
        <w:insideH w:val="single" w:sz="4" w:space="0" w:color="148A5D" w:themeColor="accent2"/>
      </w:tblBorders>
    </w:tblPr>
    <w:tcPr>
      <w:shd w:val="clear" w:color="auto" w:fill="auto"/>
    </w:tcPr>
    <w:tblStylePr w:type="firstRow">
      <w:rPr>
        <w:rFonts w:ascii="Calibri Light" w:hAnsi="Calibri Light"/>
        <w:b/>
        <w:color w:val="FFFFFF" w:themeColor="background1"/>
        <w:sz w:val="22"/>
      </w:rPr>
      <w:tblPr/>
      <w:tcPr>
        <w:shd w:val="clear" w:color="auto" w:fill="148A5D" w:themeFill="accent2"/>
      </w:tcPr>
    </w:tblStylePr>
  </w:style>
  <w:style w:type="character" w:styleId="Hyperlink">
    <w:name w:val="Hyperlink"/>
    <w:basedOn w:val="DefaultParagraphFont"/>
    <w:uiPriority w:val="99"/>
    <w:unhideWhenUsed/>
    <w:rsid w:val="00B76457"/>
    <w:rPr>
      <w:color w:val="5F5F5F" w:themeColor="hyperlink"/>
      <w:u w:val="single"/>
    </w:rPr>
  </w:style>
  <w:style w:type="paragraph" w:styleId="TOC1">
    <w:name w:val="toc 1"/>
    <w:basedOn w:val="Paragraph"/>
    <w:next w:val="Paragraph"/>
    <w:link w:val="TOC1Char"/>
    <w:uiPriority w:val="39"/>
    <w:unhideWhenUsed/>
    <w:qFormat/>
    <w:rsid w:val="00B76457"/>
    <w:pPr>
      <w:spacing w:before="120" w:after="120"/>
    </w:pPr>
    <w:rPr>
      <w:b/>
    </w:rPr>
  </w:style>
  <w:style w:type="paragraph" w:styleId="TOC2">
    <w:name w:val="toc 2"/>
    <w:next w:val="Paragraph"/>
    <w:uiPriority w:val="39"/>
    <w:unhideWhenUsed/>
    <w:qFormat/>
    <w:rsid w:val="00096FB8"/>
    <w:pPr>
      <w:spacing w:before="120" w:after="120"/>
      <w:ind w:left="510"/>
    </w:pPr>
    <w:rPr>
      <w:rFonts w:ascii="Calibri Light" w:hAnsi="Calibri Light"/>
      <w:color w:val="4D4D4D" w:themeColor="accent6"/>
      <w:sz w:val="26"/>
    </w:rPr>
  </w:style>
  <w:style w:type="paragraph" w:styleId="TOC3">
    <w:name w:val="toc 3"/>
    <w:basedOn w:val="Normal"/>
    <w:next w:val="Normal"/>
    <w:autoRedefine/>
    <w:uiPriority w:val="39"/>
    <w:unhideWhenUsed/>
    <w:rsid w:val="00096FB8"/>
    <w:pPr>
      <w:spacing w:after="100"/>
      <w:ind w:left="400"/>
    </w:pPr>
  </w:style>
  <w:style w:type="paragraph" w:styleId="TableofFigures">
    <w:name w:val="table of figures"/>
    <w:basedOn w:val="Normal"/>
    <w:next w:val="Normal"/>
    <w:uiPriority w:val="99"/>
    <w:unhideWhenUsed/>
    <w:rsid w:val="00096FB8"/>
    <w:pPr>
      <w:spacing w:before="120" w:after="120"/>
    </w:pPr>
    <w:rPr>
      <w:rFonts w:ascii="Calibri Light" w:hAnsi="Calibri Light"/>
      <w:color w:val="4D4D4D" w:themeColor="accent6"/>
      <w:sz w:val="26"/>
    </w:rPr>
  </w:style>
  <w:style w:type="table" w:styleId="TableGrid">
    <w:name w:val="Table Grid"/>
    <w:basedOn w:val="TableNormal"/>
    <w:uiPriority w:val="39"/>
    <w:rsid w:val="0062204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Footnotes"/>
    <w:link w:val="FootnoteTextChar"/>
    <w:uiPriority w:val="99"/>
    <w:unhideWhenUsed/>
    <w:qFormat/>
    <w:rsid w:val="00673EF5"/>
  </w:style>
  <w:style w:type="character" w:customStyle="1" w:styleId="FootnoteTextChar">
    <w:name w:val="Footnote Text Char"/>
    <w:basedOn w:val="DefaultParagraphFont"/>
    <w:link w:val="FootnoteText"/>
    <w:uiPriority w:val="99"/>
    <w:rsid w:val="00673EF5"/>
    <w:rPr>
      <w:rFonts w:ascii="Calibri Light" w:hAnsi="Calibri Light" w:cs="Times New Roman (Body CS)"/>
      <w:color w:val="000000" w:themeColor="text1"/>
      <w:spacing w:val="-6"/>
      <w:sz w:val="18"/>
      <w:szCs w:val="72"/>
    </w:rPr>
  </w:style>
  <w:style w:type="character" w:styleId="FootnoteReference">
    <w:name w:val="footnote reference"/>
    <w:basedOn w:val="DefaultParagraphFont"/>
    <w:uiPriority w:val="99"/>
    <w:unhideWhenUsed/>
    <w:rsid w:val="00B3023F"/>
    <w:rPr>
      <w:vertAlign w:val="superscript"/>
    </w:rPr>
  </w:style>
  <w:style w:type="character" w:styleId="CommentReference">
    <w:name w:val="annotation reference"/>
    <w:basedOn w:val="DefaultParagraphFont"/>
    <w:uiPriority w:val="99"/>
    <w:semiHidden/>
    <w:unhideWhenUsed/>
    <w:rsid w:val="00FB79D3"/>
    <w:rPr>
      <w:sz w:val="16"/>
      <w:szCs w:val="16"/>
    </w:rPr>
  </w:style>
  <w:style w:type="paragraph" w:styleId="CommentText">
    <w:name w:val="annotation text"/>
    <w:basedOn w:val="Normal"/>
    <w:link w:val="CommentTextChar"/>
    <w:uiPriority w:val="99"/>
    <w:unhideWhenUsed/>
    <w:rsid w:val="00FB79D3"/>
    <w:rPr>
      <w:szCs w:val="20"/>
    </w:rPr>
  </w:style>
  <w:style w:type="character" w:customStyle="1" w:styleId="CommentTextChar">
    <w:name w:val="Comment Text Char"/>
    <w:basedOn w:val="DefaultParagraphFont"/>
    <w:link w:val="CommentText"/>
    <w:uiPriority w:val="99"/>
    <w:rsid w:val="00FB79D3"/>
    <w:rPr>
      <w:rFonts w:ascii="Arial" w:hAnsi="Arial"/>
      <w:color w:val="7F7F7F" w:themeColor="text1" w:themeTint="80"/>
      <w:sz w:val="20"/>
      <w:szCs w:val="20"/>
    </w:rPr>
  </w:style>
  <w:style w:type="paragraph" w:styleId="CommentSubject">
    <w:name w:val="annotation subject"/>
    <w:basedOn w:val="CommentText"/>
    <w:next w:val="CommentText"/>
    <w:link w:val="CommentSubjectChar"/>
    <w:uiPriority w:val="99"/>
    <w:semiHidden/>
    <w:unhideWhenUsed/>
    <w:rsid w:val="00FB79D3"/>
    <w:rPr>
      <w:b/>
      <w:bCs/>
    </w:rPr>
  </w:style>
  <w:style w:type="character" w:customStyle="1" w:styleId="CommentSubjectChar">
    <w:name w:val="Comment Subject Char"/>
    <w:basedOn w:val="CommentTextChar"/>
    <w:link w:val="CommentSubject"/>
    <w:uiPriority w:val="99"/>
    <w:semiHidden/>
    <w:rsid w:val="00FB79D3"/>
    <w:rPr>
      <w:rFonts w:ascii="Arial" w:hAnsi="Arial"/>
      <w:b/>
      <w:bCs/>
      <w:color w:val="7F7F7F" w:themeColor="text1" w:themeTint="80"/>
      <w:sz w:val="20"/>
      <w:szCs w:val="20"/>
    </w:rPr>
  </w:style>
  <w:style w:type="paragraph" w:customStyle="1" w:styleId="Textinthetable">
    <w:name w:val="Text in the table"/>
    <w:link w:val="TextinthetableChar"/>
    <w:qFormat/>
    <w:rsid w:val="000162EE"/>
    <w:pPr>
      <w:keepNext/>
      <w:spacing w:after="0"/>
      <w:contextualSpacing/>
    </w:pPr>
    <w:rPr>
      <w:rFonts w:ascii="Calibri Light" w:eastAsia="Rockwell" w:hAnsi="Calibri Light" w:cs="Arial"/>
      <w:lang w:val="en-US"/>
    </w:rPr>
  </w:style>
  <w:style w:type="character" w:customStyle="1" w:styleId="TextinthetableChar">
    <w:name w:val="Text in the table Char"/>
    <w:basedOn w:val="DefaultParagraphFont"/>
    <w:link w:val="Textinthetable"/>
    <w:rsid w:val="000162EE"/>
    <w:rPr>
      <w:rFonts w:ascii="Calibri Light" w:eastAsia="Rockwell" w:hAnsi="Calibri Light" w:cs="Arial"/>
      <w:lang w:val="en-US"/>
    </w:rPr>
  </w:style>
  <w:style w:type="paragraph" w:customStyle="1" w:styleId="Parabeforeabulletlist">
    <w:name w:val="Para before a bullet list"/>
    <w:basedOn w:val="Normal"/>
    <w:link w:val="ParabeforeabulletlistChar"/>
    <w:rsid w:val="00B9267A"/>
    <w:pPr>
      <w:spacing w:before="240" w:after="120" w:line="276" w:lineRule="auto"/>
      <w:jc w:val="both"/>
    </w:pPr>
    <w:rPr>
      <w:rFonts w:ascii="Calibri Light" w:hAnsi="Calibri Light" w:cs="Times New Roman (Body CS)"/>
      <w:color w:val="4D4D4D" w:themeColor="accent6"/>
      <w:sz w:val="26"/>
      <w:szCs w:val="44"/>
    </w:rPr>
  </w:style>
  <w:style w:type="character" w:customStyle="1" w:styleId="ParabeforeabulletlistChar">
    <w:name w:val="Para before a bullet list Char"/>
    <w:basedOn w:val="DefaultParagraphFont"/>
    <w:link w:val="Parabeforeabulletlist"/>
    <w:rsid w:val="00B9267A"/>
    <w:rPr>
      <w:rFonts w:ascii="Calibri Light" w:hAnsi="Calibri Light" w:cs="Times New Roman (Body CS)"/>
      <w:color w:val="4D4D4D" w:themeColor="accent6"/>
      <w:sz w:val="26"/>
      <w:szCs w:val="44"/>
    </w:rPr>
  </w:style>
  <w:style w:type="paragraph" w:styleId="Caption">
    <w:name w:val="caption"/>
    <w:basedOn w:val="Normal"/>
    <w:next w:val="Normal"/>
    <w:uiPriority w:val="35"/>
    <w:unhideWhenUsed/>
    <w:qFormat/>
    <w:rsid w:val="00481F5A"/>
    <w:pPr>
      <w:spacing w:after="200"/>
    </w:pPr>
    <w:rPr>
      <w:i/>
      <w:iCs/>
      <w:color w:val="000000" w:themeColor="text2"/>
      <w:sz w:val="18"/>
      <w:szCs w:val="18"/>
    </w:rPr>
  </w:style>
  <w:style w:type="character" w:styleId="FollowedHyperlink">
    <w:name w:val="FollowedHyperlink"/>
    <w:basedOn w:val="DefaultParagraphFont"/>
    <w:uiPriority w:val="99"/>
    <w:semiHidden/>
    <w:unhideWhenUsed/>
    <w:rsid w:val="00B83A6E"/>
    <w:rPr>
      <w:color w:val="919191" w:themeColor="followedHyperlink"/>
      <w:u w:val="single"/>
    </w:rPr>
  </w:style>
  <w:style w:type="character" w:styleId="UnresolvedMention">
    <w:name w:val="Unresolved Mention"/>
    <w:basedOn w:val="DefaultParagraphFont"/>
    <w:uiPriority w:val="99"/>
    <w:unhideWhenUsed/>
    <w:rsid w:val="00E25847"/>
    <w:rPr>
      <w:color w:val="605E5C"/>
      <w:shd w:val="clear" w:color="auto" w:fill="E1DFDD"/>
    </w:rPr>
  </w:style>
  <w:style w:type="character" w:styleId="BookTitle">
    <w:name w:val="Book Title"/>
    <w:basedOn w:val="DefaultParagraphFont"/>
    <w:uiPriority w:val="33"/>
    <w:rsid w:val="0003672D"/>
    <w:rPr>
      <w:rFonts w:ascii="Arial" w:hAnsi="Arial"/>
      <w:b/>
      <w:bCs/>
      <w:i w:val="0"/>
      <w:caps/>
      <w:smallCaps w:val="0"/>
      <w:color w:val="000000" w:themeColor="text2"/>
      <w:spacing w:val="10"/>
      <w:sz w:val="20"/>
    </w:rPr>
  </w:style>
  <w:style w:type="character" w:customStyle="1" w:styleId="ParabeforebulletlistChar">
    <w:name w:val="Para before bullet list Char"/>
    <w:basedOn w:val="DefaultParagraphFont"/>
    <w:link w:val="Parabeforebulletlist"/>
    <w:locked/>
    <w:rsid w:val="0003672D"/>
    <w:rPr>
      <w:rFonts w:ascii="Calibri Light" w:hAnsi="Calibri Light"/>
      <w:color w:val="4D4D4D" w:themeColor="accent6"/>
      <w:sz w:val="26"/>
    </w:rPr>
  </w:style>
  <w:style w:type="paragraph" w:customStyle="1" w:styleId="Parabeforebulletlist">
    <w:name w:val="Para before bullet list"/>
    <w:link w:val="ParabeforebulletlistChar"/>
    <w:autoRedefine/>
    <w:qFormat/>
    <w:rsid w:val="0003672D"/>
    <w:pPr>
      <w:keepNext/>
      <w:spacing w:before="120" w:after="120" w:line="276" w:lineRule="auto"/>
      <w:jc w:val="both"/>
    </w:pPr>
    <w:rPr>
      <w:rFonts w:ascii="Calibri Light" w:hAnsi="Calibri Light"/>
      <w:color w:val="4D4D4D" w:themeColor="accent6"/>
      <w:sz w:val="26"/>
    </w:rPr>
  </w:style>
  <w:style w:type="paragraph" w:styleId="TOCHeading">
    <w:name w:val="TOC Heading"/>
    <w:basedOn w:val="Heading1"/>
    <w:next w:val="Normal"/>
    <w:uiPriority w:val="39"/>
    <w:unhideWhenUsed/>
    <w:qFormat/>
    <w:rsid w:val="001E105B"/>
    <w:pPr>
      <w:spacing w:before="240" w:line="259" w:lineRule="auto"/>
      <w:outlineLvl w:val="9"/>
    </w:pPr>
    <w:rPr>
      <w:rFonts w:asciiTheme="majorHAnsi" w:hAnsiTheme="majorHAnsi" w:cstheme="majorBidi"/>
      <w:bCs w:val="0"/>
      <w:color w:val="1C4C3A" w:themeColor="accent1" w:themeShade="BF"/>
      <w:spacing w:val="0"/>
      <w:sz w:val="32"/>
      <w:szCs w:val="32"/>
      <w:lang w:val="en-US"/>
    </w:rPr>
  </w:style>
  <w:style w:type="paragraph" w:customStyle="1" w:styleId="Default">
    <w:name w:val="Default"/>
    <w:rsid w:val="001E105B"/>
    <w:pPr>
      <w:autoSpaceDE w:val="0"/>
      <w:autoSpaceDN w:val="0"/>
      <w:adjustRightInd w:val="0"/>
      <w:spacing w:after="0"/>
    </w:pPr>
    <w:rPr>
      <w:rFonts w:ascii="Arial" w:hAnsi="Arial" w:cs="Arial"/>
      <w:color w:val="000000"/>
      <w:sz w:val="24"/>
      <w:szCs w:val="24"/>
    </w:rPr>
  </w:style>
  <w:style w:type="paragraph" w:customStyle="1" w:styleId="gmail-p1">
    <w:name w:val="gmail-p1"/>
    <w:basedOn w:val="Normal"/>
    <w:rsid w:val="00C75D17"/>
    <w:pPr>
      <w:spacing w:before="100" w:beforeAutospacing="1" w:after="100" w:afterAutospacing="1"/>
    </w:pPr>
    <w:rPr>
      <w:rFonts w:ascii="Calibri" w:hAnsi="Calibri" w:cs="Calibri"/>
      <w:color w:val="auto"/>
      <w:sz w:val="22"/>
      <w:lang w:eastAsia="en-AU"/>
    </w:rPr>
  </w:style>
  <w:style w:type="paragraph" w:customStyle="1" w:styleId="gmail-p2">
    <w:name w:val="gmail-p2"/>
    <w:basedOn w:val="Normal"/>
    <w:rsid w:val="00C75D17"/>
    <w:pPr>
      <w:spacing w:before="100" w:beforeAutospacing="1" w:after="100" w:afterAutospacing="1"/>
    </w:pPr>
    <w:rPr>
      <w:rFonts w:ascii="Calibri" w:hAnsi="Calibri" w:cs="Calibri"/>
      <w:color w:val="auto"/>
      <w:sz w:val="22"/>
      <w:lang w:eastAsia="en-AU"/>
    </w:rPr>
  </w:style>
  <w:style w:type="character" w:customStyle="1" w:styleId="gmail-apple-converted-space">
    <w:name w:val="gmail-apple-converted-space"/>
    <w:basedOn w:val="DefaultParagraphFont"/>
    <w:rsid w:val="00C75D17"/>
  </w:style>
  <w:style w:type="paragraph" w:styleId="ListParagraph">
    <w:name w:val="List Paragraph"/>
    <w:basedOn w:val="Normal"/>
    <w:uiPriority w:val="34"/>
    <w:qFormat/>
    <w:rsid w:val="00243F6C"/>
    <w:pPr>
      <w:ind w:left="720"/>
      <w:contextualSpacing/>
    </w:pPr>
  </w:style>
  <w:style w:type="paragraph" w:styleId="Bibliography">
    <w:name w:val="Bibliography"/>
    <w:basedOn w:val="Normal"/>
    <w:next w:val="Normal"/>
    <w:uiPriority w:val="37"/>
    <w:semiHidden/>
    <w:unhideWhenUsed/>
    <w:rsid w:val="007A4F80"/>
  </w:style>
  <w:style w:type="paragraph" w:styleId="BlockText">
    <w:name w:val="Block Text"/>
    <w:basedOn w:val="Normal"/>
    <w:uiPriority w:val="99"/>
    <w:semiHidden/>
    <w:unhideWhenUsed/>
    <w:rsid w:val="007A4F80"/>
    <w:pPr>
      <w:pBdr>
        <w:top w:val="single" w:sz="2" w:space="10" w:color="26664E" w:themeColor="accent1"/>
        <w:left w:val="single" w:sz="2" w:space="10" w:color="26664E" w:themeColor="accent1"/>
        <w:bottom w:val="single" w:sz="2" w:space="10" w:color="26664E" w:themeColor="accent1"/>
        <w:right w:val="single" w:sz="2" w:space="10" w:color="26664E" w:themeColor="accent1"/>
      </w:pBdr>
      <w:ind w:left="1152" w:right="1152"/>
    </w:pPr>
    <w:rPr>
      <w:rFonts w:asciiTheme="minorHAnsi" w:eastAsiaTheme="minorEastAsia" w:hAnsiTheme="minorHAnsi"/>
      <w:i/>
      <w:iCs/>
      <w:color w:val="26664E" w:themeColor="accent1"/>
    </w:rPr>
  </w:style>
  <w:style w:type="paragraph" w:styleId="BodyText">
    <w:name w:val="Body Text"/>
    <w:basedOn w:val="Normal"/>
    <w:link w:val="BodyTextChar"/>
    <w:semiHidden/>
    <w:unhideWhenUsed/>
    <w:rsid w:val="007A4F80"/>
    <w:pPr>
      <w:spacing w:after="120"/>
    </w:pPr>
  </w:style>
  <w:style w:type="character" w:customStyle="1" w:styleId="BodyTextChar">
    <w:name w:val="Body Text Char"/>
    <w:basedOn w:val="DefaultParagraphFont"/>
    <w:link w:val="BodyText"/>
    <w:semiHidden/>
    <w:rsid w:val="007A4F80"/>
    <w:rPr>
      <w:rFonts w:ascii="Arial" w:hAnsi="Arial"/>
      <w:color w:val="7F7F7F" w:themeColor="text1" w:themeTint="80"/>
      <w:sz w:val="20"/>
    </w:rPr>
  </w:style>
  <w:style w:type="paragraph" w:styleId="BodyText2">
    <w:name w:val="Body Text 2"/>
    <w:basedOn w:val="Normal"/>
    <w:link w:val="BodyText2Char"/>
    <w:uiPriority w:val="99"/>
    <w:semiHidden/>
    <w:unhideWhenUsed/>
    <w:rsid w:val="007A4F80"/>
    <w:pPr>
      <w:spacing w:after="120" w:line="480" w:lineRule="auto"/>
    </w:pPr>
  </w:style>
  <w:style w:type="character" w:customStyle="1" w:styleId="BodyText2Char">
    <w:name w:val="Body Text 2 Char"/>
    <w:basedOn w:val="DefaultParagraphFont"/>
    <w:link w:val="BodyText2"/>
    <w:uiPriority w:val="99"/>
    <w:semiHidden/>
    <w:rsid w:val="007A4F80"/>
    <w:rPr>
      <w:rFonts w:ascii="Arial" w:hAnsi="Arial"/>
      <w:color w:val="7F7F7F" w:themeColor="text1" w:themeTint="80"/>
      <w:sz w:val="20"/>
    </w:rPr>
  </w:style>
  <w:style w:type="paragraph" w:styleId="BodyText3">
    <w:name w:val="Body Text 3"/>
    <w:basedOn w:val="Normal"/>
    <w:link w:val="BodyText3Char"/>
    <w:uiPriority w:val="99"/>
    <w:semiHidden/>
    <w:unhideWhenUsed/>
    <w:rsid w:val="007A4F80"/>
    <w:pPr>
      <w:spacing w:after="120"/>
    </w:pPr>
    <w:rPr>
      <w:sz w:val="16"/>
      <w:szCs w:val="16"/>
    </w:rPr>
  </w:style>
  <w:style w:type="character" w:customStyle="1" w:styleId="BodyText3Char">
    <w:name w:val="Body Text 3 Char"/>
    <w:basedOn w:val="DefaultParagraphFont"/>
    <w:link w:val="BodyText3"/>
    <w:uiPriority w:val="99"/>
    <w:semiHidden/>
    <w:rsid w:val="007A4F80"/>
    <w:rPr>
      <w:rFonts w:ascii="Arial" w:hAnsi="Arial"/>
      <w:color w:val="7F7F7F" w:themeColor="text1" w:themeTint="80"/>
      <w:sz w:val="16"/>
      <w:szCs w:val="16"/>
    </w:rPr>
  </w:style>
  <w:style w:type="paragraph" w:styleId="BodyTextFirstIndent">
    <w:name w:val="Body Text First Indent"/>
    <w:basedOn w:val="BodyText"/>
    <w:link w:val="BodyTextFirstIndentChar"/>
    <w:uiPriority w:val="99"/>
    <w:semiHidden/>
    <w:unhideWhenUsed/>
    <w:rsid w:val="007A4F80"/>
    <w:pPr>
      <w:spacing w:after="180"/>
      <w:ind w:firstLine="360"/>
    </w:pPr>
  </w:style>
  <w:style w:type="character" w:customStyle="1" w:styleId="BodyTextFirstIndentChar">
    <w:name w:val="Body Text First Indent Char"/>
    <w:basedOn w:val="BodyTextChar"/>
    <w:link w:val="BodyTextFirstIndent"/>
    <w:uiPriority w:val="99"/>
    <w:semiHidden/>
    <w:rsid w:val="007A4F80"/>
    <w:rPr>
      <w:rFonts w:ascii="Arial" w:hAnsi="Arial"/>
      <w:color w:val="7F7F7F" w:themeColor="text1" w:themeTint="80"/>
      <w:sz w:val="20"/>
    </w:rPr>
  </w:style>
  <w:style w:type="paragraph" w:styleId="BodyTextIndent">
    <w:name w:val="Body Text Indent"/>
    <w:basedOn w:val="Normal"/>
    <w:link w:val="BodyTextIndentChar"/>
    <w:uiPriority w:val="99"/>
    <w:semiHidden/>
    <w:unhideWhenUsed/>
    <w:rsid w:val="007A4F80"/>
    <w:pPr>
      <w:spacing w:after="120"/>
      <w:ind w:left="283"/>
    </w:pPr>
  </w:style>
  <w:style w:type="character" w:customStyle="1" w:styleId="BodyTextIndentChar">
    <w:name w:val="Body Text Indent Char"/>
    <w:basedOn w:val="DefaultParagraphFont"/>
    <w:link w:val="BodyTextIndent"/>
    <w:uiPriority w:val="99"/>
    <w:semiHidden/>
    <w:rsid w:val="007A4F80"/>
    <w:rPr>
      <w:rFonts w:ascii="Arial" w:hAnsi="Arial"/>
      <w:color w:val="7F7F7F" w:themeColor="text1" w:themeTint="80"/>
      <w:sz w:val="20"/>
    </w:rPr>
  </w:style>
  <w:style w:type="paragraph" w:styleId="BodyTextFirstIndent2">
    <w:name w:val="Body Text First Indent 2"/>
    <w:basedOn w:val="BodyTextIndent"/>
    <w:link w:val="BodyTextFirstIndent2Char"/>
    <w:uiPriority w:val="99"/>
    <w:semiHidden/>
    <w:unhideWhenUsed/>
    <w:rsid w:val="007A4F80"/>
    <w:pPr>
      <w:spacing w:after="180"/>
      <w:ind w:left="360" w:firstLine="360"/>
    </w:pPr>
  </w:style>
  <w:style w:type="character" w:customStyle="1" w:styleId="BodyTextFirstIndent2Char">
    <w:name w:val="Body Text First Indent 2 Char"/>
    <w:basedOn w:val="BodyTextIndentChar"/>
    <w:link w:val="BodyTextFirstIndent2"/>
    <w:uiPriority w:val="99"/>
    <w:semiHidden/>
    <w:rsid w:val="007A4F80"/>
    <w:rPr>
      <w:rFonts w:ascii="Arial" w:hAnsi="Arial"/>
      <w:color w:val="7F7F7F" w:themeColor="text1" w:themeTint="80"/>
      <w:sz w:val="20"/>
    </w:rPr>
  </w:style>
  <w:style w:type="paragraph" w:styleId="BodyTextIndent2">
    <w:name w:val="Body Text Indent 2"/>
    <w:basedOn w:val="Normal"/>
    <w:link w:val="BodyTextIndent2Char"/>
    <w:uiPriority w:val="99"/>
    <w:semiHidden/>
    <w:unhideWhenUsed/>
    <w:rsid w:val="007A4F80"/>
    <w:pPr>
      <w:spacing w:after="120" w:line="480" w:lineRule="auto"/>
      <w:ind w:left="283"/>
    </w:pPr>
  </w:style>
  <w:style w:type="character" w:customStyle="1" w:styleId="BodyTextIndent2Char">
    <w:name w:val="Body Text Indent 2 Char"/>
    <w:basedOn w:val="DefaultParagraphFont"/>
    <w:link w:val="BodyTextIndent2"/>
    <w:uiPriority w:val="99"/>
    <w:semiHidden/>
    <w:rsid w:val="007A4F80"/>
    <w:rPr>
      <w:rFonts w:ascii="Arial" w:hAnsi="Arial"/>
      <w:color w:val="7F7F7F" w:themeColor="text1" w:themeTint="80"/>
      <w:sz w:val="20"/>
    </w:rPr>
  </w:style>
  <w:style w:type="paragraph" w:styleId="BodyTextIndent3">
    <w:name w:val="Body Text Indent 3"/>
    <w:basedOn w:val="Normal"/>
    <w:link w:val="BodyTextIndent3Char"/>
    <w:uiPriority w:val="99"/>
    <w:semiHidden/>
    <w:unhideWhenUsed/>
    <w:rsid w:val="007A4F80"/>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A4F80"/>
    <w:rPr>
      <w:rFonts w:ascii="Arial" w:hAnsi="Arial"/>
      <w:color w:val="7F7F7F" w:themeColor="text1" w:themeTint="80"/>
      <w:sz w:val="16"/>
      <w:szCs w:val="16"/>
    </w:rPr>
  </w:style>
  <w:style w:type="paragraph" w:styleId="Closing">
    <w:name w:val="Closing"/>
    <w:basedOn w:val="Normal"/>
    <w:link w:val="ClosingChar"/>
    <w:uiPriority w:val="99"/>
    <w:semiHidden/>
    <w:unhideWhenUsed/>
    <w:rsid w:val="007A4F80"/>
    <w:pPr>
      <w:spacing w:after="0"/>
      <w:ind w:left="4252"/>
    </w:pPr>
  </w:style>
  <w:style w:type="character" w:customStyle="1" w:styleId="ClosingChar">
    <w:name w:val="Closing Char"/>
    <w:basedOn w:val="DefaultParagraphFont"/>
    <w:link w:val="Closing"/>
    <w:uiPriority w:val="99"/>
    <w:semiHidden/>
    <w:rsid w:val="007A4F80"/>
    <w:rPr>
      <w:rFonts w:ascii="Arial" w:hAnsi="Arial"/>
      <w:color w:val="7F7F7F" w:themeColor="text1" w:themeTint="80"/>
      <w:sz w:val="20"/>
    </w:rPr>
  </w:style>
  <w:style w:type="paragraph" w:styleId="Date">
    <w:name w:val="Date"/>
    <w:basedOn w:val="Normal"/>
    <w:next w:val="Normal"/>
    <w:link w:val="DateChar"/>
    <w:uiPriority w:val="99"/>
    <w:semiHidden/>
    <w:unhideWhenUsed/>
    <w:rsid w:val="007A4F80"/>
  </w:style>
  <w:style w:type="character" w:customStyle="1" w:styleId="DateChar">
    <w:name w:val="Date Char"/>
    <w:basedOn w:val="DefaultParagraphFont"/>
    <w:link w:val="Date"/>
    <w:uiPriority w:val="99"/>
    <w:semiHidden/>
    <w:rsid w:val="007A4F80"/>
    <w:rPr>
      <w:rFonts w:ascii="Arial" w:hAnsi="Arial"/>
      <w:color w:val="7F7F7F" w:themeColor="text1" w:themeTint="80"/>
      <w:sz w:val="20"/>
    </w:rPr>
  </w:style>
  <w:style w:type="paragraph" w:styleId="DocumentMap">
    <w:name w:val="Document Map"/>
    <w:basedOn w:val="Normal"/>
    <w:link w:val="DocumentMapChar"/>
    <w:uiPriority w:val="99"/>
    <w:semiHidden/>
    <w:unhideWhenUsed/>
    <w:rsid w:val="007A4F80"/>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A4F80"/>
    <w:rPr>
      <w:rFonts w:ascii="Segoe UI" w:hAnsi="Segoe UI" w:cs="Segoe UI"/>
      <w:color w:val="7F7F7F" w:themeColor="text1" w:themeTint="80"/>
      <w:sz w:val="16"/>
      <w:szCs w:val="16"/>
    </w:rPr>
  </w:style>
  <w:style w:type="paragraph" w:styleId="E-mailSignature">
    <w:name w:val="E-mail Signature"/>
    <w:basedOn w:val="Normal"/>
    <w:link w:val="E-mailSignatureChar"/>
    <w:uiPriority w:val="99"/>
    <w:semiHidden/>
    <w:unhideWhenUsed/>
    <w:rsid w:val="007A4F80"/>
    <w:pPr>
      <w:spacing w:after="0"/>
    </w:pPr>
  </w:style>
  <w:style w:type="character" w:customStyle="1" w:styleId="E-mailSignatureChar">
    <w:name w:val="E-mail Signature Char"/>
    <w:basedOn w:val="DefaultParagraphFont"/>
    <w:link w:val="E-mailSignature"/>
    <w:uiPriority w:val="99"/>
    <w:semiHidden/>
    <w:rsid w:val="007A4F80"/>
    <w:rPr>
      <w:rFonts w:ascii="Arial" w:hAnsi="Arial"/>
      <w:color w:val="7F7F7F" w:themeColor="text1" w:themeTint="80"/>
      <w:sz w:val="20"/>
    </w:rPr>
  </w:style>
  <w:style w:type="paragraph" w:styleId="EndnoteText">
    <w:name w:val="endnote text"/>
    <w:basedOn w:val="Normal"/>
    <w:link w:val="EndnoteTextChar"/>
    <w:semiHidden/>
    <w:unhideWhenUsed/>
    <w:rsid w:val="007A4F80"/>
    <w:pPr>
      <w:spacing w:after="0"/>
    </w:pPr>
    <w:rPr>
      <w:szCs w:val="20"/>
    </w:rPr>
  </w:style>
  <w:style w:type="character" w:customStyle="1" w:styleId="EndnoteTextChar">
    <w:name w:val="Endnote Text Char"/>
    <w:basedOn w:val="DefaultParagraphFont"/>
    <w:link w:val="EndnoteText"/>
    <w:semiHidden/>
    <w:rsid w:val="007A4F80"/>
    <w:rPr>
      <w:rFonts w:ascii="Arial" w:hAnsi="Arial"/>
      <w:color w:val="7F7F7F" w:themeColor="text1" w:themeTint="80"/>
      <w:sz w:val="20"/>
      <w:szCs w:val="20"/>
    </w:rPr>
  </w:style>
  <w:style w:type="paragraph" w:styleId="EnvelopeAddress">
    <w:name w:val="envelope address"/>
    <w:basedOn w:val="Normal"/>
    <w:uiPriority w:val="99"/>
    <w:semiHidden/>
    <w:unhideWhenUsed/>
    <w:rsid w:val="007A4F8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7A4F80"/>
    <w:pPr>
      <w:spacing w:after="0"/>
    </w:pPr>
    <w:rPr>
      <w:rFonts w:asciiTheme="majorHAnsi" w:eastAsiaTheme="majorEastAsia" w:hAnsiTheme="majorHAnsi" w:cstheme="majorBidi"/>
      <w:szCs w:val="20"/>
    </w:rPr>
  </w:style>
  <w:style w:type="paragraph" w:styleId="HTMLAddress">
    <w:name w:val="HTML Address"/>
    <w:basedOn w:val="Normal"/>
    <w:link w:val="HTMLAddressChar"/>
    <w:uiPriority w:val="99"/>
    <w:semiHidden/>
    <w:unhideWhenUsed/>
    <w:rsid w:val="007A4F80"/>
    <w:pPr>
      <w:spacing w:after="0"/>
    </w:pPr>
    <w:rPr>
      <w:i/>
      <w:iCs/>
    </w:rPr>
  </w:style>
  <w:style w:type="character" w:customStyle="1" w:styleId="HTMLAddressChar">
    <w:name w:val="HTML Address Char"/>
    <w:basedOn w:val="DefaultParagraphFont"/>
    <w:link w:val="HTMLAddress"/>
    <w:uiPriority w:val="99"/>
    <w:semiHidden/>
    <w:rsid w:val="007A4F80"/>
    <w:rPr>
      <w:rFonts w:ascii="Arial" w:hAnsi="Arial"/>
      <w:i/>
      <w:iCs/>
      <w:color w:val="7F7F7F" w:themeColor="text1" w:themeTint="80"/>
      <w:sz w:val="20"/>
    </w:rPr>
  </w:style>
  <w:style w:type="paragraph" w:styleId="HTMLPreformatted">
    <w:name w:val="HTML Preformatted"/>
    <w:basedOn w:val="Normal"/>
    <w:link w:val="HTMLPreformattedChar"/>
    <w:uiPriority w:val="99"/>
    <w:semiHidden/>
    <w:unhideWhenUsed/>
    <w:rsid w:val="007A4F80"/>
    <w:pPr>
      <w:spacing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7A4F80"/>
    <w:rPr>
      <w:rFonts w:ascii="Consolas" w:hAnsi="Consolas"/>
      <w:color w:val="7F7F7F" w:themeColor="text1" w:themeTint="80"/>
      <w:sz w:val="20"/>
      <w:szCs w:val="20"/>
    </w:rPr>
  </w:style>
  <w:style w:type="paragraph" w:styleId="Index1">
    <w:name w:val="index 1"/>
    <w:basedOn w:val="Normal"/>
    <w:next w:val="Normal"/>
    <w:autoRedefine/>
    <w:uiPriority w:val="99"/>
    <w:semiHidden/>
    <w:unhideWhenUsed/>
    <w:rsid w:val="007A4F80"/>
    <w:pPr>
      <w:spacing w:after="0"/>
      <w:ind w:left="200" w:hanging="200"/>
    </w:pPr>
  </w:style>
  <w:style w:type="paragraph" w:styleId="Index2">
    <w:name w:val="index 2"/>
    <w:basedOn w:val="Normal"/>
    <w:next w:val="Normal"/>
    <w:autoRedefine/>
    <w:uiPriority w:val="99"/>
    <w:semiHidden/>
    <w:unhideWhenUsed/>
    <w:rsid w:val="007A4F80"/>
    <w:pPr>
      <w:spacing w:after="0"/>
      <w:ind w:left="400" w:hanging="200"/>
    </w:pPr>
  </w:style>
  <w:style w:type="paragraph" w:styleId="Index3">
    <w:name w:val="index 3"/>
    <w:basedOn w:val="Normal"/>
    <w:next w:val="Normal"/>
    <w:autoRedefine/>
    <w:uiPriority w:val="99"/>
    <w:semiHidden/>
    <w:unhideWhenUsed/>
    <w:rsid w:val="007A4F80"/>
    <w:pPr>
      <w:spacing w:after="0"/>
      <w:ind w:left="600" w:hanging="200"/>
    </w:pPr>
  </w:style>
  <w:style w:type="paragraph" w:styleId="Index4">
    <w:name w:val="index 4"/>
    <w:basedOn w:val="Normal"/>
    <w:next w:val="Normal"/>
    <w:autoRedefine/>
    <w:uiPriority w:val="99"/>
    <w:semiHidden/>
    <w:unhideWhenUsed/>
    <w:rsid w:val="007A4F80"/>
    <w:pPr>
      <w:spacing w:after="0"/>
      <w:ind w:left="800" w:hanging="200"/>
    </w:pPr>
  </w:style>
  <w:style w:type="paragraph" w:styleId="Index5">
    <w:name w:val="index 5"/>
    <w:basedOn w:val="Normal"/>
    <w:next w:val="Normal"/>
    <w:autoRedefine/>
    <w:uiPriority w:val="99"/>
    <w:semiHidden/>
    <w:unhideWhenUsed/>
    <w:rsid w:val="007A4F80"/>
    <w:pPr>
      <w:spacing w:after="0"/>
      <w:ind w:left="1000" w:hanging="200"/>
    </w:pPr>
  </w:style>
  <w:style w:type="paragraph" w:styleId="Index6">
    <w:name w:val="index 6"/>
    <w:basedOn w:val="Normal"/>
    <w:next w:val="Normal"/>
    <w:autoRedefine/>
    <w:uiPriority w:val="99"/>
    <w:semiHidden/>
    <w:unhideWhenUsed/>
    <w:rsid w:val="007A4F80"/>
    <w:pPr>
      <w:spacing w:after="0"/>
      <w:ind w:left="1200" w:hanging="200"/>
    </w:pPr>
  </w:style>
  <w:style w:type="paragraph" w:styleId="Index7">
    <w:name w:val="index 7"/>
    <w:basedOn w:val="Normal"/>
    <w:next w:val="Normal"/>
    <w:autoRedefine/>
    <w:uiPriority w:val="99"/>
    <w:semiHidden/>
    <w:unhideWhenUsed/>
    <w:rsid w:val="007A4F80"/>
    <w:pPr>
      <w:spacing w:after="0"/>
      <w:ind w:left="1400" w:hanging="200"/>
    </w:pPr>
  </w:style>
  <w:style w:type="paragraph" w:styleId="Index8">
    <w:name w:val="index 8"/>
    <w:basedOn w:val="Normal"/>
    <w:next w:val="Normal"/>
    <w:autoRedefine/>
    <w:uiPriority w:val="99"/>
    <w:semiHidden/>
    <w:unhideWhenUsed/>
    <w:rsid w:val="007A4F80"/>
    <w:pPr>
      <w:spacing w:after="0"/>
      <w:ind w:left="1600" w:hanging="200"/>
    </w:pPr>
  </w:style>
  <w:style w:type="paragraph" w:styleId="Index9">
    <w:name w:val="index 9"/>
    <w:basedOn w:val="Normal"/>
    <w:next w:val="Normal"/>
    <w:autoRedefine/>
    <w:uiPriority w:val="99"/>
    <w:semiHidden/>
    <w:unhideWhenUsed/>
    <w:rsid w:val="007A4F80"/>
    <w:pPr>
      <w:spacing w:after="0"/>
      <w:ind w:left="1800" w:hanging="200"/>
    </w:pPr>
  </w:style>
  <w:style w:type="paragraph" w:styleId="IndexHeading">
    <w:name w:val="index heading"/>
    <w:basedOn w:val="Normal"/>
    <w:next w:val="Index1"/>
    <w:uiPriority w:val="99"/>
    <w:semiHidden/>
    <w:unhideWhenUsed/>
    <w:rsid w:val="007A4F80"/>
    <w:rPr>
      <w:rFonts w:asciiTheme="majorHAnsi" w:eastAsiaTheme="majorEastAsia" w:hAnsiTheme="majorHAnsi" w:cstheme="majorBidi"/>
      <w:b/>
      <w:bCs/>
    </w:rPr>
  </w:style>
  <w:style w:type="paragraph" w:styleId="IntenseQuote">
    <w:name w:val="Intense Quote"/>
    <w:basedOn w:val="Normal"/>
    <w:next w:val="Normal"/>
    <w:link w:val="IntenseQuoteChar"/>
    <w:uiPriority w:val="30"/>
    <w:rsid w:val="007A4F80"/>
    <w:pPr>
      <w:pBdr>
        <w:top w:val="single" w:sz="4" w:space="10" w:color="26664E" w:themeColor="accent1"/>
        <w:bottom w:val="single" w:sz="4" w:space="10" w:color="26664E" w:themeColor="accent1"/>
      </w:pBdr>
      <w:spacing w:before="360" w:after="360"/>
      <w:ind w:left="864" w:right="864"/>
      <w:jc w:val="center"/>
    </w:pPr>
    <w:rPr>
      <w:i/>
      <w:iCs/>
      <w:color w:val="26664E" w:themeColor="accent1"/>
    </w:rPr>
  </w:style>
  <w:style w:type="character" w:customStyle="1" w:styleId="IntenseQuoteChar">
    <w:name w:val="Intense Quote Char"/>
    <w:basedOn w:val="DefaultParagraphFont"/>
    <w:link w:val="IntenseQuote"/>
    <w:uiPriority w:val="30"/>
    <w:rsid w:val="007A4F80"/>
    <w:rPr>
      <w:rFonts w:ascii="Arial" w:hAnsi="Arial"/>
      <w:i/>
      <w:iCs/>
      <w:color w:val="26664E" w:themeColor="accent1"/>
      <w:sz w:val="20"/>
    </w:rPr>
  </w:style>
  <w:style w:type="paragraph" w:styleId="List">
    <w:name w:val="List"/>
    <w:basedOn w:val="Normal"/>
    <w:uiPriority w:val="99"/>
    <w:semiHidden/>
    <w:unhideWhenUsed/>
    <w:rsid w:val="007A4F80"/>
    <w:pPr>
      <w:ind w:left="283" w:hanging="283"/>
      <w:contextualSpacing/>
    </w:pPr>
  </w:style>
  <w:style w:type="paragraph" w:styleId="List2">
    <w:name w:val="List 2"/>
    <w:basedOn w:val="Normal"/>
    <w:uiPriority w:val="99"/>
    <w:semiHidden/>
    <w:unhideWhenUsed/>
    <w:rsid w:val="007A4F80"/>
    <w:pPr>
      <w:ind w:left="566" w:hanging="283"/>
      <w:contextualSpacing/>
    </w:pPr>
  </w:style>
  <w:style w:type="paragraph" w:styleId="List3">
    <w:name w:val="List 3"/>
    <w:basedOn w:val="Normal"/>
    <w:uiPriority w:val="99"/>
    <w:semiHidden/>
    <w:unhideWhenUsed/>
    <w:rsid w:val="007A4F80"/>
    <w:pPr>
      <w:ind w:left="849" w:hanging="283"/>
      <w:contextualSpacing/>
    </w:pPr>
  </w:style>
  <w:style w:type="paragraph" w:styleId="List4">
    <w:name w:val="List 4"/>
    <w:basedOn w:val="Normal"/>
    <w:uiPriority w:val="99"/>
    <w:semiHidden/>
    <w:unhideWhenUsed/>
    <w:rsid w:val="007A4F80"/>
    <w:pPr>
      <w:ind w:left="1132" w:hanging="283"/>
      <w:contextualSpacing/>
    </w:pPr>
  </w:style>
  <w:style w:type="paragraph" w:styleId="List5">
    <w:name w:val="List 5"/>
    <w:basedOn w:val="Normal"/>
    <w:uiPriority w:val="99"/>
    <w:semiHidden/>
    <w:unhideWhenUsed/>
    <w:rsid w:val="007A4F80"/>
    <w:pPr>
      <w:ind w:left="1415" w:hanging="283"/>
      <w:contextualSpacing/>
    </w:pPr>
  </w:style>
  <w:style w:type="paragraph" w:styleId="ListBullet">
    <w:name w:val="List Bullet"/>
    <w:basedOn w:val="Normal"/>
    <w:uiPriority w:val="99"/>
    <w:semiHidden/>
    <w:unhideWhenUsed/>
    <w:rsid w:val="007A4F80"/>
    <w:pPr>
      <w:numPr>
        <w:numId w:val="2"/>
      </w:numPr>
      <w:contextualSpacing/>
    </w:pPr>
  </w:style>
  <w:style w:type="paragraph" w:styleId="ListBullet2">
    <w:name w:val="List Bullet 2"/>
    <w:basedOn w:val="Normal"/>
    <w:uiPriority w:val="99"/>
    <w:semiHidden/>
    <w:unhideWhenUsed/>
    <w:rsid w:val="007A4F80"/>
    <w:pPr>
      <w:numPr>
        <w:numId w:val="3"/>
      </w:numPr>
      <w:contextualSpacing/>
    </w:pPr>
  </w:style>
  <w:style w:type="paragraph" w:styleId="ListBullet3">
    <w:name w:val="List Bullet 3"/>
    <w:basedOn w:val="Normal"/>
    <w:uiPriority w:val="99"/>
    <w:semiHidden/>
    <w:unhideWhenUsed/>
    <w:rsid w:val="007A4F80"/>
    <w:pPr>
      <w:numPr>
        <w:numId w:val="4"/>
      </w:numPr>
      <w:contextualSpacing/>
    </w:pPr>
  </w:style>
  <w:style w:type="paragraph" w:styleId="ListBullet4">
    <w:name w:val="List Bullet 4"/>
    <w:basedOn w:val="Normal"/>
    <w:uiPriority w:val="99"/>
    <w:semiHidden/>
    <w:unhideWhenUsed/>
    <w:rsid w:val="007A4F80"/>
    <w:pPr>
      <w:numPr>
        <w:numId w:val="5"/>
      </w:numPr>
      <w:contextualSpacing/>
    </w:pPr>
  </w:style>
  <w:style w:type="paragraph" w:styleId="ListBullet5">
    <w:name w:val="List Bullet 5"/>
    <w:basedOn w:val="Normal"/>
    <w:uiPriority w:val="99"/>
    <w:semiHidden/>
    <w:unhideWhenUsed/>
    <w:rsid w:val="007A4F80"/>
    <w:pPr>
      <w:numPr>
        <w:numId w:val="6"/>
      </w:numPr>
      <w:contextualSpacing/>
    </w:pPr>
  </w:style>
  <w:style w:type="paragraph" w:styleId="ListContinue">
    <w:name w:val="List Continue"/>
    <w:basedOn w:val="Normal"/>
    <w:uiPriority w:val="99"/>
    <w:semiHidden/>
    <w:unhideWhenUsed/>
    <w:rsid w:val="007A4F80"/>
    <w:pPr>
      <w:spacing w:after="120"/>
      <w:ind w:left="283"/>
      <w:contextualSpacing/>
    </w:pPr>
  </w:style>
  <w:style w:type="paragraph" w:styleId="ListContinue2">
    <w:name w:val="List Continue 2"/>
    <w:basedOn w:val="Normal"/>
    <w:uiPriority w:val="99"/>
    <w:semiHidden/>
    <w:unhideWhenUsed/>
    <w:rsid w:val="007A4F80"/>
    <w:pPr>
      <w:spacing w:after="120"/>
      <w:ind w:left="566"/>
      <w:contextualSpacing/>
    </w:pPr>
  </w:style>
  <w:style w:type="paragraph" w:styleId="ListContinue3">
    <w:name w:val="List Continue 3"/>
    <w:basedOn w:val="Normal"/>
    <w:uiPriority w:val="99"/>
    <w:semiHidden/>
    <w:unhideWhenUsed/>
    <w:rsid w:val="007A4F80"/>
    <w:pPr>
      <w:spacing w:after="120"/>
      <w:ind w:left="849"/>
      <w:contextualSpacing/>
    </w:pPr>
  </w:style>
  <w:style w:type="paragraph" w:styleId="ListContinue4">
    <w:name w:val="List Continue 4"/>
    <w:basedOn w:val="Normal"/>
    <w:uiPriority w:val="99"/>
    <w:semiHidden/>
    <w:unhideWhenUsed/>
    <w:rsid w:val="007A4F80"/>
    <w:pPr>
      <w:spacing w:after="120"/>
      <w:ind w:left="1132"/>
      <w:contextualSpacing/>
    </w:pPr>
  </w:style>
  <w:style w:type="paragraph" w:styleId="ListContinue5">
    <w:name w:val="List Continue 5"/>
    <w:basedOn w:val="Normal"/>
    <w:uiPriority w:val="99"/>
    <w:semiHidden/>
    <w:unhideWhenUsed/>
    <w:rsid w:val="007A4F80"/>
    <w:pPr>
      <w:spacing w:after="120"/>
      <w:ind w:left="1415"/>
      <w:contextualSpacing/>
    </w:pPr>
  </w:style>
  <w:style w:type="paragraph" w:styleId="ListNumber">
    <w:name w:val="List Number"/>
    <w:basedOn w:val="Normal"/>
    <w:uiPriority w:val="99"/>
    <w:semiHidden/>
    <w:unhideWhenUsed/>
    <w:rsid w:val="007A4F80"/>
    <w:pPr>
      <w:numPr>
        <w:numId w:val="7"/>
      </w:numPr>
      <w:contextualSpacing/>
    </w:pPr>
  </w:style>
  <w:style w:type="paragraph" w:styleId="ListNumber2">
    <w:name w:val="List Number 2"/>
    <w:basedOn w:val="Normal"/>
    <w:uiPriority w:val="99"/>
    <w:semiHidden/>
    <w:unhideWhenUsed/>
    <w:rsid w:val="007A4F80"/>
    <w:pPr>
      <w:numPr>
        <w:numId w:val="8"/>
      </w:numPr>
      <w:contextualSpacing/>
    </w:pPr>
  </w:style>
  <w:style w:type="paragraph" w:styleId="ListNumber3">
    <w:name w:val="List Number 3"/>
    <w:basedOn w:val="Normal"/>
    <w:uiPriority w:val="99"/>
    <w:semiHidden/>
    <w:unhideWhenUsed/>
    <w:rsid w:val="007A4F80"/>
    <w:pPr>
      <w:numPr>
        <w:numId w:val="9"/>
      </w:numPr>
      <w:contextualSpacing/>
    </w:pPr>
  </w:style>
  <w:style w:type="paragraph" w:styleId="ListNumber4">
    <w:name w:val="List Number 4"/>
    <w:basedOn w:val="Normal"/>
    <w:uiPriority w:val="99"/>
    <w:semiHidden/>
    <w:unhideWhenUsed/>
    <w:rsid w:val="007A4F80"/>
    <w:pPr>
      <w:numPr>
        <w:numId w:val="10"/>
      </w:numPr>
      <w:contextualSpacing/>
    </w:pPr>
  </w:style>
  <w:style w:type="paragraph" w:styleId="ListNumber5">
    <w:name w:val="List Number 5"/>
    <w:basedOn w:val="Normal"/>
    <w:uiPriority w:val="99"/>
    <w:semiHidden/>
    <w:unhideWhenUsed/>
    <w:rsid w:val="007A4F80"/>
    <w:pPr>
      <w:numPr>
        <w:numId w:val="11"/>
      </w:numPr>
      <w:contextualSpacing/>
    </w:pPr>
  </w:style>
  <w:style w:type="paragraph" w:styleId="MacroText">
    <w:name w:val="macro"/>
    <w:link w:val="MacroTextChar"/>
    <w:uiPriority w:val="99"/>
    <w:semiHidden/>
    <w:unhideWhenUsed/>
    <w:rsid w:val="007A4F8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olor w:val="7F7F7F" w:themeColor="text1" w:themeTint="80"/>
      <w:sz w:val="20"/>
      <w:szCs w:val="20"/>
    </w:rPr>
  </w:style>
  <w:style w:type="character" w:customStyle="1" w:styleId="MacroTextChar">
    <w:name w:val="Macro Text Char"/>
    <w:basedOn w:val="DefaultParagraphFont"/>
    <w:link w:val="MacroText"/>
    <w:uiPriority w:val="99"/>
    <w:semiHidden/>
    <w:rsid w:val="007A4F80"/>
    <w:rPr>
      <w:rFonts w:ascii="Consolas" w:hAnsi="Consolas"/>
      <w:color w:val="7F7F7F" w:themeColor="text1" w:themeTint="80"/>
      <w:sz w:val="20"/>
      <w:szCs w:val="20"/>
    </w:rPr>
  </w:style>
  <w:style w:type="paragraph" w:styleId="MessageHeader">
    <w:name w:val="Message Header"/>
    <w:basedOn w:val="Normal"/>
    <w:link w:val="MessageHeaderChar"/>
    <w:uiPriority w:val="99"/>
    <w:semiHidden/>
    <w:unhideWhenUsed/>
    <w:rsid w:val="007A4F8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A4F80"/>
    <w:rPr>
      <w:rFonts w:asciiTheme="majorHAnsi" w:eastAsiaTheme="majorEastAsia" w:hAnsiTheme="majorHAnsi" w:cstheme="majorBidi"/>
      <w:color w:val="7F7F7F" w:themeColor="text1" w:themeTint="80"/>
      <w:sz w:val="24"/>
      <w:szCs w:val="24"/>
      <w:shd w:val="pct20" w:color="auto" w:fill="auto"/>
    </w:rPr>
  </w:style>
  <w:style w:type="paragraph" w:styleId="NoSpacing">
    <w:name w:val="No Spacing"/>
    <w:uiPriority w:val="1"/>
    <w:rsid w:val="007A4F80"/>
    <w:pPr>
      <w:spacing w:after="0"/>
    </w:pPr>
    <w:rPr>
      <w:rFonts w:ascii="Arial" w:hAnsi="Arial"/>
      <w:color w:val="7F7F7F" w:themeColor="text1" w:themeTint="80"/>
      <w:sz w:val="20"/>
    </w:rPr>
  </w:style>
  <w:style w:type="paragraph" w:styleId="NormalWeb">
    <w:name w:val="Normal (Web)"/>
    <w:basedOn w:val="Normal"/>
    <w:uiPriority w:val="99"/>
    <w:unhideWhenUsed/>
    <w:rsid w:val="007A4F80"/>
    <w:rPr>
      <w:rFonts w:ascii="Times New Roman" w:hAnsi="Times New Roman" w:cs="Times New Roman"/>
      <w:sz w:val="24"/>
      <w:szCs w:val="24"/>
    </w:rPr>
  </w:style>
  <w:style w:type="paragraph" w:styleId="NormalIndent">
    <w:name w:val="Normal Indent"/>
    <w:basedOn w:val="Normal"/>
    <w:uiPriority w:val="99"/>
    <w:semiHidden/>
    <w:unhideWhenUsed/>
    <w:rsid w:val="007A4F80"/>
    <w:pPr>
      <w:ind w:left="720"/>
    </w:pPr>
  </w:style>
  <w:style w:type="paragraph" w:styleId="NoteHeading">
    <w:name w:val="Note Heading"/>
    <w:basedOn w:val="Normal"/>
    <w:next w:val="Normal"/>
    <w:link w:val="NoteHeadingChar"/>
    <w:uiPriority w:val="99"/>
    <w:semiHidden/>
    <w:unhideWhenUsed/>
    <w:rsid w:val="007A4F80"/>
    <w:pPr>
      <w:spacing w:after="0"/>
    </w:pPr>
  </w:style>
  <w:style w:type="character" w:customStyle="1" w:styleId="NoteHeadingChar">
    <w:name w:val="Note Heading Char"/>
    <w:basedOn w:val="DefaultParagraphFont"/>
    <w:link w:val="NoteHeading"/>
    <w:uiPriority w:val="99"/>
    <w:semiHidden/>
    <w:rsid w:val="007A4F80"/>
    <w:rPr>
      <w:rFonts w:ascii="Arial" w:hAnsi="Arial"/>
      <w:color w:val="7F7F7F" w:themeColor="text1" w:themeTint="80"/>
      <w:sz w:val="20"/>
    </w:rPr>
  </w:style>
  <w:style w:type="paragraph" w:styleId="PlainText">
    <w:name w:val="Plain Text"/>
    <w:basedOn w:val="Normal"/>
    <w:link w:val="PlainTextChar"/>
    <w:uiPriority w:val="99"/>
    <w:semiHidden/>
    <w:unhideWhenUsed/>
    <w:rsid w:val="007A4F8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7A4F80"/>
    <w:rPr>
      <w:rFonts w:ascii="Consolas" w:hAnsi="Consolas"/>
      <w:color w:val="7F7F7F" w:themeColor="text1" w:themeTint="80"/>
      <w:sz w:val="21"/>
      <w:szCs w:val="21"/>
    </w:rPr>
  </w:style>
  <w:style w:type="paragraph" w:styleId="Quote">
    <w:name w:val="Quote"/>
    <w:basedOn w:val="Normal"/>
    <w:next w:val="Normal"/>
    <w:link w:val="QuoteChar"/>
    <w:uiPriority w:val="29"/>
    <w:rsid w:val="007A4F8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A4F80"/>
    <w:rPr>
      <w:rFonts w:ascii="Arial" w:hAnsi="Arial"/>
      <w:i/>
      <w:iCs/>
      <w:color w:val="404040" w:themeColor="text1" w:themeTint="BF"/>
      <w:sz w:val="20"/>
    </w:rPr>
  </w:style>
  <w:style w:type="paragraph" w:styleId="Salutation">
    <w:name w:val="Salutation"/>
    <w:basedOn w:val="Normal"/>
    <w:next w:val="Normal"/>
    <w:link w:val="SalutationChar"/>
    <w:uiPriority w:val="99"/>
    <w:semiHidden/>
    <w:unhideWhenUsed/>
    <w:rsid w:val="007A4F80"/>
  </w:style>
  <w:style w:type="character" w:customStyle="1" w:styleId="SalutationChar">
    <w:name w:val="Salutation Char"/>
    <w:basedOn w:val="DefaultParagraphFont"/>
    <w:link w:val="Salutation"/>
    <w:uiPriority w:val="99"/>
    <w:semiHidden/>
    <w:rsid w:val="007A4F80"/>
    <w:rPr>
      <w:rFonts w:ascii="Arial" w:hAnsi="Arial"/>
      <w:color w:val="7F7F7F" w:themeColor="text1" w:themeTint="80"/>
      <w:sz w:val="20"/>
    </w:rPr>
  </w:style>
  <w:style w:type="paragraph" w:styleId="Signature">
    <w:name w:val="Signature"/>
    <w:basedOn w:val="Normal"/>
    <w:link w:val="SignatureChar"/>
    <w:uiPriority w:val="99"/>
    <w:semiHidden/>
    <w:unhideWhenUsed/>
    <w:rsid w:val="007A4F80"/>
    <w:pPr>
      <w:spacing w:after="0"/>
      <w:ind w:left="4252"/>
    </w:pPr>
  </w:style>
  <w:style w:type="character" w:customStyle="1" w:styleId="SignatureChar">
    <w:name w:val="Signature Char"/>
    <w:basedOn w:val="DefaultParagraphFont"/>
    <w:link w:val="Signature"/>
    <w:uiPriority w:val="99"/>
    <w:semiHidden/>
    <w:rsid w:val="007A4F80"/>
    <w:rPr>
      <w:rFonts w:ascii="Arial" w:hAnsi="Arial"/>
      <w:color w:val="7F7F7F" w:themeColor="text1" w:themeTint="80"/>
      <w:sz w:val="20"/>
    </w:rPr>
  </w:style>
  <w:style w:type="paragraph" w:styleId="Subtitle">
    <w:name w:val="Subtitle"/>
    <w:basedOn w:val="Normal"/>
    <w:next w:val="Normal"/>
    <w:link w:val="SubtitleChar"/>
    <w:uiPriority w:val="11"/>
    <w:rsid w:val="007A4F80"/>
    <w:pPr>
      <w:numPr>
        <w:ilvl w:val="1"/>
      </w:num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7A4F80"/>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7A4F80"/>
    <w:pPr>
      <w:spacing w:after="0"/>
      <w:ind w:left="200" w:hanging="200"/>
    </w:pPr>
  </w:style>
  <w:style w:type="paragraph" w:styleId="Title">
    <w:name w:val="Title"/>
    <w:basedOn w:val="Normal"/>
    <w:next w:val="Normal"/>
    <w:link w:val="TitleChar"/>
    <w:uiPriority w:val="10"/>
    <w:rsid w:val="007A4F80"/>
    <w:pPr>
      <w:spacing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7A4F80"/>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7A4F80"/>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uiPriority w:val="39"/>
    <w:semiHidden/>
    <w:unhideWhenUsed/>
    <w:rsid w:val="007A4F80"/>
    <w:pPr>
      <w:spacing w:after="100"/>
      <w:ind w:left="600"/>
    </w:pPr>
  </w:style>
  <w:style w:type="paragraph" w:styleId="TOC5">
    <w:name w:val="toc 5"/>
    <w:basedOn w:val="Normal"/>
    <w:next w:val="Normal"/>
    <w:autoRedefine/>
    <w:semiHidden/>
    <w:unhideWhenUsed/>
    <w:rsid w:val="007A4F80"/>
    <w:pPr>
      <w:spacing w:after="100"/>
      <w:ind w:left="800"/>
    </w:pPr>
  </w:style>
  <w:style w:type="paragraph" w:styleId="TOC6">
    <w:name w:val="toc 6"/>
    <w:basedOn w:val="Normal"/>
    <w:next w:val="Normal"/>
    <w:autoRedefine/>
    <w:semiHidden/>
    <w:unhideWhenUsed/>
    <w:rsid w:val="007A4F80"/>
    <w:pPr>
      <w:spacing w:after="100"/>
      <w:ind w:left="1000"/>
    </w:pPr>
  </w:style>
  <w:style w:type="paragraph" w:styleId="TOC7">
    <w:name w:val="toc 7"/>
    <w:basedOn w:val="Normal"/>
    <w:next w:val="Normal"/>
    <w:autoRedefine/>
    <w:semiHidden/>
    <w:unhideWhenUsed/>
    <w:rsid w:val="007A4F80"/>
    <w:pPr>
      <w:spacing w:after="100"/>
      <w:ind w:left="1200"/>
    </w:pPr>
  </w:style>
  <w:style w:type="paragraph" w:styleId="TOC8">
    <w:name w:val="toc 8"/>
    <w:basedOn w:val="Normal"/>
    <w:next w:val="Normal"/>
    <w:autoRedefine/>
    <w:semiHidden/>
    <w:unhideWhenUsed/>
    <w:rsid w:val="007A4F80"/>
    <w:pPr>
      <w:spacing w:after="100"/>
      <w:ind w:left="1400"/>
    </w:pPr>
  </w:style>
  <w:style w:type="paragraph" w:styleId="TOC9">
    <w:name w:val="toc 9"/>
    <w:basedOn w:val="Normal"/>
    <w:next w:val="Normal"/>
    <w:autoRedefine/>
    <w:semiHidden/>
    <w:unhideWhenUsed/>
    <w:rsid w:val="007A4F80"/>
    <w:pPr>
      <w:spacing w:after="100"/>
      <w:ind w:left="1600"/>
    </w:pPr>
  </w:style>
  <w:style w:type="character" w:customStyle="1" w:styleId="CommentTextChar1">
    <w:name w:val="Comment Text Char1"/>
    <w:basedOn w:val="DefaultParagraphFont"/>
    <w:uiPriority w:val="99"/>
    <w:rsid w:val="00691224"/>
    <w:rPr>
      <w:rFonts w:ascii="Arial" w:hAnsi="Arial"/>
      <w:color w:val="7F7F7F" w:themeColor="text1" w:themeTint="80"/>
      <w:sz w:val="20"/>
      <w:szCs w:val="20"/>
    </w:rPr>
  </w:style>
  <w:style w:type="paragraph" w:customStyle="1" w:styleId="paragraph0">
    <w:name w:val="paragraph"/>
    <w:basedOn w:val="Normal"/>
    <w:rsid w:val="00376BA8"/>
    <w:pPr>
      <w:spacing w:before="100" w:beforeAutospacing="1" w:after="100" w:afterAutospacing="1"/>
    </w:pPr>
    <w:rPr>
      <w:rFonts w:ascii="Times New Roman" w:eastAsia="Times New Roman" w:hAnsi="Times New Roman" w:cs="Times New Roman"/>
      <w:color w:val="auto"/>
      <w:sz w:val="24"/>
      <w:szCs w:val="24"/>
      <w:lang w:eastAsia="en-AU"/>
    </w:rPr>
  </w:style>
  <w:style w:type="character" w:customStyle="1" w:styleId="normaltextrun">
    <w:name w:val="normaltextrun"/>
    <w:basedOn w:val="DefaultParagraphFont"/>
    <w:rsid w:val="00376BA8"/>
  </w:style>
  <w:style w:type="character" w:customStyle="1" w:styleId="eop">
    <w:name w:val="eop"/>
    <w:basedOn w:val="DefaultParagraphFont"/>
    <w:rsid w:val="00376BA8"/>
  </w:style>
  <w:style w:type="paragraph" w:customStyle="1" w:styleId="outlineelement">
    <w:name w:val="outlineelement"/>
    <w:basedOn w:val="Normal"/>
    <w:rsid w:val="00376BA8"/>
    <w:pPr>
      <w:spacing w:before="100" w:beforeAutospacing="1" w:after="100" w:afterAutospacing="1"/>
    </w:pPr>
    <w:rPr>
      <w:rFonts w:ascii="Times New Roman" w:eastAsia="Times New Roman" w:hAnsi="Times New Roman" w:cs="Times New Roman"/>
      <w:color w:val="auto"/>
      <w:sz w:val="24"/>
      <w:szCs w:val="24"/>
      <w:lang w:eastAsia="en-AU"/>
    </w:rPr>
  </w:style>
  <w:style w:type="paragraph" w:customStyle="1" w:styleId="05Paragraph">
    <w:name w:val="05. Paragraph"/>
    <w:link w:val="05ParagraphChar"/>
    <w:qFormat/>
    <w:locked/>
    <w:rsid w:val="00AE11E9"/>
    <w:pPr>
      <w:spacing w:before="180" w:after="0" w:line="276" w:lineRule="auto"/>
      <w:jc w:val="both"/>
    </w:pPr>
    <w:rPr>
      <w:rFonts w:ascii="Calibri Light" w:hAnsi="Calibri Light" w:cs="Arial"/>
      <w:color w:val="000000" w:themeColor="text1"/>
      <w:sz w:val="26"/>
      <w:szCs w:val="20"/>
    </w:rPr>
  </w:style>
  <w:style w:type="character" w:customStyle="1" w:styleId="05ParagraphChar">
    <w:name w:val="05. Paragraph Char"/>
    <w:basedOn w:val="DefaultParagraphFont"/>
    <w:link w:val="05Paragraph"/>
    <w:rsid w:val="00AE11E9"/>
    <w:rPr>
      <w:rFonts w:ascii="Calibri Light" w:hAnsi="Calibri Light" w:cs="Arial"/>
      <w:color w:val="000000" w:themeColor="text1"/>
      <w:sz w:val="26"/>
      <w:szCs w:val="20"/>
    </w:rPr>
  </w:style>
  <w:style w:type="paragraph" w:customStyle="1" w:styleId="Paragraphbeforeabulletlist">
    <w:name w:val="Paragraph before a bullet list"/>
    <w:basedOn w:val="Paragraph"/>
    <w:link w:val="ParagraphbeforeabulletlistChar"/>
    <w:autoRedefine/>
    <w:locked/>
    <w:rsid w:val="001434B6"/>
    <w:pPr>
      <w:keepNext/>
      <w:spacing w:before="0" w:after="0"/>
    </w:pPr>
    <w:rPr>
      <w:rFonts w:cs="Times New Roman (Body CS)"/>
      <w:noProof/>
      <w:color w:val="auto"/>
      <w:szCs w:val="44"/>
    </w:rPr>
  </w:style>
  <w:style w:type="character" w:customStyle="1" w:styleId="ParagraphbeforeabulletlistChar">
    <w:name w:val="Paragraph before a bullet list Char"/>
    <w:basedOn w:val="DefaultParagraphFont"/>
    <w:link w:val="Paragraphbeforeabulletlist"/>
    <w:rsid w:val="001434B6"/>
    <w:rPr>
      <w:rFonts w:ascii="Calibri Light" w:hAnsi="Calibri Light" w:cs="Times New Roman (Body CS)"/>
      <w:noProof/>
      <w:sz w:val="26"/>
      <w:szCs w:val="44"/>
    </w:rPr>
  </w:style>
  <w:style w:type="character" w:customStyle="1" w:styleId="FiguretitleChar">
    <w:name w:val="Figure title Char"/>
    <w:basedOn w:val="DefaultParagraphFont"/>
    <w:link w:val="Figuretitle"/>
    <w:locked/>
    <w:rsid w:val="008F6079"/>
    <w:rPr>
      <w:rFonts w:ascii="Calibri Light" w:hAnsi="Calibri Light" w:cs="Times New Roman (Body CS)"/>
      <w:b/>
      <w:noProof/>
      <w:color w:val="0F6745" w:themeColor="accent2" w:themeShade="BF"/>
      <w:sz w:val="24"/>
      <w:szCs w:val="24"/>
      <w:lang w:val="en-US"/>
    </w:rPr>
  </w:style>
  <w:style w:type="paragraph" w:customStyle="1" w:styleId="Figuretitle">
    <w:name w:val="Figure title"/>
    <w:link w:val="FiguretitleChar"/>
    <w:autoRedefine/>
    <w:rsid w:val="008F6079"/>
    <w:pPr>
      <w:keepNext/>
      <w:spacing w:before="240" w:after="120"/>
    </w:pPr>
    <w:rPr>
      <w:rFonts w:ascii="Calibri Light" w:hAnsi="Calibri Light" w:cs="Times New Roman (Body CS)"/>
      <w:b/>
      <w:noProof/>
      <w:color w:val="0F6745" w:themeColor="accent2" w:themeShade="BF"/>
      <w:sz w:val="24"/>
      <w:szCs w:val="24"/>
      <w:lang w:val="en-US"/>
    </w:rPr>
  </w:style>
  <w:style w:type="paragraph" w:customStyle="1" w:styleId="Tablebullets">
    <w:name w:val="Table bullets"/>
    <w:link w:val="TablebulletsChar"/>
    <w:qFormat/>
    <w:rsid w:val="00EF01B2"/>
    <w:pPr>
      <w:spacing w:before="60" w:after="60"/>
      <w:contextualSpacing/>
    </w:pPr>
    <w:rPr>
      <w:rFonts w:ascii="Calibri Light" w:hAnsi="Calibri Light" w:cs="Times New Roman (Body CS)"/>
      <w:color w:val="4D4D4D" w:themeColor="accent6"/>
    </w:rPr>
  </w:style>
  <w:style w:type="character" w:customStyle="1" w:styleId="TablebulletsChar">
    <w:name w:val="Table bullets Char"/>
    <w:basedOn w:val="DefaultParagraphFont"/>
    <w:link w:val="Tablebullets"/>
    <w:locked/>
    <w:rsid w:val="00EF01B2"/>
    <w:rPr>
      <w:rFonts w:ascii="Calibri Light" w:hAnsi="Calibri Light" w:cs="Times New Roman (Body CS)"/>
      <w:color w:val="4D4D4D" w:themeColor="accent6"/>
    </w:rPr>
  </w:style>
  <w:style w:type="table" w:customStyle="1" w:styleId="Glossary">
    <w:name w:val="Glossary"/>
    <w:basedOn w:val="TableNormal"/>
    <w:uiPriority w:val="99"/>
    <w:rsid w:val="00EF01B2"/>
    <w:pPr>
      <w:spacing w:after="0"/>
    </w:pPr>
    <w:tblPr>
      <w:tblBorders>
        <w:top w:val="single" w:sz="4" w:space="0" w:color="148A5D"/>
        <w:bottom w:val="single" w:sz="4" w:space="0" w:color="148A5D"/>
        <w:insideH w:val="single" w:sz="4" w:space="0" w:color="148A5D"/>
      </w:tblBorders>
    </w:tblPr>
    <w:tblStylePr w:type="firstRow">
      <w:rPr>
        <w:b/>
        <w:color w:val="FFFFFF" w:themeColor="background2"/>
      </w:rPr>
      <w:tblPr/>
      <w:tcPr>
        <w:shd w:val="clear" w:color="auto" w:fill="148A5D"/>
      </w:tcPr>
    </w:tblStylePr>
  </w:style>
  <w:style w:type="table" w:customStyle="1" w:styleId="ListTable3-Accent22">
    <w:name w:val="List Table 3 - Accent 22"/>
    <w:basedOn w:val="TableNormal"/>
    <w:next w:val="ListTable3-Accent2"/>
    <w:uiPriority w:val="48"/>
    <w:rsid w:val="009830D6"/>
    <w:pPr>
      <w:spacing w:after="0"/>
    </w:pPr>
    <w:tblPr>
      <w:tblStyleRowBandSize w:val="1"/>
      <w:tblStyleColBandSize w:val="1"/>
      <w:tblBorders>
        <w:top w:val="single" w:sz="4" w:space="0" w:color="148A5D" w:themeColor="accent2"/>
        <w:left w:val="single" w:sz="4" w:space="0" w:color="148A5D" w:themeColor="accent2"/>
        <w:bottom w:val="single" w:sz="4" w:space="0" w:color="148A5D" w:themeColor="accent2"/>
        <w:right w:val="single" w:sz="4" w:space="0" w:color="148A5D" w:themeColor="accent2"/>
      </w:tblBorders>
    </w:tblPr>
    <w:tblStylePr w:type="firstRow">
      <w:rPr>
        <w:b/>
        <w:bCs/>
        <w:color w:val="FFFFFF" w:themeColor="background1"/>
      </w:rPr>
      <w:tblPr/>
      <w:tcPr>
        <w:shd w:val="clear" w:color="auto" w:fill="148A5D" w:themeFill="accent2"/>
      </w:tcPr>
    </w:tblStylePr>
    <w:tblStylePr w:type="lastRow">
      <w:rPr>
        <w:b/>
        <w:bCs/>
      </w:rPr>
      <w:tblPr/>
      <w:tcPr>
        <w:tcBorders>
          <w:top w:val="double" w:sz="4" w:space="0" w:color="148A5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48A5D" w:themeColor="accent2"/>
          <w:right w:val="single" w:sz="4" w:space="0" w:color="148A5D" w:themeColor="accent2"/>
        </w:tcBorders>
      </w:tcPr>
    </w:tblStylePr>
    <w:tblStylePr w:type="band1Horz">
      <w:tblPr/>
      <w:tcPr>
        <w:tcBorders>
          <w:top w:val="single" w:sz="4" w:space="0" w:color="148A5D" w:themeColor="accent2"/>
          <w:bottom w:val="single" w:sz="4" w:space="0" w:color="148A5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themeColor="accent2"/>
          <w:left w:val="nil"/>
        </w:tcBorders>
      </w:tcPr>
    </w:tblStylePr>
    <w:tblStylePr w:type="swCell">
      <w:tblPr/>
      <w:tcPr>
        <w:tcBorders>
          <w:top w:val="double" w:sz="4" w:space="0" w:color="148A5D" w:themeColor="accent2"/>
          <w:right w:val="nil"/>
        </w:tcBorders>
      </w:tcPr>
    </w:tblStylePr>
  </w:style>
  <w:style w:type="paragraph" w:customStyle="1" w:styleId="Tableheaderrow">
    <w:name w:val="Table header row"/>
    <w:link w:val="TableheaderrowChar"/>
    <w:qFormat/>
    <w:rsid w:val="00B1131E"/>
    <w:pPr>
      <w:spacing w:after="0"/>
    </w:pPr>
    <w:rPr>
      <w:rFonts w:ascii="Calibri Light" w:eastAsia="Rockwell" w:hAnsi="Calibri Light" w:cs="Arial"/>
      <w:b/>
      <w:bCs/>
      <w:color w:val="4D4D4D" w:themeColor="accent6"/>
    </w:rPr>
  </w:style>
  <w:style w:type="character" w:customStyle="1" w:styleId="TableheaderrowChar">
    <w:name w:val="Table header row Char"/>
    <w:basedOn w:val="DefaultParagraphFont"/>
    <w:link w:val="Tableheaderrow"/>
    <w:rsid w:val="00B1131E"/>
    <w:rPr>
      <w:rFonts w:ascii="Calibri Light" w:eastAsia="Rockwell" w:hAnsi="Calibri Light" w:cs="Arial"/>
      <w:b/>
      <w:bCs/>
      <w:color w:val="4D4D4D" w:themeColor="accent6"/>
    </w:rPr>
  </w:style>
  <w:style w:type="paragraph" w:customStyle="1" w:styleId="Instrumenttableofcontents">
    <w:name w:val="Instrument table of contents"/>
    <w:qFormat/>
    <w:rsid w:val="00B1131E"/>
    <w:pPr>
      <w:spacing w:before="180" w:after="180" w:line="276" w:lineRule="auto"/>
      <w:jc w:val="both"/>
    </w:pPr>
    <w:rPr>
      <w:rFonts w:ascii="Calibri Light" w:hAnsi="Calibri Light" w:cs="Arial"/>
      <w:bCs/>
      <w:sz w:val="26"/>
      <w:szCs w:val="20"/>
    </w:rPr>
  </w:style>
  <w:style w:type="table" w:customStyle="1" w:styleId="ListTable3-Accent21">
    <w:name w:val="List Table 3 - Accent 21"/>
    <w:basedOn w:val="TableNormal"/>
    <w:next w:val="ListTable3-Accent2"/>
    <w:uiPriority w:val="48"/>
    <w:rsid w:val="00B1131E"/>
    <w:pPr>
      <w:spacing w:after="0"/>
    </w:pPr>
    <w:rPr>
      <w:rFonts w:ascii="Calibri Light" w:eastAsia="Rockwell" w:hAnsi="Calibri Light" w:cs="Times New Roman"/>
      <w:color w:val="4D4D4D" w:themeColor="accent6"/>
    </w:rPr>
    <w:tblPr>
      <w:tblStyleRowBandSize w:val="1"/>
      <w:tblStyleColBandSize w:val="1"/>
      <w:tblInd w:w="0" w:type="nil"/>
      <w:tblBorders>
        <w:top w:val="single" w:sz="4" w:space="0" w:color="148A5D" w:themeColor="accent2"/>
        <w:bottom w:val="single" w:sz="4" w:space="0" w:color="148A5D" w:themeColor="accent2"/>
      </w:tblBorders>
    </w:tblPr>
    <w:tblStylePr w:type="firstRow">
      <w:pPr>
        <w:jc w:val="left"/>
      </w:pPr>
      <w:rPr>
        <w:rFonts w:ascii="Calibri Light" w:hAnsi="Calibri Light" w:cs="Calibri Light" w:hint="default"/>
        <w:b/>
        <w:bCs/>
        <w:color w:val="FFFFFF" w:themeColor="background1"/>
        <w:sz w:val="22"/>
        <w:szCs w:val="22"/>
      </w:rPr>
      <w:tblPr/>
      <w:tcPr>
        <w:tcBorders>
          <w:top w:val="nil"/>
          <w:left w:val="nil"/>
          <w:bottom w:val="nil"/>
          <w:right w:val="nil"/>
          <w:insideH w:val="single" w:sz="4" w:space="0" w:color="148A5D" w:themeColor="accent2"/>
          <w:insideV w:val="nil"/>
          <w:tl2br w:val="nil"/>
          <w:tr2bl w:val="nil"/>
        </w:tcBorders>
        <w:shd w:val="clear" w:color="auto" w:fill="148A5D"/>
      </w:tcPr>
    </w:tblStylePr>
    <w:tblStylePr w:type="lastRow">
      <w:rPr>
        <w:b/>
        <w:bCs/>
      </w:rPr>
      <w:tblPr/>
      <w:tcPr>
        <w:tcBorders>
          <w:top w:val="double" w:sz="4" w:space="0" w:color="148A5D"/>
        </w:tcBorders>
        <w:shd w:val="clear" w:color="auto" w:fill="FFFFFF"/>
      </w:tcPr>
    </w:tblStylePr>
    <w:tblStylePr w:type="firstCol">
      <w:pPr>
        <w:wordWrap/>
        <w:contextualSpacing w:val="0"/>
        <w:mirrorIndents w:val="0"/>
      </w:pPr>
      <w:rPr>
        <w:b w:val="0"/>
        <w:bCs/>
      </w:rPr>
      <w:tblPr/>
      <w:tcPr>
        <w:tcBorders>
          <w:right w:val="nil"/>
        </w:tcBorders>
        <w:shd w:val="clear" w:color="auto" w:fill="FFFFFF"/>
      </w:tcPr>
    </w:tblStylePr>
    <w:tblStylePr w:type="lastCol">
      <w:rPr>
        <w:b w:val="0"/>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paragraph" w:customStyle="1" w:styleId="Parapraph">
    <w:name w:val="Parapraph"/>
    <w:link w:val="ParapraphChar"/>
    <w:qFormat/>
    <w:rsid w:val="00B1131E"/>
    <w:pPr>
      <w:spacing w:before="180" w:after="180" w:line="276" w:lineRule="auto"/>
      <w:jc w:val="both"/>
    </w:pPr>
    <w:rPr>
      <w:rFonts w:ascii="Calibri Light" w:hAnsi="Calibri Light" w:cs="Times New Roman (Body CS)"/>
      <w:color w:val="4D4D4D" w:themeColor="accent6"/>
      <w:sz w:val="26"/>
      <w:szCs w:val="44"/>
    </w:rPr>
  </w:style>
  <w:style w:type="character" w:customStyle="1" w:styleId="ParapraphChar">
    <w:name w:val="Parapraph Char"/>
    <w:basedOn w:val="DefaultParagraphFont"/>
    <w:link w:val="Parapraph"/>
    <w:rsid w:val="00B1131E"/>
    <w:rPr>
      <w:rFonts w:ascii="Calibri Light" w:hAnsi="Calibri Light" w:cs="Times New Roman (Body CS)"/>
      <w:color w:val="4D4D4D" w:themeColor="accent6"/>
      <w:sz w:val="26"/>
      <w:szCs w:val="44"/>
    </w:rPr>
  </w:style>
  <w:style w:type="paragraph" w:customStyle="1" w:styleId="Heading">
    <w:name w:val="Heading"/>
    <w:link w:val="HeadingChar"/>
    <w:autoRedefine/>
    <w:locked/>
    <w:rsid w:val="00051414"/>
    <w:pPr>
      <w:spacing w:after="720"/>
      <w:outlineLvl w:val="0"/>
    </w:pPr>
    <w:rPr>
      <w:rFonts w:ascii="Rockwell" w:hAnsi="Rockwell" w:cs="Times New Roman (Body CS)"/>
      <w:color w:val="FFFFFF" w:themeColor="background1"/>
      <w:spacing w:val="-6"/>
      <w:sz w:val="56"/>
      <w:szCs w:val="72"/>
    </w:rPr>
  </w:style>
  <w:style w:type="character" w:customStyle="1" w:styleId="HeadingChar">
    <w:name w:val="Heading Char"/>
    <w:basedOn w:val="02VIRTHeading2Char"/>
    <w:link w:val="Heading"/>
    <w:rsid w:val="00051414"/>
    <w:rPr>
      <w:rFonts w:ascii="Rockwell" w:hAnsi="Rockwell" w:cs="Times New Roman (Body CS)"/>
      <w:color w:val="FFFFFF" w:themeColor="background1"/>
      <w:spacing w:val="-6"/>
      <w:sz w:val="56"/>
      <w:szCs w:val="72"/>
    </w:rPr>
  </w:style>
  <w:style w:type="paragraph" w:customStyle="1" w:styleId="Numberedparagraphs">
    <w:name w:val="Numbered paragraphs"/>
    <w:link w:val="NumberedparagraphsChar"/>
    <w:qFormat/>
    <w:locked/>
    <w:rsid w:val="00051414"/>
    <w:pPr>
      <w:numPr>
        <w:numId w:val="13"/>
      </w:numPr>
      <w:spacing w:before="180" w:after="180" w:line="276" w:lineRule="auto"/>
    </w:pPr>
    <w:rPr>
      <w:rFonts w:ascii="Calibri Light" w:hAnsi="Calibri Light" w:cs="Times New Roman (Body CS)"/>
      <w:color w:val="4D4D4D" w:themeColor="accent6"/>
      <w:sz w:val="26"/>
      <w:szCs w:val="44"/>
    </w:rPr>
  </w:style>
  <w:style w:type="character" w:customStyle="1" w:styleId="NumberedparagraphsChar">
    <w:name w:val="Numbered paragraphs Char"/>
    <w:basedOn w:val="DefaultParagraphFont"/>
    <w:link w:val="Numberedparagraphs"/>
    <w:rsid w:val="00051414"/>
    <w:rPr>
      <w:rFonts w:ascii="Calibri Light" w:hAnsi="Calibri Light" w:cs="Times New Roman (Body CS)"/>
      <w:color w:val="4D4D4D" w:themeColor="accent6"/>
      <w:sz w:val="26"/>
      <w:szCs w:val="44"/>
    </w:rPr>
  </w:style>
  <w:style w:type="paragraph" w:customStyle="1" w:styleId="DPCnumberdigit">
    <w:name w:val="DPC number digit"/>
    <w:basedOn w:val="Normal"/>
    <w:uiPriority w:val="4"/>
    <w:rsid w:val="00051414"/>
    <w:pPr>
      <w:numPr>
        <w:numId w:val="14"/>
      </w:numPr>
      <w:spacing w:after="160" w:line="300" w:lineRule="atLeast"/>
    </w:pPr>
    <w:rPr>
      <w:rFonts w:asciiTheme="minorHAnsi" w:eastAsia="Times" w:hAnsiTheme="minorHAnsi" w:cs="Arial"/>
      <w:color w:val="000000" w:themeColor="text1"/>
      <w:sz w:val="22"/>
    </w:rPr>
  </w:style>
  <w:style w:type="paragraph" w:customStyle="1" w:styleId="DPCnumberdigitindent">
    <w:name w:val="DPC number digit indent"/>
    <w:basedOn w:val="Normal"/>
    <w:uiPriority w:val="4"/>
    <w:qFormat/>
    <w:rsid w:val="00051414"/>
    <w:pPr>
      <w:numPr>
        <w:ilvl w:val="1"/>
        <w:numId w:val="14"/>
      </w:numPr>
      <w:spacing w:after="160" w:line="300" w:lineRule="atLeast"/>
    </w:pPr>
    <w:rPr>
      <w:rFonts w:asciiTheme="minorHAnsi" w:eastAsia="Times" w:hAnsiTheme="minorHAnsi" w:cs="Arial"/>
      <w:color w:val="000000" w:themeColor="text1"/>
      <w:sz w:val="22"/>
    </w:rPr>
  </w:style>
  <w:style w:type="paragraph" w:customStyle="1" w:styleId="DPCtabletext">
    <w:name w:val="DPC table text"/>
    <w:uiPriority w:val="3"/>
    <w:qFormat/>
    <w:rsid w:val="00051414"/>
    <w:pPr>
      <w:spacing w:before="60" w:after="40"/>
    </w:pPr>
    <w:rPr>
      <w:rFonts w:eastAsia="Times New Roman" w:cs="Times New Roman"/>
      <w:color w:val="000000" w:themeColor="text1"/>
      <w:sz w:val="20"/>
      <w:szCs w:val="20"/>
    </w:rPr>
  </w:style>
  <w:style w:type="numbering" w:customStyle="1" w:styleId="ZZNumbersdigit">
    <w:name w:val="ZZ Numbers digit"/>
    <w:basedOn w:val="NoList"/>
    <w:uiPriority w:val="99"/>
    <w:rsid w:val="00051414"/>
    <w:pPr>
      <w:numPr>
        <w:numId w:val="14"/>
      </w:numPr>
    </w:pPr>
  </w:style>
  <w:style w:type="paragraph" w:customStyle="1" w:styleId="DPCbulletafternumbers1">
    <w:name w:val="DPC bullet after numbers 1"/>
    <w:basedOn w:val="Normal"/>
    <w:rsid w:val="00051414"/>
    <w:pPr>
      <w:numPr>
        <w:ilvl w:val="2"/>
        <w:numId w:val="14"/>
      </w:numPr>
      <w:spacing w:after="160" w:line="300" w:lineRule="atLeast"/>
    </w:pPr>
    <w:rPr>
      <w:rFonts w:asciiTheme="minorHAnsi" w:eastAsia="Times" w:hAnsiTheme="minorHAnsi" w:cs="Arial"/>
      <w:color w:val="000000" w:themeColor="text1"/>
      <w:sz w:val="22"/>
    </w:rPr>
  </w:style>
  <w:style w:type="paragraph" w:customStyle="1" w:styleId="DPCbulletafternumbers2">
    <w:name w:val="DPC bullet after numbers 2"/>
    <w:basedOn w:val="Normal"/>
    <w:rsid w:val="00051414"/>
    <w:pPr>
      <w:numPr>
        <w:ilvl w:val="3"/>
        <w:numId w:val="14"/>
      </w:numPr>
      <w:spacing w:after="160" w:line="300" w:lineRule="atLeast"/>
    </w:pPr>
    <w:rPr>
      <w:rFonts w:asciiTheme="minorHAnsi" w:eastAsia="Times" w:hAnsiTheme="minorHAnsi" w:cs="Arial"/>
      <w:color w:val="000000" w:themeColor="text1"/>
      <w:sz w:val="22"/>
    </w:rPr>
  </w:style>
  <w:style w:type="character" w:customStyle="1" w:styleId="frag-no">
    <w:name w:val="frag-no"/>
    <w:basedOn w:val="DefaultParagraphFont"/>
    <w:rsid w:val="00051414"/>
  </w:style>
  <w:style w:type="paragraph" w:customStyle="1" w:styleId="VIRTCoverPageHeading">
    <w:name w:val="VIRT Cover Page Heading"/>
    <w:basedOn w:val="Normal"/>
    <w:rsid w:val="00051414"/>
    <w:rPr>
      <w:rFonts w:asciiTheme="minorHAnsi" w:hAnsiTheme="minorHAnsi"/>
      <w:noProof/>
      <w:color w:val="FFFFFF" w:themeColor="background1"/>
      <w:spacing w:val="20"/>
      <w:sz w:val="64"/>
      <w:lang w:val="en-US"/>
    </w:rPr>
  </w:style>
  <w:style w:type="paragraph" w:customStyle="1" w:styleId="TOClevel1">
    <w:name w:val="TOC level 1"/>
    <w:basedOn w:val="TOC1"/>
    <w:link w:val="TOClevel1Char"/>
    <w:qFormat/>
    <w:rsid w:val="00051414"/>
    <w:pPr>
      <w:tabs>
        <w:tab w:val="left" w:pos="440"/>
        <w:tab w:val="right" w:leader="dot" w:pos="8494"/>
      </w:tabs>
      <w:spacing w:before="0" w:after="100" w:line="259" w:lineRule="auto"/>
      <w:jc w:val="left"/>
    </w:pPr>
  </w:style>
  <w:style w:type="character" w:customStyle="1" w:styleId="TOC1Char">
    <w:name w:val="TOC 1 Char"/>
    <w:basedOn w:val="DefaultParagraphFont"/>
    <w:link w:val="TOC1"/>
    <w:uiPriority w:val="39"/>
    <w:rsid w:val="00051414"/>
    <w:rPr>
      <w:rFonts w:ascii="Calibri Light" w:hAnsi="Calibri Light" w:cs="Arial"/>
      <w:b/>
      <w:color w:val="4D4D4D" w:themeColor="accent6"/>
      <w:sz w:val="26"/>
      <w:szCs w:val="20"/>
    </w:rPr>
  </w:style>
  <w:style w:type="character" w:customStyle="1" w:styleId="TOClevel1Char">
    <w:name w:val="TOC level 1 Char"/>
    <w:basedOn w:val="TOC1Char"/>
    <w:link w:val="TOClevel1"/>
    <w:rsid w:val="00051414"/>
    <w:rPr>
      <w:rFonts w:ascii="Calibri Light" w:hAnsi="Calibri Light" w:cs="Arial"/>
      <w:b/>
      <w:color w:val="4D4D4D" w:themeColor="accent6"/>
      <w:sz w:val="26"/>
      <w:szCs w:val="20"/>
    </w:rPr>
  </w:style>
  <w:style w:type="paragraph" w:customStyle="1" w:styleId="Romanbullets">
    <w:name w:val="Roman bullets"/>
    <w:basedOn w:val="VIRTBulletpoints"/>
    <w:link w:val="RomanbulletsChar"/>
    <w:qFormat/>
    <w:rsid w:val="00051414"/>
    <w:pPr>
      <w:spacing w:line="276" w:lineRule="auto"/>
      <w:ind w:left="360" w:hanging="360"/>
      <w:jc w:val="both"/>
    </w:pPr>
  </w:style>
  <w:style w:type="character" w:customStyle="1" w:styleId="RomanbulletsChar">
    <w:name w:val="Roman bullets Char"/>
    <w:basedOn w:val="VIRTBulletpointsChar"/>
    <w:link w:val="Romanbullets"/>
    <w:rsid w:val="00051414"/>
    <w:rPr>
      <w:rFonts w:ascii="Calibri Light" w:hAnsi="Calibri Light" w:cs="Arial"/>
      <w:color w:val="000000" w:themeColor="text1"/>
      <w:sz w:val="26"/>
      <w:szCs w:val="20"/>
    </w:rPr>
  </w:style>
  <w:style w:type="character" w:styleId="Mention">
    <w:name w:val="Mention"/>
    <w:basedOn w:val="DefaultParagraphFont"/>
    <w:uiPriority w:val="99"/>
    <w:unhideWhenUsed/>
    <w:rsid w:val="00051414"/>
    <w:rPr>
      <w:color w:val="2B579A"/>
      <w:shd w:val="clear" w:color="auto" w:fill="E1DFDD"/>
    </w:rPr>
  </w:style>
  <w:style w:type="table" w:customStyle="1" w:styleId="ListTable3-Accent23">
    <w:name w:val="List Table 3 - Accent 23"/>
    <w:basedOn w:val="TableNormal"/>
    <w:next w:val="ListTable3-Accent2"/>
    <w:uiPriority w:val="48"/>
    <w:locked/>
    <w:rsid w:val="00051414"/>
    <w:pPr>
      <w:spacing w:after="0"/>
    </w:pPr>
    <w:tblPr>
      <w:tblStyleRowBandSize w:val="1"/>
      <w:tblStyleColBandSize w:val="1"/>
      <w:tblBorders>
        <w:top w:val="single" w:sz="4" w:space="0" w:color="148A5D" w:themeColor="accent2"/>
        <w:left w:val="single" w:sz="4" w:space="0" w:color="148A5D" w:themeColor="accent2"/>
        <w:bottom w:val="single" w:sz="4" w:space="0" w:color="148A5D" w:themeColor="accent2"/>
        <w:right w:val="single" w:sz="4" w:space="0" w:color="148A5D" w:themeColor="accent2"/>
      </w:tblBorders>
    </w:tblPr>
    <w:tblStylePr w:type="firstRow">
      <w:rPr>
        <w:b/>
        <w:bCs/>
        <w:color w:val="FFFFFF" w:themeColor="background1"/>
      </w:rPr>
      <w:tblPr/>
      <w:tcPr>
        <w:shd w:val="clear" w:color="auto" w:fill="148A5D" w:themeFill="accent2"/>
      </w:tcPr>
    </w:tblStylePr>
    <w:tblStylePr w:type="lastRow">
      <w:rPr>
        <w:b/>
        <w:bCs/>
      </w:rPr>
      <w:tblPr/>
      <w:tcPr>
        <w:tcBorders>
          <w:top w:val="double" w:sz="4" w:space="0" w:color="148A5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48A5D" w:themeColor="accent2"/>
          <w:right w:val="single" w:sz="4" w:space="0" w:color="148A5D" w:themeColor="accent2"/>
        </w:tcBorders>
      </w:tcPr>
    </w:tblStylePr>
    <w:tblStylePr w:type="band1Horz">
      <w:tblPr/>
      <w:tcPr>
        <w:tcBorders>
          <w:top w:val="single" w:sz="4" w:space="0" w:color="148A5D" w:themeColor="accent2"/>
          <w:bottom w:val="single" w:sz="4" w:space="0" w:color="148A5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themeColor="accent2"/>
          <w:left w:val="nil"/>
        </w:tcBorders>
      </w:tcPr>
    </w:tblStylePr>
    <w:tblStylePr w:type="swCell">
      <w:tblPr/>
      <w:tcPr>
        <w:tcBorders>
          <w:top w:val="double" w:sz="4" w:space="0" w:color="148A5D" w:themeColor="accent2"/>
          <w:right w:val="nil"/>
        </w:tcBorders>
      </w:tcPr>
    </w:tblStylePr>
  </w:style>
  <w:style w:type="character" w:styleId="PlaceholderText">
    <w:name w:val="Placeholder Text"/>
    <w:basedOn w:val="DefaultParagraphFont"/>
    <w:uiPriority w:val="99"/>
    <w:semiHidden/>
    <w:rsid w:val="00051414"/>
    <w:rPr>
      <w:color w:val="808080"/>
    </w:rPr>
  </w:style>
  <w:style w:type="character" w:customStyle="1" w:styleId="apple-converted-space">
    <w:name w:val="apple-converted-space"/>
    <w:basedOn w:val="DefaultParagraphFont"/>
    <w:rsid w:val="00051414"/>
  </w:style>
  <w:style w:type="character" w:customStyle="1" w:styleId="Hyperlink1">
    <w:name w:val="Hyperlink1"/>
    <w:basedOn w:val="DefaultParagraphFont"/>
    <w:uiPriority w:val="99"/>
    <w:unhideWhenUsed/>
    <w:locked/>
    <w:rsid w:val="00051414"/>
    <w:rPr>
      <w:color w:val="5F5F5F"/>
      <w:u w:val="single"/>
    </w:rPr>
  </w:style>
  <w:style w:type="table" w:customStyle="1" w:styleId="ListTable3-Accent24">
    <w:name w:val="List Table 3 - Accent 24"/>
    <w:basedOn w:val="TableNormal"/>
    <w:next w:val="ListTable3-Accent2"/>
    <w:uiPriority w:val="48"/>
    <w:locked/>
    <w:rsid w:val="00051414"/>
    <w:pPr>
      <w:spacing w:after="0"/>
    </w:pPr>
    <w:tblPr>
      <w:tblStyleRowBandSize w:val="1"/>
      <w:tblStyleColBandSize w:val="1"/>
      <w:tblBorders>
        <w:top w:val="single" w:sz="4" w:space="0" w:color="148A5D" w:themeColor="accent2"/>
        <w:left w:val="single" w:sz="4" w:space="0" w:color="148A5D" w:themeColor="accent2"/>
        <w:bottom w:val="single" w:sz="4" w:space="0" w:color="148A5D" w:themeColor="accent2"/>
        <w:right w:val="single" w:sz="4" w:space="0" w:color="148A5D" w:themeColor="accent2"/>
      </w:tblBorders>
    </w:tblPr>
    <w:tblStylePr w:type="firstRow">
      <w:rPr>
        <w:b/>
        <w:bCs/>
        <w:color w:val="FFFFFF" w:themeColor="background1"/>
      </w:rPr>
      <w:tblPr/>
      <w:tcPr>
        <w:shd w:val="clear" w:color="auto" w:fill="148A5D" w:themeFill="accent2"/>
      </w:tcPr>
    </w:tblStylePr>
    <w:tblStylePr w:type="lastRow">
      <w:rPr>
        <w:b/>
        <w:bCs/>
      </w:rPr>
      <w:tblPr/>
      <w:tcPr>
        <w:tcBorders>
          <w:top w:val="double" w:sz="4" w:space="0" w:color="148A5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48A5D" w:themeColor="accent2"/>
          <w:right w:val="single" w:sz="4" w:space="0" w:color="148A5D" w:themeColor="accent2"/>
        </w:tcBorders>
      </w:tcPr>
    </w:tblStylePr>
    <w:tblStylePr w:type="band1Horz">
      <w:tblPr/>
      <w:tcPr>
        <w:tcBorders>
          <w:top w:val="single" w:sz="4" w:space="0" w:color="148A5D" w:themeColor="accent2"/>
          <w:bottom w:val="single" w:sz="4" w:space="0" w:color="148A5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themeColor="accent2"/>
          <w:left w:val="nil"/>
        </w:tcBorders>
      </w:tcPr>
    </w:tblStylePr>
    <w:tblStylePr w:type="swCell">
      <w:tblPr/>
      <w:tcPr>
        <w:tcBorders>
          <w:top w:val="double" w:sz="4" w:space="0" w:color="148A5D" w:themeColor="accent2"/>
          <w:right w:val="nil"/>
        </w:tcBorders>
      </w:tcPr>
    </w:tblStylePr>
  </w:style>
  <w:style w:type="table" w:customStyle="1" w:styleId="ListTable3-Accent211">
    <w:name w:val="List Table 3 - Accent 211"/>
    <w:basedOn w:val="TableNormal"/>
    <w:uiPriority w:val="48"/>
    <w:locked/>
    <w:rsid w:val="00051414"/>
    <w:pPr>
      <w:spacing w:after="0"/>
    </w:pPr>
    <w:tblPr>
      <w:tblStyleRowBandSize w:val="1"/>
      <w:tblStyleColBandSize w:val="1"/>
      <w:tblBorders>
        <w:top w:val="single" w:sz="4" w:space="0" w:color="148A5D"/>
        <w:left w:val="single" w:sz="4" w:space="0" w:color="148A5D"/>
        <w:bottom w:val="single" w:sz="4" w:space="0" w:color="148A5D"/>
        <w:right w:val="single" w:sz="4" w:space="0" w:color="148A5D"/>
      </w:tblBorders>
    </w:tblPr>
    <w:tblStylePr w:type="firstRow">
      <w:rPr>
        <w:b/>
        <w:bCs/>
        <w:color w:val="FFFFFF"/>
      </w:rPr>
      <w:tblPr/>
      <w:tcPr>
        <w:shd w:val="clear" w:color="auto" w:fill="148A5D"/>
      </w:tcPr>
    </w:tblStylePr>
    <w:tblStylePr w:type="lastRow">
      <w:rPr>
        <w:b/>
        <w:bCs/>
      </w:rPr>
      <w:tblPr/>
      <w:tcPr>
        <w:tcBorders>
          <w:top w:val="double" w:sz="4" w:space="0" w:color="148A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paragraph" w:customStyle="1" w:styleId="QuoteinBox">
    <w:name w:val="Quote in Box"/>
    <w:basedOn w:val="12BoxText"/>
    <w:link w:val="QuoteinBoxChar"/>
    <w:qFormat/>
    <w:rsid w:val="00320726"/>
  </w:style>
  <w:style w:type="character" w:customStyle="1" w:styleId="QuoteinBoxChar">
    <w:name w:val="Quote in Box Char"/>
    <w:basedOn w:val="07VIRTBreakouttextChar"/>
    <w:link w:val="QuoteinBox"/>
    <w:rsid w:val="00320726"/>
    <w:rPr>
      <w:rFonts w:ascii="Calibri Light" w:hAnsi="Calibri Light" w:cs="Times New Roman (Body CS)"/>
      <w:i w:val="0"/>
      <w:color w:val="0E7650"/>
      <w:spacing w:val="-6"/>
      <w:sz w:val="26"/>
    </w:rPr>
  </w:style>
  <w:style w:type="table" w:customStyle="1" w:styleId="ListTable3-Accent212">
    <w:name w:val="List Table 3 - Accent 212"/>
    <w:basedOn w:val="TableNormal"/>
    <w:next w:val="ListTable3-Accent2"/>
    <w:uiPriority w:val="48"/>
    <w:rsid w:val="00051414"/>
    <w:pPr>
      <w:spacing w:after="0"/>
    </w:pPr>
    <w:rPr>
      <w:rFonts w:ascii="Calibri Light" w:eastAsia="Rockwell" w:hAnsi="Calibri Light" w:cs="Times New Roman"/>
      <w:color w:val="4D4D4D"/>
    </w:rPr>
    <w:tblPr>
      <w:tblStyleRowBandSize w:val="1"/>
      <w:tblStyleColBandSize w:val="1"/>
      <w:tblInd w:w="0" w:type="nil"/>
      <w:tblBorders>
        <w:top w:val="single" w:sz="4" w:space="0" w:color="148A5D"/>
        <w:bottom w:val="single" w:sz="4" w:space="0" w:color="148A5D"/>
      </w:tblBorders>
    </w:tblPr>
    <w:tblStylePr w:type="firstRow">
      <w:pPr>
        <w:jc w:val="left"/>
      </w:pPr>
      <w:rPr>
        <w:rFonts w:ascii="Calibri Light" w:hAnsi="Calibri Light" w:cs="Calibri Light" w:hint="default"/>
        <w:b/>
        <w:bCs/>
        <w:color w:val="FFFFFF"/>
        <w:sz w:val="22"/>
        <w:szCs w:val="22"/>
      </w:rPr>
      <w:tblPr/>
      <w:tcPr>
        <w:tcBorders>
          <w:top w:val="nil"/>
          <w:left w:val="nil"/>
          <w:bottom w:val="nil"/>
          <w:right w:val="nil"/>
          <w:insideH w:val="single" w:sz="4" w:space="0" w:color="148A5D"/>
          <w:insideV w:val="nil"/>
          <w:tl2br w:val="nil"/>
          <w:tr2bl w:val="nil"/>
        </w:tcBorders>
        <w:shd w:val="clear" w:color="auto" w:fill="148A5D"/>
      </w:tcPr>
    </w:tblStylePr>
    <w:tblStylePr w:type="lastRow">
      <w:rPr>
        <w:b/>
        <w:bCs/>
      </w:rPr>
      <w:tblPr/>
      <w:tcPr>
        <w:tcBorders>
          <w:top w:val="double" w:sz="4" w:space="0" w:color="148A5D"/>
        </w:tcBorders>
        <w:shd w:val="clear" w:color="auto" w:fill="FFFFFF"/>
      </w:tcPr>
    </w:tblStylePr>
    <w:tblStylePr w:type="firstCol">
      <w:pPr>
        <w:wordWrap/>
        <w:contextualSpacing w:val="0"/>
        <w:mirrorIndents w:val="0"/>
      </w:pPr>
      <w:rPr>
        <w:b w:val="0"/>
        <w:bCs/>
      </w:rPr>
      <w:tblPr/>
      <w:tcPr>
        <w:tcBorders>
          <w:right w:val="nil"/>
        </w:tcBorders>
        <w:shd w:val="clear" w:color="auto" w:fill="FFFFFF"/>
      </w:tcPr>
    </w:tblStylePr>
    <w:tblStylePr w:type="lastCol">
      <w:rPr>
        <w:b w:val="0"/>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paragraph" w:customStyle="1" w:styleId="Sub-parabullets">
    <w:name w:val="Sub-para bullets"/>
    <w:link w:val="Sub-parabulletsChar"/>
    <w:qFormat/>
    <w:rsid w:val="00C9128B"/>
    <w:pPr>
      <w:numPr>
        <w:numId w:val="19"/>
      </w:numPr>
      <w:spacing w:after="120" w:line="276" w:lineRule="auto"/>
    </w:pPr>
    <w:rPr>
      <w:rFonts w:ascii="Calibri Light" w:hAnsi="Calibri Light" w:cs="Arial"/>
      <w:iCs/>
      <w:sz w:val="26"/>
      <w:szCs w:val="20"/>
    </w:rPr>
  </w:style>
  <w:style w:type="table" w:customStyle="1" w:styleId="TableGrid1">
    <w:name w:val="Table Grid1"/>
    <w:basedOn w:val="TableNormal"/>
    <w:next w:val="TableGrid"/>
    <w:uiPriority w:val="39"/>
    <w:locked/>
    <w:rsid w:val="0005141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25">
    <w:name w:val="List Table 3 - Accent 25"/>
    <w:basedOn w:val="TableNormal"/>
    <w:next w:val="ListTable3-Accent2"/>
    <w:uiPriority w:val="48"/>
    <w:locked/>
    <w:rsid w:val="00051414"/>
    <w:pPr>
      <w:spacing w:after="0"/>
    </w:pPr>
    <w:tblPr>
      <w:tblStyleRowBandSize w:val="1"/>
      <w:tblStyleColBandSize w:val="1"/>
      <w:tblBorders>
        <w:top w:val="single" w:sz="4" w:space="0" w:color="148A5D"/>
        <w:left w:val="single" w:sz="4" w:space="0" w:color="148A5D"/>
        <w:bottom w:val="single" w:sz="4" w:space="0" w:color="148A5D"/>
        <w:right w:val="single" w:sz="4" w:space="0" w:color="148A5D"/>
      </w:tblBorders>
    </w:tblPr>
    <w:tblStylePr w:type="firstRow">
      <w:rPr>
        <w:b/>
        <w:bCs/>
        <w:color w:val="FFFFFF"/>
      </w:rPr>
      <w:tblPr/>
      <w:tcPr>
        <w:shd w:val="clear" w:color="auto" w:fill="148A5D"/>
      </w:tcPr>
    </w:tblStylePr>
    <w:tblStylePr w:type="lastRow">
      <w:rPr>
        <w:b/>
        <w:bCs/>
      </w:rPr>
      <w:tblPr/>
      <w:tcPr>
        <w:tcBorders>
          <w:top w:val="double" w:sz="4" w:space="0" w:color="148A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table" w:customStyle="1" w:styleId="ListTable3-Accent213">
    <w:name w:val="List Table 3 - Accent 213"/>
    <w:basedOn w:val="TableNormal"/>
    <w:uiPriority w:val="48"/>
    <w:locked/>
    <w:rsid w:val="00051414"/>
    <w:pPr>
      <w:spacing w:after="0"/>
    </w:pPr>
    <w:tblPr>
      <w:tblStyleRowBandSize w:val="1"/>
      <w:tblStyleColBandSize w:val="1"/>
      <w:tblBorders>
        <w:top w:val="single" w:sz="4" w:space="0" w:color="148A5D"/>
        <w:left w:val="single" w:sz="4" w:space="0" w:color="148A5D"/>
        <w:bottom w:val="single" w:sz="4" w:space="0" w:color="148A5D"/>
        <w:right w:val="single" w:sz="4" w:space="0" w:color="148A5D"/>
      </w:tblBorders>
    </w:tblPr>
    <w:tblStylePr w:type="firstRow">
      <w:rPr>
        <w:b/>
        <w:bCs/>
        <w:color w:val="FFFFFF"/>
      </w:rPr>
      <w:tblPr/>
      <w:tcPr>
        <w:shd w:val="clear" w:color="auto" w:fill="148A5D"/>
      </w:tcPr>
    </w:tblStylePr>
    <w:tblStylePr w:type="lastRow">
      <w:rPr>
        <w:b/>
        <w:bCs/>
      </w:rPr>
      <w:tblPr/>
      <w:tcPr>
        <w:tcBorders>
          <w:top w:val="double" w:sz="4" w:space="0" w:color="148A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numbering" w:customStyle="1" w:styleId="ZZNumbersdigit1">
    <w:name w:val="ZZ Numbers digit1"/>
    <w:basedOn w:val="NoList"/>
    <w:uiPriority w:val="99"/>
    <w:rsid w:val="00051414"/>
    <w:pPr>
      <w:numPr>
        <w:numId w:val="5"/>
      </w:numPr>
    </w:pPr>
  </w:style>
  <w:style w:type="table" w:customStyle="1" w:styleId="Glossary1">
    <w:name w:val="Glossary1"/>
    <w:basedOn w:val="TableNormal"/>
    <w:uiPriority w:val="99"/>
    <w:rsid w:val="00051414"/>
    <w:pPr>
      <w:spacing w:after="0"/>
    </w:pPr>
    <w:tblPr>
      <w:tblBorders>
        <w:top w:val="single" w:sz="4" w:space="0" w:color="148A5D"/>
        <w:bottom w:val="single" w:sz="4" w:space="0" w:color="148A5D"/>
        <w:insideH w:val="single" w:sz="4" w:space="0" w:color="148A5D"/>
      </w:tblBorders>
    </w:tblPr>
    <w:tblStylePr w:type="firstRow">
      <w:rPr>
        <w:b/>
        <w:color w:val="FFFFFF"/>
      </w:rPr>
      <w:tblPr/>
      <w:tcPr>
        <w:shd w:val="clear" w:color="auto" w:fill="148A5D"/>
      </w:tcPr>
    </w:tblStylePr>
  </w:style>
  <w:style w:type="table" w:customStyle="1" w:styleId="ListTable3-Accent221">
    <w:name w:val="List Table 3 - Accent 221"/>
    <w:basedOn w:val="TableNormal"/>
    <w:next w:val="ListTable3-Accent2"/>
    <w:uiPriority w:val="48"/>
    <w:rsid w:val="00051414"/>
    <w:pPr>
      <w:spacing w:after="0"/>
    </w:pPr>
    <w:tblPr>
      <w:tblStyleRowBandSize w:val="1"/>
      <w:tblStyleColBandSize w:val="1"/>
      <w:tblBorders>
        <w:top w:val="single" w:sz="4" w:space="0" w:color="148A5D"/>
        <w:left w:val="single" w:sz="4" w:space="0" w:color="148A5D"/>
        <w:bottom w:val="single" w:sz="4" w:space="0" w:color="148A5D"/>
        <w:right w:val="single" w:sz="4" w:space="0" w:color="148A5D"/>
      </w:tblBorders>
    </w:tblPr>
    <w:tblStylePr w:type="firstRow">
      <w:rPr>
        <w:b/>
        <w:bCs/>
        <w:color w:val="FFFFFF"/>
      </w:rPr>
      <w:tblPr/>
      <w:tcPr>
        <w:shd w:val="clear" w:color="auto" w:fill="148A5D"/>
      </w:tcPr>
    </w:tblStylePr>
    <w:tblStylePr w:type="lastRow">
      <w:rPr>
        <w:b/>
        <w:bCs/>
      </w:rPr>
      <w:tblPr/>
      <w:tcPr>
        <w:tcBorders>
          <w:top w:val="double" w:sz="4" w:space="0" w:color="148A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table" w:customStyle="1" w:styleId="ListTable3-Accent231">
    <w:name w:val="List Table 3 - Accent 231"/>
    <w:basedOn w:val="TableNormal"/>
    <w:next w:val="ListTable3-Accent2"/>
    <w:uiPriority w:val="48"/>
    <w:locked/>
    <w:rsid w:val="00051414"/>
    <w:pPr>
      <w:spacing w:after="0"/>
    </w:pPr>
    <w:tblPr>
      <w:tblStyleRowBandSize w:val="1"/>
      <w:tblStyleColBandSize w:val="1"/>
      <w:tblBorders>
        <w:top w:val="single" w:sz="4" w:space="0" w:color="148A5D"/>
        <w:left w:val="single" w:sz="4" w:space="0" w:color="148A5D"/>
        <w:bottom w:val="single" w:sz="4" w:space="0" w:color="148A5D"/>
        <w:right w:val="single" w:sz="4" w:space="0" w:color="148A5D"/>
      </w:tblBorders>
    </w:tblPr>
    <w:tblStylePr w:type="firstRow">
      <w:rPr>
        <w:b/>
        <w:bCs/>
        <w:color w:val="FFFFFF"/>
      </w:rPr>
      <w:tblPr/>
      <w:tcPr>
        <w:shd w:val="clear" w:color="auto" w:fill="148A5D"/>
      </w:tcPr>
    </w:tblStylePr>
    <w:tblStylePr w:type="lastRow">
      <w:rPr>
        <w:b/>
        <w:bCs/>
      </w:rPr>
      <w:tblPr/>
      <w:tcPr>
        <w:tcBorders>
          <w:top w:val="double" w:sz="4" w:space="0" w:color="148A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table" w:customStyle="1" w:styleId="ListTable3-Accent241">
    <w:name w:val="List Table 3 - Accent 241"/>
    <w:basedOn w:val="TableNormal"/>
    <w:next w:val="ListTable3-Accent2"/>
    <w:uiPriority w:val="48"/>
    <w:locked/>
    <w:rsid w:val="00051414"/>
    <w:pPr>
      <w:spacing w:after="0"/>
    </w:pPr>
    <w:tblPr>
      <w:tblStyleRowBandSize w:val="1"/>
      <w:tblStyleColBandSize w:val="1"/>
      <w:tblBorders>
        <w:top w:val="single" w:sz="4" w:space="0" w:color="148A5D"/>
        <w:left w:val="single" w:sz="4" w:space="0" w:color="148A5D"/>
        <w:bottom w:val="single" w:sz="4" w:space="0" w:color="148A5D"/>
        <w:right w:val="single" w:sz="4" w:space="0" w:color="148A5D"/>
      </w:tblBorders>
    </w:tblPr>
    <w:tblStylePr w:type="firstRow">
      <w:rPr>
        <w:b/>
        <w:bCs/>
        <w:color w:val="FFFFFF"/>
      </w:rPr>
      <w:tblPr/>
      <w:tcPr>
        <w:shd w:val="clear" w:color="auto" w:fill="148A5D"/>
      </w:tcPr>
    </w:tblStylePr>
    <w:tblStylePr w:type="lastRow">
      <w:rPr>
        <w:b/>
        <w:bCs/>
      </w:rPr>
      <w:tblPr/>
      <w:tcPr>
        <w:tcBorders>
          <w:top w:val="double" w:sz="4" w:space="0" w:color="148A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paragraph" w:customStyle="1" w:styleId="Instrumenttableheading">
    <w:name w:val="Instrument table heading"/>
    <w:basedOn w:val="Tableheading"/>
    <w:link w:val="InstrumenttableheadingChar"/>
    <w:qFormat/>
    <w:rsid w:val="00051414"/>
    <w:pPr>
      <w:ind w:left="907" w:hanging="907"/>
    </w:pPr>
    <w:rPr>
      <w:color w:val="148A5D" w:themeColor="accent2"/>
    </w:rPr>
  </w:style>
  <w:style w:type="character" w:customStyle="1" w:styleId="InstrumenttableheadingChar">
    <w:name w:val="Instrument table heading Char"/>
    <w:basedOn w:val="TableheadingChar"/>
    <w:link w:val="Instrumenttableheading"/>
    <w:rsid w:val="00051414"/>
    <w:rPr>
      <w:rFonts w:ascii="Calibri Light" w:hAnsi="Calibri Light" w:cs="Arial"/>
      <w:b/>
      <w:color w:val="148A5D" w:themeColor="accent2"/>
      <w:sz w:val="24"/>
    </w:rPr>
  </w:style>
  <w:style w:type="paragraph" w:customStyle="1" w:styleId="12BoxText">
    <w:name w:val="12. Box Text"/>
    <w:basedOn w:val="Tabletext"/>
    <w:link w:val="12BoxTextChar"/>
    <w:qFormat/>
    <w:rsid w:val="00B52B64"/>
    <w:pPr>
      <w:spacing w:before="120"/>
    </w:pPr>
    <w:rPr>
      <w:color w:val="auto"/>
    </w:rPr>
  </w:style>
  <w:style w:type="paragraph" w:customStyle="1" w:styleId="13Boxbullets">
    <w:name w:val="13. Box bullets"/>
    <w:basedOn w:val="Bulletsinatable"/>
    <w:link w:val="13BoxbulletsChar"/>
    <w:qFormat/>
    <w:rsid w:val="00976D86"/>
    <w:pPr>
      <w:numPr>
        <w:numId w:val="0"/>
      </w:numPr>
      <w:ind w:left="502" w:hanging="360"/>
    </w:pPr>
  </w:style>
  <w:style w:type="character" w:customStyle="1" w:styleId="12BoxTextChar">
    <w:name w:val="12. Box Text Char"/>
    <w:basedOn w:val="TabletextChar"/>
    <w:link w:val="12BoxText"/>
    <w:rsid w:val="00B52B64"/>
    <w:rPr>
      <w:rFonts w:ascii="Calibri Light" w:hAnsi="Calibri Light"/>
      <w:color w:val="000000" w:themeColor="text1"/>
    </w:rPr>
  </w:style>
  <w:style w:type="character" w:customStyle="1" w:styleId="13BoxbulletsChar">
    <w:name w:val="13. Box bullets Char"/>
    <w:basedOn w:val="11BulletsinatableChar"/>
    <w:link w:val="13Boxbullets"/>
    <w:rsid w:val="00976D86"/>
    <w:rPr>
      <w:rFonts w:ascii="Calibri Light" w:hAnsi="Calibri Light" w:cs="Arial"/>
      <w:bCs/>
      <w:color w:val="000000" w:themeColor="text1"/>
      <w:szCs w:val="20"/>
    </w:rPr>
  </w:style>
  <w:style w:type="table" w:customStyle="1" w:styleId="ListTable3-Accent26">
    <w:name w:val="List Table 3 - Accent 26"/>
    <w:basedOn w:val="TableNormal"/>
    <w:next w:val="ListTable3-Accent2"/>
    <w:uiPriority w:val="48"/>
    <w:rsid w:val="000C52C1"/>
    <w:pPr>
      <w:spacing w:after="0"/>
    </w:pPr>
    <w:tblPr>
      <w:tblStyleRowBandSize w:val="1"/>
      <w:tblStyleColBandSize w:val="1"/>
      <w:tblBorders>
        <w:top w:val="single" w:sz="4" w:space="0" w:color="148A5D"/>
        <w:left w:val="single" w:sz="4" w:space="0" w:color="148A5D"/>
        <w:bottom w:val="single" w:sz="4" w:space="0" w:color="148A5D"/>
        <w:right w:val="single" w:sz="4" w:space="0" w:color="148A5D"/>
      </w:tblBorders>
    </w:tblPr>
    <w:tblStylePr w:type="firstRow">
      <w:rPr>
        <w:b/>
        <w:bCs/>
        <w:color w:val="FFFFFF"/>
      </w:rPr>
      <w:tblPr/>
      <w:tcPr>
        <w:shd w:val="clear" w:color="auto" w:fill="148A5D"/>
      </w:tcPr>
    </w:tblStylePr>
    <w:tblStylePr w:type="lastRow">
      <w:rPr>
        <w:b/>
        <w:bCs/>
      </w:rPr>
      <w:tblPr/>
      <w:tcPr>
        <w:tcBorders>
          <w:top w:val="double" w:sz="4" w:space="0" w:color="148A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table" w:customStyle="1" w:styleId="ListTable3-Accent27">
    <w:name w:val="List Table 3 - Accent 27"/>
    <w:basedOn w:val="TableNormal"/>
    <w:next w:val="ListTable3-Accent2"/>
    <w:uiPriority w:val="48"/>
    <w:rsid w:val="00303684"/>
    <w:pPr>
      <w:spacing w:after="0"/>
    </w:pPr>
    <w:tblPr>
      <w:tblStyleRowBandSize w:val="1"/>
      <w:tblStyleColBandSize w:val="1"/>
      <w:tblBorders>
        <w:top w:val="single" w:sz="4" w:space="0" w:color="148A5D"/>
        <w:left w:val="single" w:sz="4" w:space="0" w:color="148A5D"/>
        <w:bottom w:val="single" w:sz="4" w:space="0" w:color="148A5D"/>
        <w:right w:val="single" w:sz="4" w:space="0" w:color="148A5D"/>
      </w:tblBorders>
    </w:tblPr>
    <w:tblStylePr w:type="firstRow">
      <w:rPr>
        <w:b/>
        <w:bCs/>
        <w:color w:val="FFFFFF"/>
      </w:rPr>
      <w:tblPr/>
      <w:tcPr>
        <w:shd w:val="clear" w:color="auto" w:fill="148A5D"/>
      </w:tcPr>
    </w:tblStylePr>
    <w:tblStylePr w:type="lastRow">
      <w:rPr>
        <w:b/>
        <w:bCs/>
      </w:rPr>
      <w:tblPr/>
      <w:tcPr>
        <w:tcBorders>
          <w:top w:val="double" w:sz="4" w:space="0" w:color="148A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paragraph" w:customStyle="1" w:styleId="Instrumentclauses">
    <w:name w:val="Instrument clauses"/>
    <w:basedOn w:val="Instrumenttableofcontents"/>
    <w:qFormat/>
    <w:rsid w:val="00CA273E"/>
    <w:pPr>
      <w:numPr>
        <w:ilvl w:val="1"/>
        <w:numId w:val="12"/>
      </w:numPr>
    </w:pPr>
  </w:style>
  <w:style w:type="paragraph" w:customStyle="1" w:styleId="10Tabletext">
    <w:name w:val="10. Table text"/>
    <w:link w:val="10TabletextChar"/>
    <w:qFormat/>
    <w:locked/>
    <w:rsid w:val="00A27D4B"/>
    <w:pPr>
      <w:spacing w:after="0"/>
    </w:pPr>
    <w:rPr>
      <w:rFonts w:ascii="Calibri Light" w:hAnsi="Calibri Light"/>
      <w:color w:val="000000" w:themeColor="text1"/>
    </w:rPr>
  </w:style>
  <w:style w:type="character" w:customStyle="1" w:styleId="10TabletextChar">
    <w:name w:val="10. Table text Char"/>
    <w:basedOn w:val="DefaultParagraphFont"/>
    <w:link w:val="10Tabletext"/>
    <w:rsid w:val="00A27D4B"/>
    <w:rPr>
      <w:rFonts w:ascii="Calibri Light" w:hAnsi="Calibri Light"/>
      <w:color w:val="000000" w:themeColor="text1"/>
    </w:rPr>
  </w:style>
  <w:style w:type="paragraph" w:customStyle="1" w:styleId="01Chapterheading">
    <w:name w:val="01. Chapter heading"/>
    <w:link w:val="01ChapterheadingChar"/>
    <w:qFormat/>
    <w:rsid w:val="00654937"/>
    <w:pPr>
      <w:spacing w:after="480"/>
      <w:outlineLvl w:val="0"/>
    </w:pPr>
    <w:rPr>
      <w:rFonts w:ascii="Rockwell" w:hAnsi="Rockwell" w:cs="Arial"/>
      <w:color w:val="26664E" w:themeColor="accent1"/>
      <w:sz w:val="72"/>
      <w:szCs w:val="20"/>
    </w:rPr>
  </w:style>
  <w:style w:type="character" w:customStyle="1" w:styleId="01ChapterheadingChar">
    <w:name w:val="01. Chapter heading Char"/>
    <w:basedOn w:val="DefaultParagraphFont"/>
    <w:link w:val="01Chapterheading"/>
    <w:rsid w:val="00673EF5"/>
    <w:rPr>
      <w:rFonts w:ascii="Rockwell" w:hAnsi="Rockwell" w:cs="Arial"/>
      <w:color w:val="26664E" w:themeColor="accent1"/>
      <w:sz w:val="72"/>
      <w:szCs w:val="20"/>
    </w:rPr>
  </w:style>
  <w:style w:type="paragraph" w:customStyle="1" w:styleId="06VIRTBulletpoints">
    <w:name w:val="06. VIRT Bullet points"/>
    <w:basedOn w:val="VIRTBulletpoints"/>
    <w:link w:val="06VIRTBulletpointsChar"/>
    <w:qFormat/>
    <w:locked/>
    <w:rsid w:val="008F4F1E"/>
    <w:pPr>
      <w:numPr>
        <w:numId w:val="15"/>
      </w:numPr>
      <w:spacing w:line="276" w:lineRule="auto"/>
      <w:ind w:left="357" w:hanging="357"/>
      <w:jc w:val="both"/>
    </w:pPr>
  </w:style>
  <w:style w:type="character" w:customStyle="1" w:styleId="06VIRTBulletpointsChar">
    <w:name w:val="06. VIRT Bullet points Char"/>
    <w:basedOn w:val="DefaultParagraphFont"/>
    <w:link w:val="06VIRTBulletpoints"/>
    <w:locked/>
    <w:rsid w:val="008F4F1E"/>
    <w:rPr>
      <w:rFonts w:ascii="Calibri Light" w:hAnsi="Calibri Light" w:cs="Arial"/>
      <w:color w:val="000000" w:themeColor="text1"/>
      <w:sz w:val="26"/>
      <w:szCs w:val="20"/>
    </w:rPr>
  </w:style>
  <w:style w:type="paragraph" w:customStyle="1" w:styleId="Bulletsinatable">
    <w:name w:val="Bullets in a table"/>
    <w:link w:val="BulletsinatableChar"/>
    <w:qFormat/>
    <w:locked/>
    <w:rsid w:val="00976D86"/>
    <w:pPr>
      <w:numPr>
        <w:numId w:val="1"/>
      </w:numPr>
      <w:spacing w:after="0"/>
    </w:pPr>
    <w:rPr>
      <w:rFonts w:ascii="Calibri Light" w:hAnsi="Calibri Light" w:cs="Arial"/>
      <w:bCs/>
      <w:color w:val="000000" w:themeColor="text1"/>
      <w:szCs w:val="20"/>
    </w:rPr>
  </w:style>
  <w:style w:type="character" w:customStyle="1" w:styleId="BulletsinatableChar">
    <w:name w:val="Bullets in a table Char"/>
    <w:basedOn w:val="DefaultParagraphFont"/>
    <w:link w:val="Bulletsinatable"/>
    <w:rsid w:val="00976D86"/>
    <w:rPr>
      <w:rFonts w:ascii="Calibri Light" w:hAnsi="Calibri Light" w:cs="Arial"/>
      <w:bCs/>
      <w:color w:val="000000" w:themeColor="text1"/>
      <w:szCs w:val="20"/>
    </w:rPr>
  </w:style>
  <w:style w:type="table" w:customStyle="1" w:styleId="ListTable3-Accent214">
    <w:name w:val="List Table 3 - Accent 214"/>
    <w:basedOn w:val="TableNormal"/>
    <w:next w:val="ListTable3-Accent2"/>
    <w:uiPriority w:val="48"/>
    <w:rsid w:val="006F4F7D"/>
    <w:pPr>
      <w:spacing w:after="0"/>
    </w:pPr>
    <w:rPr>
      <w:rFonts w:ascii="Calibri Light" w:hAnsi="Calibri Light"/>
      <w:color w:val="FFFFFF"/>
    </w:rPr>
    <w:tblPr>
      <w:tblStyleRowBandSize w:val="1"/>
      <w:tblStyleColBandSize w:val="1"/>
      <w:tblBorders>
        <w:top w:val="single" w:sz="4" w:space="0" w:color="148A5D"/>
        <w:bottom w:val="single" w:sz="4" w:space="0" w:color="148A5D"/>
      </w:tblBorders>
    </w:tblPr>
    <w:tcPr>
      <w:vAlign w:val="center"/>
    </w:tcPr>
    <w:tblStylePr w:type="firstRow">
      <w:pPr>
        <w:jc w:val="left"/>
      </w:pPr>
      <w:rPr>
        <w:rFonts w:ascii="Calibri Light" w:hAnsi="Calibri Light"/>
        <w:b/>
        <w:bCs/>
        <w:color w:val="FFFFFF"/>
        <w:sz w:val="22"/>
      </w:rPr>
      <w:tblPr/>
      <w:tcPr>
        <w:tcBorders>
          <w:top w:val="nil"/>
          <w:left w:val="nil"/>
          <w:bottom w:val="nil"/>
          <w:right w:val="nil"/>
          <w:insideH w:val="single" w:sz="4" w:space="0" w:color="26664E"/>
          <w:insideV w:val="nil"/>
          <w:tl2br w:val="nil"/>
          <w:tr2bl w:val="nil"/>
        </w:tcBorders>
        <w:shd w:val="clear" w:color="auto" w:fill="148A5D"/>
      </w:tcPr>
    </w:tblStylePr>
    <w:tblStylePr w:type="lastRow">
      <w:rPr>
        <w:b/>
        <w:bCs/>
      </w:rPr>
      <w:tblPr/>
      <w:tcPr>
        <w:tcBorders>
          <w:top w:val="double" w:sz="4" w:space="0" w:color="148A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paragraph" w:customStyle="1" w:styleId="VIRTHeading2">
    <w:name w:val="VIRT Heading 2"/>
    <w:basedOn w:val="Normal"/>
    <w:link w:val="VIRTHeading2Char"/>
    <w:autoRedefine/>
    <w:qFormat/>
    <w:rsid w:val="00C30730"/>
    <w:pPr>
      <w:spacing w:after="120"/>
      <w:outlineLvl w:val="1"/>
    </w:pPr>
    <w:rPr>
      <w:rFonts w:asciiTheme="minorHAnsi" w:hAnsiTheme="minorHAnsi" w:cs="Times New Roman (Body CS)"/>
      <w:noProof/>
      <w:color w:val="007449"/>
      <w:sz w:val="44"/>
      <w:szCs w:val="44"/>
      <w:lang w:val="en-US"/>
    </w:rPr>
  </w:style>
  <w:style w:type="paragraph" w:customStyle="1" w:styleId="VIRTHeading3">
    <w:name w:val="VIRT Heading 3"/>
    <w:basedOn w:val="Normal"/>
    <w:link w:val="VIRTHeading3Char"/>
    <w:autoRedefine/>
    <w:qFormat/>
    <w:rsid w:val="00C30730"/>
    <w:pPr>
      <w:spacing w:before="120" w:after="240"/>
      <w:outlineLvl w:val="2"/>
    </w:pPr>
    <w:rPr>
      <w:rFonts w:asciiTheme="minorHAnsi" w:hAnsiTheme="minorHAnsi" w:cs="Arial"/>
      <w:noProof/>
      <w:color w:val="0F6745" w:themeColor="accent2" w:themeShade="BF"/>
      <w:sz w:val="30"/>
      <w:lang w:val="en-US"/>
    </w:rPr>
  </w:style>
  <w:style w:type="character" w:customStyle="1" w:styleId="VIRTHeading2Char">
    <w:name w:val="VIRT Heading 2 Char"/>
    <w:basedOn w:val="DefaultParagraphFont"/>
    <w:link w:val="VIRTHeading2"/>
    <w:rsid w:val="00C30730"/>
    <w:rPr>
      <w:rFonts w:cs="Times New Roman (Body CS)"/>
      <w:noProof/>
      <w:color w:val="007449"/>
      <w:sz w:val="44"/>
      <w:szCs w:val="44"/>
      <w:lang w:val="en-US"/>
    </w:rPr>
  </w:style>
  <w:style w:type="character" w:customStyle="1" w:styleId="VIRTHeading3Char">
    <w:name w:val="VIRT Heading 3 Char"/>
    <w:basedOn w:val="DefaultParagraphFont"/>
    <w:link w:val="VIRTHeading3"/>
    <w:locked/>
    <w:rsid w:val="006D5481"/>
    <w:rPr>
      <w:rFonts w:cs="Arial"/>
      <w:noProof/>
      <w:color w:val="0F6745" w:themeColor="accent2" w:themeShade="BF"/>
      <w:sz w:val="30"/>
      <w:lang w:val="en-US"/>
    </w:rPr>
  </w:style>
  <w:style w:type="paragraph" w:customStyle="1" w:styleId="Tablerowcolumnheading">
    <w:name w:val="Table row/column heading"/>
    <w:qFormat/>
    <w:rsid w:val="000D18AD"/>
    <w:pPr>
      <w:keepNext/>
      <w:spacing w:before="60" w:after="60"/>
    </w:pPr>
    <w:rPr>
      <w:rFonts w:ascii="Calibri Light" w:hAnsi="Calibri Light"/>
      <w:b/>
      <w:color w:val="FFFFFF"/>
    </w:rPr>
  </w:style>
  <w:style w:type="character" w:styleId="Strong">
    <w:name w:val="Strong"/>
    <w:basedOn w:val="DefaultParagraphFont"/>
    <w:uiPriority w:val="22"/>
    <w:qFormat/>
    <w:rsid w:val="000D18AD"/>
    <w:rPr>
      <w:b/>
      <w:bCs/>
    </w:rPr>
  </w:style>
  <w:style w:type="table" w:customStyle="1" w:styleId="ListTable3-Accent217">
    <w:name w:val="List Table 3 - Accent 217"/>
    <w:basedOn w:val="TableNormal"/>
    <w:next w:val="ListTable3-Accent2"/>
    <w:uiPriority w:val="48"/>
    <w:rsid w:val="00C41904"/>
    <w:pPr>
      <w:spacing w:after="0"/>
    </w:pPr>
    <w:rPr>
      <w:rFonts w:ascii="Calibri Light" w:eastAsia="Rockwell" w:hAnsi="Calibri Light" w:cs="Times New Roman"/>
      <w:color w:val="4D4D4D" w:themeColor="accent6"/>
    </w:rPr>
    <w:tblPr>
      <w:tblStyleRowBandSize w:val="1"/>
      <w:tblStyleColBandSize w:val="1"/>
      <w:tblInd w:w="0" w:type="nil"/>
      <w:tblBorders>
        <w:top w:val="single" w:sz="4" w:space="0" w:color="148A5D" w:themeColor="accent2"/>
        <w:bottom w:val="single" w:sz="4" w:space="0" w:color="148A5D" w:themeColor="accent2"/>
      </w:tblBorders>
    </w:tblPr>
    <w:tblStylePr w:type="firstRow">
      <w:pPr>
        <w:jc w:val="left"/>
      </w:pPr>
      <w:rPr>
        <w:rFonts w:ascii="Calibri Light" w:hAnsi="Calibri Light" w:cs="Calibri Light" w:hint="default"/>
        <w:b/>
        <w:bCs/>
        <w:color w:val="FFFFFF" w:themeColor="background1"/>
        <w:sz w:val="22"/>
        <w:szCs w:val="22"/>
      </w:rPr>
      <w:tblPr/>
      <w:tcPr>
        <w:tcBorders>
          <w:top w:val="nil"/>
          <w:left w:val="nil"/>
          <w:bottom w:val="nil"/>
          <w:right w:val="nil"/>
          <w:insideH w:val="single" w:sz="4" w:space="0" w:color="148A5D" w:themeColor="accent2"/>
          <w:insideV w:val="nil"/>
          <w:tl2br w:val="nil"/>
          <w:tr2bl w:val="nil"/>
        </w:tcBorders>
        <w:shd w:val="clear" w:color="auto" w:fill="148A5D"/>
      </w:tcPr>
    </w:tblStylePr>
    <w:tblStylePr w:type="lastRow">
      <w:rPr>
        <w:b/>
        <w:bCs/>
      </w:rPr>
      <w:tblPr/>
      <w:tcPr>
        <w:tcBorders>
          <w:top w:val="double" w:sz="4" w:space="0" w:color="148A5D"/>
        </w:tcBorders>
        <w:shd w:val="clear" w:color="auto" w:fill="FFFFFF"/>
      </w:tcPr>
    </w:tblStylePr>
    <w:tblStylePr w:type="firstCol">
      <w:pPr>
        <w:wordWrap/>
        <w:contextualSpacing w:val="0"/>
        <w:mirrorIndents w:val="0"/>
      </w:pPr>
      <w:rPr>
        <w:b w:val="0"/>
        <w:bCs/>
      </w:rPr>
      <w:tblPr/>
      <w:tcPr>
        <w:tcBorders>
          <w:right w:val="nil"/>
        </w:tcBorders>
        <w:shd w:val="clear" w:color="auto" w:fill="FFFFFF"/>
      </w:tcPr>
    </w:tblStylePr>
    <w:tblStylePr w:type="lastCol">
      <w:rPr>
        <w:b w:val="0"/>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character" w:customStyle="1" w:styleId="Sub-parabulletsChar">
    <w:name w:val="Sub-para bullets Char"/>
    <w:basedOn w:val="DefaultParagraphFont"/>
    <w:link w:val="Sub-parabullets"/>
    <w:rsid w:val="00582E1F"/>
    <w:rPr>
      <w:rFonts w:ascii="Calibri Light" w:hAnsi="Calibri Light" w:cs="Arial"/>
      <w:iCs/>
      <w:sz w:val="26"/>
      <w:szCs w:val="20"/>
    </w:rPr>
  </w:style>
  <w:style w:type="paragraph" w:customStyle="1" w:styleId="VIRTalphanumericallist">
    <w:name w:val="VIRT alphanumerical list"/>
    <w:basedOn w:val="Normal"/>
    <w:autoRedefine/>
    <w:qFormat/>
    <w:rsid w:val="00E457E7"/>
    <w:pPr>
      <w:spacing w:after="240" w:line="276" w:lineRule="auto"/>
      <w:jc w:val="both"/>
    </w:pPr>
    <w:rPr>
      <w:rFonts w:ascii="Calibri Light" w:hAnsi="Calibri Light" w:cs="Arial"/>
      <w:noProof/>
      <w:color w:val="4D4D4D" w:themeColor="accent6"/>
      <w:sz w:val="26"/>
      <w:szCs w:val="20"/>
      <w:lang w:val="en-US"/>
    </w:rPr>
  </w:style>
  <w:style w:type="paragraph" w:customStyle="1" w:styleId="Style4">
    <w:name w:val="Style4"/>
    <w:basedOn w:val="Chapterheading"/>
    <w:link w:val="Style4Char"/>
    <w:qFormat/>
    <w:rsid w:val="00337C1F"/>
  </w:style>
  <w:style w:type="character" w:customStyle="1" w:styleId="Style4Char">
    <w:name w:val="Style4 Char"/>
    <w:basedOn w:val="ChapterheadingChar"/>
    <w:link w:val="Style4"/>
    <w:rsid w:val="00337C1F"/>
    <w:rPr>
      <w:rFonts w:ascii="Rockwell" w:hAnsi="Rockwell"/>
      <w:color w:val="26664E" w:themeColor="accent1"/>
      <w:sz w:val="72"/>
    </w:rPr>
  </w:style>
  <w:style w:type="character" w:customStyle="1" w:styleId="superscript">
    <w:name w:val="superscript"/>
    <w:basedOn w:val="DefaultParagraphFont"/>
    <w:rsid w:val="00337C1F"/>
  </w:style>
  <w:style w:type="character" w:customStyle="1" w:styleId="cf01">
    <w:name w:val="cf01"/>
    <w:basedOn w:val="DefaultParagraphFont"/>
    <w:rsid w:val="00771516"/>
    <w:rPr>
      <w:rFonts w:ascii="Segoe UI" w:hAnsi="Segoe UI" w:cs="Segoe UI" w:hint="default"/>
      <w:color w:val="7F7F7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96691">
      <w:bodyDiv w:val="1"/>
      <w:marLeft w:val="0"/>
      <w:marRight w:val="0"/>
      <w:marTop w:val="0"/>
      <w:marBottom w:val="0"/>
      <w:divBdr>
        <w:top w:val="none" w:sz="0" w:space="0" w:color="auto"/>
        <w:left w:val="none" w:sz="0" w:space="0" w:color="auto"/>
        <w:bottom w:val="none" w:sz="0" w:space="0" w:color="auto"/>
        <w:right w:val="none" w:sz="0" w:space="0" w:color="auto"/>
      </w:divBdr>
    </w:div>
    <w:div w:id="18507038">
      <w:bodyDiv w:val="1"/>
      <w:marLeft w:val="0"/>
      <w:marRight w:val="0"/>
      <w:marTop w:val="0"/>
      <w:marBottom w:val="0"/>
      <w:divBdr>
        <w:top w:val="none" w:sz="0" w:space="0" w:color="auto"/>
        <w:left w:val="none" w:sz="0" w:space="0" w:color="auto"/>
        <w:bottom w:val="none" w:sz="0" w:space="0" w:color="auto"/>
        <w:right w:val="none" w:sz="0" w:space="0" w:color="auto"/>
      </w:divBdr>
    </w:div>
    <w:div w:id="26763769">
      <w:bodyDiv w:val="1"/>
      <w:marLeft w:val="0"/>
      <w:marRight w:val="0"/>
      <w:marTop w:val="0"/>
      <w:marBottom w:val="0"/>
      <w:divBdr>
        <w:top w:val="none" w:sz="0" w:space="0" w:color="auto"/>
        <w:left w:val="none" w:sz="0" w:space="0" w:color="auto"/>
        <w:bottom w:val="none" w:sz="0" w:space="0" w:color="auto"/>
        <w:right w:val="none" w:sz="0" w:space="0" w:color="auto"/>
      </w:divBdr>
    </w:div>
    <w:div w:id="55401741">
      <w:bodyDiv w:val="1"/>
      <w:marLeft w:val="0"/>
      <w:marRight w:val="0"/>
      <w:marTop w:val="0"/>
      <w:marBottom w:val="0"/>
      <w:divBdr>
        <w:top w:val="none" w:sz="0" w:space="0" w:color="auto"/>
        <w:left w:val="none" w:sz="0" w:space="0" w:color="auto"/>
        <w:bottom w:val="none" w:sz="0" w:space="0" w:color="auto"/>
        <w:right w:val="none" w:sz="0" w:space="0" w:color="auto"/>
      </w:divBdr>
    </w:div>
    <w:div w:id="74472166">
      <w:bodyDiv w:val="1"/>
      <w:marLeft w:val="0"/>
      <w:marRight w:val="0"/>
      <w:marTop w:val="0"/>
      <w:marBottom w:val="0"/>
      <w:divBdr>
        <w:top w:val="none" w:sz="0" w:space="0" w:color="auto"/>
        <w:left w:val="none" w:sz="0" w:space="0" w:color="auto"/>
        <w:bottom w:val="none" w:sz="0" w:space="0" w:color="auto"/>
        <w:right w:val="none" w:sz="0" w:space="0" w:color="auto"/>
      </w:divBdr>
    </w:div>
    <w:div w:id="89084316">
      <w:bodyDiv w:val="1"/>
      <w:marLeft w:val="0"/>
      <w:marRight w:val="0"/>
      <w:marTop w:val="0"/>
      <w:marBottom w:val="0"/>
      <w:divBdr>
        <w:top w:val="none" w:sz="0" w:space="0" w:color="auto"/>
        <w:left w:val="none" w:sz="0" w:space="0" w:color="auto"/>
        <w:bottom w:val="none" w:sz="0" w:space="0" w:color="auto"/>
        <w:right w:val="none" w:sz="0" w:space="0" w:color="auto"/>
      </w:divBdr>
    </w:div>
    <w:div w:id="91165822">
      <w:bodyDiv w:val="1"/>
      <w:marLeft w:val="0"/>
      <w:marRight w:val="0"/>
      <w:marTop w:val="0"/>
      <w:marBottom w:val="0"/>
      <w:divBdr>
        <w:top w:val="none" w:sz="0" w:space="0" w:color="auto"/>
        <w:left w:val="none" w:sz="0" w:space="0" w:color="auto"/>
        <w:bottom w:val="none" w:sz="0" w:space="0" w:color="auto"/>
        <w:right w:val="none" w:sz="0" w:space="0" w:color="auto"/>
      </w:divBdr>
    </w:div>
    <w:div w:id="95904215">
      <w:bodyDiv w:val="1"/>
      <w:marLeft w:val="0"/>
      <w:marRight w:val="0"/>
      <w:marTop w:val="0"/>
      <w:marBottom w:val="0"/>
      <w:divBdr>
        <w:top w:val="none" w:sz="0" w:space="0" w:color="auto"/>
        <w:left w:val="none" w:sz="0" w:space="0" w:color="auto"/>
        <w:bottom w:val="none" w:sz="0" w:space="0" w:color="auto"/>
        <w:right w:val="none" w:sz="0" w:space="0" w:color="auto"/>
      </w:divBdr>
    </w:div>
    <w:div w:id="98179496">
      <w:bodyDiv w:val="1"/>
      <w:marLeft w:val="0"/>
      <w:marRight w:val="0"/>
      <w:marTop w:val="0"/>
      <w:marBottom w:val="0"/>
      <w:divBdr>
        <w:top w:val="none" w:sz="0" w:space="0" w:color="auto"/>
        <w:left w:val="none" w:sz="0" w:space="0" w:color="auto"/>
        <w:bottom w:val="none" w:sz="0" w:space="0" w:color="auto"/>
        <w:right w:val="none" w:sz="0" w:space="0" w:color="auto"/>
      </w:divBdr>
    </w:div>
    <w:div w:id="108359864">
      <w:bodyDiv w:val="1"/>
      <w:marLeft w:val="0"/>
      <w:marRight w:val="0"/>
      <w:marTop w:val="0"/>
      <w:marBottom w:val="0"/>
      <w:divBdr>
        <w:top w:val="none" w:sz="0" w:space="0" w:color="auto"/>
        <w:left w:val="none" w:sz="0" w:space="0" w:color="auto"/>
        <w:bottom w:val="none" w:sz="0" w:space="0" w:color="auto"/>
        <w:right w:val="none" w:sz="0" w:space="0" w:color="auto"/>
      </w:divBdr>
      <w:divsChild>
        <w:div w:id="595014610">
          <w:marLeft w:val="547"/>
          <w:marRight w:val="0"/>
          <w:marTop w:val="0"/>
          <w:marBottom w:val="0"/>
          <w:divBdr>
            <w:top w:val="none" w:sz="0" w:space="0" w:color="auto"/>
            <w:left w:val="none" w:sz="0" w:space="0" w:color="auto"/>
            <w:bottom w:val="none" w:sz="0" w:space="0" w:color="auto"/>
            <w:right w:val="none" w:sz="0" w:space="0" w:color="auto"/>
          </w:divBdr>
        </w:div>
        <w:div w:id="2093701646">
          <w:marLeft w:val="547"/>
          <w:marRight w:val="0"/>
          <w:marTop w:val="0"/>
          <w:marBottom w:val="0"/>
          <w:divBdr>
            <w:top w:val="none" w:sz="0" w:space="0" w:color="auto"/>
            <w:left w:val="none" w:sz="0" w:space="0" w:color="auto"/>
            <w:bottom w:val="none" w:sz="0" w:space="0" w:color="auto"/>
            <w:right w:val="none" w:sz="0" w:space="0" w:color="auto"/>
          </w:divBdr>
        </w:div>
      </w:divsChild>
    </w:div>
    <w:div w:id="118378000">
      <w:bodyDiv w:val="1"/>
      <w:marLeft w:val="0"/>
      <w:marRight w:val="0"/>
      <w:marTop w:val="0"/>
      <w:marBottom w:val="0"/>
      <w:divBdr>
        <w:top w:val="none" w:sz="0" w:space="0" w:color="auto"/>
        <w:left w:val="none" w:sz="0" w:space="0" w:color="auto"/>
        <w:bottom w:val="none" w:sz="0" w:space="0" w:color="auto"/>
        <w:right w:val="none" w:sz="0" w:space="0" w:color="auto"/>
      </w:divBdr>
    </w:div>
    <w:div w:id="124859985">
      <w:bodyDiv w:val="1"/>
      <w:marLeft w:val="0"/>
      <w:marRight w:val="0"/>
      <w:marTop w:val="0"/>
      <w:marBottom w:val="0"/>
      <w:divBdr>
        <w:top w:val="none" w:sz="0" w:space="0" w:color="auto"/>
        <w:left w:val="none" w:sz="0" w:space="0" w:color="auto"/>
        <w:bottom w:val="none" w:sz="0" w:space="0" w:color="auto"/>
        <w:right w:val="none" w:sz="0" w:space="0" w:color="auto"/>
      </w:divBdr>
      <w:divsChild>
        <w:div w:id="1298995288">
          <w:marLeft w:val="0"/>
          <w:marRight w:val="0"/>
          <w:marTop w:val="0"/>
          <w:marBottom w:val="0"/>
          <w:divBdr>
            <w:top w:val="none" w:sz="0" w:space="0" w:color="auto"/>
            <w:left w:val="none" w:sz="0" w:space="0" w:color="auto"/>
            <w:bottom w:val="none" w:sz="0" w:space="0" w:color="auto"/>
            <w:right w:val="none" w:sz="0" w:space="0" w:color="auto"/>
          </w:divBdr>
        </w:div>
      </w:divsChild>
    </w:div>
    <w:div w:id="162742493">
      <w:bodyDiv w:val="1"/>
      <w:marLeft w:val="0"/>
      <w:marRight w:val="0"/>
      <w:marTop w:val="0"/>
      <w:marBottom w:val="0"/>
      <w:divBdr>
        <w:top w:val="none" w:sz="0" w:space="0" w:color="auto"/>
        <w:left w:val="none" w:sz="0" w:space="0" w:color="auto"/>
        <w:bottom w:val="none" w:sz="0" w:space="0" w:color="auto"/>
        <w:right w:val="none" w:sz="0" w:space="0" w:color="auto"/>
      </w:divBdr>
    </w:div>
    <w:div w:id="185411904">
      <w:bodyDiv w:val="1"/>
      <w:marLeft w:val="0"/>
      <w:marRight w:val="0"/>
      <w:marTop w:val="0"/>
      <w:marBottom w:val="0"/>
      <w:divBdr>
        <w:top w:val="none" w:sz="0" w:space="0" w:color="auto"/>
        <w:left w:val="none" w:sz="0" w:space="0" w:color="auto"/>
        <w:bottom w:val="none" w:sz="0" w:space="0" w:color="auto"/>
        <w:right w:val="none" w:sz="0" w:space="0" w:color="auto"/>
      </w:divBdr>
    </w:div>
    <w:div w:id="205340208">
      <w:bodyDiv w:val="1"/>
      <w:marLeft w:val="0"/>
      <w:marRight w:val="0"/>
      <w:marTop w:val="0"/>
      <w:marBottom w:val="0"/>
      <w:divBdr>
        <w:top w:val="none" w:sz="0" w:space="0" w:color="auto"/>
        <w:left w:val="none" w:sz="0" w:space="0" w:color="auto"/>
        <w:bottom w:val="none" w:sz="0" w:space="0" w:color="auto"/>
        <w:right w:val="none" w:sz="0" w:space="0" w:color="auto"/>
      </w:divBdr>
    </w:div>
    <w:div w:id="207886144">
      <w:bodyDiv w:val="1"/>
      <w:marLeft w:val="0"/>
      <w:marRight w:val="0"/>
      <w:marTop w:val="0"/>
      <w:marBottom w:val="0"/>
      <w:divBdr>
        <w:top w:val="none" w:sz="0" w:space="0" w:color="auto"/>
        <w:left w:val="none" w:sz="0" w:space="0" w:color="auto"/>
        <w:bottom w:val="none" w:sz="0" w:space="0" w:color="auto"/>
        <w:right w:val="none" w:sz="0" w:space="0" w:color="auto"/>
      </w:divBdr>
    </w:div>
    <w:div w:id="242956654">
      <w:bodyDiv w:val="1"/>
      <w:marLeft w:val="0"/>
      <w:marRight w:val="0"/>
      <w:marTop w:val="0"/>
      <w:marBottom w:val="0"/>
      <w:divBdr>
        <w:top w:val="none" w:sz="0" w:space="0" w:color="auto"/>
        <w:left w:val="none" w:sz="0" w:space="0" w:color="auto"/>
        <w:bottom w:val="none" w:sz="0" w:space="0" w:color="auto"/>
        <w:right w:val="none" w:sz="0" w:space="0" w:color="auto"/>
      </w:divBdr>
    </w:div>
    <w:div w:id="255285834">
      <w:bodyDiv w:val="1"/>
      <w:marLeft w:val="0"/>
      <w:marRight w:val="0"/>
      <w:marTop w:val="0"/>
      <w:marBottom w:val="0"/>
      <w:divBdr>
        <w:top w:val="none" w:sz="0" w:space="0" w:color="auto"/>
        <w:left w:val="none" w:sz="0" w:space="0" w:color="auto"/>
        <w:bottom w:val="none" w:sz="0" w:space="0" w:color="auto"/>
        <w:right w:val="none" w:sz="0" w:space="0" w:color="auto"/>
      </w:divBdr>
    </w:div>
    <w:div w:id="267397135">
      <w:bodyDiv w:val="1"/>
      <w:marLeft w:val="0"/>
      <w:marRight w:val="0"/>
      <w:marTop w:val="0"/>
      <w:marBottom w:val="0"/>
      <w:divBdr>
        <w:top w:val="none" w:sz="0" w:space="0" w:color="auto"/>
        <w:left w:val="none" w:sz="0" w:space="0" w:color="auto"/>
        <w:bottom w:val="none" w:sz="0" w:space="0" w:color="auto"/>
        <w:right w:val="none" w:sz="0" w:space="0" w:color="auto"/>
      </w:divBdr>
    </w:div>
    <w:div w:id="270430688">
      <w:bodyDiv w:val="1"/>
      <w:marLeft w:val="0"/>
      <w:marRight w:val="0"/>
      <w:marTop w:val="0"/>
      <w:marBottom w:val="0"/>
      <w:divBdr>
        <w:top w:val="none" w:sz="0" w:space="0" w:color="auto"/>
        <w:left w:val="none" w:sz="0" w:space="0" w:color="auto"/>
        <w:bottom w:val="none" w:sz="0" w:space="0" w:color="auto"/>
        <w:right w:val="none" w:sz="0" w:space="0" w:color="auto"/>
      </w:divBdr>
    </w:div>
    <w:div w:id="275646467">
      <w:bodyDiv w:val="1"/>
      <w:marLeft w:val="0"/>
      <w:marRight w:val="0"/>
      <w:marTop w:val="0"/>
      <w:marBottom w:val="0"/>
      <w:divBdr>
        <w:top w:val="none" w:sz="0" w:space="0" w:color="auto"/>
        <w:left w:val="none" w:sz="0" w:space="0" w:color="auto"/>
        <w:bottom w:val="none" w:sz="0" w:space="0" w:color="auto"/>
        <w:right w:val="none" w:sz="0" w:space="0" w:color="auto"/>
      </w:divBdr>
    </w:div>
    <w:div w:id="289827213">
      <w:bodyDiv w:val="1"/>
      <w:marLeft w:val="0"/>
      <w:marRight w:val="0"/>
      <w:marTop w:val="0"/>
      <w:marBottom w:val="0"/>
      <w:divBdr>
        <w:top w:val="none" w:sz="0" w:space="0" w:color="auto"/>
        <w:left w:val="none" w:sz="0" w:space="0" w:color="auto"/>
        <w:bottom w:val="none" w:sz="0" w:space="0" w:color="auto"/>
        <w:right w:val="none" w:sz="0" w:space="0" w:color="auto"/>
      </w:divBdr>
    </w:div>
    <w:div w:id="324285993">
      <w:bodyDiv w:val="1"/>
      <w:marLeft w:val="0"/>
      <w:marRight w:val="0"/>
      <w:marTop w:val="0"/>
      <w:marBottom w:val="0"/>
      <w:divBdr>
        <w:top w:val="none" w:sz="0" w:space="0" w:color="auto"/>
        <w:left w:val="none" w:sz="0" w:space="0" w:color="auto"/>
        <w:bottom w:val="none" w:sz="0" w:space="0" w:color="auto"/>
        <w:right w:val="none" w:sz="0" w:space="0" w:color="auto"/>
      </w:divBdr>
    </w:div>
    <w:div w:id="327638454">
      <w:bodyDiv w:val="1"/>
      <w:marLeft w:val="0"/>
      <w:marRight w:val="0"/>
      <w:marTop w:val="0"/>
      <w:marBottom w:val="0"/>
      <w:divBdr>
        <w:top w:val="none" w:sz="0" w:space="0" w:color="auto"/>
        <w:left w:val="none" w:sz="0" w:space="0" w:color="auto"/>
        <w:bottom w:val="none" w:sz="0" w:space="0" w:color="auto"/>
        <w:right w:val="none" w:sz="0" w:space="0" w:color="auto"/>
      </w:divBdr>
    </w:div>
    <w:div w:id="354692457">
      <w:bodyDiv w:val="1"/>
      <w:marLeft w:val="0"/>
      <w:marRight w:val="0"/>
      <w:marTop w:val="0"/>
      <w:marBottom w:val="0"/>
      <w:divBdr>
        <w:top w:val="none" w:sz="0" w:space="0" w:color="auto"/>
        <w:left w:val="none" w:sz="0" w:space="0" w:color="auto"/>
        <w:bottom w:val="none" w:sz="0" w:space="0" w:color="auto"/>
        <w:right w:val="none" w:sz="0" w:space="0" w:color="auto"/>
      </w:divBdr>
    </w:div>
    <w:div w:id="356079267">
      <w:bodyDiv w:val="1"/>
      <w:marLeft w:val="0"/>
      <w:marRight w:val="0"/>
      <w:marTop w:val="0"/>
      <w:marBottom w:val="0"/>
      <w:divBdr>
        <w:top w:val="none" w:sz="0" w:space="0" w:color="auto"/>
        <w:left w:val="none" w:sz="0" w:space="0" w:color="auto"/>
        <w:bottom w:val="none" w:sz="0" w:space="0" w:color="auto"/>
        <w:right w:val="none" w:sz="0" w:space="0" w:color="auto"/>
      </w:divBdr>
    </w:div>
    <w:div w:id="360664082">
      <w:bodyDiv w:val="1"/>
      <w:marLeft w:val="0"/>
      <w:marRight w:val="0"/>
      <w:marTop w:val="0"/>
      <w:marBottom w:val="0"/>
      <w:divBdr>
        <w:top w:val="none" w:sz="0" w:space="0" w:color="auto"/>
        <w:left w:val="none" w:sz="0" w:space="0" w:color="auto"/>
        <w:bottom w:val="none" w:sz="0" w:space="0" w:color="auto"/>
        <w:right w:val="none" w:sz="0" w:space="0" w:color="auto"/>
      </w:divBdr>
      <w:divsChild>
        <w:div w:id="297999162">
          <w:marLeft w:val="547"/>
          <w:marRight w:val="0"/>
          <w:marTop w:val="120"/>
          <w:marBottom w:val="120"/>
          <w:divBdr>
            <w:top w:val="none" w:sz="0" w:space="0" w:color="auto"/>
            <w:left w:val="none" w:sz="0" w:space="0" w:color="auto"/>
            <w:bottom w:val="none" w:sz="0" w:space="0" w:color="auto"/>
            <w:right w:val="none" w:sz="0" w:space="0" w:color="auto"/>
          </w:divBdr>
        </w:div>
        <w:div w:id="1638990753">
          <w:marLeft w:val="547"/>
          <w:marRight w:val="0"/>
          <w:marTop w:val="120"/>
          <w:marBottom w:val="120"/>
          <w:divBdr>
            <w:top w:val="none" w:sz="0" w:space="0" w:color="auto"/>
            <w:left w:val="none" w:sz="0" w:space="0" w:color="auto"/>
            <w:bottom w:val="none" w:sz="0" w:space="0" w:color="auto"/>
            <w:right w:val="none" w:sz="0" w:space="0" w:color="auto"/>
          </w:divBdr>
        </w:div>
        <w:div w:id="1838882488">
          <w:marLeft w:val="547"/>
          <w:marRight w:val="0"/>
          <w:marTop w:val="120"/>
          <w:marBottom w:val="120"/>
          <w:divBdr>
            <w:top w:val="none" w:sz="0" w:space="0" w:color="auto"/>
            <w:left w:val="none" w:sz="0" w:space="0" w:color="auto"/>
            <w:bottom w:val="none" w:sz="0" w:space="0" w:color="auto"/>
            <w:right w:val="none" w:sz="0" w:space="0" w:color="auto"/>
          </w:divBdr>
        </w:div>
      </w:divsChild>
    </w:div>
    <w:div w:id="381832517">
      <w:bodyDiv w:val="1"/>
      <w:marLeft w:val="0"/>
      <w:marRight w:val="0"/>
      <w:marTop w:val="0"/>
      <w:marBottom w:val="0"/>
      <w:divBdr>
        <w:top w:val="none" w:sz="0" w:space="0" w:color="auto"/>
        <w:left w:val="none" w:sz="0" w:space="0" w:color="auto"/>
        <w:bottom w:val="none" w:sz="0" w:space="0" w:color="auto"/>
        <w:right w:val="none" w:sz="0" w:space="0" w:color="auto"/>
      </w:divBdr>
    </w:div>
    <w:div w:id="386495062">
      <w:bodyDiv w:val="1"/>
      <w:marLeft w:val="0"/>
      <w:marRight w:val="0"/>
      <w:marTop w:val="0"/>
      <w:marBottom w:val="0"/>
      <w:divBdr>
        <w:top w:val="none" w:sz="0" w:space="0" w:color="auto"/>
        <w:left w:val="none" w:sz="0" w:space="0" w:color="auto"/>
        <w:bottom w:val="none" w:sz="0" w:space="0" w:color="auto"/>
        <w:right w:val="none" w:sz="0" w:space="0" w:color="auto"/>
      </w:divBdr>
    </w:div>
    <w:div w:id="393891442">
      <w:bodyDiv w:val="1"/>
      <w:marLeft w:val="0"/>
      <w:marRight w:val="0"/>
      <w:marTop w:val="0"/>
      <w:marBottom w:val="0"/>
      <w:divBdr>
        <w:top w:val="none" w:sz="0" w:space="0" w:color="auto"/>
        <w:left w:val="none" w:sz="0" w:space="0" w:color="auto"/>
        <w:bottom w:val="none" w:sz="0" w:space="0" w:color="auto"/>
        <w:right w:val="none" w:sz="0" w:space="0" w:color="auto"/>
      </w:divBdr>
    </w:div>
    <w:div w:id="405693063">
      <w:bodyDiv w:val="1"/>
      <w:marLeft w:val="0"/>
      <w:marRight w:val="0"/>
      <w:marTop w:val="0"/>
      <w:marBottom w:val="0"/>
      <w:divBdr>
        <w:top w:val="none" w:sz="0" w:space="0" w:color="auto"/>
        <w:left w:val="none" w:sz="0" w:space="0" w:color="auto"/>
        <w:bottom w:val="none" w:sz="0" w:space="0" w:color="auto"/>
        <w:right w:val="none" w:sz="0" w:space="0" w:color="auto"/>
      </w:divBdr>
    </w:div>
    <w:div w:id="407264051">
      <w:bodyDiv w:val="1"/>
      <w:marLeft w:val="0"/>
      <w:marRight w:val="0"/>
      <w:marTop w:val="0"/>
      <w:marBottom w:val="0"/>
      <w:divBdr>
        <w:top w:val="none" w:sz="0" w:space="0" w:color="auto"/>
        <w:left w:val="none" w:sz="0" w:space="0" w:color="auto"/>
        <w:bottom w:val="none" w:sz="0" w:space="0" w:color="auto"/>
        <w:right w:val="none" w:sz="0" w:space="0" w:color="auto"/>
      </w:divBdr>
    </w:div>
    <w:div w:id="412706025">
      <w:bodyDiv w:val="1"/>
      <w:marLeft w:val="0"/>
      <w:marRight w:val="0"/>
      <w:marTop w:val="0"/>
      <w:marBottom w:val="0"/>
      <w:divBdr>
        <w:top w:val="none" w:sz="0" w:space="0" w:color="auto"/>
        <w:left w:val="none" w:sz="0" w:space="0" w:color="auto"/>
        <w:bottom w:val="none" w:sz="0" w:space="0" w:color="auto"/>
        <w:right w:val="none" w:sz="0" w:space="0" w:color="auto"/>
      </w:divBdr>
    </w:div>
    <w:div w:id="419251793">
      <w:bodyDiv w:val="1"/>
      <w:marLeft w:val="0"/>
      <w:marRight w:val="0"/>
      <w:marTop w:val="0"/>
      <w:marBottom w:val="0"/>
      <w:divBdr>
        <w:top w:val="none" w:sz="0" w:space="0" w:color="auto"/>
        <w:left w:val="none" w:sz="0" w:space="0" w:color="auto"/>
        <w:bottom w:val="none" w:sz="0" w:space="0" w:color="auto"/>
        <w:right w:val="none" w:sz="0" w:space="0" w:color="auto"/>
      </w:divBdr>
    </w:div>
    <w:div w:id="421150404">
      <w:bodyDiv w:val="1"/>
      <w:marLeft w:val="0"/>
      <w:marRight w:val="0"/>
      <w:marTop w:val="0"/>
      <w:marBottom w:val="0"/>
      <w:divBdr>
        <w:top w:val="none" w:sz="0" w:space="0" w:color="auto"/>
        <w:left w:val="none" w:sz="0" w:space="0" w:color="auto"/>
        <w:bottom w:val="none" w:sz="0" w:space="0" w:color="auto"/>
        <w:right w:val="none" w:sz="0" w:space="0" w:color="auto"/>
      </w:divBdr>
    </w:div>
    <w:div w:id="456416890">
      <w:bodyDiv w:val="1"/>
      <w:marLeft w:val="0"/>
      <w:marRight w:val="0"/>
      <w:marTop w:val="0"/>
      <w:marBottom w:val="0"/>
      <w:divBdr>
        <w:top w:val="none" w:sz="0" w:space="0" w:color="auto"/>
        <w:left w:val="none" w:sz="0" w:space="0" w:color="auto"/>
        <w:bottom w:val="none" w:sz="0" w:space="0" w:color="auto"/>
        <w:right w:val="none" w:sz="0" w:space="0" w:color="auto"/>
      </w:divBdr>
    </w:div>
    <w:div w:id="468783544">
      <w:bodyDiv w:val="1"/>
      <w:marLeft w:val="0"/>
      <w:marRight w:val="0"/>
      <w:marTop w:val="0"/>
      <w:marBottom w:val="0"/>
      <w:divBdr>
        <w:top w:val="none" w:sz="0" w:space="0" w:color="auto"/>
        <w:left w:val="none" w:sz="0" w:space="0" w:color="auto"/>
        <w:bottom w:val="none" w:sz="0" w:space="0" w:color="auto"/>
        <w:right w:val="none" w:sz="0" w:space="0" w:color="auto"/>
      </w:divBdr>
    </w:div>
    <w:div w:id="482893957">
      <w:bodyDiv w:val="1"/>
      <w:marLeft w:val="0"/>
      <w:marRight w:val="0"/>
      <w:marTop w:val="0"/>
      <w:marBottom w:val="0"/>
      <w:divBdr>
        <w:top w:val="none" w:sz="0" w:space="0" w:color="auto"/>
        <w:left w:val="none" w:sz="0" w:space="0" w:color="auto"/>
        <w:bottom w:val="none" w:sz="0" w:space="0" w:color="auto"/>
        <w:right w:val="none" w:sz="0" w:space="0" w:color="auto"/>
      </w:divBdr>
    </w:div>
    <w:div w:id="483473342">
      <w:bodyDiv w:val="1"/>
      <w:marLeft w:val="0"/>
      <w:marRight w:val="0"/>
      <w:marTop w:val="0"/>
      <w:marBottom w:val="0"/>
      <w:divBdr>
        <w:top w:val="none" w:sz="0" w:space="0" w:color="auto"/>
        <w:left w:val="none" w:sz="0" w:space="0" w:color="auto"/>
        <w:bottom w:val="none" w:sz="0" w:space="0" w:color="auto"/>
        <w:right w:val="none" w:sz="0" w:space="0" w:color="auto"/>
      </w:divBdr>
    </w:div>
    <w:div w:id="506821790">
      <w:bodyDiv w:val="1"/>
      <w:marLeft w:val="0"/>
      <w:marRight w:val="0"/>
      <w:marTop w:val="0"/>
      <w:marBottom w:val="0"/>
      <w:divBdr>
        <w:top w:val="none" w:sz="0" w:space="0" w:color="auto"/>
        <w:left w:val="none" w:sz="0" w:space="0" w:color="auto"/>
        <w:bottom w:val="none" w:sz="0" w:space="0" w:color="auto"/>
        <w:right w:val="none" w:sz="0" w:space="0" w:color="auto"/>
      </w:divBdr>
    </w:div>
    <w:div w:id="535966096">
      <w:bodyDiv w:val="1"/>
      <w:marLeft w:val="0"/>
      <w:marRight w:val="0"/>
      <w:marTop w:val="0"/>
      <w:marBottom w:val="0"/>
      <w:divBdr>
        <w:top w:val="none" w:sz="0" w:space="0" w:color="auto"/>
        <w:left w:val="none" w:sz="0" w:space="0" w:color="auto"/>
        <w:bottom w:val="none" w:sz="0" w:space="0" w:color="auto"/>
        <w:right w:val="none" w:sz="0" w:space="0" w:color="auto"/>
      </w:divBdr>
    </w:div>
    <w:div w:id="545919642">
      <w:bodyDiv w:val="1"/>
      <w:marLeft w:val="0"/>
      <w:marRight w:val="0"/>
      <w:marTop w:val="0"/>
      <w:marBottom w:val="0"/>
      <w:divBdr>
        <w:top w:val="none" w:sz="0" w:space="0" w:color="auto"/>
        <w:left w:val="none" w:sz="0" w:space="0" w:color="auto"/>
        <w:bottom w:val="none" w:sz="0" w:space="0" w:color="auto"/>
        <w:right w:val="none" w:sz="0" w:space="0" w:color="auto"/>
      </w:divBdr>
    </w:div>
    <w:div w:id="553548337">
      <w:bodyDiv w:val="1"/>
      <w:marLeft w:val="0"/>
      <w:marRight w:val="0"/>
      <w:marTop w:val="0"/>
      <w:marBottom w:val="0"/>
      <w:divBdr>
        <w:top w:val="none" w:sz="0" w:space="0" w:color="auto"/>
        <w:left w:val="none" w:sz="0" w:space="0" w:color="auto"/>
        <w:bottom w:val="none" w:sz="0" w:space="0" w:color="auto"/>
        <w:right w:val="none" w:sz="0" w:space="0" w:color="auto"/>
      </w:divBdr>
      <w:divsChild>
        <w:div w:id="1360006599">
          <w:marLeft w:val="0"/>
          <w:marRight w:val="0"/>
          <w:marTop w:val="0"/>
          <w:marBottom w:val="0"/>
          <w:divBdr>
            <w:top w:val="none" w:sz="0" w:space="0" w:color="auto"/>
            <w:left w:val="none" w:sz="0" w:space="0" w:color="auto"/>
            <w:bottom w:val="none" w:sz="0" w:space="0" w:color="auto"/>
            <w:right w:val="none" w:sz="0" w:space="0" w:color="auto"/>
          </w:divBdr>
        </w:div>
      </w:divsChild>
    </w:div>
    <w:div w:id="556278172">
      <w:bodyDiv w:val="1"/>
      <w:marLeft w:val="0"/>
      <w:marRight w:val="0"/>
      <w:marTop w:val="0"/>
      <w:marBottom w:val="0"/>
      <w:divBdr>
        <w:top w:val="none" w:sz="0" w:space="0" w:color="auto"/>
        <w:left w:val="none" w:sz="0" w:space="0" w:color="auto"/>
        <w:bottom w:val="none" w:sz="0" w:space="0" w:color="auto"/>
        <w:right w:val="none" w:sz="0" w:space="0" w:color="auto"/>
      </w:divBdr>
    </w:div>
    <w:div w:id="584073947">
      <w:bodyDiv w:val="1"/>
      <w:marLeft w:val="0"/>
      <w:marRight w:val="0"/>
      <w:marTop w:val="0"/>
      <w:marBottom w:val="0"/>
      <w:divBdr>
        <w:top w:val="none" w:sz="0" w:space="0" w:color="auto"/>
        <w:left w:val="none" w:sz="0" w:space="0" w:color="auto"/>
        <w:bottom w:val="none" w:sz="0" w:space="0" w:color="auto"/>
        <w:right w:val="none" w:sz="0" w:space="0" w:color="auto"/>
      </w:divBdr>
    </w:div>
    <w:div w:id="596405761">
      <w:bodyDiv w:val="1"/>
      <w:marLeft w:val="0"/>
      <w:marRight w:val="0"/>
      <w:marTop w:val="0"/>
      <w:marBottom w:val="0"/>
      <w:divBdr>
        <w:top w:val="none" w:sz="0" w:space="0" w:color="auto"/>
        <w:left w:val="none" w:sz="0" w:space="0" w:color="auto"/>
        <w:bottom w:val="none" w:sz="0" w:space="0" w:color="auto"/>
        <w:right w:val="none" w:sz="0" w:space="0" w:color="auto"/>
      </w:divBdr>
    </w:div>
    <w:div w:id="599802915">
      <w:bodyDiv w:val="1"/>
      <w:marLeft w:val="0"/>
      <w:marRight w:val="0"/>
      <w:marTop w:val="0"/>
      <w:marBottom w:val="0"/>
      <w:divBdr>
        <w:top w:val="none" w:sz="0" w:space="0" w:color="auto"/>
        <w:left w:val="none" w:sz="0" w:space="0" w:color="auto"/>
        <w:bottom w:val="none" w:sz="0" w:space="0" w:color="auto"/>
        <w:right w:val="none" w:sz="0" w:space="0" w:color="auto"/>
      </w:divBdr>
    </w:div>
    <w:div w:id="626813102">
      <w:bodyDiv w:val="1"/>
      <w:marLeft w:val="0"/>
      <w:marRight w:val="0"/>
      <w:marTop w:val="0"/>
      <w:marBottom w:val="0"/>
      <w:divBdr>
        <w:top w:val="none" w:sz="0" w:space="0" w:color="auto"/>
        <w:left w:val="none" w:sz="0" w:space="0" w:color="auto"/>
        <w:bottom w:val="none" w:sz="0" w:space="0" w:color="auto"/>
        <w:right w:val="none" w:sz="0" w:space="0" w:color="auto"/>
      </w:divBdr>
    </w:div>
    <w:div w:id="628702299">
      <w:bodyDiv w:val="1"/>
      <w:marLeft w:val="0"/>
      <w:marRight w:val="0"/>
      <w:marTop w:val="0"/>
      <w:marBottom w:val="0"/>
      <w:divBdr>
        <w:top w:val="none" w:sz="0" w:space="0" w:color="auto"/>
        <w:left w:val="none" w:sz="0" w:space="0" w:color="auto"/>
        <w:bottom w:val="none" w:sz="0" w:space="0" w:color="auto"/>
        <w:right w:val="none" w:sz="0" w:space="0" w:color="auto"/>
      </w:divBdr>
    </w:div>
    <w:div w:id="628781033">
      <w:bodyDiv w:val="1"/>
      <w:marLeft w:val="0"/>
      <w:marRight w:val="0"/>
      <w:marTop w:val="0"/>
      <w:marBottom w:val="0"/>
      <w:divBdr>
        <w:top w:val="none" w:sz="0" w:space="0" w:color="auto"/>
        <w:left w:val="none" w:sz="0" w:space="0" w:color="auto"/>
        <w:bottom w:val="none" w:sz="0" w:space="0" w:color="auto"/>
        <w:right w:val="none" w:sz="0" w:space="0" w:color="auto"/>
      </w:divBdr>
    </w:div>
    <w:div w:id="640188400">
      <w:bodyDiv w:val="1"/>
      <w:marLeft w:val="0"/>
      <w:marRight w:val="0"/>
      <w:marTop w:val="0"/>
      <w:marBottom w:val="0"/>
      <w:divBdr>
        <w:top w:val="none" w:sz="0" w:space="0" w:color="auto"/>
        <w:left w:val="none" w:sz="0" w:space="0" w:color="auto"/>
        <w:bottom w:val="none" w:sz="0" w:space="0" w:color="auto"/>
        <w:right w:val="none" w:sz="0" w:space="0" w:color="auto"/>
      </w:divBdr>
    </w:div>
    <w:div w:id="646935785">
      <w:bodyDiv w:val="1"/>
      <w:marLeft w:val="0"/>
      <w:marRight w:val="0"/>
      <w:marTop w:val="0"/>
      <w:marBottom w:val="0"/>
      <w:divBdr>
        <w:top w:val="none" w:sz="0" w:space="0" w:color="auto"/>
        <w:left w:val="none" w:sz="0" w:space="0" w:color="auto"/>
        <w:bottom w:val="none" w:sz="0" w:space="0" w:color="auto"/>
        <w:right w:val="none" w:sz="0" w:space="0" w:color="auto"/>
      </w:divBdr>
    </w:div>
    <w:div w:id="655307085">
      <w:bodyDiv w:val="1"/>
      <w:marLeft w:val="0"/>
      <w:marRight w:val="0"/>
      <w:marTop w:val="0"/>
      <w:marBottom w:val="0"/>
      <w:divBdr>
        <w:top w:val="none" w:sz="0" w:space="0" w:color="auto"/>
        <w:left w:val="none" w:sz="0" w:space="0" w:color="auto"/>
        <w:bottom w:val="none" w:sz="0" w:space="0" w:color="auto"/>
        <w:right w:val="none" w:sz="0" w:space="0" w:color="auto"/>
      </w:divBdr>
    </w:div>
    <w:div w:id="667750283">
      <w:bodyDiv w:val="1"/>
      <w:marLeft w:val="0"/>
      <w:marRight w:val="0"/>
      <w:marTop w:val="0"/>
      <w:marBottom w:val="0"/>
      <w:divBdr>
        <w:top w:val="none" w:sz="0" w:space="0" w:color="auto"/>
        <w:left w:val="none" w:sz="0" w:space="0" w:color="auto"/>
        <w:bottom w:val="none" w:sz="0" w:space="0" w:color="auto"/>
        <w:right w:val="none" w:sz="0" w:space="0" w:color="auto"/>
      </w:divBdr>
    </w:div>
    <w:div w:id="668144474">
      <w:bodyDiv w:val="1"/>
      <w:marLeft w:val="0"/>
      <w:marRight w:val="0"/>
      <w:marTop w:val="0"/>
      <w:marBottom w:val="0"/>
      <w:divBdr>
        <w:top w:val="none" w:sz="0" w:space="0" w:color="auto"/>
        <w:left w:val="none" w:sz="0" w:space="0" w:color="auto"/>
        <w:bottom w:val="none" w:sz="0" w:space="0" w:color="auto"/>
        <w:right w:val="none" w:sz="0" w:space="0" w:color="auto"/>
      </w:divBdr>
    </w:div>
    <w:div w:id="678309845">
      <w:bodyDiv w:val="1"/>
      <w:marLeft w:val="0"/>
      <w:marRight w:val="0"/>
      <w:marTop w:val="0"/>
      <w:marBottom w:val="0"/>
      <w:divBdr>
        <w:top w:val="none" w:sz="0" w:space="0" w:color="auto"/>
        <w:left w:val="none" w:sz="0" w:space="0" w:color="auto"/>
        <w:bottom w:val="none" w:sz="0" w:space="0" w:color="auto"/>
        <w:right w:val="none" w:sz="0" w:space="0" w:color="auto"/>
      </w:divBdr>
    </w:div>
    <w:div w:id="685836961">
      <w:bodyDiv w:val="1"/>
      <w:marLeft w:val="0"/>
      <w:marRight w:val="0"/>
      <w:marTop w:val="0"/>
      <w:marBottom w:val="0"/>
      <w:divBdr>
        <w:top w:val="none" w:sz="0" w:space="0" w:color="auto"/>
        <w:left w:val="none" w:sz="0" w:space="0" w:color="auto"/>
        <w:bottom w:val="none" w:sz="0" w:space="0" w:color="auto"/>
        <w:right w:val="none" w:sz="0" w:space="0" w:color="auto"/>
      </w:divBdr>
    </w:div>
    <w:div w:id="692459813">
      <w:bodyDiv w:val="1"/>
      <w:marLeft w:val="0"/>
      <w:marRight w:val="0"/>
      <w:marTop w:val="0"/>
      <w:marBottom w:val="0"/>
      <w:divBdr>
        <w:top w:val="none" w:sz="0" w:space="0" w:color="auto"/>
        <w:left w:val="none" w:sz="0" w:space="0" w:color="auto"/>
        <w:bottom w:val="none" w:sz="0" w:space="0" w:color="auto"/>
        <w:right w:val="none" w:sz="0" w:space="0" w:color="auto"/>
      </w:divBdr>
    </w:div>
    <w:div w:id="694112001">
      <w:bodyDiv w:val="1"/>
      <w:marLeft w:val="0"/>
      <w:marRight w:val="0"/>
      <w:marTop w:val="0"/>
      <w:marBottom w:val="0"/>
      <w:divBdr>
        <w:top w:val="none" w:sz="0" w:space="0" w:color="auto"/>
        <w:left w:val="none" w:sz="0" w:space="0" w:color="auto"/>
        <w:bottom w:val="none" w:sz="0" w:space="0" w:color="auto"/>
        <w:right w:val="none" w:sz="0" w:space="0" w:color="auto"/>
      </w:divBdr>
      <w:divsChild>
        <w:div w:id="273250974">
          <w:marLeft w:val="0"/>
          <w:marRight w:val="0"/>
          <w:marTop w:val="0"/>
          <w:marBottom w:val="0"/>
          <w:divBdr>
            <w:top w:val="none" w:sz="0" w:space="0" w:color="auto"/>
            <w:left w:val="none" w:sz="0" w:space="0" w:color="auto"/>
            <w:bottom w:val="none" w:sz="0" w:space="0" w:color="auto"/>
            <w:right w:val="none" w:sz="0" w:space="0" w:color="auto"/>
          </w:divBdr>
        </w:div>
      </w:divsChild>
    </w:div>
    <w:div w:id="701437788">
      <w:bodyDiv w:val="1"/>
      <w:marLeft w:val="0"/>
      <w:marRight w:val="0"/>
      <w:marTop w:val="0"/>
      <w:marBottom w:val="0"/>
      <w:divBdr>
        <w:top w:val="none" w:sz="0" w:space="0" w:color="auto"/>
        <w:left w:val="none" w:sz="0" w:space="0" w:color="auto"/>
        <w:bottom w:val="none" w:sz="0" w:space="0" w:color="auto"/>
        <w:right w:val="none" w:sz="0" w:space="0" w:color="auto"/>
      </w:divBdr>
    </w:div>
    <w:div w:id="713579714">
      <w:bodyDiv w:val="1"/>
      <w:marLeft w:val="0"/>
      <w:marRight w:val="0"/>
      <w:marTop w:val="0"/>
      <w:marBottom w:val="0"/>
      <w:divBdr>
        <w:top w:val="none" w:sz="0" w:space="0" w:color="auto"/>
        <w:left w:val="none" w:sz="0" w:space="0" w:color="auto"/>
        <w:bottom w:val="none" w:sz="0" w:space="0" w:color="auto"/>
        <w:right w:val="none" w:sz="0" w:space="0" w:color="auto"/>
      </w:divBdr>
    </w:div>
    <w:div w:id="716665701">
      <w:bodyDiv w:val="1"/>
      <w:marLeft w:val="0"/>
      <w:marRight w:val="0"/>
      <w:marTop w:val="0"/>
      <w:marBottom w:val="0"/>
      <w:divBdr>
        <w:top w:val="none" w:sz="0" w:space="0" w:color="auto"/>
        <w:left w:val="none" w:sz="0" w:space="0" w:color="auto"/>
        <w:bottom w:val="none" w:sz="0" w:space="0" w:color="auto"/>
        <w:right w:val="none" w:sz="0" w:space="0" w:color="auto"/>
      </w:divBdr>
      <w:divsChild>
        <w:div w:id="200481608">
          <w:marLeft w:val="0"/>
          <w:marRight w:val="0"/>
          <w:marTop w:val="0"/>
          <w:marBottom w:val="0"/>
          <w:divBdr>
            <w:top w:val="none" w:sz="0" w:space="0" w:color="auto"/>
            <w:left w:val="none" w:sz="0" w:space="0" w:color="auto"/>
            <w:bottom w:val="none" w:sz="0" w:space="0" w:color="auto"/>
            <w:right w:val="none" w:sz="0" w:space="0" w:color="auto"/>
          </w:divBdr>
        </w:div>
      </w:divsChild>
    </w:div>
    <w:div w:id="719788091">
      <w:bodyDiv w:val="1"/>
      <w:marLeft w:val="0"/>
      <w:marRight w:val="0"/>
      <w:marTop w:val="0"/>
      <w:marBottom w:val="0"/>
      <w:divBdr>
        <w:top w:val="none" w:sz="0" w:space="0" w:color="auto"/>
        <w:left w:val="none" w:sz="0" w:space="0" w:color="auto"/>
        <w:bottom w:val="none" w:sz="0" w:space="0" w:color="auto"/>
        <w:right w:val="none" w:sz="0" w:space="0" w:color="auto"/>
      </w:divBdr>
      <w:divsChild>
        <w:div w:id="201334961">
          <w:marLeft w:val="0"/>
          <w:marRight w:val="0"/>
          <w:marTop w:val="0"/>
          <w:marBottom w:val="0"/>
          <w:divBdr>
            <w:top w:val="none" w:sz="0" w:space="0" w:color="auto"/>
            <w:left w:val="none" w:sz="0" w:space="0" w:color="auto"/>
            <w:bottom w:val="none" w:sz="0" w:space="0" w:color="auto"/>
            <w:right w:val="none" w:sz="0" w:space="0" w:color="auto"/>
          </w:divBdr>
        </w:div>
      </w:divsChild>
    </w:div>
    <w:div w:id="720401360">
      <w:bodyDiv w:val="1"/>
      <w:marLeft w:val="0"/>
      <w:marRight w:val="0"/>
      <w:marTop w:val="0"/>
      <w:marBottom w:val="0"/>
      <w:divBdr>
        <w:top w:val="none" w:sz="0" w:space="0" w:color="auto"/>
        <w:left w:val="none" w:sz="0" w:space="0" w:color="auto"/>
        <w:bottom w:val="none" w:sz="0" w:space="0" w:color="auto"/>
        <w:right w:val="none" w:sz="0" w:space="0" w:color="auto"/>
      </w:divBdr>
    </w:div>
    <w:div w:id="724062199">
      <w:bodyDiv w:val="1"/>
      <w:marLeft w:val="0"/>
      <w:marRight w:val="0"/>
      <w:marTop w:val="0"/>
      <w:marBottom w:val="0"/>
      <w:divBdr>
        <w:top w:val="none" w:sz="0" w:space="0" w:color="auto"/>
        <w:left w:val="none" w:sz="0" w:space="0" w:color="auto"/>
        <w:bottom w:val="none" w:sz="0" w:space="0" w:color="auto"/>
        <w:right w:val="none" w:sz="0" w:space="0" w:color="auto"/>
      </w:divBdr>
    </w:div>
    <w:div w:id="733622404">
      <w:bodyDiv w:val="1"/>
      <w:marLeft w:val="0"/>
      <w:marRight w:val="0"/>
      <w:marTop w:val="0"/>
      <w:marBottom w:val="0"/>
      <w:divBdr>
        <w:top w:val="none" w:sz="0" w:space="0" w:color="auto"/>
        <w:left w:val="none" w:sz="0" w:space="0" w:color="auto"/>
        <w:bottom w:val="none" w:sz="0" w:space="0" w:color="auto"/>
        <w:right w:val="none" w:sz="0" w:space="0" w:color="auto"/>
      </w:divBdr>
    </w:div>
    <w:div w:id="752974413">
      <w:bodyDiv w:val="1"/>
      <w:marLeft w:val="0"/>
      <w:marRight w:val="0"/>
      <w:marTop w:val="0"/>
      <w:marBottom w:val="0"/>
      <w:divBdr>
        <w:top w:val="none" w:sz="0" w:space="0" w:color="auto"/>
        <w:left w:val="none" w:sz="0" w:space="0" w:color="auto"/>
        <w:bottom w:val="none" w:sz="0" w:space="0" w:color="auto"/>
        <w:right w:val="none" w:sz="0" w:space="0" w:color="auto"/>
      </w:divBdr>
    </w:div>
    <w:div w:id="766383739">
      <w:bodyDiv w:val="1"/>
      <w:marLeft w:val="0"/>
      <w:marRight w:val="0"/>
      <w:marTop w:val="0"/>
      <w:marBottom w:val="0"/>
      <w:divBdr>
        <w:top w:val="none" w:sz="0" w:space="0" w:color="auto"/>
        <w:left w:val="none" w:sz="0" w:space="0" w:color="auto"/>
        <w:bottom w:val="none" w:sz="0" w:space="0" w:color="auto"/>
        <w:right w:val="none" w:sz="0" w:space="0" w:color="auto"/>
      </w:divBdr>
    </w:div>
    <w:div w:id="771365818">
      <w:bodyDiv w:val="1"/>
      <w:marLeft w:val="0"/>
      <w:marRight w:val="0"/>
      <w:marTop w:val="0"/>
      <w:marBottom w:val="0"/>
      <w:divBdr>
        <w:top w:val="none" w:sz="0" w:space="0" w:color="auto"/>
        <w:left w:val="none" w:sz="0" w:space="0" w:color="auto"/>
        <w:bottom w:val="none" w:sz="0" w:space="0" w:color="auto"/>
        <w:right w:val="none" w:sz="0" w:space="0" w:color="auto"/>
      </w:divBdr>
    </w:div>
    <w:div w:id="773718663">
      <w:bodyDiv w:val="1"/>
      <w:marLeft w:val="0"/>
      <w:marRight w:val="0"/>
      <w:marTop w:val="0"/>
      <w:marBottom w:val="0"/>
      <w:divBdr>
        <w:top w:val="none" w:sz="0" w:space="0" w:color="auto"/>
        <w:left w:val="none" w:sz="0" w:space="0" w:color="auto"/>
        <w:bottom w:val="none" w:sz="0" w:space="0" w:color="auto"/>
        <w:right w:val="none" w:sz="0" w:space="0" w:color="auto"/>
      </w:divBdr>
    </w:div>
    <w:div w:id="789740486">
      <w:bodyDiv w:val="1"/>
      <w:marLeft w:val="0"/>
      <w:marRight w:val="0"/>
      <w:marTop w:val="0"/>
      <w:marBottom w:val="0"/>
      <w:divBdr>
        <w:top w:val="none" w:sz="0" w:space="0" w:color="auto"/>
        <w:left w:val="none" w:sz="0" w:space="0" w:color="auto"/>
        <w:bottom w:val="none" w:sz="0" w:space="0" w:color="auto"/>
        <w:right w:val="none" w:sz="0" w:space="0" w:color="auto"/>
      </w:divBdr>
      <w:divsChild>
        <w:div w:id="244069598">
          <w:marLeft w:val="0"/>
          <w:marRight w:val="0"/>
          <w:marTop w:val="0"/>
          <w:marBottom w:val="0"/>
          <w:divBdr>
            <w:top w:val="none" w:sz="0" w:space="0" w:color="auto"/>
            <w:left w:val="none" w:sz="0" w:space="0" w:color="auto"/>
            <w:bottom w:val="none" w:sz="0" w:space="0" w:color="auto"/>
            <w:right w:val="none" w:sz="0" w:space="0" w:color="auto"/>
          </w:divBdr>
        </w:div>
      </w:divsChild>
    </w:div>
    <w:div w:id="809398907">
      <w:bodyDiv w:val="1"/>
      <w:marLeft w:val="0"/>
      <w:marRight w:val="0"/>
      <w:marTop w:val="0"/>
      <w:marBottom w:val="0"/>
      <w:divBdr>
        <w:top w:val="none" w:sz="0" w:space="0" w:color="auto"/>
        <w:left w:val="none" w:sz="0" w:space="0" w:color="auto"/>
        <w:bottom w:val="none" w:sz="0" w:space="0" w:color="auto"/>
        <w:right w:val="none" w:sz="0" w:space="0" w:color="auto"/>
      </w:divBdr>
      <w:divsChild>
        <w:div w:id="1570993662">
          <w:marLeft w:val="0"/>
          <w:marRight w:val="0"/>
          <w:marTop w:val="0"/>
          <w:marBottom w:val="0"/>
          <w:divBdr>
            <w:top w:val="none" w:sz="0" w:space="0" w:color="auto"/>
            <w:left w:val="none" w:sz="0" w:space="0" w:color="auto"/>
            <w:bottom w:val="none" w:sz="0" w:space="0" w:color="auto"/>
            <w:right w:val="none" w:sz="0" w:space="0" w:color="auto"/>
          </w:divBdr>
        </w:div>
      </w:divsChild>
    </w:div>
    <w:div w:id="812336465">
      <w:bodyDiv w:val="1"/>
      <w:marLeft w:val="0"/>
      <w:marRight w:val="0"/>
      <w:marTop w:val="0"/>
      <w:marBottom w:val="0"/>
      <w:divBdr>
        <w:top w:val="none" w:sz="0" w:space="0" w:color="auto"/>
        <w:left w:val="none" w:sz="0" w:space="0" w:color="auto"/>
        <w:bottom w:val="none" w:sz="0" w:space="0" w:color="auto"/>
        <w:right w:val="none" w:sz="0" w:space="0" w:color="auto"/>
      </w:divBdr>
    </w:div>
    <w:div w:id="816413401">
      <w:bodyDiv w:val="1"/>
      <w:marLeft w:val="0"/>
      <w:marRight w:val="0"/>
      <w:marTop w:val="0"/>
      <w:marBottom w:val="0"/>
      <w:divBdr>
        <w:top w:val="none" w:sz="0" w:space="0" w:color="auto"/>
        <w:left w:val="none" w:sz="0" w:space="0" w:color="auto"/>
        <w:bottom w:val="none" w:sz="0" w:space="0" w:color="auto"/>
        <w:right w:val="none" w:sz="0" w:space="0" w:color="auto"/>
      </w:divBdr>
    </w:div>
    <w:div w:id="843013692">
      <w:bodyDiv w:val="1"/>
      <w:marLeft w:val="0"/>
      <w:marRight w:val="0"/>
      <w:marTop w:val="0"/>
      <w:marBottom w:val="0"/>
      <w:divBdr>
        <w:top w:val="none" w:sz="0" w:space="0" w:color="auto"/>
        <w:left w:val="none" w:sz="0" w:space="0" w:color="auto"/>
        <w:bottom w:val="none" w:sz="0" w:space="0" w:color="auto"/>
        <w:right w:val="none" w:sz="0" w:space="0" w:color="auto"/>
      </w:divBdr>
    </w:div>
    <w:div w:id="848324878">
      <w:bodyDiv w:val="1"/>
      <w:marLeft w:val="0"/>
      <w:marRight w:val="0"/>
      <w:marTop w:val="0"/>
      <w:marBottom w:val="0"/>
      <w:divBdr>
        <w:top w:val="none" w:sz="0" w:space="0" w:color="auto"/>
        <w:left w:val="none" w:sz="0" w:space="0" w:color="auto"/>
        <w:bottom w:val="none" w:sz="0" w:space="0" w:color="auto"/>
        <w:right w:val="none" w:sz="0" w:space="0" w:color="auto"/>
      </w:divBdr>
    </w:div>
    <w:div w:id="858273479">
      <w:bodyDiv w:val="1"/>
      <w:marLeft w:val="0"/>
      <w:marRight w:val="0"/>
      <w:marTop w:val="0"/>
      <w:marBottom w:val="0"/>
      <w:divBdr>
        <w:top w:val="none" w:sz="0" w:space="0" w:color="auto"/>
        <w:left w:val="none" w:sz="0" w:space="0" w:color="auto"/>
        <w:bottom w:val="none" w:sz="0" w:space="0" w:color="auto"/>
        <w:right w:val="none" w:sz="0" w:space="0" w:color="auto"/>
      </w:divBdr>
      <w:divsChild>
        <w:div w:id="838274360">
          <w:marLeft w:val="0"/>
          <w:marRight w:val="0"/>
          <w:marTop w:val="0"/>
          <w:marBottom w:val="0"/>
          <w:divBdr>
            <w:top w:val="none" w:sz="0" w:space="0" w:color="auto"/>
            <w:left w:val="none" w:sz="0" w:space="0" w:color="auto"/>
            <w:bottom w:val="none" w:sz="0" w:space="0" w:color="auto"/>
            <w:right w:val="none" w:sz="0" w:space="0" w:color="auto"/>
          </w:divBdr>
        </w:div>
      </w:divsChild>
    </w:div>
    <w:div w:id="864253118">
      <w:bodyDiv w:val="1"/>
      <w:marLeft w:val="0"/>
      <w:marRight w:val="0"/>
      <w:marTop w:val="0"/>
      <w:marBottom w:val="0"/>
      <w:divBdr>
        <w:top w:val="none" w:sz="0" w:space="0" w:color="auto"/>
        <w:left w:val="none" w:sz="0" w:space="0" w:color="auto"/>
        <w:bottom w:val="none" w:sz="0" w:space="0" w:color="auto"/>
        <w:right w:val="none" w:sz="0" w:space="0" w:color="auto"/>
      </w:divBdr>
    </w:div>
    <w:div w:id="881555856">
      <w:bodyDiv w:val="1"/>
      <w:marLeft w:val="0"/>
      <w:marRight w:val="0"/>
      <w:marTop w:val="0"/>
      <w:marBottom w:val="0"/>
      <w:divBdr>
        <w:top w:val="none" w:sz="0" w:space="0" w:color="auto"/>
        <w:left w:val="none" w:sz="0" w:space="0" w:color="auto"/>
        <w:bottom w:val="none" w:sz="0" w:space="0" w:color="auto"/>
        <w:right w:val="none" w:sz="0" w:space="0" w:color="auto"/>
      </w:divBdr>
    </w:div>
    <w:div w:id="896087069">
      <w:bodyDiv w:val="1"/>
      <w:marLeft w:val="0"/>
      <w:marRight w:val="0"/>
      <w:marTop w:val="0"/>
      <w:marBottom w:val="0"/>
      <w:divBdr>
        <w:top w:val="none" w:sz="0" w:space="0" w:color="auto"/>
        <w:left w:val="none" w:sz="0" w:space="0" w:color="auto"/>
        <w:bottom w:val="none" w:sz="0" w:space="0" w:color="auto"/>
        <w:right w:val="none" w:sz="0" w:space="0" w:color="auto"/>
      </w:divBdr>
    </w:div>
    <w:div w:id="897981708">
      <w:bodyDiv w:val="1"/>
      <w:marLeft w:val="0"/>
      <w:marRight w:val="0"/>
      <w:marTop w:val="0"/>
      <w:marBottom w:val="0"/>
      <w:divBdr>
        <w:top w:val="none" w:sz="0" w:space="0" w:color="auto"/>
        <w:left w:val="none" w:sz="0" w:space="0" w:color="auto"/>
        <w:bottom w:val="none" w:sz="0" w:space="0" w:color="auto"/>
        <w:right w:val="none" w:sz="0" w:space="0" w:color="auto"/>
      </w:divBdr>
    </w:div>
    <w:div w:id="902906106">
      <w:bodyDiv w:val="1"/>
      <w:marLeft w:val="0"/>
      <w:marRight w:val="0"/>
      <w:marTop w:val="0"/>
      <w:marBottom w:val="0"/>
      <w:divBdr>
        <w:top w:val="none" w:sz="0" w:space="0" w:color="auto"/>
        <w:left w:val="none" w:sz="0" w:space="0" w:color="auto"/>
        <w:bottom w:val="none" w:sz="0" w:space="0" w:color="auto"/>
        <w:right w:val="none" w:sz="0" w:space="0" w:color="auto"/>
      </w:divBdr>
    </w:div>
    <w:div w:id="906452997">
      <w:bodyDiv w:val="1"/>
      <w:marLeft w:val="0"/>
      <w:marRight w:val="0"/>
      <w:marTop w:val="0"/>
      <w:marBottom w:val="0"/>
      <w:divBdr>
        <w:top w:val="none" w:sz="0" w:space="0" w:color="auto"/>
        <w:left w:val="none" w:sz="0" w:space="0" w:color="auto"/>
        <w:bottom w:val="none" w:sz="0" w:space="0" w:color="auto"/>
        <w:right w:val="none" w:sz="0" w:space="0" w:color="auto"/>
      </w:divBdr>
    </w:div>
    <w:div w:id="914583273">
      <w:bodyDiv w:val="1"/>
      <w:marLeft w:val="0"/>
      <w:marRight w:val="0"/>
      <w:marTop w:val="0"/>
      <w:marBottom w:val="0"/>
      <w:divBdr>
        <w:top w:val="none" w:sz="0" w:space="0" w:color="auto"/>
        <w:left w:val="none" w:sz="0" w:space="0" w:color="auto"/>
        <w:bottom w:val="none" w:sz="0" w:space="0" w:color="auto"/>
        <w:right w:val="none" w:sz="0" w:space="0" w:color="auto"/>
      </w:divBdr>
    </w:div>
    <w:div w:id="918712534">
      <w:bodyDiv w:val="1"/>
      <w:marLeft w:val="0"/>
      <w:marRight w:val="0"/>
      <w:marTop w:val="0"/>
      <w:marBottom w:val="0"/>
      <w:divBdr>
        <w:top w:val="none" w:sz="0" w:space="0" w:color="auto"/>
        <w:left w:val="none" w:sz="0" w:space="0" w:color="auto"/>
        <w:bottom w:val="none" w:sz="0" w:space="0" w:color="auto"/>
        <w:right w:val="none" w:sz="0" w:space="0" w:color="auto"/>
      </w:divBdr>
    </w:div>
    <w:div w:id="918714632">
      <w:bodyDiv w:val="1"/>
      <w:marLeft w:val="0"/>
      <w:marRight w:val="0"/>
      <w:marTop w:val="0"/>
      <w:marBottom w:val="0"/>
      <w:divBdr>
        <w:top w:val="none" w:sz="0" w:space="0" w:color="auto"/>
        <w:left w:val="none" w:sz="0" w:space="0" w:color="auto"/>
        <w:bottom w:val="none" w:sz="0" w:space="0" w:color="auto"/>
        <w:right w:val="none" w:sz="0" w:space="0" w:color="auto"/>
      </w:divBdr>
    </w:div>
    <w:div w:id="937760438">
      <w:bodyDiv w:val="1"/>
      <w:marLeft w:val="0"/>
      <w:marRight w:val="0"/>
      <w:marTop w:val="0"/>
      <w:marBottom w:val="0"/>
      <w:divBdr>
        <w:top w:val="none" w:sz="0" w:space="0" w:color="auto"/>
        <w:left w:val="none" w:sz="0" w:space="0" w:color="auto"/>
        <w:bottom w:val="none" w:sz="0" w:space="0" w:color="auto"/>
        <w:right w:val="none" w:sz="0" w:space="0" w:color="auto"/>
      </w:divBdr>
    </w:div>
    <w:div w:id="942493254">
      <w:bodyDiv w:val="1"/>
      <w:marLeft w:val="0"/>
      <w:marRight w:val="0"/>
      <w:marTop w:val="0"/>
      <w:marBottom w:val="0"/>
      <w:divBdr>
        <w:top w:val="none" w:sz="0" w:space="0" w:color="auto"/>
        <w:left w:val="none" w:sz="0" w:space="0" w:color="auto"/>
        <w:bottom w:val="none" w:sz="0" w:space="0" w:color="auto"/>
        <w:right w:val="none" w:sz="0" w:space="0" w:color="auto"/>
      </w:divBdr>
    </w:div>
    <w:div w:id="946085904">
      <w:bodyDiv w:val="1"/>
      <w:marLeft w:val="0"/>
      <w:marRight w:val="0"/>
      <w:marTop w:val="0"/>
      <w:marBottom w:val="0"/>
      <w:divBdr>
        <w:top w:val="none" w:sz="0" w:space="0" w:color="auto"/>
        <w:left w:val="none" w:sz="0" w:space="0" w:color="auto"/>
        <w:bottom w:val="none" w:sz="0" w:space="0" w:color="auto"/>
        <w:right w:val="none" w:sz="0" w:space="0" w:color="auto"/>
      </w:divBdr>
    </w:div>
    <w:div w:id="948582728">
      <w:bodyDiv w:val="1"/>
      <w:marLeft w:val="0"/>
      <w:marRight w:val="0"/>
      <w:marTop w:val="0"/>
      <w:marBottom w:val="0"/>
      <w:divBdr>
        <w:top w:val="none" w:sz="0" w:space="0" w:color="auto"/>
        <w:left w:val="none" w:sz="0" w:space="0" w:color="auto"/>
        <w:bottom w:val="none" w:sz="0" w:space="0" w:color="auto"/>
        <w:right w:val="none" w:sz="0" w:space="0" w:color="auto"/>
      </w:divBdr>
    </w:div>
    <w:div w:id="953294921">
      <w:bodyDiv w:val="1"/>
      <w:marLeft w:val="0"/>
      <w:marRight w:val="0"/>
      <w:marTop w:val="0"/>
      <w:marBottom w:val="0"/>
      <w:divBdr>
        <w:top w:val="none" w:sz="0" w:space="0" w:color="auto"/>
        <w:left w:val="none" w:sz="0" w:space="0" w:color="auto"/>
        <w:bottom w:val="none" w:sz="0" w:space="0" w:color="auto"/>
        <w:right w:val="none" w:sz="0" w:space="0" w:color="auto"/>
      </w:divBdr>
    </w:div>
    <w:div w:id="967660402">
      <w:bodyDiv w:val="1"/>
      <w:marLeft w:val="0"/>
      <w:marRight w:val="0"/>
      <w:marTop w:val="0"/>
      <w:marBottom w:val="0"/>
      <w:divBdr>
        <w:top w:val="none" w:sz="0" w:space="0" w:color="auto"/>
        <w:left w:val="none" w:sz="0" w:space="0" w:color="auto"/>
        <w:bottom w:val="none" w:sz="0" w:space="0" w:color="auto"/>
        <w:right w:val="none" w:sz="0" w:space="0" w:color="auto"/>
      </w:divBdr>
      <w:divsChild>
        <w:div w:id="321930553">
          <w:marLeft w:val="0"/>
          <w:marRight w:val="0"/>
          <w:marTop w:val="0"/>
          <w:marBottom w:val="0"/>
          <w:divBdr>
            <w:top w:val="none" w:sz="0" w:space="0" w:color="auto"/>
            <w:left w:val="none" w:sz="0" w:space="0" w:color="auto"/>
            <w:bottom w:val="none" w:sz="0" w:space="0" w:color="auto"/>
            <w:right w:val="none" w:sz="0" w:space="0" w:color="auto"/>
          </w:divBdr>
        </w:div>
      </w:divsChild>
    </w:div>
    <w:div w:id="976489881">
      <w:bodyDiv w:val="1"/>
      <w:marLeft w:val="0"/>
      <w:marRight w:val="0"/>
      <w:marTop w:val="0"/>
      <w:marBottom w:val="0"/>
      <w:divBdr>
        <w:top w:val="none" w:sz="0" w:space="0" w:color="auto"/>
        <w:left w:val="none" w:sz="0" w:space="0" w:color="auto"/>
        <w:bottom w:val="none" w:sz="0" w:space="0" w:color="auto"/>
        <w:right w:val="none" w:sz="0" w:space="0" w:color="auto"/>
      </w:divBdr>
      <w:divsChild>
        <w:div w:id="645283873">
          <w:marLeft w:val="446"/>
          <w:marRight w:val="0"/>
          <w:marTop w:val="120"/>
          <w:marBottom w:val="120"/>
          <w:divBdr>
            <w:top w:val="none" w:sz="0" w:space="0" w:color="auto"/>
            <w:left w:val="none" w:sz="0" w:space="0" w:color="auto"/>
            <w:bottom w:val="none" w:sz="0" w:space="0" w:color="auto"/>
            <w:right w:val="none" w:sz="0" w:space="0" w:color="auto"/>
          </w:divBdr>
        </w:div>
        <w:div w:id="1741827443">
          <w:marLeft w:val="446"/>
          <w:marRight w:val="0"/>
          <w:marTop w:val="120"/>
          <w:marBottom w:val="120"/>
          <w:divBdr>
            <w:top w:val="none" w:sz="0" w:space="0" w:color="auto"/>
            <w:left w:val="none" w:sz="0" w:space="0" w:color="auto"/>
            <w:bottom w:val="none" w:sz="0" w:space="0" w:color="auto"/>
            <w:right w:val="none" w:sz="0" w:space="0" w:color="auto"/>
          </w:divBdr>
        </w:div>
      </w:divsChild>
    </w:div>
    <w:div w:id="976641092">
      <w:bodyDiv w:val="1"/>
      <w:marLeft w:val="0"/>
      <w:marRight w:val="0"/>
      <w:marTop w:val="0"/>
      <w:marBottom w:val="0"/>
      <w:divBdr>
        <w:top w:val="none" w:sz="0" w:space="0" w:color="auto"/>
        <w:left w:val="none" w:sz="0" w:space="0" w:color="auto"/>
        <w:bottom w:val="none" w:sz="0" w:space="0" w:color="auto"/>
        <w:right w:val="none" w:sz="0" w:space="0" w:color="auto"/>
      </w:divBdr>
    </w:div>
    <w:div w:id="1008293337">
      <w:bodyDiv w:val="1"/>
      <w:marLeft w:val="0"/>
      <w:marRight w:val="0"/>
      <w:marTop w:val="0"/>
      <w:marBottom w:val="0"/>
      <w:divBdr>
        <w:top w:val="none" w:sz="0" w:space="0" w:color="auto"/>
        <w:left w:val="none" w:sz="0" w:space="0" w:color="auto"/>
        <w:bottom w:val="none" w:sz="0" w:space="0" w:color="auto"/>
        <w:right w:val="none" w:sz="0" w:space="0" w:color="auto"/>
      </w:divBdr>
    </w:div>
    <w:div w:id="1017661001">
      <w:bodyDiv w:val="1"/>
      <w:marLeft w:val="0"/>
      <w:marRight w:val="0"/>
      <w:marTop w:val="0"/>
      <w:marBottom w:val="0"/>
      <w:divBdr>
        <w:top w:val="none" w:sz="0" w:space="0" w:color="auto"/>
        <w:left w:val="none" w:sz="0" w:space="0" w:color="auto"/>
        <w:bottom w:val="none" w:sz="0" w:space="0" w:color="auto"/>
        <w:right w:val="none" w:sz="0" w:space="0" w:color="auto"/>
      </w:divBdr>
    </w:div>
    <w:div w:id="1019311790">
      <w:bodyDiv w:val="1"/>
      <w:marLeft w:val="0"/>
      <w:marRight w:val="0"/>
      <w:marTop w:val="0"/>
      <w:marBottom w:val="0"/>
      <w:divBdr>
        <w:top w:val="none" w:sz="0" w:space="0" w:color="auto"/>
        <w:left w:val="none" w:sz="0" w:space="0" w:color="auto"/>
        <w:bottom w:val="none" w:sz="0" w:space="0" w:color="auto"/>
        <w:right w:val="none" w:sz="0" w:space="0" w:color="auto"/>
      </w:divBdr>
      <w:divsChild>
        <w:div w:id="712655628">
          <w:marLeft w:val="0"/>
          <w:marRight w:val="0"/>
          <w:marTop w:val="0"/>
          <w:marBottom w:val="0"/>
          <w:divBdr>
            <w:top w:val="none" w:sz="0" w:space="0" w:color="auto"/>
            <w:left w:val="none" w:sz="0" w:space="0" w:color="auto"/>
            <w:bottom w:val="none" w:sz="0" w:space="0" w:color="auto"/>
            <w:right w:val="none" w:sz="0" w:space="0" w:color="auto"/>
          </w:divBdr>
        </w:div>
      </w:divsChild>
    </w:div>
    <w:div w:id="1040477735">
      <w:bodyDiv w:val="1"/>
      <w:marLeft w:val="0"/>
      <w:marRight w:val="0"/>
      <w:marTop w:val="0"/>
      <w:marBottom w:val="0"/>
      <w:divBdr>
        <w:top w:val="none" w:sz="0" w:space="0" w:color="auto"/>
        <w:left w:val="none" w:sz="0" w:space="0" w:color="auto"/>
        <w:bottom w:val="none" w:sz="0" w:space="0" w:color="auto"/>
        <w:right w:val="none" w:sz="0" w:space="0" w:color="auto"/>
      </w:divBdr>
    </w:div>
    <w:div w:id="1057318610">
      <w:bodyDiv w:val="1"/>
      <w:marLeft w:val="0"/>
      <w:marRight w:val="0"/>
      <w:marTop w:val="0"/>
      <w:marBottom w:val="0"/>
      <w:divBdr>
        <w:top w:val="none" w:sz="0" w:space="0" w:color="auto"/>
        <w:left w:val="none" w:sz="0" w:space="0" w:color="auto"/>
        <w:bottom w:val="none" w:sz="0" w:space="0" w:color="auto"/>
        <w:right w:val="none" w:sz="0" w:space="0" w:color="auto"/>
      </w:divBdr>
    </w:div>
    <w:div w:id="1059013276">
      <w:bodyDiv w:val="1"/>
      <w:marLeft w:val="0"/>
      <w:marRight w:val="0"/>
      <w:marTop w:val="0"/>
      <w:marBottom w:val="0"/>
      <w:divBdr>
        <w:top w:val="none" w:sz="0" w:space="0" w:color="auto"/>
        <w:left w:val="none" w:sz="0" w:space="0" w:color="auto"/>
        <w:bottom w:val="none" w:sz="0" w:space="0" w:color="auto"/>
        <w:right w:val="none" w:sz="0" w:space="0" w:color="auto"/>
      </w:divBdr>
    </w:div>
    <w:div w:id="1066684116">
      <w:bodyDiv w:val="1"/>
      <w:marLeft w:val="0"/>
      <w:marRight w:val="0"/>
      <w:marTop w:val="0"/>
      <w:marBottom w:val="0"/>
      <w:divBdr>
        <w:top w:val="none" w:sz="0" w:space="0" w:color="auto"/>
        <w:left w:val="none" w:sz="0" w:space="0" w:color="auto"/>
        <w:bottom w:val="none" w:sz="0" w:space="0" w:color="auto"/>
        <w:right w:val="none" w:sz="0" w:space="0" w:color="auto"/>
      </w:divBdr>
    </w:div>
    <w:div w:id="1068305887">
      <w:bodyDiv w:val="1"/>
      <w:marLeft w:val="0"/>
      <w:marRight w:val="0"/>
      <w:marTop w:val="0"/>
      <w:marBottom w:val="0"/>
      <w:divBdr>
        <w:top w:val="none" w:sz="0" w:space="0" w:color="auto"/>
        <w:left w:val="none" w:sz="0" w:space="0" w:color="auto"/>
        <w:bottom w:val="none" w:sz="0" w:space="0" w:color="auto"/>
        <w:right w:val="none" w:sz="0" w:space="0" w:color="auto"/>
      </w:divBdr>
    </w:div>
    <w:div w:id="1072585757">
      <w:bodyDiv w:val="1"/>
      <w:marLeft w:val="0"/>
      <w:marRight w:val="0"/>
      <w:marTop w:val="0"/>
      <w:marBottom w:val="0"/>
      <w:divBdr>
        <w:top w:val="none" w:sz="0" w:space="0" w:color="auto"/>
        <w:left w:val="none" w:sz="0" w:space="0" w:color="auto"/>
        <w:bottom w:val="none" w:sz="0" w:space="0" w:color="auto"/>
        <w:right w:val="none" w:sz="0" w:space="0" w:color="auto"/>
      </w:divBdr>
    </w:div>
    <w:div w:id="1073510875">
      <w:bodyDiv w:val="1"/>
      <w:marLeft w:val="0"/>
      <w:marRight w:val="0"/>
      <w:marTop w:val="0"/>
      <w:marBottom w:val="0"/>
      <w:divBdr>
        <w:top w:val="none" w:sz="0" w:space="0" w:color="auto"/>
        <w:left w:val="none" w:sz="0" w:space="0" w:color="auto"/>
        <w:bottom w:val="none" w:sz="0" w:space="0" w:color="auto"/>
        <w:right w:val="none" w:sz="0" w:space="0" w:color="auto"/>
      </w:divBdr>
    </w:div>
    <w:div w:id="1084227693">
      <w:bodyDiv w:val="1"/>
      <w:marLeft w:val="0"/>
      <w:marRight w:val="0"/>
      <w:marTop w:val="0"/>
      <w:marBottom w:val="0"/>
      <w:divBdr>
        <w:top w:val="none" w:sz="0" w:space="0" w:color="auto"/>
        <w:left w:val="none" w:sz="0" w:space="0" w:color="auto"/>
        <w:bottom w:val="none" w:sz="0" w:space="0" w:color="auto"/>
        <w:right w:val="none" w:sz="0" w:space="0" w:color="auto"/>
      </w:divBdr>
    </w:div>
    <w:div w:id="1090391246">
      <w:bodyDiv w:val="1"/>
      <w:marLeft w:val="0"/>
      <w:marRight w:val="0"/>
      <w:marTop w:val="0"/>
      <w:marBottom w:val="0"/>
      <w:divBdr>
        <w:top w:val="none" w:sz="0" w:space="0" w:color="auto"/>
        <w:left w:val="none" w:sz="0" w:space="0" w:color="auto"/>
        <w:bottom w:val="none" w:sz="0" w:space="0" w:color="auto"/>
        <w:right w:val="none" w:sz="0" w:space="0" w:color="auto"/>
      </w:divBdr>
    </w:div>
    <w:div w:id="1096294896">
      <w:bodyDiv w:val="1"/>
      <w:marLeft w:val="0"/>
      <w:marRight w:val="0"/>
      <w:marTop w:val="0"/>
      <w:marBottom w:val="0"/>
      <w:divBdr>
        <w:top w:val="none" w:sz="0" w:space="0" w:color="auto"/>
        <w:left w:val="none" w:sz="0" w:space="0" w:color="auto"/>
        <w:bottom w:val="none" w:sz="0" w:space="0" w:color="auto"/>
        <w:right w:val="none" w:sz="0" w:space="0" w:color="auto"/>
      </w:divBdr>
    </w:div>
    <w:div w:id="1098062983">
      <w:bodyDiv w:val="1"/>
      <w:marLeft w:val="0"/>
      <w:marRight w:val="0"/>
      <w:marTop w:val="0"/>
      <w:marBottom w:val="0"/>
      <w:divBdr>
        <w:top w:val="none" w:sz="0" w:space="0" w:color="auto"/>
        <w:left w:val="none" w:sz="0" w:space="0" w:color="auto"/>
        <w:bottom w:val="none" w:sz="0" w:space="0" w:color="auto"/>
        <w:right w:val="none" w:sz="0" w:space="0" w:color="auto"/>
      </w:divBdr>
    </w:div>
    <w:div w:id="1114901916">
      <w:bodyDiv w:val="1"/>
      <w:marLeft w:val="0"/>
      <w:marRight w:val="0"/>
      <w:marTop w:val="0"/>
      <w:marBottom w:val="0"/>
      <w:divBdr>
        <w:top w:val="none" w:sz="0" w:space="0" w:color="auto"/>
        <w:left w:val="none" w:sz="0" w:space="0" w:color="auto"/>
        <w:bottom w:val="none" w:sz="0" w:space="0" w:color="auto"/>
        <w:right w:val="none" w:sz="0" w:space="0" w:color="auto"/>
      </w:divBdr>
    </w:div>
    <w:div w:id="1116868467">
      <w:bodyDiv w:val="1"/>
      <w:marLeft w:val="0"/>
      <w:marRight w:val="0"/>
      <w:marTop w:val="0"/>
      <w:marBottom w:val="0"/>
      <w:divBdr>
        <w:top w:val="none" w:sz="0" w:space="0" w:color="auto"/>
        <w:left w:val="none" w:sz="0" w:space="0" w:color="auto"/>
        <w:bottom w:val="none" w:sz="0" w:space="0" w:color="auto"/>
        <w:right w:val="none" w:sz="0" w:space="0" w:color="auto"/>
      </w:divBdr>
    </w:div>
    <w:div w:id="1121997059">
      <w:bodyDiv w:val="1"/>
      <w:marLeft w:val="0"/>
      <w:marRight w:val="0"/>
      <w:marTop w:val="0"/>
      <w:marBottom w:val="0"/>
      <w:divBdr>
        <w:top w:val="none" w:sz="0" w:space="0" w:color="auto"/>
        <w:left w:val="none" w:sz="0" w:space="0" w:color="auto"/>
        <w:bottom w:val="none" w:sz="0" w:space="0" w:color="auto"/>
        <w:right w:val="none" w:sz="0" w:space="0" w:color="auto"/>
      </w:divBdr>
    </w:div>
    <w:div w:id="1140152040">
      <w:bodyDiv w:val="1"/>
      <w:marLeft w:val="0"/>
      <w:marRight w:val="0"/>
      <w:marTop w:val="0"/>
      <w:marBottom w:val="0"/>
      <w:divBdr>
        <w:top w:val="none" w:sz="0" w:space="0" w:color="auto"/>
        <w:left w:val="none" w:sz="0" w:space="0" w:color="auto"/>
        <w:bottom w:val="none" w:sz="0" w:space="0" w:color="auto"/>
        <w:right w:val="none" w:sz="0" w:space="0" w:color="auto"/>
      </w:divBdr>
    </w:div>
    <w:div w:id="1148203263">
      <w:bodyDiv w:val="1"/>
      <w:marLeft w:val="0"/>
      <w:marRight w:val="0"/>
      <w:marTop w:val="0"/>
      <w:marBottom w:val="0"/>
      <w:divBdr>
        <w:top w:val="none" w:sz="0" w:space="0" w:color="auto"/>
        <w:left w:val="none" w:sz="0" w:space="0" w:color="auto"/>
        <w:bottom w:val="none" w:sz="0" w:space="0" w:color="auto"/>
        <w:right w:val="none" w:sz="0" w:space="0" w:color="auto"/>
      </w:divBdr>
    </w:div>
    <w:div w:id="1154688694">
      <w:bodyDiv w:val="1"/>
      <w:marLeft w:val="0"/>
      <w:marRight w:val="0"/>
      <w:marTop w:val="0"/>
      <w:marBottom w:val="0"/>
      <w:divBdr>
        <w:top w:val="none" w:sz="0" w:space="0" w:color="auto"/>
        <w:left w:val="none" w:sz="0" w:space="0" w:color="auto"/>
        <w:bottom w:val="none" w:sz="0" w:space="0" w:color="auto"/>
        <w:right w:val="none" w:sz="0" w:space="0" w:color="auto"/>
      </w:divBdr>
    </w:div>
    <w:div w:id="1157385264">
      <w:bodyDiv w:val="1"/>
      <w:marLeft w:val="0"/>
      <w:marRight w:val="0"/>
      <w:marTop w:val="0"/>
      <w:marBottom w:val="0"/>
      <w:divBdr>
        <w:top w:val="none" w:sz="0" w:space="0" w:color="auto"/>
        <w:left w:val="none" w:sz="0" w:space="0" w:color="auto"/>
        <w:bottom w:val="none" w:sz="0" w:space="0" w:color="auto"/>
        <w:right w:val="none" w:sz="0" w:space="0" w:color="auto"/>
      </w:divBdr>
    </w:div>
    <w:div w:id="1161241354">
      <w:bodyDiv w:val="1"/>
      <w:marLeft w:val="0"/>
      <w:marRight w:val="0"/>
      <w:marTop w:val="0"/>
      <w:marBottom w:val="0"/>
      <w:divBdr>
        <w:top w:val="none" w:sz="0" w:space="0" w:color="auto"/>
        <w:left w:val="none" w:sz="0" w:space="0" w:color="auto"/>
        <w:bottom w:val="none" w:sz="0" w:space="0" w:color="auto"/>
        <w:right w:val="none" w:sz="0" w:space="0" w:color="auto"/>
      </w:divBdr>
    </w:div>
    <w:div w:id="1172718504">
      <w:bodyDiv w:val="1"/>
      <w:marLeft w:val="0"/>
      <w:marRight w:val="0"/>
      <w:marTop w:val="0"/>
      <w:marBottom w:val="0"/>
      <w:divBdr>
        <w:top w:val="none" w:sz="0" w:space="0" w:color="auto"/>
        <w:left w:val="none" w:sz="0" w:space="0" w:color="auto"/>
        <w:bottom w:val="none" w:sz="0" w:space="0" w:color="auto"/>
        <w:right w:val="none" w:sz="0" w:space="0" w:color="auto"/>
      </w:divBdr>
    </w:div>
    <w:div w:id="1185752732">
      <w:bodyDiv w:val="1"/>
      <w:marLeft w:val="0"/>
      <w:marRight w:val="0"/>
      <w:marTop w:val="0"/>
      <w:marBottom w:val="0"/>
      <w:divBdr>
        <w:top w:val="none" w:sz="0" w:space="0" w:color="auto"/>
        <w:left w:val="none" w:sz="0" w:space="0" w:color="auto"/>
        <w:bottom w:val="none" w:sz="0" w:space="0" w:color="auto"/>
        <w:right w:val="none" w:sz="0" w:space="0" w:color="auto"/>
      </w:divBdr>
    </w:div>
    <w:div w:id="1193491121">
      <w:bodyDiv w:val="1"/>
      <w:marLeft w:val="0"/>
      <w:marRight w:val="0"/>
      <w:marTop w:val="0"/>
      <w:marBottom w:val="0"/>
      <w:divBdr>
        <w:top w:val="none" w:sz="0" w:space="0" w:color="auto"/>
        <w:left w:val="none" w:sz="0" w:space="0" w:color="auto"/>
        <w:bottom w:val="none" w:sz="0" w:space="0" w:color="auto"/>
        <w:right w:val="none" w:sz="0" w:space="0" w:color="auto"/>
      </w:divBdr>
    </w:div>
    <w:div w:id="1199319157">
      <w:bodyDiv w:val="1"/>
      <w:marLeft w:val="0"/>
      <w:marRight w:val="0"/>
      <w:marTop w:val="0"/>
      <w:marBottom w:val="0"/>
      <w:divBdr>
        <w:top w:val="none" w:sz="0" w:space="0" w:color="auto"/>
        <w:left w:val="none" w:sz="0" w:space="0" w:color="auto"/>
        <w:bottom w:val="none" w:sz="0" w:space="0" w:color="auto"/>
        <w:right w:val="none" w:sz="0" w:space="0" w:color="auto"/>
      </w:divBdr>
    </w:div>
    <w:div w:id="1207839386">
      <w:bodyDiv w:val="1"/>
      <w:marLeft w:val="0"/>
      <w:marRight w:val="0"/>
      <w:marTop w:val="0"/>
      <w:marBottom w:val="0"/>
      <w:divBdr>
        <w:top w:val="none" w:sz="0" w:space="0" w:color="auto"/>
        <w:left w:val="none" w:sz="0" w:space="0" w:color="auto"/>
        <w:bottom w:val="none" w:sz="0" w:space="0" w:color="auto"/>
        <w:right w:val="none" w:sz="0" w:space="0" w:color="auto"/>
      </w:divBdr>
    </w:div>
    <w:div w:id="1212688493">
      <w:bodyDiv w:val="1"/>
      <w:marLeft w:val="0"/>
      <w:marRight w:val="0"/>
      <w:marTop w:val="0"/>
      <w:marBottom w:val="0"/>
      <w:divBdr>
        <w:top w:val="none" w:sz="0" w:space="0" w:color="auto"/>
        <w:left w:val="none" w:sz="0" w:space="0" w:color="auto"/>
        <w:bottom w:val="none" w:sz="0" w:space="0" w:color="auto"/>
        <w:right w:val="none" w:sz="0" w:space="0" w:color="auto"/>
      </w:divBdr>
    </w:div>
    <w:div w:id="1214462065">
      <w:bodyDiv w:val="1"/>
      <w:marLeft w:val="0"/>
      <w:marRight w:val="0"/>
      <w:marTop w:val="0"/>
      <w:marBottom w:val="0"/>
      <w:divBdr>
        <w:top w:val="none" w:sz="0" w:space="0" w:color="auto"/>
        <w:left w:val="none" w:sz="0" w:space="0" w:color="auto"/>
        <w:bottom w:val="none" w:sz="0" w:space="0" w:color="auto"/>
        <w:right w:val="none" w:sz="0" w:space="0" w:color="auto"/>
      </w:divBdr>
    </w:div>
    <w:div w:id="1236933834">
      <w:bodyDiv w:val="1"/>
      <w:marLeft w:val="0"/>
      <w:marRight w:val="0"/>
      <w:marTop w:val="0"/>
      <w:marBottom w:val="0"/>
      <w:divBdr>
        <w:top w:val="none" w:sz="0" w:space="0" w:color="auto"/>
        <w:left w:val="none" w:sz="0" w:space="0" w:color="auto"/>
        <w:bottom w:val="none" w:sz="0" w:space="0" w:color="auto"/>
        <w:right w:val="none" w:sz="0" w:space="0" w:color="auto"/>
      </w:divBdr>
    </w:div>
    <w:div w:id="1237739065">
      <w:bodyDiv w:val="1"/>
      <w:marLeft w:val="0"/>
      <w:marRight w:val="0"/>
      <w:marTop w:val="0"/>
      <w:marBottom w:val="0"/>
      <w:divBdr>
        <w:top w:val="none" w:sz="0" w:space="0" w:color="auto"/>
        <w:left w:val="none" w:sz="0" w:space="0" w:color="auto"/>
        <w:bottom w:val="none" w:sz="0" w:space="0" w:color="auto"/>
        <w:right w:val="none" w:sz="0" w:space="0" w:color="auto"/>
      </w:divBdr>
    </w:div>
    <w:div w:id="1256016162">
      <w:bodyDiv w:val="1"/>
      <w:marLeft w:val="0"/>
      <w:marRight w:val="0"/>
      <w:marTop w:val="0"/>
      <w:marBottom w:val="0"/>
      <w:divBdr>
        <w:top w:val="none" w:sz="0" w:space="0" w:color="auto"/>
        <w:left w:val="none" w:sz="0" w:space="0" w:color="auto"/>
        <w:bottom w:val="none" w:sz="0" w:space="0" w:color="auto"/>
        <w:right w:val="none" w:sz="0" w:space="0" w:color="auto"/>
      </w:divBdr>
    </w:div>
    <w:div w:id="1270628961">
      <w:bodyDiv w:val="1"/>
      <w:marLeft w:val="0"/>
      <w:marRight w:val="0"/>
      <w:marTop w:val="0"/>
      <w:marBottom w:val="0"/>
      <w:divBdr>
        <w:top w:val="none" w:sz="0" w:space="0" w:color="auto"/>
        <w:left w:val="none" w:sz="0" w:space="0" w:color="auto"/>
        <w:bottom w:val="none" w:sz="0" w:space="0" w:color="auto"/>
        <w:right w:val="none" w:sz="0" w:space="0" w:color="auto"/>
      </w:divBdr>
    </w:div>
    <w:div w:id="1273249107">
      <w:bodyDiv w:val="1"/>
      <w:marLeft w:val="0"/>
      <w:marRight w:val="0"/>
      <w:marTop w:val="0"/>
      <w:marBottom w:val="0"/>
      <w:divBdr>
        <w:top w:val="none" w:sz="0" w:space="0" w:color="auto"/>
        <w:left w:val="none" w:sz="0" w:space="0" w:color="auto"/>
        <w:bottom w:val="none" w:sz="0" w:space="0" w:color="auto"/>
        <w:right w:val="none" w:sz="0" w:space="0" w:color="auto"/>
      </w:divBdr>
    </w:div>
    <w:div w:id="1283002353">
      <w:bodyDiv w:val="1"/>
      <w:marLeft w:val="0"/>
      <w:marRight w:val="0"/>
      <w:marTop w:val="0"/>
      <w:marBottom w:val="0"/>
      <w:divBdr>
        <w:top w:val="none" w:sz="0" w:space="0" w:color="auto"/>
        <w:left w:val="none" w:sz="0" w:space="0" w:color="auto"/>
        <w:bottom w:val="none" w:sz="0" w:space="0" w:color="auto"/>
        <w:right w:val="none" w:sz="0" w:space="0" w:color="auto"/>
      </w:divBdr>
    </w:div>
    <w:div w:id="1288388541">
      <w:bodyDiv w:val="1"/>
      <w:marLeft w:val="0"/>
      <w:marRight w:val="0"/>
      <w:marTop w:val="0"/>
      <w:marBottom w:val="0"/>
      <w:divBdr>
        <w:top w:val="none" w:sz="0" w:space="0" w:color="auto"/>
        <w:left w:val="none" w:sz="0" w:space="0" w:color="auto"/>
        <w:bottom w:val="none" w:sz="0" w:space="0" w:color="auto"/>
        <w:right w:val="none" w:sz="0" w:space="0" w:color="auto"/>
      </w:divBdr>
      <w:divsChild>
        <w:div w:id="566501453">
          <w:marLeft w:val="0"/>
          <w:marRight w:val="0"/>
          <w:marTop w:val="0"/>
          <w:marBottom w:val="0"/>
          <w:divBdr>
            <w:top w:val="none" w:sz="0" w:space="0" w:color="auto"/>
            <w:left w:val="none" w:sz="0" w:space="0" w:color="auto"/>
            <w:bottom w:val="none" w:sz="0" w:space="0" w:color="auto"/>
            <w:right w:val="none" w:sz="0" w:space="0" w:color="auto"/>
          </w:divBdr>
        </w:div>
      </w:divsChild>
    </w:div>
    <w:div w:id="1295716477">
      <w:bodyDiv w:val="1"/>
      <w:marLeft w:val="0"/>
      <w:marRight w:val="0"/>
      <w:marTop w:val="0"/>
      <w:marBottom w:val="0"/>
      <w:divBdr>
        <w:top w:val="none" w:sz="0" w:space="0" w:color="auto"/>
        <w:left w:val="none" w:sz="0" w:space="0" w:color="auto"/>
        <w:bottom w:val="none" w:sz="0" w:space="0" w:color="auto"/>
        <w:right w:val="none" w:sz="0" w:space="0" w:color="auto"/>
      </w:divBdr>
    </w:div>
    <w:div w:id="1321615793">
      <w:bodyDiv w:val="1"/>
      <w:marLeft w:val="0"/>
      <w:marRight w:val="0"/>
      <w:marTop w:val="0"/>
      <w:marBottom w:val="0"/>
      <w:divBdr>
        <w:top w:val="none" w:sz="0" w:space="0" w:color="auto"/>
        <w:left w:val="none" w:sz="0" w:space="0" w:color="auto"/>
        <w:bottom w:val="none" w:sz="0" w:space="0" w:color="auto"/>
        <w:right w:val="none" w:sz="0" w:space="0" w:color="auto"/>
      </w:divBdr>
    </w:div>
    <w:div w:id="1342706018">
      <w:bodyDiv w:val="1"/>
      <w:marLeft w:val="0"/>
      <w:marRight w:val="0"/>
      <w:marTop w:val="0"/>
      <w:marBottom w:val="0"/>
      <w:divBdr>
        <w:top w:val="none" w:sz="0" w:space="0" w:color="auto"/>
        <w:left w:val="none" w:sz="0" w:space="0" w:color="auto"/>
        <w:bottom w:val="none" w:sz="0" w:space="0" w:color="auto"/>
        <w:right w:val="none" w:sz="0" w:space="0" w:color="auto"/>
      </w:divBdr>
    </w:div>
    <w:div w:id="1368067351">
      <w:bodyDiv w:val="1"/>
      <w:marLeft w:val="0"/>
      <w:marRight w:val="0"/>
      <w:marTop w:val="0"/>
      <w:marBottom w:val="0"/>
      <w:divBdr>
        <w:top w:val="none" w:sz="0" w:space="0" w:color="auto"/>
        <w:left w:val="none" w:sz="0" w:space="0" w:color="auto"/>
        <w:bottom w:val="none" w:sz="0" w:space="0" w:color="auto"/>
        <w:right w:val="none" w:sz="0" w:space="0" w:color="auto"/>
      </w:divBdr>
    </w:div>
    <w:div w:id="1397821338">
      <w:bodyDiv w:val="1"/>
      <w:marLeft w:val="0"/>
      <w:marRight w:val="0"/>
      <w:marTop w:val="0"/>
      <w:marBottom w:val="0"/>
      <w:divBdr>
        <w:top w:val="none" w:sz="0" w:space="0" w:color="auto"/>
        <w:left w:val="none" w:sz="0" w:space="0" w:color="auto"/>
        <w:bottom w:val="none" w:sz="0" w:space="0" w:color="auto"/>
        <w:right w:val="none" w:sz="0" w:space="0" w:color="auto"/>
      </w:divBdr>
    </w:div>
    <w:div w:id="1408184496">
      <w:bodyDiv w:val="1"/>
      <w:marLeft w:val="0"/>
      <w:marRight w:val="0"/>
      <w:marTop w:val="0"/>
      <w:marBottom w:val="0"/>
      <w:divBdr>
        <w:top w:val="none" w:sz="0" w:space="0" w:color="auto"/>
        <w:left w:val="none" w:sz="0" w:space="0" w:color="auto"/>
        <w:bottom w:val="none" w:sz="0" w:space="0" w:color="auto"/>
        <w:right w:val="none" w:sz="0" w:space="0" w:color="auto"/>
      </w:divBdr>
    </w:div>
    <w:div w:id="1413312670">
      <w:bodyDiv w:val="1"/>
      <w:marLeft w:val="0"/>
      <w:marRight w:val="0"/>
      <w:marTop w:val="0"/>
      <w:marBottom w:val="0"/>
      <w:divBdr>
        <w:top w:val="none" w:sz="0" w:space="0" w:color="auto"/>
        <w:left w:val="none" w:sz="0" w:space="0" w:color="auto"/>
        <w:bottom w:val="none" w:sz="0" w:space="0" w:color="auto"/>
        <w:right w:val="none" w:sz="0" w:space="0" w:color="auto"/>
      </w:divBdr>
    </w:div>
    <w:div w:id="1415517766">
      <w:bodyDiv w:val="1"/>
      <w:marLeft w:val="0"/>
      <w:marRight w:val="0"/>
      <w:marTop w:val="0"/>
      <w:marBottom w:val="0"/>
      <w:divBdr>
        <w:top w:val="none" w:sz="0" w:space="0" w:color="auto"/>
        <w:left w:val="none" w:sz="0" w:space="0" w:color="auto"/>
        <w:bottom w:val="none" w:sz="0" w:space="0" w:color="auto"/>
        <w:right w:val="none" w:sz="0" w:space="0" w:color="auto"/>
      </w:divBdr>
    </w:div>
    <w:div w:id="1416704261">
      <w:bodyDiv w:val="1"/>
      <w:marLeft w:val="0"/>
      <w:marRight w:val="0"/>
      <w:marTop w:val="0"/>
      <w:marBottom w:val="0"/>
      <w:divBdr>
        <w:top w:val="none" w:sz="0" w:space="0" w:color="auto"/>
        <w:left w:val="none" w:sz="0" w:space="0" w:color="auto"/>
        <w:bottom w:val="none" w:sz="0" w:space="0" w:color="auto"/>
        <w:right w:val="none" w:sz="0" w:space="0" w:color="auto"/>
      </w:divBdr>
    </w:div>
    <w:div w:id="1429883742">
      <w:bodyDiv w:val="1"/>
      <w:marLeft w:val="0"/>
      <w:marRight w:val="0"/>
      <w:marTop w:val="0"/>
      <w:marBottom w:val="0"/>
      <w:divBdr>
        <w:top w:val="none" w:sz="0" w:space="0" w:color="auto"/>
        <w:left w:val="none" w:sz="0" w:space="0" w:color="auto"/>
        <w:bottom w:val="none" w:sz="0" w:space="0" w:color="auto"/>
        <w:right w:val="none" w:sz="0" w:space="0" w:color="auto"/>
      </w:divBdr>
    </w:div>
    <w:div w:id="1432043889">
      <w:bodyDiv w:val="1"/>
      <w:marLeft w:val="0"/>
      <w:marRight w:val="0"/>
      <w:marTop w:val="0"/>
      <w:marBottom w:val="0"/>
      <w:divBdr>
        <w:top w:val="none" w:sz="0" w:space="0" w:color="auto"/>
        <w:left w:val="none" w:sz="0" w:space="0" w:color="auto"/>
        <w:bottom w:val="none" w:sz="0" w:space="0" w:color="auto"/>
        <w:right w:val="none" w:sz="0" w:space="0" w:color="auto"/>
      </w:divBdr>
    </w:div>
    <w:div w:id="1433474427">
      <w:bodyDiv w:val="1"/>
      <w:marLeft w:val="0"/>
      <w:marRight w:val="0"/>
      <w:marTop w:val="0"/>
      <w:marBottom w:val="0"/>
      <w:divBdr>
        <w:top w:val="none" w:sz="0" w:space="0" w:color="auto"/>
        <w:left w:val="none" w:sz="0" w:space="0" w:color="auto"/>
        <w:bottom w:val="none" w:sz="0" w:space="0" w:color="auto"/>
        <w:right w:val="none" w:sz="0" w:space="0" w:color="auto"/>
      </w:divBdr>
    </w:div>
    <w:div w:id="1478306254">
      <w:bodyDiv w:val="1"/>
      <w:marLeft w:val="0"/>
      <w:marRight w:val="0"/>
      <w:marTop w:val="0"/>
      <w:marBottom w:val="0"/>
      <w:divBdr>
        <w:top w:val="none" w:sz="0" w:space="0" w:color="auto"/>
        <w:left w:val="none" w:sz="0" w:space="0" w:color="auto"/>
        <w:bottom w:val="none" w:sz="0" w:space="0" w:color="auto"/>
        <w:right w:val="none" w:sz="0" w:space="0" w:color="auto"/>
      </w:divBdr>
    </w:div>
    <w:div w:id="1486506573">
      <w:bodyDiv w:val="1"/>
      <w:marLeft w:val="0"/>
      <w:marRight w:val="0"/>
      <w:marTop w:val="0"/>
      <w:marBottom w:val="0"/>
      <w:divBdr>
        <w:top w:val="none" w:sz="0" w:space="0" w:color="auto"/>
        <w:left w:val="none" w:sz="0" w:space="0" w:color="auto"/>
        <w:bottom w:val="none" w:sz="0" w:space="0" w:color="auto"/>
        <w:right w:val="none" w:sz="0" w:space="0" w:color="auto"/>
      </w:divBdr>
    </w:div>
    <w:div w:id="1508596275">
      <w:bodyDiv w:val="1"/>
      <w:marLeft w:val="0"/>
      <w:marRight w:val="0"/>
      <w:marTop w:val="0"/>
      <w:marBottom w:val="0"/>
      <w:divBdr>
        <w:top w:val="none" w:sz="0" w:space="0" w:color="auto"/>
        <w:left w:val="none" w:sz="0" w:space="0" w:color="auto"/>
        <w:bottom w:val="none" w:sz="0" w:space="0" w:color="auto"/>
        <w:right w:val="none" w:sz="0" w:space="0" w:color="auto"/>
      </w:divBdr>
    </w:div>
    <w:div w:id="1516574708">
      <w:bodyDiv w:val="1"/>
      <w:marLeft w:val="0"/>
      <w:marRight w:val="0"/>
      <w:marTop w:val="0"/>
      <w:marBottom w:val="0"/>
      <w:divBdr>
        <w:top w:val="none" w:sz="0" w:space="0" w:color="auto"/>
        <w:left w:val="none" w:sz="0" w:space="0" w:color="auto"/>
        <w:bottom w:val="none" w:sz="0" w:space="0" w:color="auto"/>
        <w:right w:val="none" w:sz="0" w:space="0" w:color="auto"/>
      </w:divBdr>
    </w:div>
    <w:div w:id="1523474624">
      <w:bodyDiv w:val="1"/>
      <w:marLeft w:val="0"/>
      <w:marRight w:val="0"/>
      <w:marTop w:val="0"/>
      <w:marBottom w:val="0"/>
      <w:divBdr>
        <w:top w:val="none" w:sz="0" w:space="0" w:color="auto"/>
        <w:left w:val="none" w:sz="0" w:space="0" w:color="auto"/>
        <w:bottom w:val="none" w:sz="0" w:space="0" w:color="auto"/>
        <w:right w:val="none" w:sz="0" w:space="0" w:color="auto"/>
      </w:divBdr>
    </w:div>
    <w:div w:id="1527057607">
      <w:bodyDiv w:val="1"/>
      <w:marLeft w:val="0"/>
      <w:marRight w:val="0"/>
      <w:marTop w:val="0"/>
      <w:marBottom w:val="0"/>
      <w:divBdr>
        <w:top w:val="none" w:sz="0" w:space="0" w:color="auto"/>
        <w:left w:val="none" w:sz="0" w:space="0" w:color="auto"/>
        <w:bottom w:val="none" w:sz="0" w:space="0" w:color="auto"/>
        <w:right w:val="none" w:sz="0" w:space="0" w:color="auto"/>
      </w:divBdr>
    </w:div>
    <w:div w:id="1532263296">
      <w:bodyDiv w:val="1"/>
      <w:marLeft w:val="0"/>
      <w:marRight w:val="0"/>
      <w:marTop w:val="0"/>
      <w:marBottom w:val="0"/>
      <w:divBdr>
        <w:top w:val="none" w:sz="0" w:space="0" w:color="auto"/>
        <w:left w:val="none" w:sz="0" w:space="0" w:color="auto"/>
        <w:bottom w:val="none" w:sz="0" w:space="0" w:color="auto"/>
        <w:right w:val="none" w:sz="0" w:space="0" w:color="auto"/>
      </w:divBdr>
    </w:div>
    <w:div w:id="1535998562">
      <w:bodyDiv w:val="1"/>
      <w:marLeft w:val="0"/>
      <w:marRight w:val="0"/>
      <w:marTop w:val="0"/>
      <w:marBottom w:val="0"/>
      <w:divBdr>
        <w:top w:val="none" w:sz="0" w:space="0" w:color="auto"/>
        <w:left w:val="none" w:sz="0" w:space="0" w:color="auto"/>
        <w:bottom w:val="none" w:sz="0" w:space="0" w:color="auto"/>
        <w:right w:val="none" w:sz="0" w:space="0" w:color="auto"/>
      </w:divBdr>
    </w:div>
    <w:div w:id="1561138001">
      <w:bodyDiv w:val="1"/>
      <w:marLeft w:val="0"/>
      <w:marRight w:val="0"/>
      <w:marTop w:val="0"/>
      <w:marBottom w:val="0"/>
      <w:divBdr>
        <w:top w:val="none" w:sz="0" w:space="0" w:color="auto"/>
        <w:left w:val="none" w:sz="0" w:space="0" w:color="auto"/>
        <w:bottom w:val="none" w:sz="0" w:space="0" w:color="auto"/>
        <w:right w:val="none" w:sz="0" w:space="0" w:color="auto"/>
      </w:divBdr>
    </w:div>
    <w:div w:id="1585263895">
      <w:bodyDiv w:val="1"/>
      <w:marLeft w:val="0"/>
      <w:marRight w:val="0"/>
      <w:marTop w:val="0"/>
      <w:marBottom w:val="0"/>
      <w:divBdr>
        <w:top w:val="none" w:sz="0" w:space="0" w:color="auto"/>
        <w:left w:val="none" w:sz="0" w:space="0" w:color="auto"/>
        <w:bottom w:val="none" w:sz="0" w:space="0" w:color="auto"/>
        <w:right w:val="none" w:sz="0" w:space="0" w:color="auto"/>
      </w:divBdr>
    </w:div>
    <w:div w:id="1588073499">
      <w:bodyDiv w:val="1"/>
      <w:marLeft w:val="0"/>
      <w:marRight w:val="0"/>
      <w:marTop w:val="0"/>
      <w:marBottom w:val="0"/>
      <w:divBdr>
        <w:top w:val="none" w:sz="0" w:space="0" w:color="auto"/>
        <w:left w:val="none" w:sz="0" w:space="0" w:color="auto"/>
        <w:bottom w:val="none" w:sz="0" w:space="0" w:color="auto"/>
        <w:right w:val="none" w:sz="0" w:space="0" w:color="auto"/>
      </w:divBdr>
      <w:divsChild>
        <w:div w:id="733964121">
          <w:marLeft w:val="0"/>
          <w:marRight w:val="0"/>
          <w:marTop w:val="0"/>
          <w:marBottom w:val="0"/>
          <w:divBdr>
            <w:top w:val="none" w:sz="0" w:space="0" w:color="auto"/>
            <w:left w:val="none" w:sz="0" w:space="0" w:color="auto"/>
            <w:bottom w:val="none" w:sz="0" w:space="0" w:color="auto"/>
            <w:right w:val="none" w:sz="0" w:space="0" w:color="auto"/>
          </w:divBdr>
        </w:div>
      </w:divsChild>
    </w:div>
    <w:div w:id="1593783405">
      <w:bodyDiv w:val="1"/>
      <w:marLeft w:val="0"/>
      <w:marRight w:val="0"/>
      <w:marTop w:val="0"/>
      <w:marBottom w:val="0"/>
      <w:divBdr>
        <w:top w:val="none" w:sz="0" w:space="0" w:color="auto"/>
        <w:left w:val="none" w:sz="0" w:space="0" w:color="auto"/>
        <w:bottom w:val="none" w:sz="0" w:space="0" w:color="auto"/>
        <w:right w:val="none" w:sz="0" w:space="0" w:color="auto"/>
      </w:divBdr>
    </w:div>
    <w:div w:id="1599825000">
      <w:bodyDiv w:val="1"/>
      <w:marLeft w:val="0"/>
      <w:marRight w:val="0"/>
      <w:marTop w:val="0"/>
      <w:marBottom w:val="0"/>
      <w:divBdr>
        <w:top w:val="none" w:sz="0" w:space="0" w:color="auto"/>
        <w:left w:val="none" w:sz="0" w:space="0" w:color="auto"/>
        <w:bottom w:val="none" w:sz="0" w:space="0" w:color="auto"/>
        <w:right w:val="none" w:sz="0" w:space="0" w:color="auto"/>
      </w:divBdr>
    </w:div>
    <w:div w:id="1603026436">
      <w:bodyDiv w:val="1"/>
      <w:marLeft w:val="0"/>
      <w:marRight w:val="0"/>
      <w:marTop w:val="0"/>
      <w:marBottom w:val="0"/>
      <w:divBdr>
        <w:top w:val="none" w:sz="0" w:space="0" w:color="auto"/>
        <w:left w:val="none" w:sz="0" w:space="0" w:color="auto"/>
        <w:bottom w:val="none" w:sz="0" w:space="0" w:color="auto"/>
        <w:right w:val="none" w:sz="0" w:space="0" w:color="auto"/>
      </w:divBdr>
    </w:div>
    <w:div w:id="1613131431">
      <w:bodyDiv w:val="1"/>
      <w:marLeft w:val="0"/>
      <w:marRight w:val="0"/>
      <w:marTop w:val="0"/>
      <w:marBottom w:val="0"/>
      <w:divBdr>
        <w:top w:val="none" w:sz="0" w:space="0" w:color="auto"/>
        <w:left w:val="none" w:sz="0" w:space="0" w:color="auto"/>
        <w:bottom w:val="none" w:sz="0" w:space="0" w:color="auto"/>
        <w:right w:val="none" w:sz="0" w:space="0" w:color="auto"/>
      </w:divBdr>
    </w:div>
    <w:div w:id="1615400841">
      <w:bodyDiv w:val="1"/>
      <w:marLeft w:val="0"/>
      <w:marRight w:val="0"/>
      <w:marTop w:val="0"/>
      <w:marBottom w:val="0"/>
      <w:divBdr>
        <w:top w:val="none" w:sz="0" w:space="0" w:color="auto"/>
        <w:left w:val="none" w:sz="0" w:space="0" w:color="auto"/>
        <w:bottom w:val="none" w:sz="0" w:space="0" w:color="auto"/>
        <w:right w:val="none" w:sz="0" w:space="0" w:color="auto"/>
      </w:divBdr>
    </w:div>
    <w:div w:id="1620838048">
      <w:bodyDiv w:val="1"/>
      <w:marLeft w:val="0"/>
      <w:marRight w:val="0"/>
      <w:marTop w:val="0"/>
      <w:marBottom w:val="0"/>
      <w:divBdr>
        <w:top w:val="none" w:sz="0" w:space="0" w:color="auto"/>
        <w:left w:val="none" w:sz="0" w:space="0" w:color="auto"/>
        <w:bottom w:val="none" w:sz="0" w:space="0" w:color="auto"/>
        <w:right w:val="none" w:sz="0" w:space="0" w:color="auto"/>
      </w:divBdr>
    </w:div>
    <w:div w:id="1636445893">
      <w:bodyDiv w:val="1"/>
      <w:marLeft w:val="0"/>
      <w:marRight w:val="0"/>
      <w:marTop w:val="0"/>
      <w:marBottom w:val="0"/>
      <w:divBdr>
        <w:top w:val="none" w:sz="0" w:space="0" w:color="auto"/>
        <w:left w:val="none" w:sz="0" w:space="0" w:color="auto"/>
        <w:bottom w:val="none" w:sz="0" w:space="0" w:color="auto"/>
        <w:right w:val="none" w:sz="0" w:space="0" w:color="auto"/>
      </w:divBdr>
    </w:div>
    <w:div w:id="1643728948">
      <w:bodyDiv w:val="1"/>
      <w:marLeft w:val="0"/>
      <w:marRight w:val="0"/>
      <w:marTop w:val="0"/>
      <w:marBottom w:val="0"/>
      <w:divBdr>
        <w:top w:val="none" w:sz="0" w:space="0" w:color="auto"/>
        <w:left w:val="none" w:sz="0" w:space="0" w:color="auto"/>
        <w:bottom w:val="none" w:sz="0" w:space="0" w:color="auto"/>
        <w:right w:val="none" w:sz="0" w:space="0" w:color="auto"/>
      </w:divBdr>
    </w:div>
    <w:div w:id="1648437097">
      <w:bodyDiv w:val="1"/>
      <w:marLeft w:val="0"/>
      <w:marRight w:val="0"/>
      <w:marTop w:val="0"/>
      <w:marBottom w:val="0"/>
      <w:divBdr>
        <w:top w:val="none" w:sz="0" w:space="0" w:color="auto"/>
        <w:left w:val="none" w:sz="0" w:space="0" w:color="auto"/>
        <w:bottom w:val="none" w:sz="0" w:space="0" w:color="auto"/>
        <w:right w:val="none" w:sz="0" w:space="0" w:color="auto"/>
      </w:divBdr>
      <w:divsChild>
        <w:div w:id="1283076769">
          <w:marLeft w:val="0"/>
          <w:marRight w:val="0"/>
          <w:marTop w:val="0"/>
          <w:marBottom w:val="0"/>
          <w:divBdr>
            <w:top w:val="none" w:sz="0" w:space="0" w:color="auto"/>
            <w:left w:val="none" w:sz="0" w:space="0" w:color="auto"/>
            <w:bottom w:val="none" w:sz="0" w:space="0" w:color="auto"/>
            <w:right w:val="none" w:sz="0" w:space="0" w:color="auto"/>
          </w:divBdr>
        </w:div>
      </w:divsChild>
    </w:div>
    <w:div w:id="1654598749">
      <w:bodyDiv w:val="1"/>
      <w:marLeft w:val="0"/>
      <w:marRight w:val="0"/>
      <w:marTop w:val="0"/>
      <w:marBottom w:val="0"/>
      <w:divBdr>
        <w:top w:val="none" w:sz="0" w:space="0" w:color="auto"/>
        <w:left w:val="none" w:sz="0" w:space="0" w:color="auto"/>
        <w:bottom w:val="none" w:sz="0" w:space="0" w:color="auto"/>
        <w:right w:val="none" w:sz="0" w:space="0" w:color="auto"/>
      </w:divBdr>
    </w:div>
    <w:div w:id="1661347590">
      <w:bodyDiv w:val="1"/>
      <w:marLeft w:val="0"/>
      <w:marRight w:val="0"/>
      <w:marTop w:val="0"/>
      <w:marBottom w:val="0"/>
      <w:divBdr>
        <w:top w:val="none" w:sz="0" w:space="0" w:color="auto"/>
        <w:left w:val="none" w:sz="0" w:space="0" w:color="auto"/>
        <w:bottom w:val="none" w:sz="0" w:space="0" w:color="auto"/>
        <w:right w:val="none" w:sz="0" w:space="0" w:color="auto"/>
      </w:divBdr>
      <w:divsChild>
        <w:div w:id="524253763">
          <w:marLeft w:val="1166"/>
          <w:marRight w:val="0"/>
          <w:marTop w:val="67"/>
          <w:marBottom w:val="0"/>
          <w:divBdr>
            <w:top w:val="none" w:sz="0" w:space="0" w:color="auto"/>
            <w:left w:val="none" w:sz="0" w:space="0" w:color="auto"/>
            <w:bottom w:val="none" w:sz="0" w:space="0" w:color="auto"/>
            <w:right w:val="none" w:sz="0" w:space="0" w:color="auto"/>
          </w:divBdr>
        </w:div>
        <w:div w:id="613630926">
          <w:marLeft w:val="1166"/>
          <w:marRight w:val="0"/>
          <w:marTop w:val="67"/>
          <w:marBottom w:val="0"/>
          <w:divBdr>
            <w:top w:val="none" w:sz="0" w:space="0" w:color="auto"/>
            <w:left w:val="none" w:sz="0" w:space="0" w:color="auto"/>
            <w:bottom w:val="none" w:sz="0" w:space="0" w:color="auto"/>
            <w:right w:val="none" w:sz="0" w:space="0" w:color="auto"/>
          </w:divBdr>
        </w:div>
        <w:div w:id="1022517555">
          <w:marLeft w:val="1166"/>
          <w:marRight w:val="0"/>
          <w:marTop w:val="67"/>
          <w:marBottom w:val="0"/>
          <w:divBdr>
            <w:top w:val="none" w:sz="0" w:space="0" w:color="auto"/>
            <w:left w:val="none" w:sz="0" w:space="0" w:color="auto"/>
            <w:bottom w:val="none" w:sz="0" w:space="0" w:color="auto"/>
            <w:right w:val="none" w:sz="0" w:space="0" w:color="auto"/>
          </w:divBdr>
        </w:div>
        <w:div w:id="1710255762">
          <w:marLeft w:val="1166"/>
          <w:marRight w:val="0"/>
          <w:marTop w:val="67"/>
          <w:marBottom w:val="0"/>
          <w:divBdr>
            <w:top w:val="none" w:sz="0" w:space="0" w:color="auto"/>
            <w:left w:val="none" w:sz="0" w:space="0" w:color="auto"/>
            <w:bottom w:val="none" w:sz="0" w:space="0" w:color="auto"/>
            <w:right w:val="none" w:sz="0" w:space="0" w:color="auto"/>
          </w:divBdr>
        </w:div>
      </w:divsChild>
    </w:div>
    <w:div w:id="1675958184">
      <w:bodyDiv w:val="1"/>
      <w:marLeft w:val="0"/>
      <w:marRight w:val="0"/>
      <w:marTop w:val="0"/>
      <w:marBottom w:val="0"/>
      <w:divBdr>
        <w:top w:val="none" w:sz="0" w:space="0" w:color="auto"/>
        <w:left w:val="none" w:sz="0" w:space="0" w:color="auto"/>
        <w:bottom w:val="none" w:sz="0" w:space="0" w:color="auto"/>
        <w:right w:val="none" w:sz="0" w:space="0" w:color="auto"/>
      </w:divBdr>
    </w:div>
    <w:div w:id="1677223960">
      <w:bodyDiv w:val="1"/>
      <w:marLeft w:val="0"/>
      <w:marRight w:val="0"/>
      <w:marTop w:val="0"/>
      <w:marBottom w:val="0"/>
      <w:divBdr>
        <w:top w:val="none" w:sz="0" w:space="0" w:color="auto"/>
        <w:left w:val="none" w:sz="0" w:space="0" w:color="auto"/>
        <w:bottom w:val="none" w:sz="0" w:space="0" w:color="auto"/>
        <w:right w:val="none" w:sz="0" w:space="0" w:color="auto"/>
      </w:divBdr>
    </w:div>
    <w:div w:id="1696998456">
      <w:bodyDiv w:val="1"/>
      <w:marLeft w:val="0"/>
      <w:marRight w:val="0"/>
      <w:marTop w:val="0"/>
      <w:marBottom w:val="0"/>
      <w:divBdr>
        <w:top w:val="none" w:sz="0" w:space="0" w:color="auto"/>
        <w:left w:val="none" w:sz="0" w:space="0" w:color="auto"/>
        <w:bottom w:val="none" w:sz="0" w:space="0" w:color="auto"/>
        <w:right w:val="none" w:sz="0" w:space="0" w:color="auto"/>
      </w:divBdr>
      <w:divsChild>
        <w:div w:id="1317369850">
          <w:marLeft w:val="0"/>
          <w:marRight w:val="0"/>
          <w:marTop w:val="0"/>
          <w:marBottom w:val="0"/>
          <w:divBdr>
            <w:top w:val="none" w:sz="0" w:space="0" w:color="auto"/>
            <w:left w:val="none" w:sz="0" w:space="0" w:color="auto"/>
            <w:bottom w:val="none" w:sz="0" w:space="0" w:color="auto"/>
            <w:right w:val="none" w:sz="0" w:space="0" w:color="auto"/>
          </w:divBdr>
        </w:div>
      </w:divsChild>
    </w:div>
    <w:div w:id="1722170958">
      <w:bodyDiv w:val="1"/>
      <w:marLeft w:val="0"/>
      <w:marRight w:val="0"/>
      <w:marTop w:val="0"/>
      <w:marBottom w:val="0"/>
      <w:divBdr>
        <w:top w:val="none" w:sz="0" w:space="0" w:color="auto"/>
        <w:left w:val="none" w:sz="0" w:space="0" w:color="auto"/>
        <w:bottom w:val="none" w:sz="0" w:space="0" w:color="auto"/>
        <w:right w:val="none" w:sz="0" w:space="0" w:color="auto"/>
      </w:divBdr>
    </w:div>
    <w:div w:id="1723165067">
      <w:bodyDiv w:val="1"/>
      <w:marLeft w:val="0"/>
      <w:marRight w:val="0"/>
      <w:marTop w:val="0"/>
      <w:marBottom w:val="0"/>
      <w:divBdr>
        <w:top w:val="none" w:sz="0" w:space="0" w:color="auto"/>
        <w:left w:val="none" w:sz="0" w:space="0" w:color="auto"/>
        <w:bottom w:val="none" w:sz="0" w:space="0" w:color="auto"/>
        <w:right w:val="none" w:sz="0" w:space="0" w:color="auto"/>
      </w:divBdr>
    </w:div>
    <w:div w:id="1727602810">
      <w:bodyDiv w:val="1"/>
      <w:marLeft w:val="0"/>
      <w:marRight w:val="0"/>
      <w:marTop w:val="0"/>
      <w:marBottom w:val="0"/>
      <w:divBdr>
        <w:top w:val="none" w:sz="0" w:space="0" w:color="auto"/>
        <w:left w:val="none" w:sz="0" w:space="0" w:color="auto"/>
        <w:bottom w:val="none" w:sz="0" w:space="0" w:color="auto"/>
        <w:right w:val="none" w:sz="0" w:space="0" w:color="auto"/>
      </w:divBdr>
    </w:div>
    <w:div w:id="1729570554">
      <w:bodyDiv w:val="1"/>
      <w:marLeft w:val="0"/>
      <w:marRight w:val="0"/>
      <w:marTop w:val="0"/>
      <w:marBottom w:val="0"/>
      <w:divBdr>
        <w:top w:val="none" w:sz="0" w:space="0" w:color="auto"/>
        <w:left w:val="none" w:sz="0" w:space="0" w:color="auto"/>
        <w:bottom w:val="none" w:sz="0" w:space="0" w:color="auto"/>
        <w:right w:val="none" w:sz="0" w:space="0" w:color="auto"/>
      </w:divBdr>
    </w:div>
    <w:div w:id="1746293435">
      <w:bodyDiv w:val="1"/>
      <w:marLeft w:val="0"/>
      <w:marRight w:val="0"/>
      <w:marTop w:val="0"/>
      <w:marBottom w:val="0"/>
      <w:divBdr>
        <w:top w:val="none" w:sz="0" w:space="0" w:color="auto"/>
        <w:left w:val="none" w:sz="0" w:space="0" w:color="auto"/>
        <w:bottom w:val="none" w:sz="0" w:space="0" w:color="auto"/>
        <w:right w:val="none" w:sz="0" w:space="0" w:color="auto"/>
      </w:divBdr>
      <w:divsChild>
        <w:div w:id="466365025">
          <w:marLeft w:val="0"/>
          <w:marRight w:val="0"/>
          <w:marTop w:val="0"/>
          <w:marBottom w:val="0"/>
          <w:divBdr>
            <w:top w:val="none" w:sz="0" w:space="0" w:color="auto"/>
            <w:left w:val="none" w:sz="0" w:space="0" w:color="auto"/>
            <w:bottom w:val="none" w:sz="0" w:space="0" w:color="auto"/>
            <w:right w:val="none" w:sz="0" w:space="0" w:color="auto"/>
          </w:divBdr>
        </w:div>
      </w:divsChild>
    </w:div>
    <w:div w:id="1747340761">
      <w:bodyDiv w:val="1"/>
      <w:marLeft w:val="0"/>
      <w:marRight w:val="0"/>
      <w:marTop w:val="0"/>
      <w:marBottom w:val="0"/>
      <w:divBdr>
        <w:top w:val="none" w:sz="0" w:space="0" w:color="auto"/>
        <w:left w:val="none" w:sz="0" w:space="0" w:color="auto"/>
        <w:bottom w:val="none" w:sz="0" w:space="0" w:color="auto"/>
        <w:right w:val="none" w:sz="0" w:space="0" w:color="auto"/>
      </w:divBdr>
    </w:div>
    <w:div w:id="1757749353">
      <w:bodyDiv w:val="1"/>
      <w:marLeft w:val="0"/>
      <w:marRight w:val="0"/>
      <w:marTop w:val="0"/>
      <w:marBottom w:val="0"/>
      <w:divBdr>
        <w:top w:val="none" w:sz="0" w:space="0" w:color="auto"/>
        <w:left w:val="none" w:sz="0" w:space="0" w:color="auto"/>
        <w:bottom w:val="none" w:sz="0" w:space="0" w:color="auto"/>
        <w:right w:val="none" w:sz="0" w:space="0" w:color="auto"/>
      </w:divBdr>
      <w:divsChild>
        <w:div w:id="118573771">
          <w:marLeft w:val="547"/>
          <w:marRight w:val="0"/>
          <w:marTop w:val="0"/>
          <w:marBottom w:val="0"/>
          <w:divBdr>
            <w:top w:val="none" w:sz="0" w:space="0" w:color="auto"/>
            <w:left w:val="none" w:sz="0" w:space="0" w:color="auto"/>
            <w:bottom w:val="none" w:sz="0" w:space="0" w:color="auto"/>
            <w:right w:val="none" w:sz="0" w:space="0" w:color="auto"/>
          </w:divBdr>
        </w:div>
      </w:divsChild>
    </w:div>
    <w:div w:id="1760904466">
      <w:bodyDiv w:val="1"/>
      <w:marLeft w:val="0"/>
      <w:marRight w:val="0"/>
      <w:marTop w:val="0"/>
      <w:marBottom w:val="0"/>
      <w:divBdr>
        <w:top w:val="none" w:sz="0" w:space="0" w:color="auto"/>
        <w:left w:val="none" w:sz="0" w:space="0" w:color="auto"/>
        <w:bottom w:val="none" w:sz="0" w:space="0" w:color="auto"/>
        <w:right w:val="none" w:sz="0" w:space="0" w:color="auto"/>
      </w:divBdr>
      <w:divsChild>
        <w:div w:id="767654236">
          <w:marLeft w:val="0"/>
          <w:marRight w:val="0"/>
          <w:marTop w:val="0"/>
          <w:marBottom w:val="0"/>
          <w:divBdr>
            <w:top w:val="none" w:sz="0" w:space="0" w:color="auto"/>
            <w:left w:val="none" w:sz="0" w:space="0" w:color="auto"/>
            <w:bottom w:val="none" w:sz="0" w:space="0" w:color="auto"/>
            <w:right w:val="none" w:sz="0" w:space="0" w:color="auto"/>
          </w:divBdr>
        </w:div>
      </w:divsChild>
    </w:div>
    <w:div w:id="1766801537">
      <w:bodyDiv w:val="1"/>
      <w:marLeft w:val="0"/>
      <w:marRight w:val="0"/>
      <w:marTop w:val="0"/>
      <w:marBottom w:val="0"/>
      <w:divBdr>
        <w:top w:val="none" w:sz="0" w:space="0" w:color="auto"/>
        <w:left w:val="none" w:sz="0" w:space="0" w:color="auto"/>
        <w:bottom w:val="none" w:sz="0" w:space="0" w:color="auto"/>
        <w:right w:val="none" w:sz="0" w:space="0" w:color="auto"/>
      </w:divBdr>
    </w:div>
    <w:div w:id="1778014521">
      <w:bodyDiv w:val="1"/>
      <w:marLeft w:val="0"/>
      <w:marRight w:val="0"/>
      <w:marTop w:val="0"/>
      <w:marBottom w:val="0"/>
      <w:divBdr>
        <w:top w:val="none" w:sz="0" w:space="0" w:color="auto"/>
        <w:left w:val="none" w:sz="0" w:space="0" w:color="auto"/>
        <w:bottom w:val="none" w:sz="0" w:space="0" w:color="auto"/>
        <w:right w:val="none" w:sz="0" w:space="0" w:color="auto"/>
      </w:divBdr>
    </w:div>
    <w:div w:id="1782454950">
      <w:bodyDiv w:val="1"/>
      <w:marLeft w:val="0"/>
      <w:marRight w:val="0"/>
      <w:marTop w:val="0"/>
      <w:marBottom w:val="0"/>
      <w:divBdr>
        <w:top w:val="none" w:sz="0" w:space="0" w:color="auto"/>
        <w:left w:val="none" w:sz="0" w:space="0" w:color="auto"/>
        <w:bottom w:val="none" w:sz="0" w:space="0" w:color="auto"/>
        <w:right w:val="none" w:sz="0" w:space="0" w:color="auto"/>
      </w:divBdr>
    </w:div>
    <w:div w:id="1798257030">
      <w:bodyDiv w:val="1"/>
      <w:marLeft w:val="0"/>
      <w:marRight w:val="0"/>
      <w:marTop w:val="0"/>
      <w:marBottom w:val="0"/>
      <w:divBdr>
        <w:top w:val="none" w:sz="0" w:space="0" w:color="auto"/>
        <w:left w:val="none" w:sz="0" w:space="0" w:color="auto"/>
        <w:bottom w:val="none" w:sz="0" w:space="0" w:color="auto"/>
        <w:right w:val="none" w:sz="0" w:space="0" w:color="auto"/>
      </w:divBdr>
      <w:divsChild>
        <w:div w:id="1085807267">
          <w:marLeft w:val="0"/>
          <w:marRight w:val="0"/>
          <w:marTop w:val="0"/>
          <w:marBottom w:val="0"/>
          <w:divBdr>
            <w:top w:val="none" w:sz="0" w:space="0" w:color="auto"/>
            <w:left w:val="none" w:sz="0" w:space="0" w:color="auto"/>
            <w:bottom w:val="none" w:sz="0" w:space="0" w:color="auto"/>
            <w:right w:val="none" w:sz="0" w:space="0" w:color="auto"/>
          </w:divBdr>
        </w:div>
      </w:divsChild>
    </w:div>
    <w:div w:id="1811632771">
      <w:bodyDiv w:val="1"/>
      <w:marLeft w:val="0"/>
      <w:marRight w:val="0"/>
      <w:marTop w:val="0"/>
      <w:marBottom w:val="0"/>
      <w:divBdr>
        <w:top w:val="none" w:sz="0" w:space="0" w:color="auto"/>
        <w:left w:val="none" w:sz="0" w:space="0" w:color="auto"/>
        <w:bottom w:val="none" w:sz="0" w:space="0" w:color="auto"/>
        <w:right w:val="none" w:sz="0" w:space="0" w:color="auto"/>
      </w:divBdr>
    </w:div>
    <w:div w:id="1819877336">
      <w:bodyDiv w:val="1"/>
      <w:marLeft w:val="0"/>
      <w:marRight w:val="0"/>
      <w:marTop w:val="0"/>
      <w:marBottom w:val="0"/>
      <w:divBdr>
        <w:top w:val="none" w:sz="0" w:space="0" w:color="auto"/>
        <w:left w:val="none" w:sz="0" w:space="0" w:color="auto"/>
        <w:bottom w:val="none" w:sz="0" w:space="0" w:color="auto"/>
        <w:right w:val="none" w:sz="0" w:space="0" w:color="auto"/>
      </w:divBdr>
    </w:div>
    <w:div w:id="1822190004">
      <w:bodyDiv w:val="1"/>
      <w:marLeft w:val="0"/>
      <w:marRight w:val="0"/>
      <w:marTop w:val="0"/>
      <w:marBottom w:val="0"/>
      <w:divBdr>
        <w:top w:val="none" w:sz="0" w:space="0" w:color="auto"/>
        <w:left w:val="none" w:sz="0" w:space="0" w:color="auto"/>
        <w:bottom w:val="none" w:sz="0" w:space="0" w:color="auto"/>
        <w:right w:val="none" w:sz="0" w:space="0" w:color="auto"/>
      </w:divBdr>
    </w:div>
    <w:div w:id="1841314689">
      <w:bodyDiv w:val="1"/>
      <w:marLeft w:val="0"/>
      <w:marRight w:val="0"/>
      <w:marTop w:val="0"/>
      <w:marBottom w:val="0"/>
      <w:divBdr>
        <w:top w:val="none" w:sz="0" w:space="0" w:color="auto"/>
        <w:left w:val="none" w:sz="0" w:space="0" w:color="auto"/>
        <w:bottom w:val="none" w:sz="0" w:space="0" w:color="auto"/>
        <w:right w:val="none" w:sz="0" w:space="0" w:color="auto"/>
      </w:divBdr>
    </w:div>
    <w:div w:id="1851555127">
      <w:bodyDiv w:val="1"/>
      <w:marLeft w:val="0"/>
      <w:marRight w:val="0"/>
      <w:marTop w:val="0"/>
      <w:marBottom w:val="0"/>
      <w:divBdr>
        <w:top w:val="none" w:sz="0" w:space="0" w:color="auto"/>
        <w:left w:val="none" w:sz="0" w:space="0" w:color="auto"/>
        <w:bottom w:val="none" w:sz="0" w:space="0" w:color="auto"/>
        <w:right w:val="none" w:sz="0" w:space="0" w:color="auto"/>
      </w:divBdr>
    </w:div>
    <w:div w:id="1854764872">
      <w:bodyDiv w:val="1"/>
      <w:marLeft w:val="0"/>
      <w:marRight w:val="0"/>
      <w:marTop w:val="0"/>
      <w:marBottom w:val="0"/>
      <w:divBdr>
        <w:top w:val="none" w:sz="0" w:space="0" w:color="auto"/>
        <w:left w:val="none" w:sz="0" w:space="0" w:color="auto"/>
        <w:bottom w:val="none" w:sz="0" w:space="0" w:color="auto"/>
        <w:right w:val="none" w:sz="0" w:space="0" w:color="auto"/>
      </w:divBdr>
    </w:div>
    <w:div w:id="1864705066">
      <w:bodyDiv w:val="1"/>
      <w:marLeft w:val="0"/>
      <w:marRight w:val="0"/>
      <w:marTop w:val="0"/>
      <w:marBottom w:val="0"/>
      <w:divBdr>
        <w:top w:val="none" w:sz="0" w:space="0" w:color="auto"/>
        <w:left w:val="none" w:sz="0" w:space="0" w:color="auto"/>
        <w:bottom w:val="none" w:sz="0" w:space="0" w:color="auto"/>
        <w:right w:val="none" w:sz="0" w:space="0" w:color="auto"/>
      </w:divBdr>
    </w:div>
    <w:div w:id="1870800049">
      <w:bodyDiv w:val="1"/>
      <w:marLeft w:val="0"/>
      <w:marRight w:val="0"/>
      <w:marTop w:val="0"/>
      <w:marBottom w:val="0"/>
      <w:divBdr>
        <w:top w:val="none" w:sz="0" w:space="0" w:color="auto"/>
        <w:left w:val="none" w:sz="0" w:space="0" w:color="auto"/>
        <w:bottom w:val="none" w:sz="0" w:space="0" w:color="auto"/>
        <w:right w:val="none" w:sz="0" w:space="0" w:color="auto"/>
      </w:divBdr>
    </w:div>
    <w:div w:id="1881815713">
      <w:bodyDiv w:val="1"/>
      <w:marLeft w:val="0"/>
      <w:marRight w:val="0"/>
      <w:marTop w:val="0"/>
      <w:marBottom w:val="0"/>
      <w:divBdr>
        <w:top w:val="none" w:sz="0" w:space="0" w:color="auto"/>
        <w:left w:val="none" w:sz="0" w:space="0" w:color="auto"/>
        <w:bottom w:val="none" w:sz="0" w:space="0" w:color="auto"/>
        <w:right w:val="none" w:sz="0" w:space="0" w:color="auto"/>
      </w:divBdr>
    </w:div>
    <w:div w:id="1881866682">
      <w:bodyDiv w:val="1"/>
      <w:marLeft w:val="0"/>
      <w:marRight w:val="0"/>
      <w:marTop w:val="0"/>
      <w:marBottom w:val="0"/>
      <w:divBdr>
        <w:top w:val="none" w:sz="0" w:space="0" w:color="auto"/>
        <w:left w:val="none" w:sz="0" w:space="0" w:color="auto"/>
        <w:bottom w:val="none" w:sz="0" w:space="0" w:color="auto"/>
        <w:right w:val="none" w:sz="0" w:space="0" w:color="auto"/>
      </w:divBdr>
    </w:div>
    <w:div w:id="1914660764">
      <w:bodyDiv w:val="1"/>
      <w:marLeft w:val="0"/>
      <w:marRight w:val="0"/>
      <w:marTop w:val="0"/>
      <w:marBottom w:val="0"/>
      <w:divBdr>
        <w:top w:val="none" w:sz="0" w:space="0" w:color="auto"/>
        <w:left w:val="none" w:sz="0" w:space="0" w:color="auto"/>
        <w:bottom w:val="none" w:sz="0" w:space="0" w:color="auto"/>
        <w:right w:val="none" w:sz="0" w:space="0" w:color="auto"/>
      </w:divBdr>
    </w:div>
    <w:div w:id="1928149760">
      <w:bodyDiv w:val="1"/>
      <w:marLeft w:val="0"/>
      <w:marRight w:val="0"/>
      <w:marTop w:val="0"/>
      <w:marBottom w:val="0"/>
      <w:divBdr>
        <w:top w:val="none" w:sz="0" w:space="0" w:color="auto"/>
        <w:left w:val="none" w:sz="0" w:space="0" w:color="auto"/>
        <w:bottom w:val="none" w:sz="0" w:space="0" w:color="auto"/>
        <w:right w:val="none" w:sz="0" w:space="0" w:color="auto"/>
      </w:divBdr>
    </w:div>
    <w:div w:id="1942643576">
      <w:bodyDiv w:val="1"/>
      <w:marLeft w:val="0"/>
      <w:marRight w:val="0"/>
      <w:marTop w:val="0"/>
      <w:marBottom w:val="0"/>
      <w:divBdr>
        <w:top w:val="none" w:sz="0" w:space="0" w:color="auto"/>
        <w:left w:val="none" w:sz="0" w:space="0" w:color="auto"/>
        <w:bottom w:val="none" w:sz="0" w:space="0" w:color="auto"/>
        <w:right w:val="none" w:sz="0" w:space="0" w:color="auto"/>
      </w:divBdr>
    </w:div>
    <w:div w:id="1953853922">
      <w:bodyDiv w:val="1"/>
      <w:marLeft w:val="0"/>
      <w:marRight w:val="0"/>
      <w:marTop w:val="0"/>
      <w:marBottom w:val="0"/>
      <w:divBdr>
        <w:top w:val="none" w:sz="0" w:space="0" w:color="auto"/>
        <w:left w:val="none" w:sz="0" w:space="0" w:color="auto"/>
        <w:bottom w:val="none" w:sz="0" w:space="0" w:color="auto"/>
        <w:right w:val="none" w:sz="0" w:space="0" w:color="auto"/>
      </w:divBdr>
    </w:div>
    <w:div w:id="1960254033">
      <w:bodyDiv w:val="1"/>
      <w:marLeft w:val="0"/>
      <w:marRight w:val="0"/>
      <w:marTop w:val="0"/>
      <w:marBottom w:val="0"/>
      <w:divBdr>
        <w:top w:val="none" w:sz="0" w:space="0" w:color="auto"/>
        <w:left w:val="none" w:sz="0" w:space="0" w:color="auto"/>
        <w:bottom w:val="none" w:sz="0" w:space="0" w:color="auto"/>
        <w:right w:val="none" w:sz="0" w:space="0" w:color="auto"/>
      </w:divBdr>
    </w:div>
    <w:div w:id="1971859951">
      <w:bodyDiv w:val="1"/>
      <w:marLeft w:val="0"/>
      <w:marRight w:val="0"/>
      <w:marTop w:val="0"/>
      <w:marBottom w:val="0"/>
      <w:divBdr>
        <w:top w:val="none" w:sz="0" w:space="0" w:color="auto"/>
        <w:left w:val="none" w:sz="0" w:space="0" w:color="auto"/>
        <w:bottom w:val="none" w:sz="0" w:space="0" w:color="auto"/>
        <w:right w:val="none" w:sz="0" w:space="0" w:color="auto"/>
      </w:divBdr>
    </w:div>
    <w:div w:id="1973751305">
      <w:bodyDiv w:val="1"/>
      <w:marLeft w:val="0"/>
      <w:marRight w:val="0"/>
      <w:marTop w:val="0"/>
      <w:marBottom w:val="0"/>
      <w:divBdr>
        <w:top w:val="none" w:sz="0" w:space="0" w:color="auto"/>
        <w:left w:val="none" w:sz="0" w:space="0" w:color="auto"/>
        <w:bottom w:val="none" w:sz="0" w:space="0" w:color="auto"/>
        <w:right w:val="none" w:sz="0" w:space="0" w:color="auto"/>
      </w:divBdr>
    </w:div>
    <w:div w:id="2049528774">
      <w:bodyDiv w:val="1"/>
      <w:marLeft w:val="0"/>
      <w:marRight w:val="0"/>
      <w:marTop w:val="0"/>
      <w:marBottom w:val="0"/>
      <w:divBdr>
        <w:top w:val="none" w:sz="0" w:space="0" w:color="auto"/>
        <w:left w:val="none" w:sz="0" w:space="0" w:color="auto"/>
        <w:bottom w:val="none" w:sz="0" w:space="0" w:color="auto"/>
        <w:right w:val="none" w:sz="0" w:space="0" w:color="auto"/>
      </w:divBdr>
    </w:div>
    <w:div w:id="2073842719">
      <w:bodyDiv w:val="1"/>
      <w:marLeft w:val="0"/>
      <w:marRight w:val="0"/>
      <w:marTop w:val="0"/>
      <w:marBottom w:val="0"/>
      <w:divBdr>
        <w:top w:val="none" w:sz="0" w:space="0" w:color="auto"/>
        <w:left w:val="none" w:sz="0" w:space="0" w:color="auto"/>
        <w:bottom w:val="none" w:sz="0" w:space="0" w:color="auto"/>
        <w:right w:val="none" w:sz="0" w:space="0" w:color="auto"/>
      </w:divBdr>
    </w:div>
    <w:div w:id="2074154270">
      <w:bodyDiv w:val="1"/>
      <w:marLeft w:val="0"/>
      <w:marRight w:val="0"/>
      <w:marTop w:val="0"/>
      <w:marBottom w:val="0"/>
      <w:divBdr>
        <w:top w:val="none" w:sz="0" w:space="0" w:color="auto"/>
        <w:left w:val="none" w:sz="0" w:space="0" w:color="auto"/>
        <w:bottom w:val="none" w:sz="0" w:space="0" w:color="auto"/>
        <w:right w:val="none" w:sz="0" w:space="0" w:color="auto"/>
      </w:divBdr>
    </w:div>
    <w:div w:id="2074542181">
      <w:bodyDiv w:val="1"/>
      <w:marLeft w:val="0"/>
      <w:marRight w:val="0"/>
      <w:marTop w:val="0"/>
      <w:marBottom w:val="0"/>
      <w:divBdr>
        <w:top w:val="none" w:sz="0" w:space="0" w:color="auto"/>
        <w:left w:val="none" w:sz="0" w:space="0" w:color="auto"/>
        <w:bottom w:val="none" w:sz="0" w:space="0" w:color="auto"/>
        <w:right w:val="none" w:sz="0" w:space="0" w:color="auto"/>
      </w:divBdr>
    </w:div>
    <w:div w:id="2075465905">
      <w:bodyDiv w:val="1"/>
      <w:marLeft w:val="0"/>
      <w:marRight w:val="0"/>
      <w:marTop w:val="0"/>
      <w:marBottom w:val="0"/>
      <w:divBdr>
        <w:top w:val="none" w:sz="0" w:space="0" w:color="auto"/>
        <w:left w:val="none" w:sz="0" w:space="0" w:color="auto"/>
        <w:bottom w:val="none" w:sz="0" w:space="0" w:color="auto"/>
        <w:right w:val="none" w:sz="0" w:space="0" w:color="auto"/>
      </w:divBdr>
    </w:div>
    <w:div w:id="2094885947">
      <w:bodyDiv w:val="1"/>
      <w:marLeft w:val="0"/>
      <w:marRight w:val="0"/>
      <w:marTop w:val="0"/>
      <w:marBottom w:val="0"/>
      <w:divBdr>
        <w:top w:val="none" w:sz="0" w:space="0" w:color="auto"/>
        <w:left w:val="none" w:sz="0" w:space="0" w:color="auto"/>
        <w:bottom w:val="none" w:sz="0" w:space="0" w:color="auto"/>
        <w:right w:val="none" w:sz="0" w:space="0" w:color="auto"/>
      </w:divBdr>
      <w:divsChild>
        <w:div w:id="1243299010">
          <w:marLeft w:val="0"/>
          <w:marRight w:val="0"/>
          <w:marTop w:val="0"/>
          <w:marBottom w:val="0"/>
          <w:divBdr>
            <w:top w:val="none" w:sz="0" w:space="0" w:color="auto"/>
            <w:left w:val="none" w:sz="0" w:space="0" w:color="auto"/>
            <w:bottom w:val="none" w:sz="0" w:space="0" w:color="auto"/>
            <w:right w:val="none" w:sz="0" w:space="0" w:color="auto"/>
          </w:divBdr>
        </w:div>
      </w:divsChild>
    </w:div>
    <w:div w:id="2109081502">
      <w:bodyDiv w:val="1"/>
      <w:marLeft w:val="0"/>
      <w:marRight w:val="0"/>
      <w:marTop w:val="0"/>
      <w:marBottom w:val="0"/>
      <w:divBdr>
        <w:top w:val="none" w:sz="0" w:space="0" w:color="auto"/>
        <w:left w:val="none" w:sz="0" w:space="0" w:color="auto"/>
        <w:bottom w:val="none" w:sz="0" w:space="0" w:color="auto"/>
        <w:right w:val="none" w:sz="0" w:space="0" w:color="auto"/>
      </w:divBdr>
    </w:div>
    <w:div w:id="2110393719">
      <w:bodyDiv w:val="1"/>
      <w:marLeft w:val="0"/>
      <w:marRight w:val="0"/>
      <w:marTop w:val="0"/>
      <w:marBottom w:val="0"/>
      <w:divBdr>
        <w:top w:val="none" w:sz="0" w:space="0" w:color="auto"/>
        <w:left w:val="none" w:sz="0" w:space="0" w:color="auto"/>
        <w:bottom w:val="none" w:sz="0" w:space="0" w:color="auto"/>
        <w:right w:val="none" w:sz="0" w:space="0" w:color="auto"/>
      </w:divBdr>
    </w:div>
    <w:div w:id="2111851451">
      <w:bodyDiv w:val="1"/>
      <w:marLeft w:val="0"/>
      <w:marRight w:val="0"/>
      <w:marTop w:val="0"/>
      <w:marBottom w:val="0"/>
      <w:divBdr>
        <w:top w:val="none" w:sz="0" w:space="0" w:color="auto"/>
        <w:left w:val="none" w:sz="0" w:space="0" w:color="auto"/>
        <w:bottom w:val="none" w:sz="0" w:space="0" w:color="auto"/>
        <w:right w:val="none" w:sz="0" w:space="0" w:color="auto"/>
      </w:divBdr>
    </w:div>
    <w:div w:id="2130120756">
      <w:bodyDiv w:val="1"/>
      <w:marLeft w:val="0"/>
      <w:marRight w:val="0"/>
      <w:marTop w:val="0"/>
      <w:marBottom w:val="0"/>
      <w:divBdr>
        <w:top w:val="none" w:sz="0" w:space="0" w:color="auto"/>
        <w:left w:val="none" w:sz="0" w:space="0" w:color="auto"/>
        <w:bottom w:val="none" w:sz="0" w:space="0" w:color="auto"/>
        <w:right w:val="none" w:sz="0" w:space="0" w:color="auto"/>
      </w:divBdr>
      <w:divsChild>
        <w:div w:id="492525210">
          <w:marLeft w:val="0"/>
          <w:marRight w:val="0"/>
          <w:marTop w:val="0"/>
          <w:marBottom w:val="0"/>
          <w:divBdr>
            <w:top w:val="none" w:sz="0" w:space="0" w:color="auto"/>
            <w:left w:val="none" w:sz="0" w:space="0" w:color="auto"/>
            <w:bottom w:val="none" w:sz="0" w:space="0" w:color="auto"/>
            <w:right w:val="none" w:sz="0" w:space="0" w:color="auto"/>
          </w:divBdr>
        </w:div>
      </w:divsChild>
    </w:div>
    <w:div w:id="2132433623">
      <w:bodyDiv w:val="1"/>
      <w:marLeft w:val="0"/>
      <w:marRight w:val="0"/>
      <w:marTop w:val="0"/>
      <w:marBottom w:val="0"/>
      <w:divBdr>
        <w:top w:val="none" w:sz="0" w:space="0" w:color="auto"/>
        <w:left w:val="none" w:sz="0" w:space="0" w:color="auto"/>
        <w:bottom w:val="none" w:sz="0" w:space="0" w:color="auto"/>
        <w:right w:val="none" w:sz="0" w:space="0" w:color="auto"/>
      </w:divBdr>
    </w:div>
    <w:div w:id="2133208850">
      <w:bodyDiv w:val="1"/>
      <w:marLeft w:val="0"/>
      <w:marRight w:val="0"/>
      <w:marTop w:val="0"/>
      <w:marBottom w:val="0"/>
      <w:divBdr>
        <w:top w:val="none" w:sz="0" w:space="0" w:color="auto"/>
        <w:left w:val="none" w:sz="0" w:space="0" w:color="auto"/>
        <w:bottom w:val="none" w:sz="0" w:space="0" w:color="auto"/>
        <w:right w:val="none" w:sz="0" w:space="0" w:color="auto"/>
      </w:divBdr>
    </w:div>
    <w:div w:id="21385282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footer" Target="footer2.xml"/><Relationship Id="rId26" Type="http://schemas.openxmlformats.org/officeDocument/2006/relationships/footer" Target="footer4.xml"/><Relationship Id="rId39" Type="http://schemas.openxmlformats.org/officeDocument/2006/relationships/image" Target="media/image11.svg"/><Relationship Id="rId21" Type="http://schemas.openxmlformats.org/officeDocument/2006/relationships/image" Target="media/image4.png"/><Relationship Id="rId34" Type="http://schemas.openxmlformats.org/officeDocument/2006/relationships/chart" Target="charts/chart4.xml"/><Relationship Id="rId42" Type="http://schemas.openxmlformats.org/officeDocument/2006/relationships/image" Target="media/image14.png"/><Relationship Id="rId47" Type="http://schemas.openxmlformats.org/officeDocument/2006/relationships/image" Target="media/image130.svg"/><Relationship Id="rId50" Type="http://schemas.openxmlformats.org/officeDocument/2006/relationships/hyperlink" Target="https://www.audit.vic.gov.au/report/auditor-generals-report-annual-financial-report-state-victoria-2022-23" TargetMode="External"/><Relationship Id="rId55" Type="http://schemas.openxmlformats.org/officeDocument/2006/relationships/footer" Target="footer5.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5" Type="http://schemas.openxmlformats.org/officeDocument/2006/relationships/header" Target="header5.xml"/><Relationship Id="rId33" Type="http://schemas.openxmlformats.org/officeDocument/2006/relationships/chart" Target="charts/chart3.xml"/><Relationship Id="rId38" Type="http://schemas.openxmlformats.org/officeDocument/2006/relationships/image" Target="media/image10.png"/><Relationship Id="rId46" Type="http://schemas.openxmlformats.org/officeDocument/2006/relationships/image" Target="media/image120.png"/><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image" Target="media/image8.png"/><Relationship Id="rId41" Type="http://schemas.openxmlformats.org/officeDocument/2006/relationships/image" Target="media/image13.svg"/><Relationship Id="rId54"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32" Type="http://schemas.openxmlformats.org/officeDocument/2006/relationships/chart" Target="charts/chart2.xml"/><Relationship Id="rId37" Type="http://schemas.openxmlformats.org/officeDocument/2006/relationships/chart" Target="charts/chart7.xml"/><Relationship Id="rId40" Type="http://schemas.openxmlformats.org/officeDocument/2006/relationships/image" Target="media/image12.png"/><Relationship Id="rId45" Type="http://schemas.openxmlformats.org/officeDocument/2006/relationships/image" Target="media/image110.svg"/><Relationship Id="rId53" Type="http://schemas.openxmlformats.org/officeDocument/2006/relationships/header" Target="header7.xml"/><Relationship Id="rId58"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image" Target="media/image6.png"/><Relationship Id="rId28" Type="http://schemas.openxmlformats.org/officeDocument/2006/relationships/image" Target="media/image7.png"/><Relationship Id="rId36" Type="http://schemas.openxmlformats.org/officeDocument/2006/relationships/chart" Target="charts/chart6.xml"/><Relationship Id="rId49" Type="http://schemas.openxmlformats.org/officeDocument/2006/relationships/image" Target="media/image150.svg"/><Relationship Id="rId57"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chart" Target="charts/chart1.xml"/><Relationship Id="rId44" Type="http://schemas.openxmlformats.org/officeDocument/2006/relationships/image" Target="media/image100.png"/><Relationship Id="rId52" Type="http://schemas.openxmlformats.org/officeDocument/2006/relationships/hyperlink" Target="https://www.dtf.vic.gov.au/state-financial-data-sets/other-financial-aggregate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image" Target="media/image5.png"/><Relationship Id="rId27" Type="http://schemas.openxmlformats.org/officeDocument/2006/relationships/header" Target="header6.xml"/><Relationship Id="rId30" Type="http://schemas.openxmlformats.org/officeDocument/2006/relationships/image" Target="media/image9.png"/><Relationship Id="rId35" Type="http://schemas.openxmlformats.org/officeDocument/2006/relationships/chart" Target="charts/chart5.xml"/><Relationship Id="rId43" Type="http://schemas.openxmlformats.org/officeDocument/2006/relationships/image" Target="media/image15.svg"/><Relationship Id="rId48" Type="http://schemas.openxmlformats.org/officeDocument/2006/relationships/image" Target="media/image140.png"/><Relationship Id="rId56" Type="http://schemas.openxmlformats.org/officeDocument/2006/relationships/header" Target="header9.xml"/><Relationship Id="rId8" Type="http://schemas.openxmlformats.org/officeDocument/2006/relationships/settings" Target="settings.xml"/><Relationship Id="rId51" Type="http://schemas.openxmlformats.org/officeDocument/2006/relationships/hyperlink" Target="https://www.abs.gov.au/methodologies/wage-price-index-australia-methodology/mar-2024" TargetMode="Externa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s://www.fwc.gov.au/hearings-decisions/major-cases/annual-wage-reviews/annual-wage-review-2023-24/submissions-annual" TargetMode="External"/><Relationship Id="rId2" Type="http://schemas.openxmlformats.org/officeDocument/2006/relationships/hyperlink" Target="https://www.fwc.gov.au/hearings-decisions/major-cases/annual-wage-reviews/annual-wage-review-2023-24" TargetMode="External"/><Relationship Id="rId1" Type="http://schemas.openxmlformats.org/officeDocument/2006/relationships/hyperlink" Target="https://www.budget.vic.gov.au/budget-papers"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embeddings/oleObject2.bin"/><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embeddings/oleObject3.bin"/></Relationships>
</file>

<file path=word/charts/_rels/chart4.xml.rels><?xml version="1.0" encoding="UTF-8" standalone="yes"?>
<Relationships xmlns="http://schemas.openxmlformats.org/package/2006/relationships"><Relationship Id="rId3" Type="http://schemas.openxmlformats.org/officeDocument/2006/relationships/oleObject" Target="../embeddings/oleObject4.bin"/><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embeddings/oleObject5.bin"/><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embeddings/oleObject6.bin"/><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embeddings/oleObject7.bin"/><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GDP (quarterly)</c:v>
          </c:tx>
          <c:spPr>
            <a:solidFill>
              <a:schemeClr val="accent5"/>
            </a:solidFill>
            <a:ln>
              <a:noFill/>
            </a:ln>
            <a:effectLst/>
          </c:spPr>
          <c:invertIfNegative val="0"/>
          <c:dLbls>
            <c:dLbl>
              <c:idx val="4"/>
              <c:tx>
                <c:rich>
                  <a:bodyPr/>
                  <a:lstStyle/>
                  <a:p>
                    <a:fld id="{AE7FE7F2-C069-49E3-B8E2-2B8D6AA770A5}" type="VALUE">
                      <a:rPr lang="en-US">
                        <a:solidFill>
                          <a:schemeClr val="accent5"/>
                        </a:solidFill>
                      </a:rPr>
                      <a:pPr/>
                      <a:t>[VALUE]</a:t>
                    </a:fld>
                    <a:r>
                      <a:rPr lang="en-US">
                        <a:solidFill>
                          <a:schemeClr val="accent5"/>
                        </a:solidFill>
                      </a:rPr>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A351-4475-9C4A-00141958BAA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Calibri Light" panose="020F0302020204030204" pitchFamily="34" charset="0"/>
                    <a:ea typeface="+mn-ea"/>
                    <a:cs typeface="Calibri Light" panose="020F0302020204030204"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'[Chart 2 in Microsoft Word]Sheet1'!$A$7:$A$11</c:f>
              <c:numCache>
                <c:formatCode>mmm\-yyyy</c:formatCode>
                <c:ptCount val="5"/>
                <c:pt idx="0">
                  <c:v>44986</c:v>
                </c:pt>
                <c:pt idx="1">
                  <c:v>45078</c:v>
                </c:pt>
                <c:pt idx="2">
                  <c:v>45170</c:v>
                </c:pt>
                <c:pt idx="3">
                  <c:v>45261</c:v>
                </c:pt>
                <c:pt idx="4">
                  <c:v>45352</c:v>
                </c:pt>
              </c:numCache>
            </c:numRef>
          </c:cat>
          <c:val>
            <c:numRef>
              <c:f>'[Chart 2 in Microsoft Word]Sheet1'!$B$7:$B$11</c:f>
              <c:numCache>
                <c:formatCode>0.0</c:formatCode>
                <c:ptCount val="5"/>
                <c:pt idx="0">
                  <c:v>0.6</c:v>
                </c:pt>
                <c:pt idx="1">
                  <c:v>0.4</c:v>
                </c:pt>
                <c:pt idx="2">
                  <c:v>0.2</c:v>
                </c:pt>
                <c:pt idx="3">
                  <c:v>0.3</c:v>
                </c:pt>
                <c:pt idx="4">
                  <c:v>0.1</c:v>
                </c:pt>
              </c:numCache>
            </c:numRef>
          </c:val>
          <c:extLst>
            <c:ext xmlns:c16="http://schemas.microsoft.com/office/drawing/2014/chart" uri="{C3380CC4-5D6E-409C-BE32-E72D297353CC}">
              <c16:uniqueId val="{00000001-A351-4475-9C4A-00141958BAAD}"/>
            </c:ext>
          </c:extLst>
        </c:ser>
        <c:ser>
          <c:idx val="2"/>
          <c:order val="1"/>
          <c:tx>
            <c:v>State Final Demand (quarterly)</c:v>
          </c:tx>
          <c:spPr>
            <a:solidFill>
              <a:schemeClr val="accent2"/>
            </a:solidFill>
            <a:ln>
              <a:noFill/>
            </a:ln>
            <a:effectLst/>
          </c:spPr>
          <c:invertIfNegative val="0"/>
          <c:dLbls>
            <c:dLbl>
              <c:idx val="4"/>
              <c:layout>
                <c:manualLayout>
                  <c:x val="1.266054215432184E-2"/>
                  <c:y val="2.4661336703570635E-2"/>
                </c:manualLayout>
              </c:layout>
              <c:tx>
                <c:rich>
                  <a:bodyPr/>
                  <a:lstStyle/>
                  <a:p>
                    <a:fld id="{EBD3D85E-D079-44E7-B34D-9312E2B032C0}" type="VALUE">
                      <a:rPr lang="en-US">
                        <a:solidFill>
                          <a:schemeClr val="accent2"/>
                        </a:solidFill>
                      </a:rPr>
                      <a:pPr/>
                      <a:t>[VALUE]</a:t>
                    </a:fld>
                    <a:r>
                      <a:rPr lang="en-US">
                        <a:solidFill>
                          <a:schemeClr val="accent2"/>
                        </a:solidFill>
                      </a:rPr>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A351-4475-9C4A-00141958BAA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Calibri Light" panose="020F0302020204030204" pitchFamily="34" charset="0"/>
                    <a:ea typeface="+mn-ea"/>
                    <a:cs typeface="Calibri Light" panose="020F0302020204030204"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'[Chart 2 in Microsoft Word]Sheet1'!$A$7:$A$11</c:f>
              <c:numCache>
                <c:formatCode>mmm\-yyyy</c:formatCode>
                <c:ptCount val="5"/>
                <c:pt idx="0">
                  <c:v>44986</c:v>
                </c:pt>
                <c:pt idx="1">
                  <c:v>45078</c:v>
                </c:pt>
                <c:pt idx="2">
                  <c:v>45170</c:v>
                </c:pt>
                <c:pt idx="3">
                  <c:v>45261</c:v>
                </c:pt>
                <c:pt idx="4">
                  <c:v>45352</c:v>
                </c:pt>
              </c:numCache>
            </c:numRef>
          </c:cat>
          <c:val>
            <c:numRef>
              <c:f>'[Chart 2 in Microsoft Word]Sheet1'!$D$7:$D$11</c:f>
              <c:numCache>
                <c:formatCode>0.0</c:formatCode>
                <c:ptCount val="5"/>
                <c:pt idx="0">
                  <c:v>0.9</c:v>
                </c:pt>
                <c:pt idx="1">
                  <c:v>1.1000000000000001</c:v>
                </c:pt>
                <c:pt idx="2">
                  <c:v>0.5</c:v>
                </c:pt>
                <c:pt idx="3">
                  <c:v>-0.1</c:v>
                </c:pt>
                <c:pt idx="4">
                  <c:v>0</c:v>
                </c:pt>
              </c:numCache>
            </c:numRef>
          </c:val>
          <c:extLst>
            <c:ext xmlns:c16="http://schemas.microsoft.com/office/drawing/2014/chart" uri="{C3380CC4-5D6E-409C-BE32-E72D297353CC}">
              <c16:uniqueId val="{00000003-A351-4475-9C4A-00141958BAAD}"/>
            </c:ext>
          </c:extLst>
        </c:ser>
        <c:dLbls>
          <c:showLegendKey val="0"/>
          <c:showVal val="0"/>
          <c:showCatName val="0"/>
          <c:showSerName val="0"/>
          <c:showPercent val="0"/>
          <c:showBubbleSize val="0"/>
        </c:dLbls>
        <c:gapWidth val="100"/>
        <c:axId val="667983488"/>
        <c:axId val="667975568"/>
      </c:barChart>
      <c:lineChart>
        <c:grouping val="standard"/>
        <c:varyColors val="0"/>
        <c:ser>
          <c:idx val="1"/>
          <c:order val="2"/>
          <c:tx>
            <c:v>GDP (annual)</c:v>
          </c:tx>
          <c:spPr>
            <a:ln w="28575" cap="rnd">
              <a:solidFill>
                <a:schemeClr val="accent5"/>
              </a:solidFill>
              <a:prstDash val="sysDash"/>
              <a:round/>
            </a:ln>
            <a:effectLst/>
          </c:spPr>
          <c:marker>
            <c:symbol val="none"/>
          </c:marker>
          <c:dLbls>
            <c:dLbl>
              <c:idx val="4"/>
              <c:tx>
                <c:rich>
                  <a:bodyPr/>
                  <a:lstStyle/>
                  <a:p>
                    <a:fld id="{EA912BB3-0323-4CD4-8654-965CDA62CE44}" type="VALUE">
                      <a:rPr lang="en-US">
                        <a:solidFill>
                          <a:schemeClr val="accent5"/>
                        </a:solidFill>
                      </a:rPr>
                      <a:pPr/>
                      <a:t>[VALUE]</a:t>
                    </a:fld>
                    <a:r>
                      <a:rPr lang="en-US">
                        <a:solidFill>
                          <a:schemeClr val="accent5"/>
                        </a:solidFill>
                      </a:rPr>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A351-4475-9C4A-00141958BAA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Calibri Light" panose="020F0302020204030204" pitchFamily="34" charset="0"/>
                    <a:ea typeface="+mn-ea"/>
                    <a:cs typeface="Calibri Light" panose="020F0302020204030204"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'[Chart 2 in Microsoft Word]Sheet1'!$A$7:$A$11</c:f>
              <c:numCache>
                <c:formatCode>mmm\-yyyy</c:formatCode>
                <c:ptCount val="5"/>
                <c:pt idx="0">
                  <c:v>44986</c:v>
                </c:pt>
                <c:pt idx="1">
                  <c:v>45078</c:v>
                </c:pt>
                <c:pt idx="2">
                  <c:v>45170</c:v>
                </c:pt>
                <c:pt idx="3">
                  <c:v>45261</c:v>
                </c:pt>
                <c:pt idx="4">
                  <c:v>45352</c:v>
                </c:pt>
              </c:numCache>
            </c:numRef>
          </c:cat>
          <c:val>
            <c:numRef>
              <c:f>'[Chart 2 in Microsoft Word]Sheet1'!$C$7:$C$11</c:f>
              <c:numCache>
                <c:formatCode>0.0</c:formatCode>
                <c:ptCount val="5"/>
                <c:pt idx="0">
                  <c:v>2.2999999999999998</c:v>
                </c:pt>
                <c:pt idx="1">
                  <c:v>1.9</c:v>
                </c:pt>
                <c:pt idx="2">
                  <c:v>2.1</c:v>
                </c:pt>
                <c:pt idx="3">
                  <c:v>1.6</c:v>
                </c:pt>
                <c:pt idx="4">
                  <c:v>1.1000000000000001</c:v>
                </c:pt>
              </c:numCache>
            </c:numRef>
          </c:val>
          <c:smooth val="0"/>
          <c:extLst>
            <c:ext xmlns:c16="http://schemas.microsoft.com/office/drawing/2014/chart" uri="{C3380CC4-5D6E-409C-BE32-E72D297353CC}">
              <c16:uniqueId val="{00000005-A351-4475-9C4A-00141958BAAD}"/>
            </c:ext>
          </c:extLst>
        </c:ser>
        <c:ser>
          <c:idx val="3"/>
          <c:order val="3"/>
          <c:tx>
            <c:v>State Final Demand (annual)</c:v>
          </c:tx>
          <c:spPr>
            <a:ln w="28575" cap="rnd">
              <a:solidFill>
                <a:schemeClr val="accent2"/>
              </a:solidFill>
              <a:prstDash val="sysDash"/>
              <a:round/>
            </a:ln>
            <a:effectLst/>
          </c:spPr>
          <c:marker>
            <c:symbol val="none"/>
          </c:marker>
          <c:dLbls>
            <c:dLbl>
              <c:idx val="4"/>
              <c:layout>
                <c:manualLayout>
                  <c:x val="0"/>
                  <c:y val="0"/>
                </c:manualLayout>
              </c:layout>
              <c:tx>
                <c:rich>
                  <a:bodyPr/>
                  <a:lstStyle/>
                  <a:p>
                    <a:fld id="{DBB072F5-B342-4EAD-B616-38D34C984C87}" type="VALUE">
                      <a:rPr lang="en-US">
                        <a:solidFill>
                          <a:schemeClr val="accent2"/>
                        </a:solidFill>
                      </a:rPr>
                      <a:pPr/>
                      <a:t>[VALUE]</a:t>
                    </a:fld>
                    <a:r>
                      <a:rPr lang="en-US">
                        <a:solidFill>
                          <a:schemeClr val="accent2"/>
                        </a:solidFill>
                      </a:rPr>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A351-4475-9C4A-00141958BAA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Calibri Light" panose="020F0302020204030204" pitchFamily="34" charset="0"/>
                    <a:ea typeface="+mn-ea"/>
                    <a:cs typeface="Calibri Light" panose="020F0302020204030204"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0"/>
              </c:ext>
            </c:extLst>
          </c:dLbls>
          <c:cat>
            <c:numRef>
              <c:f>'[Chart 2 in Microsoft Word]Sheet1'!$A$7:$A$11</c:f>
              <c:numCache>
                <c:formatCode>mmm\-yyyy</c:formatCode>
                <c:ptCount val="5"/>
                <c:pt idx="0">
                  <c:v>44986</c:v>
                </c:pt>
                <c:pt idx="1">
                  <c:v>45078</c:v>
                </c:pt>
                <c:pt idx="2">
                  <c:v>45170</c:v>
                </c:pt>
                <c:pt idx="3">
                  <c:v>45261</c:v>
                </c:pt>
                <c:pt idx="4">
                  <c:v>45352</c:v>
                </c:pt>
              </c:numCache>
            </c:numRef>
          </c:cat>
          <c:val>
            <c:numRef>
              <c:f>'[Chart 2 in Microsoft Word]Sheet1'!$E$7:$E$11</c:f>
              <c:numCache>
                <c:formatCode>0.0</c:formatCode>
                <c:ptCount val="5"/>
                <c:pt idx="0">
                  <c:v>2.5</c:v>
                </c:pt>
                <c:pt idx="1">
                  <c:v>2.5</c:v>
                </c:pt>
                <c:pt idx="2">
                  <c:v>3</c:v>
                </c:pt>
                <c:pt idx="3">
                  <c:v>2.2999999999999998</c:v>
                </c:pt>
                <c:pt idx="4">
                  <c:v>1.5</c:v>
                </c:pt>
              </c:numCache>
            </c:numRef>
          </c:val>
          <c:smooth val="0"/>
          <c:extLst>
            <c:ext xmlns:c16="http://schemas.microsoft.com/office/drawing/2014/chart" uri="{C3380CC4-5D6E-409C-BE32-E72D297353CC}">
              <c16:uniqueId val="{00000007-A351-4475-9C4A-00141958BAAD}"/>
            </c:ext>
          </c:extLst>
        </c:ser>
        <c:dLbls>
          <c:showLegendKey val="0"/>
          <c:showVal val="0"/>
          <c:showCatName val="0"/>
          <c:showSerName val="0"/>
          <c:showPercent val="0"/>
          <c:showBubbleSize val="0"/>
        </c:dLbls>
        <c:marker val="1"/>
        <c:smooth val="0"/>
        <c:axId val="667983488"/>
        <c:axId val="667975568"/>
      </c:lineChart>
      <c:catAx>
        <c:axId val="667983488"/>
        <c:scaling>
          <c:orientation val="minMax"/>
        </c:scaling>
        <c:delete val="0"/>
        <c:axPos val="b"/>
        <c:numFmt formatCode="mmm\-yy" sourceLinked="0"/>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Calibri "/>
                <a:ea typeface="+mn-ea"/>
                <a:cs typeface="Calibri Light" panose="020F0302020204030204" pitchFamily="34" charset="0"/>
              </a:defRPr>
            </a:pPr>
            <a:endParaRPr lang="en-US"/>
          </a:p>
        </c:txPr>
        <c:crossAx val="667975568"/>
        <c:crosses val="autoZero"/>
        <c:auto val="0"/>
        <c:lblAlgn val="ctr"/>
        <c:lblOffset val="100"/>
        <c:tickLblSkip val="1"/>
        <c:noMultiLvlLbl val="0"/>
      </c:catAx>
      <c:valAx>
        <c:axId val="667975568"/>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Calibri" panose="020F0502020204030204" pitchFamily="34" charset="0"/>
                    <a:ea typeface="+mn-ea"/>
                    <a:cs typeface="Calibri" panose="020F0502020204030204" pitchFamily="34" charset="0"/>
                  </a:defRPr>
                </a:pPr>
                <a:r>
                  <a:rPr lang="en-AU">
                    <a:solidFill>
                      <a:sysClr val="windowText" lastClr="000000"/>
                    </a:solidFill>
                    <a:latin typeface="Calibri" panose="020F0502020204030204" pitchFamily="34" charset="0"/>
                    <a:cs typeface="Calibri" panose="020F0502020204030204" pitchFamily="34" charset="0"/>
                  </a:rPr>
                  <a:t>%</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Calibri" panose="020F0502020204030204" pitchFamily="34" charset="0"/>
                  <a:ea typeface="+mn-ea"/>
                  <a:cs typeface="Calibri" panose="020F0502020204030204" pitchFamily="34" charset="0"/>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Calibri" panose="020F0502020204030204" pitchFamily="34" charset="0"/>
                <a:ea typeface="+mn-ea"/>
                <a:cs typeface="Calibri" panose="020F0502020204030204" pitchFamily="34" charset="0"/>
              </a:defRPr>
            </a:pPr>
            <a:endParaRPr lang="en-US"/>
          </a:p>
        </c:txPr>
        <c:crossAx val="667983488"/>
        <c:crosses val="autoZero"/>
        <c:crossBetween val="between"/>
        <c:majorUnit val="1"/>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Calibri Light" panose="020F0302020204030204" pitchFamily="34" charset="0"/>
              <a:ea typeface="+mn-ea"/>
              <a:cs typeface="Calibri Light" panose="020F030202020403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accent2"/>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21224360497347"/>
          <c:y val="4.7151343323882815E-2"/>
          <c:w val="0.8274728755840659"/>
          <c:h val="0.85340961252868908"/>
        </c:manualLayout>
      </c:layout>
      <c:areaChart>
        <c:grouping val="stacked"/>
        <c:varyColors val="0"/>
        <c:ser>
          <c:idx val="2"/>
          <c:order val="1"/>
          <c:spPr>
            <a:noFill/>
            <a:ln>
              <a:noFill/>
            </a:ln>
            <a:effectLst/>
          </c:spPr>
          <c:cat>
            <c:numRef>
              <c:f>'[Charts and data for economic and financial presentation.xlsx]CPI'!$A$309:$A$313</c:f>
              <c:numCache>
                <c:formatCode>mmm\-yyyy</c:formatCode>
                <c:ptCount val="5"/>
                <c:pt idx="0">
                  <c:v>44986</c:v>
                </c:pt>
                <c:pt idx="1">
                  <c:v>45078</c:v>
                </c:pt>
                <c:pt idx="2">
                  <c:v>45170</c:v>
                </c:pt>
                <c:pt idx="3">
                  <c:v>45261</c:v>
                </c:pt>
                <c:pt idx="4">
                  <c:v>45352</c:v>
                </c:pt>
              </c:numCache>
            </c:numRef>
          </c:cat>
          <c:val>
            <c:numRef>
              <c:f>'[Charts and data for economic and financial presentation.xlsx]CPI'!$AM$309:$AM$313</c:f>
              <c:numCache>
                <c:formatCode>0.0;\-0.0;0.0;@</c:formatCode>
                <c:ptCount val="5"/>
                <c:pt idx="0">
                  <c:v>2</c:v>
                </c:pt>
                <c:pt idx="1">
                  <c:v>2</c:v>
                </c:pt>
                <c:pt idx="2">
                  <c:v>2</c:v>
                </c:pt>
                <c:pt idx="3">
                  <c:v>2</c:v>
                </c:pt>
                <c:pt idx="4">
                  <c:v>2</c:v>
                </c:pt>
              </c:numCache>
            </c:numRef>
          </c:val>
          <c:extLst>
            <c:ext xmlns:c16="http://schemas.microsoft.com/office/drawing/2014/chart" uri="{C3380CC4-5D6E-409C-BE32-E72D297353CC}">
              <c16:uniqueId val="{00000000-5B24-4653-9A69-79ED231BAD01}"/>
            </c:ext>
          </c:extLst>
        </c:ser>
        <c:ser>
          <c:idx val="3"/>
          <c:order val="2"/>
          <c:spPr>
            <a:solidFill>
              <a:schemeClr val="bg1">
                <a:lumMod val="85000"/>
              </a:schemeClr>
            </a:solidFill>
            <a:ln>
              <a:noFill/>
            </a:ln>
            <a:effectLst/>
          </c:spPr>
          <c:cat>
            <c:numRef>
              <c:f>'[Charts and data for economic and financial presentation.xlsx]CPI'!$A$309:$A$313</c:f>
              <c:numCache>
                <c:formatCode>mmm\-yyyy</c:formatCode>
                <c:ptCount val="5"/>
                <c:pt idx="0">
                  <c:v>44986</c:v>
                </c:pt>
                <c:pt idx="1">
                  <c:v>45078</c:v>
                </c:pt>
                <c:pt idx="2">
                  <c:v>45170</c:v>
                </c:pt>
                <c:pt idx="3">
                  <c:v>45261</c:v>
                </c:pt>
                <c:pt idx="4">
                  <c:v>45352</c:v>
                </c:pt>
              </c:numCache>
            </c:numRef>
          </c:cat>
          <c:val>
            <c:numRef>
              <c:f>'[Charts and data for economic and financial presentation.xlsx]CPI'!$AN$309:$AN$313</c:f>
              <c:numCache>
                <c:formatCode>0.0;\-0.0;0.0;@</c:formatCode>
                <c:ptCount val="5"/>
                <c:pt idx="0">
                  <c:v>1</c:v>
                </c:pt>
                <c:pt idx="1">
                  <c:v>1</c:v>
                </c:pt>
                <c:pt idx="2">
                  <c:v>1</c:v>
                </c:pt>
                <c:pt idx="3">
                  <c:v>1</c:v>
                </c:pt>
                <c:pt idx="4">
                  <c:v>1</c:v>
                </c:pt>
              </c:numCache>
            </c:numRef>
          </c:val>
          <c:extLst>
            <c:ext xmlns:c16="http://schemas.microsoft.com/office/drawing/2014/chart" uri="{C3380CC4-5D6E-409C-BE32-E72D297353CC}">
              <c16:uniqueId val="{00000001-5B24-4653-9A69-79ED231BAD01}"/>
            </c:ext>
          </c:extLst>
        </c:ser>
        <c:dLbls>
          <c:showLegendKey val="0"/>
          <c:showVal val="0"/>
          <c:showCatName val="0"/>
          <c:showSerName val="0"/>
          <c:showPercent val="0"/>
          <c:showBubbleSize val="0"/>
        </c:dLbls>
        <c:axId val="817602216"/>
        <c:axId val="817610856"/>
      </c:areaChart>
      <c:lineChart>
        <c:grouping val="standard"/>
        <c:varyColors val="0"/>
        <c:ser>
          <c:idx val="1"/>
          <c:order val="0"/>
          <c:spPr>
            <a:ln w="28575" cap="rnd">
              <a:solidFill>
                <a:schemeClr val="accent2"/>
              </a:solidFill>
              <a:round/>
            </a:ln>
            <a:effectLst/>
          </c:spPr>
          <c:marker>
            <c:symbol val="none"/>
          </c:marker>
          <c:dLbls>
            <c:dLbl>
              <c:idx val="4"/>
              <c:layout>
                <c:manualLayout>
                  <c:x val="-7.5433594678070799E-3"/>
                  <c:y val="-1.2859457270149859E-2"/>
                </c:manualLayout>
              </c:layout>
              <c:tx>
                <c:rich>
                  <a:bodyPr/>
                  <a:lstStyle/>
                  <a:p>
                    <a:fld id="{C7ABB0F3-E5C8-467E-BE00-0F474A5E5B25}"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5B24-4653-9A69-79ED231BAD0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accent2"/>
                    </a:solidFill>
                    <a:latin typeface="Calibri Light" panose="020F0302020204030204" pitchFamily="34" charset="0"/>
                    <a:ea typeface="+mn-ea"/>
                    <a:cs typeface="Calibri Light" panose="020F0302020204030204"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0"/>
              </c:ext>
            </c:extLst>
          </c:dLbls>
          <c:cat>
            <c:numRef>
              <c:f>'[Charts and data for economic and financial presentation.xlsx]CPI'!$A$277:$A$313</c:f>
              <c:numCache>
                <c:formatCode>mmm\-yyyy</c:formatCode>
                <c:ptCount val="37"/>
                <c:pt idx="0">
                  <c:v>42064</c:v>
                </c:pt>
                <c:pt idx="1">
                  <c:v>42156</c:v>
                </c:pt>
                <c:pt idx="2">
                  <c:v>42248</c:v>
                </c:pt>
                <c:pt idx="3">
                  <c:v>42339</c:v>
                </c:pt>
                <c:pt idx="4">
                  <c:v>42430</c:v>
                </c:pt>
                <c:pt idx="5">
                  <c:v>42522</c:v>
                </c:pt>
                <c:pt idx="6">
                  <c:v>42614</c:v>
                </c:pt>
                <c:pt idx="7">
                  <c:v>42705</c:v>
                </c:pt>
                <c:pt idx="8">
                  <c:v>42795</c:v>
                </c:pt>
                <c:pt idx="9">
                  <c:v>42887</c:v>
                </c:pt>
                <c:pt idx="10">
                  <c:v>42979</c:v>
                </c:pt>
                <c:pt idx="11">
                  <c:v>43070</c:v>
                </c:pt>
                <c:pt idx="12">
                  <c:v>43160</c:v>
                </c:pt>
                <c:pt idx="13">
                  <c:v>43252</c:v>
                </c:pt>
                <c:pt idx="14">
                  <c:v>43344</c:v>
                </c:pt>
                <c:pt idx="15">
                  <c:v>43435</c:v>
                </c:pt>
                <c:pt idx="16">
                  <c:v>43525</c:v>
                </c:pt>
                <c:pt idx="17">
                  <c:v>43617</c:v>
                </c:pt>
                <c:pt idx="18">
                  <c:v>43709</c:v>
                </c:pt>
                <c:pt idx="19">
                  <c:v>43800</c:v>
                </c:pt>
                <c:pt idx="20">
                  <c:v>43891</c:v>
                </c:pt>
                <c:pt idx="21">
                  <c:v>43983</c:v>
                </c:pt>
                <c:pt idx="22">
                  <c:v>44075</c:v>
                </c:pt>
                <c:pt idx="23">
                  <c:v>44166</c:v>
                </c:pt>
                <c:pt idx="24">
                  <c:v>44256</c:v>
                </c:pt>
                <c:pt idx="25">
                  <c:v>44348</c:v>
                </c:pt>
                <c:pt idx="26">
                  <c:v>44440</c:v>
                </c:pt>
                <c:pt idx="27">
                  <c:v>44531</c:v>
                </c:pt>
                <c:pt idx="28">
                  <c:v>44621</c:v>
                </c:pt>
                <c:pt idx="29">
                  <c:v>44713</c:v>
                </c:pt>
                <c:pt idx="30">
                  <c:v>44805</c:v>
                </c:pt>
                <c:pt idx="31">
                  <c:v>44896</c:v>
                </c:pt>
                <c:pt idx="32">
                  <c:v>44986</c:v>
                </c:pt>
                <c:pt idx="33">
                  <c:v>45078</c:v>
                </c:pt>
                <c:pt idx="34">
                  <c:v>45170</c:v>
                </c:pt>
                <c:pt idx="35">
                  <c:v>45261</c:v>
                </c:pt>
                <c:pt idx="36">
                  <c:v>45352</c:v>
                </c:pt>
              </c:numCache>
            </c:numRef>
          </c:cat>
          <c:val>
            <c:numRef>
              <c:f>'[Charts and data for economic and financial presentation.xlsx]CPI'!$AK$309:$AK$313</c:f>
              <c:numCache>
                <c:formatCode>0.0;\-0.0;0.0;@</c:formatCode>
                <c:ptCount val="5"/>
                <c:pt idx="0">
                  <c:v>6.8438003220611776</c:v>
                </c:pt>
                <c:pt idx="1">
                  <c:v>5.6170886075949333</c:v>
                </c:pt>
                <c:pt idx="2">
                  <c:v>4.8837209302325713</c:v>
                </c:pt>
                <c:pt idx="3">
                  <c:v>3.8138825324180115</c:v>
                </c:pt>
                <c:pt idx="4">
                  <c:v>3.6</c:v>
                </c:pt>
              </c:numCache>
            </c:numRef>
          </c:val>
          <c:smooth val="0"/>
          <c:extLst>
            <c:ext xmlns:c16="http://schemas.microsoft.com/office/drawing/2014/chart" uri="{C3380CC4-5D6E-409C-BE32-E72D297353CC}">
              <c16:uniqueId val="{00000003-5B24-4653-9A69-79ED231BAD01}"/>
            </c:ext>
          </c:extLst>
        </c:ser>
        <c:dLbls>
          <c:showLegendKey val="0"/>
          <c:showVal val="0"/>
          <c:showCatName val="0"/>
          <c:showSerName val="0"/>
          <c:showPercent val="0"/>
          <c:showBubbleSize val="0"/>
        </c:dLbls>
        <c:marker val="1"/>
        <c:smooth val="0"/>
        <c:axId val="817602216"/>
        <c:axId val="817610856"/>
      </c:lineChart>
      <c:dateAx>
        <c:axId val="817602216"/>
        <c:scaling>
          <c:orientation val="minMax"/>
        </c:scaling>
        <c:delete val="0"/>
        <c:axPos val="b"/>
        <c:numFmt formatCode="mmm\-yy" sourceLinked="0"/>
        <c:majorTickMark val="in"/>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Calibri "/>
                <a:ea typeface="+mn-ea"/>
                <a:cs typeface="Calibri Light" panose="020F0302020204030204" pitchFamily="34" charset="0"/>
              </a:defRPr>
            </a:pPr>
            <a:endParaRPr lang="en-US"/>
          </a:p>
        </c:txPr>
        <c:crossAx val="817610856"/>
        <c:crossesAt val="-4"/>
        <c:auto val="0"/>
        <c:lblOffset val="100"/>
        <c:baseTimeUnit val="months"/>
        <c:majorUnit val="3"/>
        <c:majorTimeUnit val="months"/>
      </c:dateAx>
      <c:valAx>
        <c:axId val="817610856"/>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Calibri "/>
                    <a:ea typeface="+mn-ea"/>
                    <a:cs typeface="Calibri Light" panose="020F0302020204030204" pitchFamily="34" charset="0"/>
                  </a:defRPr>
                </a:pPr>
                <a:r>
                  <a:rPr lang="en-AU">
                    <a:solidFill>
                      <a:sysClr val="windowText" lastClr="000000"/>
                    </a:solidFill>
                    <a:latin typeface="Calibri "/>
                    <a:cs typeface="Calibri Light" panose="020F0302020204030204" pitchFamily="34" charset="0"/>
                  </a:rPr>
                  <a:t>%</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Calibri "/>
                  <a:ea typeface="+mn-ea"/>
                  <a:cs typeface="Calibri Light" panose="020F0302020204030204" pitchFamily="34" charset="0"/>
                </a:defRPr>
              </a:pPr>
              <a:endParaRPr lang="en-US"/>
            </a:p>
          </c:txPr>
        </c:title>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Calibri "/>
                <a:ea typeface="+mn-ea"/>
                <a:cs typeface="Calibri Light" panose="020F0302020204030204" pitchFamily="34" charset="0"/>
              </a:defRPr>
            </a:pPr>
            <a:endParaRPr lang="en-US"/>
          </a:p>
        </c:txPr>
        <c:crossAx val="817602216"/>
        <c:crossesAt val="1"/>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solidFill>
        <a:schemeClr val="accent2"/>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3191152961863634"/>
          <c:y val="5.1337890413264503E-2"/>
          <c:w val="0.79855185226213432"/>
          <c:h val="0.73001092254772493"/>
        </c:manualLayout>
      </c:layout>
      <c:lineChart>
        <c:grouping val="standard"/>
        <c:varyColors val="0"/>
        <c:ser>
          <c:idx val="0"/>
          <c:order val="0"/>
          <c:tx>
            <c:v>Australia</c:v>
          </c:tx>
          <c:spPr>
            <a:ln w="28575" cap="rnd">
              <a:solidFill>
                <a:schemeClr val="accent5"/>
              </a:solidFill>
              <a:round/>
            </a:ln>
            <a:effectLst/>
          </c:spPr>
          <c:marker>
            <c:symbol val="none"/>
          </c:marker>
          <c:dLbls>
            <c:dLbl>
              <c:idx val="4"/>
              <c:tx>
                <c:rich>
                  <a:bodyPr/>
                  <a:lstStyle/>
                  <a:p>
                    <a:fld id="{D463FA68-8567-4EC6-B8F8-19A76FDE37FA}" type="VALUE">
                      <a:rPr lang="en-US">
                        <a:solidFill>
                          <a:schemeClr val="accent1"/>
                        </a:solidFill>
                      </a:rPr>
                      <a:pPr/>
                      <a:t>[VALUE]</a:t>
                    </a:fld>
                    <a:r>
                      <a:rPr lang="en-US">
                        <a:solidFill>
                          <a:schemeClr val="accent1"/>
                        </a:solidFill>
                      </a:rPr>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32E9-4DA4-9FC8-3B78E47E5E3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Calibri" panose="020F0502020204030204" pitchFamily="34" charset="0"/>
                    <a:ea typeface="+mn-ea"/>
                    <a:cs typeface="Calibri" panose="020F0502020204030204"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'[Charts and data for economic and financial presentation.xlsx]WPI'!$A$113:$A$117</c:f>
              <c:numCache>
                <c:formatCode>mmm\-yyyy</c:formatCode>
                <c:ptCount val="5"/>
                <c:pt idx="0">
                  <c:v>44986</c:v>
                </c:pt>
                <c:pt idx="1">
                  <c:v>45078</c:v>
                </c:pt>
                <c:pt idx="2">
                  <c:v>45170</c:v>
                </c:pt>
                <c:pt idx="3">
                  <c:v>45261</c:v>
                </c:pt>
                <c:pt idx="4">
                  <c:v>45352</c:v>
                </c:pt>
              </c:numCache>
            </c:numRef>
          </c:cat>
          <c:val>
            <c:numRef>
              <c:f>'[Charts and data for economic and financial presentation.xlsx]WPI'!$AG$113:$AG$117</c:f>
              <c:numCache>
                <c:formatCode>0.0;\-0.0;0.0;@</c:formatCode>
                <c:ptCount val="5"/>
                <c:pt idx="0">
                  <c:v>3.6</c:v>
                </c:pt>
                <c:pt idx="1">
                  <c:v>3.6</c:v>
                </c:pt>
                <c:pt idx="2">
                  <c:v>4.0999999999999996</c:v>
                </c:pt>
                <c:pt idx="3">
                  <c:v>4.3</c:v>
                </c:pt>
                <c:pt idx="4" formatCode="General">
                  <c:v>4.0999999999999996</c:v>
                </c:pt>
              </c:numCache>
            </c:numRef>
          </c:val>
          <c:smooth val="0"/>
          <c:extLst>
            <c:ext xmlns:c16="http://schemas.microsoft.com/office/drawing/2014/chart" uri="{C3380CC4-5D6E-409C-BE32-E72D297353CC}">
              <c16:uniqueId val="{00000001-32E9-4DA4-9FC8-3B78E47E5E38}"/>
            </c:ext>
          </c:extLst>
        </c:ser>
        <c:ser>
          <c:idx val="1"/>
          <c:order val="1"/>
          <c:tx>
            <c:v>Victoria</c:v>
          </c:tx>
          <c:spPr>
            <a:ln w="28575" cap="rnd">
              <a:solidFill>
                <a:schemeClr val="accent2"/>
              </a:solidFill>
              <a:round/>
            </a:ln>
            <a:effectLst/>
          </c:spPr>
          <c:marker>
            <c:symbol val="none"/>
          </c:marker>
          <c:dLbls>
            <c:dLbl>
              <c:idx val="4"/>
              <c:tx>
                <c:rich>
                  <a:bodyPr/>
                  <a:lstStyle/>
                  <a:p>
                    <a:fld id="{9361CA7C-EA87-40D4-8D8D-C0086C1F5ECA}" type="VALUE">
                      <a:rPr lang="en-US">
                        <a:solidFill>
                          <a:schemeClr val="accent2"/>
                        </a:solidFill>
                      </a:rPr>
                      <a:pPr/>
                      <a:t>[VALUE]</a:t>
                    </a:fld>
                    <a:r>
                      <a:rPr lang="en-US">
                        <a:solidFill>
                          <a:schemeClr val="accent2"/>
                        </a:solidFill>
                      </a:rPr>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32E9-4DA4-9FC8-3B78E47E5E3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Calibri" panose="020F0502020204030204" pitchFamily="34" charset="0"/>
                    <a:ea typeface="+mn-ea"/>
                    <a:cs typeface="Calibri" panose="020F0502020204030204"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'[Charts and data for economic and financial presentation.xlsx]WPI'!$A$113:$A$117</c:f>
              <c:numCache>
                <c:formatCode>mmm\-yyyy</c:formatCode>
                <c:ptCount val="5"/>
                <c:pt idx="0">
                  <c:v>44986</c:v>
                </c:pt>
                <c:pt idx="1">
                  <c:v>45078</c:v>
                </c:pt>
                <c:pt idx="2">
                  <c:v>45170</c:v>
                </c:pt>
                <c:pt idx="3">
                  <c:v>45261</c:v>
                </c:pt>
                <c:pt idx="4">
                  <c:v>45352</c:v>
                </c:pt>
              </c:numCache>
            </c:numRef>
          </c:cat>
          <c:val>
            <c:numRef>
              <c:f>'[Charts and data for economic and financial presentation.xlsx]WPI'!$Z$113:$Z$117</c:f>
              <c:numCache>
                <c:formatCode>0.0;\-0.0;0.0;@</c:formatCode>
                <c:ptCount val="5"/>
                <c:pt idx="0">
                  <c:v>3.5</c:v>
                </c:pt>
                <c:pt idx="1">
                  <c:v>3.6</c:v>
                </c:pt>
                <c:pt idx="2">
                  <c:v>3.7</c:v>
                </c:pt>
                <c:pt idx="3">
                  <c:v>3.7</c:v>
                </c:pt>
                <c:pt idx="4" formatCode="General">
                  <c:v>3.6</c:v>
                </c:pt>
              </c:numCache>
            </c:numRef>
          </c:val>
          <c:smooth val="0"/>
          <c:extLst>
            <c:ext xmlns:c16="http://schemas.microsoft.com/office/drawing/2014/chart" uri="{C3380CC4-5D6E-409C-BE32-E72D297353CC}">
              <c16:uniqueId val="{00000003-32E9-4DA4-9FC8-3B78E47E5E38}"/>
            </c:ext>
          </c:extLst>
        </c:ser>
        <c:dLbls>
          <c:showLegendKey val="0"/>
          <c:showVal val="0"/>
          <c:showCatName val="0"/>
          <c:showSerName val="0"/>
          <c:showPercent val="0"/>
          <c:showBubbleSize val="0"/>
        </c:dLbls>
        <c:smooth val="0"/>
        <c:axId val="888068088"/>
        <c:axId val="888068448"/>
      </c:lineChart>
      <c:dateAx>
        <c:axId val="888068088"/>
        <c:scaling>
          <c:orientation val="minMax"/>
          <c:max val="45352"/>
          <c:min val="44986"/>
        </c:scaling>
        <c:delete val="0"/>
        <c:axPos val="b"/>
        <c:numFmt formatCode="mmm\-yy" sourceLinked="0"/>
        <c:majorTickMark val="in"/>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Calibri" panose="020F0502020204030204" pitchFamily="34" charset="0"/>
                <a:ea typeface="+mn-ea"/>
                <a:cs typeface="Calibri" panose="020F0502020204030204" pitchFamily="34" charset="0"/>
              </a:defRPr>
            </a:pPr>
            <a:endParaRPr lang="en-US"/>
          </a:p>
        </c:txPr>
        <c:crossAx val="888068448"/>
        <c:crosses val="autoZero"/>
        <c:auto val="1"/>
        <c:lblOffset val="100"/>
        <c:baseTimeUnit val="months"/>
        <c:majorUnit val="3"/>
        <c:majorTimeUnit val="months"/>
      </c:dateAx>
      <c:valAx>
        <c:axId val="888068448"/>
        <c:scaling>
          <c:orientation val="minMax"/>
          <c:min val="3"/>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Calibri" panose="020F0502020204030204" pitchFamily="34" charset="0"/>
                    <a:ea typeface="+mn-ea"/>
                    <a:cs typeface="Calibri" panose="020F0502020204030204" pitchFamily="34" charset="0"/>
                  </a:defRPr>
                </a:pPr>
                <a:r>
                  <a:rPr lang="en-AU">
                    <a:solidFill>
                      <a:sysClr val="windowText" lastClr="000000"/>
                    </a:solidFill>
                    <a:latin typeface="Calibri" panose="020F0502020204030204" pitchFamily="34" charset="0"/>
                    <a:cs typeface="Calibri" panose="020F0502020204030204" pitchFamily="34" charset="0"/>
                  </a:rPr>
                  <a:t>%</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Calibri" panose="020F0502020204030204" pitchFamily="34" charset="0"/>
                  <a:ea typeface="+mn-ea"/>
                  <a:cs typeface="Calibri" panose="020F0502020204030204" pitchFamily="34" charset="0"/>
                </a:defRPr>
              </a:pPr>
              <a:endParaRPr lang="en-US"/>
            </a:p>
          </c:txPr>
        </c:title>
        <c:numFmt formatCode="0.0;\-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Calibri" panose="020F0502020204030204" pitchFamily="34" charset="0"/>
                <a:ea typeface="+mn-ea"/>
                <a:cs typeface="Calibri" panose="020F0502020204030204" pitchFamily="34" charset="0"/>
              </a:defRPr>
            </a:pPr>
            <a:endParaRPr lang="en-US"/>
          </a:p>
        </c:txPr>
        <c:crossAx val="888068088"/>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Calibri" panose="020F0502020204030204" pitchFamily="34" charset="0"/>
              <a:ea typeface="+mn-ea"/>
              <a:cs typeface="Calibri" panose="020F050202020403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accent2"/>
      </a:solid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1"/>
          <c:order val="1"/>
          <c:tx>
            <c:v>Australia</c:v>
          </c:tx>
          <c:spPr>
            <a:ln w="28575" cap="rnd">
              <a:solidFill>
                <a:schemeClr val="accent5"/>
              </a:solidFill>
              <a:round/>
            </a:ln>
            <a:effectLst/>
          </c:spPr>
          <c:marker>
            <c:symbol val="none"/>
          </c:marker>
          <c:dLbls>
            <c:dLbl>
              <c:idx val="41"/>
              <c:layout>
                <c:manualLayout>
                  <c:x val="-1.1688737147664323E-16"/>
                  <c:y val="-4.5210102381302741E-2"/>
                </c:manualLayout>
              </c:layout>
              <c:tx>
                <c:rich>
                  <a:bodyPr/>
                  <a:lstStyle/>
                  <a:p>
                    <a:fld id="{7EAE04E1-EEE7-4DB8-B752-5AA4853E071A}" type="VALUE">
                      <a:rPr lang="en-US" smtClean="0">
                        <a:solidFill>
                          <a:schemeClr val="accent5"/>
                        </a:solidFill>
                      </a:rPr>
                      <a:pPr/>
                      <a:t>[VALUE]</a:t>
                    </a:fld>
                    <a:endParaRPr lang="en-AU"/>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5862-435D-8AC4-3386C9EADED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Calibri" panose="020F0502020204030204" pitchFamily="34" charset="0"/>
                    <a:ea typeface="+mn-ea"/>
                    <a:cs typeface="Calibri" panose="020F0502020204030204"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'[Charts and data for economic and financial presentation.xlsx]Sheet2'!$A$2:$A$43</c:f>
              <c:numCache>
                <c:formatCode>mmm\-yyyy</c:formatCode>
                <c:ptCount val="42"/>
                <c:pt idx="0">
                  <c:v>41609</c:v>
                </c:pt>
                <c:pt idx="1">
                  <c:v>41699</c:v>
                </c:pt>
                <c:pt idx="2">
                  <c:v>41791</c:v>
                </c:pt>
                <c:pt idx="3">
                  <c:v>41883</c:v>
                </c:pt>
                <c:pt idx="4">
                  <c:v>41974</c:v>
                </c:pt>
                <c:pt idx="5">
                  <c:v>42064</c:v>
                </c:pt>
                <c:pt idx="6">
                  <c:v>42156</c:v>
                </c:pt>
                <c:pt idx="7">
                  <c:v>42248</c:v>
                </c:pt>
                <c:pt idx="8">
                  <c:v>42339</c:v>
                </c:pt>
                <c:pt idx="9">
                  <c:v>42430</c:v>
                </c:pt>
                <c:pt idx="10">
                  <c:v>42522</c:v>
                </c:pt>
                <c:pt idx="11">
                  <c:v>42614</c:v>
                </c:pt>
                <c:pt idx="12">
                  <c:v>42705</c:v>
                </c:pt>
                <c:pt idx="13">
                  <c:v>42795</c:v>
                </c:pt>
                <c:pt idx="14">
                  <c:v>42887</c:v>
                </c:pt>
                <c:pt idx="15">
                  <c:v>42979</c:v>
                </c:pt>
                <c:pt idx="16">
                  <c:v>43070</c:v>
                </c:pt>
                <c:pt idx="17">
                  <c:v>43160</c:v>
                </c:pt>
                <c:pt idx="18">
                  <c:v>43252</c:v>
                </c:pt>
                <c:pt idx="19">
                  <c:v>43344</c:v>
                </c:pt>
                <c:pt idx="20">
                  <c:v>43435</c:v>
                </c:pt>
                <c:pt idx="21">
                  <c:v>43525</c:v>
                </c:pt>
                <c:pt idx="22">
                  <c:v>43617</c:v>
                </c:pt>
                <c:pt idx="23">
                  <c:v>43709</c:v>
                </c:pt>
                <c:pt idx="24">
                  <c:v>43800</c:v>
                </c:pt>
                <c:pt idx="25">
                  <c:v>43891</c:v>
                </c:pt>
                <c:pt idx="26">
                  <c:v>43983</c:v>
                </c:pt>
                <c:pt idx="27">
                  <c:v>44075</c:v>
                </c:pt>
                <c:pt idx="28">
                  <c:v>44166</c:v>
                </c:pt>
                <c:pt idx="29">
                  <c:v>44256</c:v>
                </c:pt>
                <c:pt idx="30">
                  <c:v>44348</c:v>
                </c:pt>
                <c:pt idx="31">
                  <c:v>44440</c:v>
                </c:pt>
                <c:pt idx="32">
                  <c:v>44531</c:v>
                </c:pt>
                <c:pt idx="33">
                  <c:v>44621</c:v>
                </c:pt>
                <c:pt idx="34">
                  <c:v>44713</c:v>
                </c:pt>
                <c:pt idx="35">
                  <c:v>44805</c:v>
                </c:pt>
                <c:pt idx="36">
                  <c:v>44896</c:v>
                </c:pt>
                <c:pt idx="37">
                  <c:v>44986</c:v>
                </c:pt>
                <c:pt idx="38">
                  <c:v>45078</c:v>
                </c:pt>
                <c:pt idx="39">
                  <c:v>45170</c:v>
                </c:pt>
                <c:pt idx="40">
                  <c:v>45261</c:v>
                </c:pt>
                <c:pt idx="41">
                  <c:v>45352</c:v>
                </c:pt>
              </c:numCache>
              <c:extLst xmlns:c15="http://schemas.microsoft.com/office/drawing/2012/chart"/>
            </c:numRef>
          </c:cat>
          <c:val>
            <c:numRef>
              <c:f>'[Charts and data for economic and financial presentation.xlsx]Sheet2'!$K$2:$K$43</c:f>
              <c:numCache>
                <c:formatCode>General</c:formatCode>
                <c:ptCount val="42"/>
                <c:pt idx="0">
                  <c:v>-0.20000000000000018</c:v>
                </c:pt>
                <c:pt idx="1">
                  <c:v>-0.29999999999999982</c:v>
                </c:pt>
                <c:pt idx="2">
                  <c:v>-0.39999999999999991</c:v>
                </c:pt>
                <c:pt idx="3">
                  <c:v>0.20000000000000018</c:v>
                </c:pt>
                <c:pt idx="4">
                  <c:v>0.90000000000000013</c:v>
                </c:pt>
                <c:pt idx="5">
                  <c:v>0.99999999999999978</c:v>
                </c:pt>
                <c:pt idx="6">
                  <c:v>0.79999999999999982</c:v>
                </c:pt>
                <c:pt idx="7">
                  <c:v>0.79999999999999982</c:v>
                </c:pt>
                <c:pt idx="8">
                  <c:v>0.40000000000000013</c:v>
                </c:pt>
                <c:pt idx="9">
                  <c:v>0.8</c:v>
                </c:pt>
                <c:pt idx="10">
                  <c:v>1.1000000000000001</c:v>
                </c:pt>
                <c:pt idx="11">
                  <c:v>0.7</c:v>
                </c:pt>
                <c:pt idx="12">
                  <c:v>0.5</c:v>
                </c:pt>
                <c:pt idx="13">
                  <c:v>-0.20000000000000018</c:v>
                </c:pt>
                <c:pt idx="14">
                  <c:v>0</c:v>
                </c:pt>
                <c:pt idx="15">
                  <c:v>0.19999999999999996</c:v>
                </c:pt>
                <c:pt idx="16">
                  <c:v>0.20000000000000018</c:v>
                </c:pt>
                <c:pt idx="17">
                  <c:v>0.20000000000000018</c:v>
                </c:pt>
                <c:pt idx="18">
                  <c:v>0</c:v>
                </c:pt>
                <c:pt idx="19">
                  <c:v>0.39999999999999991</c:v>
                </c:pt>
                <c:pt idx="20">
                  <c:v>0.49999999999999978</c:v>
                </c:pt>
                <c:pt idx="21">
                  <c:v>0.99999999999999978</c:v>
                </c:pt>
                <c:pt idx="22">
                  <c:v>0.79999999999999982</c:v>
                </c:pt>
                <c:pt idx="23">
                  <c:v>0.50000000000000022</c:v>
                </c:pt>
                <c:pt idx="24">
                  <c:v>0.40000000000000013</c:v>
                </c:pt>
                <c:pt idx="25">
                  <c:v>0</c:v>
                </c:pt>
                <c:pt idx="26">
                  <c:v>2</c:v>
                </c:pt>
                <c:pt idx="27">
                  <c:v>0.7</c:v>
                </c:pt>
                <c:pt idx="28">
                  <c:v>0.49999999999999989</c:v>
                </c:pt>
                <c:pt idx="29">
                  <c:v>0.39999999999999991</c:v>
                </c:pt>
                <c:pt idx="30">
                  <c:v>-1.9999999999999998</c:v>
                </c:pt>
                <c:pt idx="31">
                  <c:v>-0.79999999999999982</c:v>
                </c:pt>
                <c:pt idx="32">
                  <c:v>-1.2000000000000002</c:v>
                </c:pt>
                <c:pt idx="33">
                  <c:v>-2.6999999999999997</c:v>
                </c:pt>
                <c:pt idx="34">
                  <c:v>-3.4999999999999996</c:v>
                </c:pt>
                <c:pt idx="35">
                  <c:v>-4.0999999999999996</c:v>
                </c:pt>
                <c:pt idx="36">
                  <c:v>-4.4000000000000004</c:v>
                </c:pt>
                <c:pt idx="37">
                  <c:v>-3.4</c:v>
                </c:pt>
                <c:pt idx="38">
                  <c:v>-2.4</c:v>
                </c:pt>
                <c:pt idx="39">
                  <c:v>-1.3000000000000007</c:v>
                </c:pt>
                <c:pt idx="40">
                  <c:v>0.20000000000000018</c:v>
                </c:pt>
                <c:pt idx="41">
                  <c:v>0.49999999999999956</c:v>
                </c:pt>
              </c:numCache>
              <c:extLst xmlns:c15="http://schemas.microsoft.com/office/drawing/2012/chart"/>
            </c:numRef>
          </c:val>
          <c:smooth val="0"/>
          <c:extLst xmlns:c15="http://schemas.microsoft.com/office/drawing/2012/chart">
            <c:ext xmlns:c16="http://schemas.microsoft.com/office/drawing/2014/chart" uri="{C3380CC4-5D6E-409C-BE32-E72D297353CC}">
              <c16:uniqueId val="{00000001-5862-435D-8AC4-3386C9EADEDD}"/>
            </c:ext>
          </c:extLst>
        </c:ser>
        <c:ser>
          <c:idx val="3"/>
          <c:order val="3"/>
          <c:tx>
            <c:v>Victoria</c:v>
          </c:tx>
          <c:spPr>
            <a:ln w="28575" cap="rnd">
              <a:solidFill>
                <a:schemeClr val="accent2"/>
              </a:solidFill>
              <a:round/>
            </a:ln>
            <a:effectLst/>
          </c:spPr>
          <c:marker>
            <c:symbol val="none"/>
          </c:marker>
          <c:dLbls>
            <c:dLbl>
              <c:idx val="41"/>
              <c:layout>
                <c:manualLayout>
                  <c:x val="-1.1688737147664323E-16"/>
                  <c:y val="5.0233447090336301E-2"/>
                </c:manualLayout>
              </c:layout>
              <c:tx>
                <c:rich>
                  <a:bodyPr/>
                  <a:lstStyle/>
                  <a:p>
                    <a:fld id="{4694B66D-77FD-4824-9361-8EE1E4935335}" type="VALUE">
                      <a:rPr lang="en-US" smtClean="0">
                        <a:solidFill>
                          <a:schemeClr val="accent2"/>
                        </a:solidFill>
                      </a:rPr>
                      <a:pPr/>
                      <a:t>[VALUE]</a:t>
                    </a:fld>
                    <a:endParaRPr lang="en-AU"/>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5862-435D-8AC4-3386C9EADED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accent2"/>
                    </a:solidFill>
                    <a:latin typeface="Calibri" panose="020F0502020204030204" pitchFamily="34" charset="0"/>
                    <a:ea typeface="+mn-ea"/>
                    <a:cs typeface="Calibri" panose="020F0502020204030204"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'[Charts and data for economic and financial presentation.xlsx]Sheet2'!$A$2:$A$43</c:f>
              <c:numCache>
                <c:formatCode>mmm\-yyyy</c:formatCode>
                <c:ptCount val="42"/>
                <c:pt idx="0">
                  <c:v>41609</c:v>
                </c:pt>
                <c:pt idx="1">
                  <c:v>41699</c:v>
                </c:pt>
                <c:pt idx="2">
                  <c:v>41791</c:v>
                </c:pt>
                <c:pt idx="3">
                  <c:v>41883</c:v>
                </c:pt>
                <c:pt idx="4">
                  <c:v>41974</c:v>
                </c:pt>
                <c:pt idx="5">
                  <c:v>42064</c:v>
                </c:pt>
                <c:pt idx="6">
                  <c:v>42156</c:v>
                </c:pt>
                <c:pt idx="7">
                  <c:v>42248</c:v>
                </c:pt>
                <c:pt idx="8">
                  <c:v>42339</c:v>
                </c:pt>
                <c:pt idx="9">
                  <c:v>42430</c:v>
                </c:pt>
                <c:pt idx="10">
                  <c:v>42522</c:v>
                </c:pt>
                <c:pt idx="11">
                  <c:v>42614</c:v>
                </c:pt>
                <c:pt idx="12">
                  <c:v>42705</c:v>
                </c:pt>
                <c:pt idx="13">
                  <c:v>42795</c:v>
                </c:pt>
                <c:pt idx="14">
                  <c:v>42887</c:v>
                </c:pt>
                <c:pt idx="15">
                  <c:v>42979</c:v>
                </c:pt>
                <c:pt idx="16">
                  <c:v>43070</c:v>
                </c:pt>
                <c:pt idx="17">
                  <c:v>43160</c:v>
                </c:pt>
                <c:pt idx="18">
                  <c:v>43252</c:v>
                </c:pt>
                <c:pt idx="19">
                  <c:v>43344</c:v>
                </c:pt>
                <c:pt idx="20">
                  <c:v>43435</c:v>
                </c:pt>
                <c:pt idx="21">
                  <c:v>43525</c:v>
                </c:pt>
                <c:pt idx="22">
                  <c:v>43617</c:v>
                </c:pt>
                <c:pt idx="23">
                  <c:v>43709</c:v>
                </c:pt>
                <c:pt idx="24">
                  <c:v>43800</c:v>
                </c:pt>
                <c:pt idx="25">
                  <c:v>43891</c:v>
                </c:pt>
                <c:pt idx="26">
                  <c:v>43983</c:v>
                </c:pt>
                <c:pt idx="27">
                  <c:v>44075</c:v>
                </c:pt>
                <c:pt idx="28">
                  <c:v>44166</c:v>
                </c:pt>
                <c:pt idx="29">
                  <c:v>44256</c:v>
                </c:pt>
                <c:pt idx="30">
                  <c:v>44348</c:v>
                </c:pt>
                <c:pt idx="31">
                  <c:v>44440</c:v>
                </c:pt>
                <c:pt idx="32">
                  <c:v>44531</c:v>
                </c:pt>
                <c:pt idx="33">
                  <c:v>44621</c:v>
                </c:pt>
                <c:pt idx="34">
                  <c:v>44713</c:v>
                </c:pt>
                <c:pt idx="35">
                  <c:v>44805</c:v>
                </c:pt>
                <c:pt idx="36">
                  <c:v>44896</c:v>
                </c:pt>
                <c:pt idx="37">
                  <c:v>44986</c:v>
                </c:pt>
                <c:pt idx="38">
                  <c:v>45078</c:v>
                </c:pt>
                <c:pt idx="39">
                  <c:v>45170</c:v>
                </c:pt>
                <c:pt idx="40">
                  <c:v>45261</c:v>
                </c:pt>
                <c:pt idx="41">
                  <c:v>45352</c:v>
                </c:pt>
              </c:numCache>
              <c:extLst xmlns:c15="http://schemas.microsoft.com/office/drawing/2012/chart"/>
            </c:numRef>
          </c:cat>
          <c:val>
            <c:numRef>
              <c:f>'[Charts and data for economic and financial presentation.xlsx]Sheet2'!$M$2:$M$43</c:f>
              <c:numCache>
                <c:formatCode>General</c:formatCode>
                <c:ptCount val="42"/>
                <c:pt idx="0">
                  <c:v>-0.20000000000000018</c:v>
                </c:pt>
                <c:pt idx="1">
                  <c:v>-9.9999999999999645E-2</c:v>
                </c:pt>
                <c:pt idx="2">
                  <c:v>-0.40000000000000036</c:v>
                </c:pt>
                <c:pt idx="3">
                  <c:v>0.70000000000000018</c:v>
                </c:pt>
                <c:pt idx="4">
                  <c:v>1.4</c:v>
                </c:pt>
                <c:pt idx="5">
                  <c:v>1.6</c:v>
                </c:pt>
                <c:pt idx="6">
                  <c:v>1.5</c:v>
                </c:pt>
                <c:pt idx="7">
                  <c:v>1.2000000000000002</c:v>
                </c:pt>
                <c:pt idx="8">
                  <c:v>0.5</c:v>
                </c:pt>
                <c:pt idx="9">
                  <c:v>0.7</c:v>
                </c:pt>
                <c:pt idx="10">
                  <c:v>0.70000000000000018</c:v>
                </c:pt>
                <c:pt idx="11">
                  <c:v>0.60000000000000009</c:v>
                </c:pt>
                <c:pt idx="12">
                  <c:v>0.39999999999999991</c:v>
                </c:pt>
                <c:pt idx="13">
                  <c:v>-0.5</c:v>
                </c:pt>
                <c:pt idx="14">
                  <c:v>-0.20000000000000018</c:v>
                </c:pt>
                <c:pt idx="15">
                  <c:v>0</c:v>
                </c:pt>
                <c:pt idx="16">
                  <c:v>0.19999999999999973</c:v>
                </c:pt>
                <c:pt idx="17">
                  <c:v>9.9999999999999645E-2</c:v>
                </c:pt>
                <c:pt idx="18">
                  <c:v>0</c:v>
                </c:pt>
                <c:pt idx="19">
                  <c:v>0.29999999999999982</c:v>
                </c:pt>
                <c:pt idx="20">
                  <c:v>0.70000000000000018</c:v>
                </c:pt>
                <c:pt idx="21">
                  <c:v>1.5000000000000002</c:v>
                </c:pt>
                <c:pt idx="22">
                  <c:v>1.5999999999999999</c:v>
                </c:pt>
                <c:pt idx="23">
                  <c:v>1.0999999999999999</c:v>
                </c:pt>
                <c:pt idx="24">
                  <c:v>0.70000000000000018</c:v>
                </c:pt>
                <c:pt idx="25">
                  <c:v>-0.20000000000000018</c:v>
                </c:pt>
                <c:pt idx="26">
                  <c:v>1.4</c:v>
                </c:pt>
                <c:pt idx="27">
                  <c:v>0.5</c:v>
                </c:pt>
                <c:pt idx="28">
                  <c:v>0</c:v>
                </c:pt>
                <c:pt idx="29">
                  <c:v>0.7</c:v>
                </c:pt>
                <c:pt idx="30">
                  <c:v>-1.0999999999999999</c:v>
                </c:pt>
                <c:pt idx="31">
                  <c:v>-0.39999999999999991</c:v>
                </c:pt>
                <c:pt idx="32">
                  <c:v>-0.20000000000000018</c:v>
                </c:pt>
                <c:pt idx="33">
                  <c:v>-2.2000000000000002</c:v>
                </c:pt>
                <c:pt idx="34">
                  <c:v>-3.5999999999999996</c:v>
                </c:pt>
                <c:pt idx="35">
                  <c:v>-4.3000000000000007</c:v>
                </c:pt>
                <c:pt idx="36">
                  <c:v>-4.5999999999999996</c:v>
                </c:pt>
                <c:pt idx="37">
                  <c:v>-3.3</c:v>
                </c:pt>
                <c:pt idx="38">
                  <c:v>-1.9999999999999996</c:v>
                </c:pt>
                <c:pt idx="39">
                  <c:v>-1.2000000000000002</c:v>
                </c:pt>
                <c:pt idx="40">
                  <c:v>-9.9999999999999645E-2</c:v>
                </c:pt>
                <c:pt idx="41" formatCode="0.0">
                  <c:v>0</c:v>
                </c:pt>
              </c:numCache>
              <c:extLst xmlns:c15="http://schemas.microsoft.com/office/drawing/2012/chart"/>
            </c:numRef>
          </c:val>
          <c:smooth val="0"/>
          <c:extLst xmlns:c15="http://schemas.microsoft.com/office/drawing/2012/chart">
            <c:ext xmlns:c16="http://schemas.microsoft.com/office/drawing/2014/chart" uri="{C3380CC4-5D6E-409C-BE32-E72D297353CC}">
              <c16:uniqueId val="{00000003-5862-435D-8AC4-3386C9EADEDD}"/>
            </c:ext>
          </c:extLst>
        </c:ser>
        <c:dLbls>
          <c:showLegendKey val="0"/>
          <c:showVal val="0"/>
          <c:showCatName val="0"/>
          <c:showSerName val="0"/>
          <c:showPercent val="0"/>
          <c:showBubbleSize val="0"/>
        </c:dLbls>
        <c:smooth val="0"/>
        <c:axId val="1124649176"/>
        <c:axId val="1124649536"/>
        <c:extLst>
          <c:ext xmlns:c15="http://schemas.microsoft.com/office/drawing/2012/chart" uri="{02D57815-91ED-43cb-92C2-25804820EDAC}">
            <c15:filteredLineSeries>
              <c15:ser>
                <c:idx val="0"/>
                <c:order val="0"/>
                <c:spPr>
                  <a:ln w="28575" cap="rnd">
                    <a:solidFill>
                      <a:schemeClr val="accent1"/>
                    </a:solidFill>
                    <a:round/>
                  </a:ln>
                  <a:effectLst/>
                </c:spPr>
                <c:marker>
                  <c:symbol val="none"/>
                </c:marker>
                <c:cat>
                  <c:numRef>
                    <c:extLst>
                      <c:ext uri="{02D57815-91ED-43cb-92C2-25804820EDAC}">
                        <c15:formulaRef>
                          <c15:sqref>'[Charts and data for economic and financial presentation.xlsx]Sheet2'!$A$2:$A$43</c15:sqref>
                        </c15:formulaRef>
                      </c:ext>
                    </c:extLst>
                    <c:numCache>
                      <c:formatCode>mmm\-yyyy</c:formatCode>
                      <c:ptCount val="42"/>
                      <c:pt idx="0">
                        <c:v>41609</c:v>
                      </c:pt>
                      <c:pt idx="1">
                        <c:v>41699</c:v>
                      </c:pt>
                      <c:pt idx="2">
                        <c:v>41791</c:v>
                      </c:pt>
                      <c:pt idx="3">
                        <c:v>41883</c:v>
                      </c:pt>
                      <c:pt idx="4">
                        <c:v>41974</c:v>
                      </c:pt>
                      <c:pt idx="5">
                        <c:v>42064</c:v>
                      </c:pt>
                      <c:pt idx="6">
                        <c:v>42156</c:v>
                      </c:pt>
                      <c:pt idx="7">
                        <c:v>42248</c:v>
                      </c:pt>
                      <c:pt idx="8">
                        <c:v>42339</c:v>
                      </c:pt>
                      <c:pt idx="9">
                        <c:v>42430</c:v>
                      </c:pt>
                      <c:pt idx="10">
                        <c:v>42522</c:v>
                      </c:pt>
                      <c:pt idx="11">
                        <c:v>42614</c:v>
                      </c:pt>
                      <c:pt idx="12">
                        <c:v>42705</c:v>
                      </c:pt>
                      <c:pt idx="13">
                        <c:v>42795</c:v>
                      </c:pt>
                      <c:pt idx="14">
                        <c:v>42887</c:v>
                      </c:pt>
                      <c:pt idx="15">
                        <c:v>42979</c:v>
                      </c:pt>
                      <c:pt idx="16">
                        <c:v>43070</c:v>
                      </c:pt>
                      <c:pt idx="17">
                        <c:v>43160</c:v>
                      </c:pt>
                      <c:pt idx="18">
                        <c:v>43252</c:v>
                      </c:pt>
                      <c:pt idx="19">
                        <c:v>43344</c:v>
                      </c:pt>
                      <c:pt idx="20">
                        <c:v>43435</c:v>
                      </c:pt>
                      <c:pt idx="21">
                        <c:v>43525</c:v>
                      </c:pt>
                      <c:pt idx="22">
                        <c:v>43617</c:v>
                      </c:pt>
                      <c:pt idx="23">
                        <c:v>43709</c:v>
                      </c:pt>
                      <c:pt idx="24">
                        <c:v>43800</c:v>
                      </c:pt>
                      <c:pt idx="25">
                        <c:v>43891</c:v>
                      </c:pt>
                      <c:pt idx="26">
                        <c:v>43983</c:v>
                      </c:pt>
                      <c:pt idx="27">
                        <c:v>44075</c:v>
                      </c:pt>
                      <c:pt idx="28">
                        <c:v>44166</c:v>
                      </c:pt>
                      <c:pt idx="29">
                        <c:v>44256</c:v>
                      </c:pt>
                      <c:pt idx="30">
                        <c:v>44348</c:v>
                      </c:pt>
                      <c:pt idx="31">
                        <c:v>44440</c:v>
                      </c:pt>
                      <c:pt idx="32">
                        <c:v>44531</c:v>
                      </c:pt>
                      <c:pt idx="33">
                        <c:v>44621</c:v>
                      </c:pt>
                      <c:pt idx="34">
                        <c:v>44713</c:v>
                      </c:pt>
                      <c:pt idx="35">
                        <c:v>44805</c:v>
                      </c:pt>
                      <c:pt idx="36">
                        <c:v>44896</c:v>
                      </c:pt>
                      <c:pt idx="37">
                        <c:v>44986</c:v>
                      </c:pt>
                      <c:pt idx="38">
                        <c:v>45078</c:v>
                      </c:pt>
                      <c:pt idx="39">
                        <c:v>45170</c:v>
                      </c:pt>
                      <c:pt idx="40">
                        <c:v>45261</c:v>
                      </c:pt>
                      <c:pt idx="41">
                        <c:v>45352</c:v>
                      </c:pt>
                    </c:numCache>
                  </c:numRef>
                </c:cat>
                <c:val>
                  <c:numRef>
                    <c:extLst>
                      <c:ext uri="{02D57815-91ED-43cb-92C2-25804820EDAC}">
                        <c15:formulaRef>
                          <c15:sqref>'[Charts and data for economic and financial presentation.xlsx]Sheet2'!$J$2:$J$43</c15:sqref>
                        </c15:formulaRef>
                      </c:ext>
                    </c:extLst>
                    <c:numCache>
                      <c:formatCode>General</c:formatCode>
                      <c:ptCount val="42"/>
                      <c:pt idx="0">
                        <c:v>-0.30000000000000004</c:v>
                      </c:pt>
                      <c:pt idx="1">
                        <c:v>9.9999999999999978E-2</c:v>
                      </c:pt>
                      <c:pt idx="2">
                        <c:v>-9.9999999999999978E-2</c:v>
                      </c:pt>
                      <c:pt idx="3">
                        <c:v>0.30000000000000004</c:v>
                      </c:pt>
                      <c:pt idx="4">
                        <c:v>0.39999999999999997</c:v>
                      </c:pt>
                      <c:pt idx="5">
                        <c:v>0.2</c:v>
                      </c:pt>
                      <c:pt idx="6">
                        <c:v>-0.29999999999999993</c:v>
                      </c:pt>
                      <c:pt idx="7">
                        <c:v>0.30000000000000004</c:v>
                      </c:pt>
                      <c:pt idx="8">
                        <c:v>0</c:v>
                      </c:pt>
                      <c:pt idx="9">
                        <c:v>0.60000000000000009</c:v>
                      </c:pt>
                      <c:pt idx="10">
                        <c:v>0</c:v>
                      </c:pt>
                      <c:pt idx="11">
                        <c:v>0</c:v>
                      </c:pt>
                      <c:pt idx="12">
                        <c:v>-9.9999999999999978E-2</c:v>
                      </c:pt>
                      <c:pt idx="13">
                        <c:v>-9.9999999999999978E-2</c:v>
                      </c:pt>
                      <c:pt idx="14">
                        <c:v>0.2</c:v>
                      </c:pt>
                      <c:pt idx="15">
                        <c:v>0.20000000000000007</c:v>
                      </c:pt>
                      <c:pt idx="16">
                        <c:v>-9.9999999999999978E-2</c:v>
                      </c:pt>
                      <c:pt idx="17">
                        <c:v>0</c:v>
                      </c:pt>
                      <c:pt idx="18">
                        <c:v>0</c:v>
                      </c:pt>
                      <c:pt idx="19">
                        <c:v>0.6</c:v>
                      </c:pt>
                      <c:pt idx="20">
                        <c:v>0</c:v>
                      </c:pt>
                      <c:pt idx="21">
                        <c:v>0.5</c:v>
                      </c:pt>
                      <c:pt idx="22">
                        <c:v>-9.9999999999999978E-2</c:v>
                      </c:pt>
                      <c:pt idx="23">
                        <c:v>0.30000000000000004</c:v>
                      </c:pt>
                      <c:pt idx="24">
                        <c:v>-0.19999999999999996</c:v>
                      </c:pt>
                      <c:pt idx="25">
                        <c:v>0.10000000000000003</c:v>
                      </c:pt>
                      <c:pt idx="26">
                        <c:v>1.9</c:v>
                      </c:pt>
                      <c:pt idx="27">
                        <c:v>-1.2000000000000002</c:v>
                      </c:pt>
                      <c:pt idx="28">
                        <c:v>-0.4</c:v>
                      </c:pt>
                      <c:pt idx="29">
                        <c:v>-9.9999999999999978E-2</c:v>
                      </c:pt>
                      <c:pt idx="30">
                        <c:v>-0.5</c:v>
                      </c:pt>
                      <c:pt idx="31">
                        <c:v>9.9999999999999978E-2</c:v>
                      </c:pt>
                      <c:pt idx="32">
                        <c:v>-0.70000000000000007</c:v>
                      </c:pt>
                      <c:pt idx="33">
                        <c:v>-1.5</c:v>
                      </c:pt>
                      <c:pt idx="34">
                        <c:v>-1.2000000000000002</c:v>
                      </c:pt>
                      <c:pt idx="35">
                        <c:v>-0.40000000000000013</c:v>
                      </c:pt>
                      <c:pt idx="36">
                        <c:v>-1.0999999999999999</c:v>
                      </c:pt>
                      <c:pt idx="37">
                        <c:v>-0.59999999999999987</c:v>
                      </c:pt>
                      <c:pt idx="38">
                        <c:v>-0.20000000000000007</c:v>
                      </c:pt>
                      <c:pt idx="39">
                        <c:v>0.7</c:v>
                      </c:pt>
                      <c:pt idx="40">
                        <c:v>0.30000000000000004</c:v>
                      </c:pt>
                      <c:pt idx="41">
                        <c:v>-0.19999999999999996</c:v>
                      </c:pt>
                    </c:numCache>
                  </c:numRef>
                </c:val>
                <c:smooth val="0"/>
                <c:extLst>
                  <c:ext xmlns:c16="http://schemas.microsoft.com/office/drawing/2014/chart" uri="{C3380CC4-5D6E-409C-BE32-E72D297353CC}">
                    <c16:uniqueId val="{00000004-5862-435D-8AC4-3386C9EADEDD}"/>
                  </c:ext>
                </c:extLst>
              </c15:ser>
            </c15:filteredLineSeries>
            <c15:filteredLineSeries>
              <c15:ser>
                <c:idx val="2"/>
                <c:order val="2"/>
                <c:spPr>
                  <a:ln w="28575" cap="rnd">
                    <a:solidFill>
                      <a:schemeClr val="accent3"/>
                    </a:solidFill>
                    <a:round/>
                  </a:ln>
                  <a:effectLst/>
                </c:spPr>
                <c:marker>
                  <c:symbol val="none"/>
                </c:marker>
                <c:cat>
                  <c:numRef>
                    <c:extLst xmlns:c15="http://schemas.microsoft.com/office/drawing/2012/chart">
                      <c:ext xmlns:c15="http://schemas.microsoft.com/office/drawing/2012/chart" uri="{02D57815-91ED-43cb-92C2-25804820EDAC}">
                        <c15:formulaRef>
                          <c15:sqref>'[Charts and data for economic and financial presentation.xlsx]Sheet2'!$A$2:$A$43</c15:sqref>
                        </c15:formulaRef>
                      </c:ext>
                    </c:extLst>
                    <c:numCache>
                      <c:formatCode>mmm\-yyyy</c:formatCode>
                      <c:ptCount val="42"/>
                      <c:pt idx="0">
                        <c:v>41609</c:v>
                      </c:pt>
                      <c:pt idx="1">
                        <c:v>41699</c:v>
                      </c:pt>
                      <c:pt idx="2">
                        <c:v>41791</c:v>
                      </c:pt>
                      <c:pt idx="3">
                        <c:v>41883</c:v>
                      </c:pt>
                      <c:pt idx="4">
                        <c:v>41974</c:v>
                      </c:pt>
                      <c:pt idx="5">
                        <c:v>42064</c:v>
                      </c:pt>
                      <c:pt idx="6">
                        <c:v>42156</c:v>
                      </c:pt>
                      <c:pt idx="7">
                        <c:v>42248</c:v>
                      </c:pt>
                      <c:pt idx="8">
                        <c:v>42339</c:v>
                      </c:pt>
                      <c:pt idx="9">
                        <c:v>42430</c:v>
                      </c:pt>
                      <c:pt idx="10">
                        <c:v>42522</c:v>
                      </c:pt>
                      <c:pt idx="11">
                        <c:v>42614</c:v>
                      </c:pt>
                      <c:pt idx="12">
                        <c:v>42705</c:v>
                      </c:pt>
                      <c:pt idx="13">
                        <c:v>42795</c:v>
                      </c:pt>
                      <c:pt idx="14">
                        <c:v>42887</c:v>
                      </c:pt>
                      <c:pt idx="15">
                        <c:v>42979</c:v>
                      </c:pt>
                      <c:pt idx="16">
                        <c:v>43070</c:v>
                      </c:pt>
                      <c:pt idx="17">
                        <c:v>43160</c:v>
                      </c:pt>
                      <c:pt idx="18">
                        <c:v>43252</c:v>
                      </c:pt>
                      <c:pt idx="19">
                        <c:v>43344</c:v>
                      </c:pt>
                      <c:pt idx="20">
                        <c:v>43435</c:v>
                      </c:pt>
                      <c:pt idx="21">
                        <c:v>43525</c:v>
                      </c:pt>
                      <c:pt idx="22">
                        <c:v>43617</c:v>
                      </c:pt>
                      <c:pt idx="23">
                        <c:v>43709</c:v>
                      </c:pt>
                      <c:pt idx="24">
                        <c:v>43800</c:v>
                      </c:pt>
                      <c:pt idx="25">
                        <c:v>43891</c:v>
                      </c:pt>
                      <c:pt idx="26">
                        <c:v>43983</c:v>
                      </c:pt>
                      <c:pt idx="27">
                        <c:v>44075</c:v>
                      </c:pt>
                      <c:pt idx="28">
                        <c:v>44166</c:v>
                      </c:pt>
                      <c:pt idx="29">
                        <c:v>44256</c:v>
                      </c:pt>
                      <c:pt idx="30">
                        <c:v>44348</c:v>
                      </c:pt>
                      <c:pt idx="31">
                        <c:v>44440</c:v>
                      </c:pt>
                      <c:pt idx="32">
                        <c:v>44531</c:v>
                      </c:pt>
                      <c:pt idx="33">
                        <c:v>44621</c:v>
                      </c:pt>
                      <c:pt idx="34">
                        <c:v>44713</c:v>
                      </c:pt>
                      <c:pt idx="35">
                        <c:v>44805</c:v>
                      </c:pt>
                      <c:pt idx="36">
                        <c:v>44896</c:v>
                      </c:pt>
                      <c:pt idx="37">
                        <c:v>44986</c:v>
                      </c:pt>
                      <c:pt idx="38">
                        <c:v>45078</c:v>
                      </c:pt>
                      <c:pt idx="39">
                        <c:v>45170</c:v>
                      </c:pt>
                      <c:pt idx="40">
                        <c:v>45261</c:v>
                      </c:pt>
                      <c:pt idx="41">
                        <c:v>45352</c:v>
                      </c:pt>
                    </c:numCache>
                  </c:numRef>
                </c:cat>
                <c:val>
                  <c:numRef>
                    <c:extLst xmlns:c15="http://schemas.microsoft.com/office/drawing/2012/chart">
                      <c:ext xmlns:c15="http://schemas.microsoft.com/office/drawing/2012/chart" uri="{02D57815-91ED-43cb-92C2-25804820EDAC}">
                        <c15:formulaRef>
                          <c15:sqref>'[Charts and data for economic and financial presentation.xlsx]Sheet2'!$L$2:$L$43</c15:sqref>
                        </c15:formulaRef>
                      </c:ext>
                    </c:extLst>
                    <c:numCache>
                      <c:formatCode>General</c:formatCode>
                      <c:ptCount val="42"/>
                      <c:pt idx="0">
                        <c:v>-0.30000000000000004</c:v>
                      </c:pt>
                      <c:pt idx="1">
                        <c:v>0.19999999999999996</c:v>
                      </c:pt>
                      <c:pt idx="2">
                        <c:v>0</c:v>
                      </c:pt>
                      <c:pt idx="3">
                        <c:v>0.60000000000000009</c:v>
                      </c:pt>
                      <c:pt idx="4">
                        <c:v>0.49999999999999994</c:v>
                      </c:pt>
                      <c:pt idx="5">
                        <c:v>0.30000000000000004</c:v>
                      </c:pt>
                      <c:pt idx="6">
                        <c:v>0</c:v>
                      </c:pt>
                      <c:pt idx="7">
                        <c:v>0.30000000000000004</c:v>
                      </c:pt>
                      <c:pt idx="8">
                        <c:v>-0.19999999999999996</c:v>
                      </c:pt>
                      <c:pt idx="9">
                        <c:v>0.5</c:v>
                      </c:pt>
                      <c:pt idx="10">
                        <c:v>0</c:v>
                      </c:pt>
                      <c:pt idx="11">
                        <c:v>9.9999999999999978E-2</c:v>
                      </c:pt>
                      <c:pt idx="12">
                        <c:v>-0.29999999999999993</c:v>
                      </c:pt>
                      <c:pt idx="13">
                        <c:v>-0.30000000000000004</c:v>
                      </c:pt>
                      <c:pt idx="14">
                        <c:v>0.30000000000000004</c:v>
                      </c:pt>
                      <c:pt idx="15">
                        <c:v>0.30000000000000004</c:v>
                      </c:pt>
                      <c:pt idx="16">
                        <c:v>-9.9999999999999978E-2</c:v>
                      </c:pt>
                      <c:pt idx="17">
                        <c:v>-0.4</c:v>
                      </c:pt>
                      <c:pt idx="18">
                        <c:v>9.9999999999999978E-2</c:v>
                      </c:pt>
                      <c:pt idx="19">
                        <c:v>0.60000000000000009</c:v>
                      </c:pt>
                      <c:pt idx="20">
                        <c:v>0.30000000000000004</c:v>
                      </c:pt>
                      <c:pt idx="21">
                        <c:v>0.4</c:v>
                      </c:pt>
                      <c:pt idx="22">
                        <c:v>0.19999999999999996</c:v>
                      </c:pt>
                      <c:pt idx="23">
                        <c:v>0.30000000000000004</c:v>
                      </c:pt>
                      <c:pt idx="24">
                        <c:v>-0.20000000000000007</c:v>
                      </c:pt>
                      <c:pt idx="25">
                        <c:v>-0.4</c:v>
                      </c:pt>
                      <c:pt idx="26">
                        <c:v>1.7</c:v>
                      </c:pt>
                      <c:pt idx="27">
                        <c:v>-0.7</c:v>
                      </c:pt>
                      <c:pt idx="28">
                        <c:v>-0.8</c:v>
                      </c:pt>
                      <c:pt idx="29">
                        <c:v>0.3</c:v>
                      </c:pt>
                      <c:pt idx="30">
                        <c:v>0</c:v>
                      </c:pt>
                      <c:pt idx="31">
                        <c:v>9.9999999999999978E-2</c:v>
                      </c:pt>
                      <c:pt idx="32">
                        <c:v>-0.60000000000000009</c:v>
                      </c:pt>
                      <c:pt idx="33">
                        <c:v>-1.6999999999999997</c:v>
                      </c:pt>
                      <c:pt idx="34">
                        <c:v>-1.2000000000000002</c:v>
                      </c:pt>
                      <c:pt idx="35">
                        <c:v>-0.70000000000000018</c:v>
                      </c:pt>
                      <c:pt idx="36">
                        <c:v>-0.8</c:v>
                      </c:pt>
                      <c:pt idx="37">
                        <c:v>-0.5</c:v>
                      </c:pt>
                      <c:pt idx="38">
                        <c:v>9.9999999999999978E-2</c:v>
                      </c:pt>
                      <c:pt idx="39">
                        <c:v>0.19999999999999996</c:v>
                      </c:pt>
                      <c:pt idx="40">
                        <c:v>9.9999999999999978E-2</c:v>
                      </c:pt>
                      <c:pt idx="41">
                        <c:v>-0.4</c:v>
                      </c:pt>
                    </c:numCache>
                  </c:numRef>
                </c:val>
                <c:smooth val="0"/>
                <c:extLst xmlns:c15="http://schemas.microsoft.com/office/drawing/2012/chart">
                  <c:ext xmlns:c16="http://schemas.microsoft.com/office/drawing/2014/chart" uri="{C3380CC4-5D6E-409C-BE32-E72D297353CC}">
                    <c16:uniqueId val="{00000005-5862-435D-8AC4-3386C9EADEDD}"/>
                  </c:ext>
                </c:extLst>
              </c15:ser>
            </c15:filteredLineSeries>
          </c:ext>
        </c:extLst>
      </c:lineChart>
      <c:dateAx>
        <c:axId val="1124649176"/>
        <c:scaling>
          <c:orientation val="minMax"/>
          <c:min val="44256"/>
        </c:scaling>
        <c:delete val="0"/>
        <c:axPos val="b"/>
        <c:numFmt formatCode="mmm\-yy" sourceLinked="0"/>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Calibri" panose="020F0502020204030204" pitchFamily="34" charset="0"/>
                <a:ea typeface="+mn-ea"/>
                <a:cs typeface="Calibri" panose="020F0502020204030204" pitchFamily="34" charset="0"/>
              </a:defRPr>
            </a:pPr>
            <a:endParaRPr lang="en-US"/>
          </a:p>
        </c:txPr>
        <c:crossAx val="1124649536"/>
        <c:crosses val="autoZero"/>
        <c:auto val="1"/>
        <c:lblOffset val="100"/>
        <c:baseTimeUnit val="months"/>
        <c:majorUnit val="6"/>
        <c:majorTimeUnit val="months"/>
      </c:dateAx>
      <c:valAx>
        <c:axId val="1124649536"/>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Calibri" panose="020F0502020204030204" pitchFamily="34" charset="0"/>
                    <a:ea typeface="+mn-ea"/>
                    <a:cs typeface="Calibri" panose="020F0502020204030204" pitchFamily="34" charset="0"/>
                  </a:defRPr>
                </a:pPr>
                <a:r>
                  <a:rPr lang="en-AU">
                    <a:solidFill>
                      <a:sysClr val="windowText" lastClr="000000"/>
                    </a:solidFill>
                    <a:latin typeface="Calibri" panose="020F0502020204030204" pitchFamily="34" charset="0"/>
                    <a:cs typeface="Calibri" panose="020F0502020204030204" pitchFamily="34" charset="0"/>
                  </a:rPr>
                  <a:t>Percentage points</a:t>
                </a:r>
              </a:p>
            </c:rich>
          </c:tx>
          <c:layout>
            <c:manualLayout>
              <c:xMode val="edge"/>
              <c:yMode val="edge"/>
              <c:x val="1.4064697609001406E-2"/>
              <c:y val="0.20367536865462796"/>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Calibri" panose="020F0502020204030204" pitchFamily="34" charset="0"/>
                  <a:ea typeface="+mn-ea"/>
                  <a:cs typeface="Calibri" panose="020F050202020403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Calibri" panose="020F0502020204030204" pitchFamily="34" charset="0"/>
                <a:ea typeface="+mn-ea"/>
                <a:cs typeface="Calibri" panose="020F0502020204030204" pitchFamily="34" charset="0"/>
              </a:defRPr>
            </a:pPr>
            <a:endParaRPr lang="en-US"/>
          </a:p>
        </c:txPr>
        <c:crossAx val="11246491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Calibri "/>
              <a:ea typeface="+mn-ea"/>
              <a:cs typeface="Calibri Light" panose="020F030202020403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accent2"/>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2024-25 Budget</c:v>
          </c:tx>
          <c:spPr>
            <a:solidFill>
              <a:srgbClr val="148A5D">
                <a:alpha val="60000"/>
              </a:srgbClr>
            </a:solidFill>
            <a:ln>
              <a:noFill/>
            </a:ln>
            <a:effectLst/>
          </c:spPr>
          <c:invertIfNegative val="0"/>
          <c:dPt>
            <c:idx val="0"/>
            <c:invertIfNegative val="0"/>
            <c:bubble3D val="0"/>
            <c:spPr>
              <a:solidFill>
                <a:srgbClr val="148A5D"/>
              </a:solidFill>
              <a:ln>
                <a:noFill/>
              </a:ln>
              <a:effectLst/>
            </c:spPr>
            <c:extLst>
              <c:ext xmlns:c16="http://schemas.microsoft.com/office/drawing/2014/chart" uri="{C3380CC4-5D6E-409C-BE32-E72D297353CC}">
                <c16:uniqueId val="{00000001-B010-4DF5-BC5D-F31F99D4DC4C}"/>
              </c:ext>
            </c:extLst>
          </c:dPt>
          <c:cat>
            <c:strRef>
              <c:f>'[RBA, Treasury and DTF forecasts.xlsx]DTF (fiscal)'!$G$2:$L$2</c:f>
              <c:strCache>
                <c:ptCount val="6"/>
                <c:pt idx="0">
                  <c:v>2022-23</c:v>
                </c:pt>
                <c:pt idx="1">
                  <c:v>2023-24</c:v>
                </c:pt>
                <c:pt idx="2">
                  <c:v>2024-25</c:v>
                </c:pt>
                <c:pt idx="3">
                  <c:v>2025-26</c:v>
                </c:pt>
                <c:pt idx="4">
                  <c:v>2026-27</c:v>
                </c:pt>
                <c:pt idx="5">
                  <c:v>2027-28</c:v>
                </c:pt>
              </c:strCache>
            </c:strRef>
          </c:cat>
          <c:val>
            <c:numRef>
              <c:f>'[RBA, Treasury and DTF forecasts.xlsx]DTF (fiscal)'!$G$5:$L$5</c:f>
              <c:numCache>
                <c:formatCode>0.0</c:formatCode>
                <c:ptCount val="6"/>
                <c:pt idx="0">
                  <c:v>21.8</c:v>
                </c:pt>
                <c:pt idx="1">
                  <c:v>24</c:v>
                </c:pt>
                <c:pt idx="2">
                  <c:v>23.3</c:v>
                </c:pt>
                <c:pt idx="3">
                  <c:v>20.7</c:v>
                </c:pt>
                <c:pt idx="4">
                  <c:v>17.8</c:v>
                </c:pt>
                <c:pt idx="5">
                  <c:v>15.6</c:v>
                </c:pt>
              </c:numCache>
            </c:numRef>
          </c:val>
          <c:extLst>
            <c:ext xmlns:c16="http://schemas.microsoft.com/office/drawing/2014/chart" uri="{C3380CC4-5D6E-409C-BE32-E72D297353CC}">
              <c16:uniqueId val="{00000002-B010-4DF5-BC5D-F31F99D4DC4C}"/>
            </c:ext>
          </c:extLst>
        </c:ser>
        <c:dLbls>
          <c:showLegendKey val="0"/>
          <c:showVal val="0"/>
          <c:showCatName val="0"/>
          <c:showSerName val="0"/>
          <c:showPercent val="0"/>
          <c:showBubbleSize val="0"/>
        </c:dLbls>
        <c:gapWidth val="219"/>
        <c:axId val="977959624"/>
        <c:axId val="977959984"/>
      </c:barChart>
      <c:lineChart>
        <c:grouping val="standard"/>
        <c:varyColors val="0"/>
        <c:dLbls>
          <c:showLegendKey val="0"/>
          <c:showVal val="0"/>
          <c:showCatName val="0"/>
          <c:showSerName val="0"/>
          <c:showPercent val="0"/>
          <c:showBubbleSize val="0"/>
        </c:dLbls>
        <c:marker val="1"/>
        <c:smooth val="0"/>
        <c:axId val="977959624"/>
        <c:axId val="977959984"/>
        <c:extLst>
          <c:ext xmlns:c15="http://schemas.microsoft.com/office/drawing/2012/chart" uri="{02D57815-91ED-43cb-92C2-25804820EDAC}">
            <c15:filteredLineSeries>
              <c15:ser>
                <c:idx val="2"/>
                <c:order val="1"/>
                <c:spPr>
                  <a:ln w="28575" cap="rnd">
                    <a:solidFill>
                      <a:schemeClr val="accent1">
                        <a:lumMod val="60000"/>
                        <a:lumOff val="40000"/>
                      </a:schemeClr>
                    </a:solidFill>
                    <a:prstDash val="sysDot"/>
                    <a:round/>
                  </a:ln>
                  <a:effectLst/>
                </c:spPr>
                <c:marker>
                  <c:symbol val="none"/>
                </c:marker>
                <c:cat>
                  <c:strRef>
                    <c:extLst>
                      <c:ext uri="{02D57815-91ED-43cb-92C2-25804820EDAC}">
                        <c15:formulaRef>
                          <c15:sqref>'[RBA, Treasury and DTF forecasts.xlsx]DTF (fiscal)'!$G$2:$L$2</c15:sqref>
                        </c15:formulaRef>
                      </c:ext>
                    </c:extLst>
                    <c:strCache>
                      <c:ptCount val="6"/>
                      <c:pt idx="0">
                        <c:v>2022-23</c:v>
                      </c:pt>
                      <c:pt idx="1">
                        <c:v>2023-24</c:v>
                      </c:pt>
                      <c:pt idx="2">
                        <c:v>2024-25</c:v>
                      </c:pt>
                      <c:pt idx="3">
                        <c:v>2025-26</c:v>
                      </c:pt>
                      <c:pt idx="4">
                        <c:v>2026-27</c:v>
                      </c:pt>
                      <c:pt idx="5">
                        <c:v>2027-28</c:v>
                      </c:pt>
                    </c:strCache>
                  </c:strRef>
                </c:cat>
                <c:val>
                  <c:numRef>
                    <c:extLst>
                      <c:ext uri="{02D57815-91ED-43cb-92C2-25804820EDAC}">
                        <c15:formulaRef>
                          <c15:sqref>'[RBA, Treasury and DTF forecasts.xlsx]DTF (fiscal)'!$G$6:$L$6</c15:sqref>
                        </c15:formulaRef>
                      </c:ext>
                    </c:extLst>
                    <c:numCache>
                      <c:formatCode>General</c:formatCode>
                      <c:ptCount val="6"/>
                      <c:pt idx="2" formatCode="0.0">
                        <c:v>19.349999999999998</c:v>
                      </c:pt>
                      <c:pt idx="3" formatCode="0.0">
                        <c:v>19.349999999999998</c:v>
                      </c:pt>
                      <c:pt idx="4" formatCode="0.0">
                        <c:v>19.349999999999998</c:v>
                      </c:pt>
                      <c:pt idx="5" formatCode="0.0">
                        <c:v>19.349999999999998</c:v>
                      </c:pt>
                    </c:numCache>
                  </c:numRef>
                </c:val>
                <c:smooth val="0"/>
                <c:extLst>
                  <c:ext xmlns:c16="http://schemas.microsoft.com/office/drawing/2014/chart" uri="{C3380CC4-5D6E-409C-BE32-E72D297353CC}">
                    <c16:uniqueId val="{00000003-B010-4DF5-BC5D-F31F99D4DC4C}"/>
                  </c:ext>
                </c:extLst>
              </c15:ser>
            </c15:filteredLineSeries>
          </c:ext>
        </c:extLst>
      </c:lineChart>
      <c:catAx>
        <c:axId val="9779596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Calibri" panose="020F0502020204030204" pitchFamily="34" charset="0"/>
                <a:ea typeface="+mn-ea"/>
                <a:cs typeface="Calibri" panose="020F0502020204030204" pitchFamily="34" charset="0"/>
              </a:defRPr>
            </a:pPr>
            <a:endParaRPr lang="en-US"/>
          </a:p>
        </c:txPr>
        <c:crossAx val="977959984"/>
        <c:crosses val="autoZero"/>
        <c:auto val="1"/>
        <c:lblAlgn val="ctr"/>
        <c:lblOffset val="100"/>
        <c:noMultiLvlLbl val="0"/>
      </c:catAx>
      <c:valAx>
        <c:axId val="977959984"/>
        <c:scaling>
          <c:orientation val="minMax"/>
          <c:max val="3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Calibri" panose="020F0502020204030204" pitchFamily="34" charset="0"/>
                    <a:ea typeface="+mn-ea"/>
                    <a:cs typeface="Calibri" panose="020F0502020204030204" pitchFamily="34" charset="0"/>
                  </a:defRPr>
                </a:pPr>
                <a:r>
                  <a:rPr lang="en-AU">
                    <a:solidFill>
                      <a:sysClr val="windowText" lastClr="000000"/>
                    </a:solidFill>
                    <a:latin typeface="Calibri" panose="020F0502020204030204" pitchFamily="34" charset="0"/>
                    <a:cs typeface="Calibri" panose="020F0502020204030204" pitchFamily="34" charset="0"/>
                  </a:rPr>
                  <a:t>$</a:t>
                </a:r>
                <a:r>
                  <a:rPr lang="en-AU" baseline="0">
                    <a:solidFill>
                      <a:sysClr val="windowText" lastClr="000000"/>
                    </a:solidFill>
                    <a:latin typeface="Calibri" panose="020F0502020204030204" pitchFamily="34" charset="0"/>
                    <a:cs typeface="Calibri" panose="020F0502020204030204" pitchFamily="34" charset="0"/>
                  </a:rPr>
                  <a:t> billion</a:t>
                </a:r>
                <a:endParaRPr lang="en-AU">
                  <a:solidFill>
                    <a:sysClr val="windowText" lastClr="000000"/>
                  </a:solidFill>
                  <a:latin typeface="Calibri" panose="020F0502020204030204" pitchFamily="34" charset="0"/>
                  <a:cs typeface="Calibri" panose="020F0502020204030204" pitchFamily="34"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Calibri" panose="020F0502020204030204" pitchFamily="34" charset="0"/>
                  <a:ea typeface="+mn-ea"/>
                  <a:cs typeface="Calibri" panose="020F0502020204030204" pitchFamily="34" charset="0"/>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Calibri" panose="020F0502020204030204" pitchFamily="34" charset="0"/>
                <a:ea typeface="+mn-ea"/>
                <a:cs typeface="Calibri" panose="020F0502020204030204" pitchFamily="34" charset="0"/>
              </a:defRPr>
            </a:pPr>
            <a:endParaRPr lang="en-US"/>
          </a:p>
        </c:txPr>
        <c:crossAx val="97795962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accent2"/>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Operating result</c:v>
          </c:tx>
          <c:spPr>
            <a:solidFill>
              <a:srgbClr val="148A5D">
                <a:alpha val="60000"/>
              </a:srgbClr>
            </a:solidFill>
            <a:ln>
              <a:noFill/>
            </a:ln>
            <a:effectLst/>
          </c:spPr>
          <c:invertIfNegative val="0"/>
          <c:dPt>
            <c:idx val="0"/>
            <c:invertIfNegative val="0"/>
            <c:bubble3D val="0"/>
            <c:spPr>
              <a:solidFill>
                <a:srgbClr val="148A5D"/>
              </a:solidFill>
              <a:ln>
                <a:noFill/>
              </a:ln>
              <a:effectLst/>
            </c:spPr>
            <c:extLst>
              <c:ext xmlns:c16="http://schemas.microsoft.com/office/drawing/2014/chart" uri="{C3380CC4-5D6E-409C-BE32-E72D297353CC}">
                <c16:uniqueId val="{00000001-0017-4239-8ED1-88675C1A5B4B}"/>
              </c:ext>
            </c:extLst>
          </c:dPt>
          <c:cat>
            <c:strRef>
              <c:f>'[RBA, Treasury and DTF forecasts.xlsx]DTF (fiscal)'!$G$2:$L$2</c:f>
              <c:strCache>
                <c:ptCount val="6"/>
                <c:pt idx="0">
                  <c:v>2022-23</c:v>
                </c:pt>
                <c:pt idx="1">
                  <c:v>2023-24</c:v>
                </c:pt>
                <c:pt idx="2">
                  <c:v>2024-25</c:v>
                </c:pt>
                <c:pt idx="3">
                  <c:v>2025-26</c:v>
                </c:pt>
                <c:pt idx="4">
                  <c:v>2026-27</c:v>
                </c:pt>
                <c:pt idx="5">
                  <c:v>2027-28</c:v>
                </c:pt>
              </c:strCache>
            </c:strRef>
          </c:cat>
          <c:val>
            <c:numRef>
              <c:f>'[RBA, Treasury and DTF forecasts.xlsx]DTF (fiscal)'!$G$3:$L$3</c:f>
              <c:numCache>
                <c:formatCode>0.0</c:formatCode>
                <c:ptCount val="6"/>
                <c:pt idx="0">
                  <c:v>-8.8000000000000007</c:v>
                </c:pt>
                <c:pt idx="1">
                  <c:v>-4.5999999999999996</c:v>
                </c:pt>
                <c:pt idx="2">
                  <c:v>-2.2000000000000002</c:v>
                </c:pt>
                <c:pt idx="3">
                  <c:v>1.5</c:v>
                </c:pt>
                <c:pt idx="4">
                  <c:v>1.6</c:v>
                </c:pt>
                <c:pt idx="5">
                  <c:v>1.9</c:v>
                </c:pt>
              </c:numCache>
            </c:numRef>
          </c:val>
          <c:extLst>
            <c:ext xmlns:c16="http://schemas.microsoft.com/office/drawing/2014/chart" uri="{C3380CC4-5D6E-409C-BE32-E72D297353CC}">
              <c16:uniqueId val="{00000002-0017-4239-8ED1-88675C1A5B4B}"/>
            </c:ext>
          </c:extLst>
        </c:ser>
        <c:ser>
          <c:idx val="1"/>
          <c:order val="1"/>
          <c:tx>
            <c:v>Operating cash result</c:v>
          </c:tx>
          <c:spPr>
            <a:solidFill>
              <a:srgbClr val="70BA85">
                <a:alpha val="60000"/>
              </a:srgbClr>
            </a:solidFill>
            <a:ln>
              <a:noFill/>
            </a:ln>
            <a:effectLst/>
          </c:spPr>
          <c:invertIfNegative val="0"/>
          <c:dPt>
            <c:idx val="0"/>
            <c:invertIfNegative val="0"/>
            <c:bubble3D val="0"/>
            <c:spPr>
              <a:solidFill>
                <a:srgbClr val="70BA85"/>
              </a:solidFill>
              <a:ln>
                <a:noFill/>
              </a:ln>
              <a:effectLst/>
            </c:spPr>
            <c:extLst>
              <c:ext xmlns:c16="http://schemas.microsoft.com/office/drawing/2014/chart" uri="{C3380CC4-5D6E-409C-BE32-E72D297353CC}">
                <c16:uniqueId val="{00000004-0017-4239-8ED1-88675C1A5B4B}"/>
              </c:ext>
            </c:extLst>
          </c:dPt>
          <c:cat>
            <c:strRef>
              <c:f>'[RBA, Treasury and DTF forecasts.xlsx]DTF (fiscal)'!$G$2:$L$2</c:f>
              <c:strCache>
                <c:ptCount val="6"/>
                <c:pt idx="0">
                  <c:v>2022-23</c:v>
                </c:pt>
                <c:pt idx="1">
                  <c:v>2023-24</c:v>
                </c:pt>
                <c:pt idx="2">
                  <c:v>2024-25</c:v>
                </c:pt>
                <c:pt idx="3">
                  <c:v>2025-26</c:v>
                </c:pt>
                <c:pt idx="4">
                  <c:v>2026-27</c:v>
                </c:pt>
                <c:pt idx="5">
                  <c:v>2027-28</c:v>
                </c:pt>
              </c:strCache>
            </c:strRef>
          </c:cat>
          <c:val>
            <c:numRef>
              <c:f>'[RBA, Treasury and DTF forecasts.xlsx]DTF (fiscal)'!$G$4:$L$4</c:f>
              <c:numCache>
                <c:formatCode>0.0</c:formatCode>
                <c:ptCount val="6"/>
                <c:pt idx="0">
                  <c:v>4.2</c:v>
                </c:pt>
                <c:pt idx="1">
                  <c:v>0.4</c:v>
                </c:pt>
                <c:pt idx="2">
                  <c:v>1.8</c:v>
                </c:pt>
                <c:pt idx="3">
                  <c:v>6.9</c:v>
                </c:pt>
                <c:pt idx="4">
                  <c:v>6.8</c:v>
                </c:pt>
                <c:pt idx="5">
                  <c:v>6.1</c:v>
                </c:pt>
              </c:numCache>
            </c:numRef>
          </c:val>
          <c:extLst>
            <c:ext xmlns:c16="http://schemas.microsoft.com/office/drawing/2014/chart" uri="{C3380CC4-5D6E-409C-BE32-E72D297353CC}">
              <c16:uniqueId val="{00000005-0017-4239-8ED1-88675C1A5B4B}"/>
            </c:ext>
          </c:extLst>
        </c:ser>
        <c:dLbls>
          <c:showLegendKey val="0"/>
          <c:showVal val="0"/>
          <c:showCatName val="0"/>
          <c:showSerName val="0"/>
          <c:showPercent val="0"/>
          <c:showBubbleSize val="0"/>
        </c:dLbls>
        <c:gapWidth val="219"/>
        <c:overlap val="-27"/>
        <c:axId val="987358872"/>
        <c:axId val="987356352"/>
      </c:barChart>
      <c:dateAx>
        <c:axId val="987358872"/>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Calibri" panose="020F0502020204030204" pitchFamily="34" charset="0"/>
                <a:ea typeface="+mn-ea"/>
                <a:cs typeface="Calibri" panose="020F0502020204030204" pitchFamily="34" charset="0"/>
              </a:defRPr>
            </a:pPr>
            <a:endParaRPr lang="en-US"/>
          </a:p>
        </c:txPr>
        <c:crossAx val="987356352"/>
        <c:crossesAt val="0"/>
        <c:auto val="0"/>
        <c:lblOffset val="100"/>
        <c:baseTimeUnit val="days"/>
      </c:dateAx>
      <c:valAx>
        <c:axId val="987356352"/>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Calibri" panose="020F0502020204030204" pitchFamily="34" charset="0"/>
                    <a:ea typeface="+mn-ea"/>
                    <a:cs typeface="Calibri" panose="020F0502020204030204" pitchFamily="34" charset="0"/>
                  </a:defRPr>
                </a:pPr>
                <a:r>
                  <a:rPr lang="en-AU">
                    <a:solidFill>
                      <a:sysClr val="windowText" lastClr="000000"/>
                    </a:solidFill>
                    <a:latin typeface="Calibri" panose="020F0502020204030204" pitchFamily="34" charset="0"/>
                    <a:cs typeface="Calibri" panose="020F0502020204030204" pitchFamily="34" charset="0"/>
                  </a:rPr>
                  <a:t>$ billion</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Calibri" panose="020F0502020204030204" pitchFamily="34" charset="0"/>
                  <a:ea typeface="+mn-ea"/>
                  <a:cs typeface="Calibri" panose="020F0502020204030204" pitchFamily="34" charset="0"/>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Calibri" panose="020F0502020204030204" pitchFamily="34" charset="0"/>
                <a:ea typeface="+mn-ea"/>
                <a:cs typeface="Calibri" panose="020F0502020204030204" pitchFamily="34" charset="0"/>
              </a:defRPr>
            </a:pPr>
            <a:endParaRPr lang="en-US"/>
          </a:p>
        </c:txPr>
        <c:crossAx val="9873588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Calibri" panose="020F0502020204030204" pitchFamily="34" charset="0"/>
              <a:ea typeface="+mn-ea"/>
              <a:cs typeface="Calibri" panose="020F050202020403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accent2"/>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Net debt (left axis)</c:v>
          </c:tx>
          <c:spPr>
            <a:solidFill>
              <a:srgbClr val="29C598">
                <a:alpha val="60000"/>
              </a:srgbClr>
            </a:solidFill>
            <a:ln>
              <a:noFill/>
            </a:ln>
            <a:effectLst/>
          </c:spPr>
          <c:invertIfNegative val="0"/>
          <c:dPt>
            <c:idx val="0"/>
            <c:invertIfNegative val="0"/>
            <c:bubble3D val="0"/>
            <c:spPr>
              <a:solidFill>
                <a:srgbClr val="29C598"/>
              </a:solidFill>
              <a:ln>
                <a:noFill/>
              </a:ln>
              <a:effectLst/>
            </c:spPr>
            <c:extLst>
              <c:ext xmlns:c16="http://schemas.microsoft.com/office/drawing/2014/chart" uri="{C3380CC4-5D6E-409C-BE32-E72D297353CC}">
                <c16:uniqueId val="{00000001-1C70-4AF1-883D-5B950CAA7F80}"/>
              </c:ext>
            </c:extLst>
          </c:dPt>
          <c:cat>
            <c:strRef>
              <c:f>'[RBA, Treasury and DTF forecasts.xlsx]DTF (fiscal)'!$G$2:$L$2</c:f>
              <c:strCache>
                <c:ptCount val="6"/>
                <c:pt idx="0">
                  <c:v>2022-23</c:v>
                </c:pt>
                <c:pt idx="1">
                  <c:v>2023-24</c:v>
                </c:pt>
                <c:pt idx="2">
                  <c:v>2024-25</c:v>
                </c:pt>
                <c:pt idx="3">
                  <c:v>2025-26</c:v>
                </c:pt>
                <c:pt idx="4">
                  <c:v>2026-27</c:v>
                </c:pt>
                <c:pt idx="5">
                  <c:v>2027-28</c:v>
                </c:pt>
              </c:strCache>
            </c:strRef>
          </c:cat>
          <c:val>
            <c:numRef>
              <c:f>'[RBA, Treasury and DTF forecasts.xlsx]DTF (fiscal)'!$G$7:$L$7</c:f>
              <c:numCache>
                <c:formatCode>0.0</c:formatCode>
                <c:ptCount val="6"/>
                <c:pt idx="0">
                  <c:v>115</c:v>
                </c:pt>
                <c:pt idx="1">
                  <c:v>135.9</c:v>
                </c:pt>
                <c:pt idx="2">
                  <c:v>156.19999999999999</c:v>
                </c:pt>
                <c:pt idx="3">
                  <c:v>169.2</c:v>
                </c:pt>
                <c:pt idx="4">
                  <c:v>179.2</c:v>
                </c:pt>
                <c:pt idx="5">
                  <c:v>187.8</c:v>
                </c:pt>
              </c:numCache>
            </c:numRef>
          </c:val>
          <c:extLst>
            <c:ext xmlns:c16="http://schemas.microsoft.com/office/drawing/2014/chart" uri="{C3380CC4-5D6E-409C-BE32-E72D297353CC}">
              <c16:uniqueId val="{00000002-1C70-4AF1-883D-5B950CAA7F80}"/>
            </c:ext>
          </c:extLst>
        </c:ser>
        <c:dLbls>
          <c:showLegendKey val="0"/>
          <c:showVal val="0"/>
          <c:showCatName val="0"/>
          <c:showSerName val="0"/>
          <c:showPercent val="0"/>
          <c:showBubbleSize val="0"/>
        </c:dLbls>
        <c:gapWidth val="219"/>
        <c:axId val="1136872984"/>
        <c:axId val="1135675368"/>
      </c:barChart>
      <c:lineChart>
        <c:grouping val="standard"/>
        <c:varyColors val="0"/>
        <c:ser>
          <c:idx val="1"/>
          <c:order val="1"/>
          <c:tx>
            <c:v>Net debt to GSP (right axis)</c:v>
          </c:tx>
          <c:spPr>
            <a:ln w="28575" cap="rnd">
              <a:solidFill>
                <a:schemeClr val="accent1"/>
              </a:solidFill>
              <a:prstDash val="sysDot"/>
              <a:round/>
            </a:ln>
            <a:effectLst/>
          </c:spPr>
          <c:marker>
            <c:symbol val="none"/>
          </c:marker>
          <c:dPt>
            <c:idx val="1"/>
            <c:marker>
              <c:symbol val="none"/>
            </c:marker>
            <c:bubble3D val="0"/>
            <c:spPr>
              <a:ln w="28575" cap="rnd">
                <a:solidFill>
                  <a:schemeClr val="accent1"/>
                </a:solidFill>
                <a:prstDash val="solid"/>
                <a:round/>
              </a:ln>
              <a:effectLst/>
            </c:spPr>
            <c:extLst>
              <c:ext xmlns:c16="http://schemas.microsoft.com/office/drawing/2014/chart" uri="{C3380CC4-5D6E-409C-BE32-E72D297353CC}">
                <c16:uniqueId val="{00000004-1C70-4AF1-883D-5B950CAA7F80}"/>
              </c:ext>
            </c:extLst>
          </c:dPt>
          <c:cat>
            <c:strRef>
              <c:f>'[RBA, Treasury and DTF forecasts.xlsx]DTF (fiscal)'!$G$2:$L$2</c:f>
              <c:strCache>
                <c:ptCount val="6"/>
                <c:pt idx="0">
                  <c:v>2022-23</c:v>
                </c:pt>
                <c:pt idx="1">
                  <c:v>2023-24</c:v>
                </c:pt>
                <c:pt idx="2">
                  <c:v>2024-25</c:v>
                </c:pt>
                <c:pt idx="3">
                  <c:v>2025-26</c:v>
                </c:pt>
                <c:pt idx="4">
                  <c:v>2026-27</c:v>
                </c:pt>
                <c:pt idx="5">
                  <c:v>2027-28</c:v>
                </c:pt>
              </c:strCache>
            </c:strRef>
          </c:cat>
          <c:val>
            <c:numRef>
              <c:f>'[RBA, Treasury and DTF forecasts.xlsx]DTF (fiscal)'!$G$8:$L$8</c:f>
              <c:numCache>
                <c:formatCode>0.0</c:formatCode>
                <c:ptCount val="6"/>
                <c:pt idx="0">
                  <c:v>20.2</c:v>
                </c:pt>
                <c:pt idx="1">
                  <c:v>22.3</c:v>
                </c:pt>
                <c:pt idx="2">
                  <c:v>24.4</c:v>
                </c:pt>
                <c:pt idx="3">
                  <c:v>25.1</c:v>
                </c:pt>
                <c:pt idx="4">
                  <c:v>25.2</c:v>
                </c:pt>
                <c:pt idx="5">
                  <c:v>25.1</c:v>
                </c:pt>
              </c:numCache>
            </c:numRef>
          </c:val>
          <c:smooth val="0"/>
          <c:extLst>
            <c:ext xmlns:c16="http://schemas.microsoft.com/office/drawing/2014/chart" uri="{C3380CC4-5D6E-409C-BE32-E72D297353CC}">
              <c16:uniqueId val="{00000005-1C70-4AF1-883D-5B950CAA7F80}"/>
            </c:ext>
          </c:extLst>
        </c:ser>
        <c:dLbls>
          <c:showLegendKey val="0"/>
          <c:showVal val="0"/>
          <c:showCatName val="0"/>
          <c:showSerName val="0"/>
          <c:showPercent val="0"/>
          <c:showBubbleSize val="0"/>
        </c:dLbls>
        <c:marker val="1"/>
        <c:smooth val="0"/>
        <c:axId val="1076228816"/>
        <c:axId val="1154421408"/>
      </c:lineChart>
      <c:catAx>
        <c:axId val="113687298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Calibri" panose="020F0502020204030204" pitchFamily="34" charset="0"/>
                <a:ea typeface="+mn-ea"/>
                <a:cs typeface="Calibri" panose="020F0502020204030204" pitchFamily="34" charset="0"/>
              </a:defRPr>
            </a:pPr>
            <a:endParaRPr lang="en-US"/>
          </a:p>
        </c:txPr>
        <c:crossAx val="1135675368"/>
        <c:crosses val="autoZero"/>
        <c:auto val="1"/>
        <c:lblAlgn val="ctr"/>
        <c:lblOffset val="100"/>
        <c:noMultiLvlLbl val="0"/>
      </c:catAx>
      <c:valAx>
        <c:axId val="113567536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Calibri" panose="020F0502020204030204" pitchFamily="34" charset="0"/>
                    <a:ea typeface="+mn-ea"/>
                    <a:cs typeface="Calibri" panose="020F0502020204030204" pitchFamily="34" charset="0"/>
                  </a:defRPr>
                </a:pPr>
                <a:r>
                  <a:rPr lang="en-AU">
                    <a:solidFill>
                      <a:sysClr val="windowText" lastClr="000000"/>
                    </a:solidFill>
                    <a:latin typeface="Calibri" panose="020F0502020204030204" pitchFamily="34" charset="0"/>
                    <a:cs typeface="Calibri" panose="020F0502020204030204" pitchFamily="34" charset="0"/>
                  </a:rPr>
                  <a:t>$ billion</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Calibri" panose="020F0502020204030204" pitchFamily="34" charset="0"/>
                  <a:ea typeface="+mn-ea"/>
                  <a:cs typeface="Calibri" panose="020F0502020204030204" pitchFamily="34" charset="0"/>
                </a:defRPr>
              </a:pPr>
              <a:endParaRPr lang="en-US"/>
            </a:p>
          </c:txPr>
        </c:title>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Calibri" panose="020F0502020204030204" pitchFamily="34" charset="0"/>
                <a:ea typeface="+mn-ea"/>
                <a:cs typeface="Calibri" panose="020F0502020204030204" pitchFamily="34" charset="0"/>
              </a:defRPr>
            </a:pPr>
            <a:endParaRPr lang="en-US"/>
          </a:p>
        </c:txPr>
        <c:crossAx val="1136872984"/>
        <c:crosses val="autoZero"/>
        <c:crossBetween val="between"/>
      </c:valAx>
      <c:valAx>
        <c:axId val="1154421408"/>
        <c:scaling>
          <c:orientation val="minMax"/>
        </c:scaling>
        <c:delete val="0"/>
        <c:axPos val="r"/>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Calibri" panose="020F0502020204030204" pitchFamily="34" charset="0"/>
                    <a:ea typeface="+mn-ea"/>
                    <a:cs typeface="Calibri" panose="020F0502020204030204" pitchFamily="34" charset="0"/>
                  </a:defRPr>
                </a:pPr>
                <a:r>
                  <a:rPr lang="en-AU">
                    <a:solidFill>
                      <a:sysClr val="windowText" lastClr="000000"/>
                    </a:solidFill>
                    <a:latin typeface="Calibri" panose="020F0502020204030204" pitchFamily="34" charset="0"/>
                    <a:cs typeface="Calibri" panose="020F0502020204030204" pitchFamily="34" charset="0"/>
                  </a:rPr>
                  <a: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Calibri" panose="020F0502020204030204" pitchFamily="34" charset="0"/>
                  <a:ea typeface="+mn-ea"/>
                  <a:cs typeface="Calibri" panose="020F0502020204030204" pitchFamily="34" charset="0"/>
                </a:defRPr>
              </a:pPr>
              <a:endParaRPr lang="en-US"/>
            </a:p>
          </c:txPr>
        </c:title>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Calibri" panose="020F0502020204030204" pitchFamily="34" charset="0"/>
                <a:ea typeface="+mn-ea"/>
                <a:cs typeface="Calibri" panose="020F0502020204030204" pitchFamily="34" charset="0"/>
              </a:defRPr>
            </a:pPr>
            <a:endParaRPr lang="en-US"/>
          </a:p>
        </c:txPr>
        <c:crossAx val="1076228816"/>
        <c:crosses val="max"/>
        <c:crossBetween val="between"/>
      </c:valAx>
      <c:catAx>
        <c:axId val="1076228816"/>
        <c:scaling>
          <c:orientation val="minMax"/>
        </c:scaling>
        <c:delete val="1"/>
        <c:axPos val="b"/>
        <c:numFmt formatCode="General" sourceLinked="1"/>
        <c:majorTickMark val="out"/>
        <c:minorTickMark val="none"/>
        <c:tickLblPos val="nextTo"/>
        <c:crossAx val="1154421408"/>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Calibri" panose="020F0502020204030204" pitchFamily="34" charset="0"/>
              <a:ea typeface="+mn-ea"/>
              <a:cs typeface="Calibri" panose="020F050202020403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accent2"/>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Tribunal colours">
      <a:dk1>
        <a:sysClr val="windowText" lastClr="000000"/>
      </a:dk1>
      <a:lt1>
        <a:sysClr val="window" lastClr="FFFFFF"/>
      </a:lt1>
      <a:dk2>
        <a:srgbClr val="000000"/>
      </a:dk2>
      <a:lt2>
        <a:srgbClr val="FFFFFF"/>
      </a:lt2>
      <a:accent1>
        <a:srgbClr val="26664E"/>
      </a:accent1>
      <a:accent2>
        <a:srgbClr val="148A5D"/>
      </a:accent2>
      <a:accent3>
        <a:srgbClr val="70BA85"/>
      </a:accent3>
      <a:accent4>
        <a:srgbClr val="618179"/>
      </a:accent4>
      <a:accent5>
        <a:srgbClr val="29C598"/>
      </a:accent5>
      <a:accent6>
        <a:srgbClr val="4D4D4D"/>
      </a:accent6>
      <a:hlink>
        <a:srgbClr val="5F5F5F"/>
      </a:hlink>
      <a:folHlink>
        <a:srgbClr val="919191"/>
      </a:folHlink>
    </a:clrScheme>
    <a:fontScheme name="Tw Cen MT-Rockwell">
      <a:majorFont>
        <a:latin typeface="Tw Cen MT" panose="020B0602020104020603"/>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Rockwell" panose="02060603020205020403"/>
        <a:ea typeface=""/>
        <a:cs typeface=""/>
        <a:font script="Grek" typeface="Cambria"/>
        <a:font script="Cyrl" typeface="Cambria"/>
        <a:font script="Jpan" typeface="HG明朝B"/>
        <a:font script="Hang" typeface="바탕"/>
        <a:font script="Hans" typeface="方正姚体"/>
        <a:font script="Hant" typeface="標楷體"/>
        <a:font script="Arab" typeface="Times New Roman"/>
        <a:font script="Hebr" typeface="David"/>
        <a:font script="Thai" typeface="Jasmine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theme/themeOverride1.xml><?xml version="1.0" encoding="utf-8"?>
<a:themeOverride xmlns:a="http://schemas.openxmlformats.org/drawingml/2006/main">
  <a:clrScheme name="Tribunal colours">
    <a:dk1>
      <a:sysClr val="windowText" lastClr="000000"/>
    </a:dk1>
    <a:lt1>
      <a:sysClr val="window" lastClr="FFFFFF"/>
    </a:lt1>
    <a:dk2>
      <a:srgbClr val="000000"/>
    </a:dk2>
    <a:lt2>
      <a:srgbClr val="FFFFFF"/>
    </a:lt2>
    <a:accent1>
      <a:srgbClr val="26664E"/>
    </a:accent1>
    <a:accent2>
      <a:srgbClr val="148A5D"/>
    </a:accent2>
    <a:accent3>
      <a:srgbClr val="70BA85"/>
    </a:accent3>
    <a:accent4>
      <a:srgbClr val="618179"/>
    </a:accent4>
    <a:accent5>
      <a:srgbClr val="29C598"/>
    </a:accent5>
    <a:accent6>
      <a:srgbClr val="4D4D4D"/>
    </a:accent6>
    <a:hlink>
      <a:srgbClr val="5F5F5F"/>
    </a:hlink>
    <a:folHlink>
      <a:srgbClr val="919191"/>
    </a:folHlink>
  </a:clrScheme>
  <a:fontScheme name="Tw Cen MT-Rockwell">
    <a:majorFont>
      <a:latin typeface="Tw Cen MT" panose="020B0602020104020603"/>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Rockwell" panose="02060603020205020403"/>
      <a:ea typeface=""/>
      <a:cs typeface=""/>
      <a:font script="Grek" typeface="Cambria"/>
      <a:font script="Cyrl" typeface="Cambria"/>
      <a:font script="Jpan" typeface="HG明朝B"/>
      <a:font script="Hang" typeface="바탕"/>
      <a:font script="Hans" typeface="方正姚体"/>
      <a:font script="Hant" typeface="標楷體"/>
      <a:font script="Arab" typeface="Times New Roman"/>
      <a:font script="Hebr" typeface="David"/>
      <a:font script="Thai" typeface="Jasmine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Gas17</b:Tag>
    <b:SourceType>Report</b:SourceType>
    <b:Guid>{C0C5876A-B0AF-4276-AE08-18DD871FA9EA}</b:Guid>
    <b:Title>Building government’s Commercial Capability </b:Title>
    <b:City>London</b:City>
    <b:Year>2017</b:Year>
    <b:Author>
      <b:Author>
        <b:NameList>
          <b:Person>
            <b:Last>Gash</b:Last>
            <b:First>Tom</b:First>
          </b:Person>
        </b:NameList>
      </b:Author>
    </b:Author>
    <b:Publisher>Institute for Government</b:Publisher>
    <b:RefOrder>1</b:RefOrder>
  </b:Source>
</b:Sources>
</file>

<file path=customXml/item2.xml><?xml version="1.0" encoding="utf-8"?>
<ct:contentTypeSchema xmlns:ct="http://schemas.microsoft.com/office/2006/metadata/contentType" xmlns:ma="http://schemas.microsoft.com/office/2006/metadata/properties/metaAttributes" ct:_="" ma:_="" ma:contentTypeName="Document" ma:contentTypeID="0x010100958E11D9790CF74DAAE7686528C74D80" ma:contentTypeVersion="11" ma:contentTypeDescription="Create a new document." ma:contentTypeScope="" ma:versionID="6e5c3f1f25b4e679d04875373c580f5d">
  <xsd:schema xmlns:xsd="http://www.w3.org/2001/XMLSchema" xmlns:xs="http://www.w3.org/2001/XMLSchema" xmlns:p="http://schemas.microsoft.com/office/2006/metadata/properties" xmlns:ns2="b94e1e71-129c-4de1-afb3-2f736e137077" xmlns:ns3="fce0cbbd-9970-43b6-9355-fd97ff13673a" targetNamespace="http://schemas.microsoft.com/office/2006/metadata/properties" ma:root="true" ma:fieldsID="135534cd53b97185b628204b44def78a" ns2:_="" ns3:_="">
    <xsd:import namespace="b94e1e71-129c-4de1-afb3-2f736e137077"/>
    <xsd:import namespace="fce0cbbd-9970-43b6-9355-fd97ff13673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4e1e71-129c-4de1-afb3-2f736e1370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e0cbbd-9970-43b6-9355-fd97ff1367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fce0cbbd-9970-43b6-9355-fd97ff13673a">
      <UserInfo>
        <DisplayName>Lucy Nelms (DPC)</DisplayName>
        <AccountId>33</AccountId>
        <AccountType/>
      </UserInfo>
      <UserInfo>
        <DisplayName>Jenny Zhou (DPC)</DisplayName>
        <AccountId>87</AccountId>
        <AccountType/>
      </UserInfo>
      <UserInfo>
        <DisplayName>Nick Voukelatos (DPC)</DisplayName>
        <AccountId>7</AccountId>
        <AccountType/>
      </UserInfo>
      <UserInfo>
        <DisplayName>Barbara Aretino (DPC)</DisplayName>
        <AccountId>12</AccountId>
        <AccountType/>
      </UserInfo>
      <UserInfo>
        <DisplayName>Jack Lucas (DPC)</DisplayName>
        <AccountId>14</AccountId>
        <AccountType/>
      </UserInfo>
    </SharedWithUsers>
    <lcf76f155ced4ddcb4097134ff3c332f xmlns="b94e1e71-129c-4de1-afb3-2f736e137077">
      <Terms xmlns="http://schemas.microsoft.com/office/infopath/2007/PartnerControls"/>
    </lcf76f155ced4ddcb4097134ff3c332f>
  </documentManagement>
</p:properti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0FDE9B41-C7DA-47AC-AB2A-8D274FAF7CB8}">
  <ds:schemaRefs>
    <ds:schemaRef ds:uri="http://schemas.openxmlformats.org/officeDocument/2006/bibliography"/>
  </ds:schemaRefs>
</ds:datastoreItem>
</file>

<file path=customXml/itemProps2.xml><?xml version="1.0" encoding="utf-8"?>
<ds:datastoreItem xmlns:ds="http://schemas.openxmlformats.org/officeDocument/2006/customXml" ds:itemID="{AACBD532-C43B-4441-AE93-BDECCBFDDB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4e1e71-129c-4de1-afb3-2f736e137077"/>
    <ds:schemaRef ds:uri="fce0cbbd-9970-43b6-9355-fd97ff1367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9DEFD4-802E-4E71-B4B2-679B105ECDCC}">
  <ds:schemaRefs>
    <ds:schemaRef ds:uri="http://schemas.microsoft.com/sharepoint/v3/contenttype/forms"/>
  </ds:schemaRefs>
</ds:datastoreItem>
</file>

<file path=customXml/itemProps4.xml><?xml version="1.0" encoding="utf-8"?>
<ds:datastoreItem xmlns:ds="http://schemas.openxmlformats.org/officeDocument/2006/customXml" ds:itemID="{335EEBD3-4CCC-40CC-9E61-78DD41F898F9}">
  <ds:schemaRefs>
    <ds:schemaRef ds:uri="http://schemas.openxmlformats.org/package/2006/metadata/core-properties"/>
    <ds:schemaRef ds:uri="http://purl.org/dc/dcmitype/"/>
    <ds:schemaRef ds:uri="http://schemas.microsoft.com/office/infopath/2007/PartnerControls"/>
    <ds:schemaRef ds:uri="fce0cbbd-9970-43b6-9355-fd97ff13673a"/>
    <ds:schemaRef ds:uri="http://schemas.microsoft.com/office/2006/documentManagement/types"/>
    <ds:schemaRef ds:uri="http://schemas.microsoft.com/office/2006/metadata/properties"/>
    <ds:schemaRef ds:uri="http://purl.org/dc/terms/"/>
    <ds:schemaRef ds:uri="b94e1e71-129c-4de1-afb3-2f736e137077"/>
    <ds:schemaRef ds:uri="http://www.w3.org/XML/1998/namespace"/>
    <ds:schemaRef ds:uri="http://purl.org/dc/elements/1.1/"/>
  </ds:schemaRefs>
</ds:datastoreItem>
</file>

<file path=customXml/itemProps5.xml><?xml version="1.0" encoding="utf-8"?>
<ds:datastoreItem xmlns:ds="http://schemas.openxmlformats.org/officeDocument/2006/customXml" ds:itemID="{DD09B8FF-25D1-46C6-A34B-35A10150781B}">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8349</Words>
  <Characters>52686</Characters>
  <DocSecurity>2</DocSecurity>
  <Lines>1350</Lines>
  <Paragraphs>910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60125</CharactersWithSpaces>
  <SharedDoc>false</SharedDoc>
  <HLinks>
    <vt:vector size="162" baseType="variant">
      <vt:variant>
        <vt:i4>3080247</vt:i4>
      </vt:variant>
      <vt:variant>
        <vt:i4>135</vt:i4>
      </vt:variant>
      <vt:variant>
        <vt:i4>0</vt:i4>
      </vt:variant>
      <vt:variant>
        <vt:i4>5</vt:i4>
      </vt:variant>
      <vt:variant>
        <vt:lpwstr>https://www.dtf.vic.gov.au/state-financial-data-sets/other-financial-aggregates</vt:lpwstr>
      </vt:variant>
      <vt:variant>
        <vt:lpwstr/>
      </vt:variant>
      <vt:variant>
        <vt:i4>6094940</vt:i4>
      </vt:variant>
      <vt:variant>
        <vt:i4>132</vt:i4>
      </vt:variant>
      <vt:variant>
        <vt:i4>0</vt:i4>
      </vt:variant>
      <vt:variant>
        <vt:i4>5</vt:i4>
      </vt:variant>
      <vt:variant>
        <vt:lpwstr>https://www.abs.gov.au/methodologies/wage-price-index-australia-methodology/mar-2024</vt:lpwstr>
      </vt:variant>
      <vt:variant>
        <vt:lpwstr>glossary</vt:lpwstr>
      </vt:variant>
      <vt:variant>
        <vt:i4>3342369</vt:i4>
      </vt:variant>
      <vt:variant>
        <vt:i4>129</vt:i4>
      </vt:variant>
      <vt:variant>
        <vt:i4>0</vt:i4>
      </vt:variant>
      <vt:variant>
        <vt:i4>5</vt:i4>
      </vt:variant>
      <vt:variant>
        <vt:lpwstr>https://www.audit.vic.gov.au/report/auditor-generals-report-annual-financial-report-state-victoria-2022-23</vt:lpwstr>
      </vt:variant>
      <vt:variant>
        <vt:lpwstr/>
      </vt:variant>
      <vt:variant>
        <vt:i4>1376316</vt:i4>
      </vt:variant>
      <vt:variant>
        <vt:i4>122</vt:i4>
      </vt:variant>
      <vt:variant>
        <vt:i4>0</vt:i4>
      </vt:variant>
      <vt:variant>
        <vt:i4>5</vt:i4>
      </vt:variant>
      <vt:variant>
        <vt:lpwstr/>
      </vt:variant>
      <vt:variant>
        <vt:lpwstr>_Toc170383558</vt:lpwstr>
      </vt:variant>
      <vt:variant>
        <vt:i4>1376316</vt:i4>
      </vt:variant>
      <vt:variant>
        <vt:i4>116</vt:i4>
      </vt:variant>
      <vt:variant>
        <vt:i4>0</vt:i4>
      </vt:variant>
      <vt:variant>
        <vt:i4>5</vt:i4>
      </vt:variant>
      <vt:variant>
        <vt:lpwstr/>
      </vt:variant>
      <vt:variant>
        <vt:lpwstr>_Toc170383557</vt:lpwstr>
      </vt:variant>
      <vt:variant>
        <vt:i4>1376316</vt:i4>
      </vt:variant>
      <vt:variant>
        <vt:i4>110</vt:i4>
      </vt:variant>
      <vt:variant>
        <vt:i4>0</vt:i4>
      </vt:variant>
      <vt:variant>
        <vt:i4>5</vt:i4>
      </vt:variant>
      <vt:variant>
        <vt:lpwstr/>
      </vt:variant>
      <vt:variant>
        <vt:lpwstr>_Toc170383556</vt:lpwstr>
      </vt:variant>
      <vt:variant>
        <vt:i4>1376316</vt:i4>
      </vt:variant>
      <vt:variant>
        <vt:i4>104</vt:i4>
      </vt:variant>
      <vt:variant>
        <vt:i4>0</vt:i4>
      </vt:variant>
      <vt:variant>
        <vt:i4>5</vt:i4>
      </vt:variant>
      <vt:variant>
        <vt:lpwstr/>
      </vt:variant>
      <vt:variant>
        <vt:lpwstr>_Toc170383555</vt:lpwstr>
      </vt:variant>
      <vt:variant>
        <vt:i4>1376316</vt:i4>
      </vt:variant>
      <vt:variant>
        <vt:i4>98</vt:i4>
      </vt:variant>
      <vt:variant>
        <vt:i4>0</vt:i4>
      </vt:variant>
      <vt:variant>
        <vt:i4>5</vt:i4>
      </vt:variant>
      <vt:variant>
        <vt:lpwstr/>
      </vt:variant>
      <vt:variant>
        <vt:lpwstr>_Toc170383554</vt:lpwstr>
      </vt:variant>
      <vt:variant>
        <vt:i4>1376316</vt:i4>
      </vt:variant>
      <vt:variant>
        <vt:i4>92</vt:i4>
      </vt:variant>
      <vt:variant>
        <vt:i4>0</vt:i4>
      </vt:variant>
      <vt:variant>
        <vt:i4>5</vt:i4>
      </vt:variant>
      <vt:variant>
        <vt:lpwstr/>
      </vt:variant>
      <vt:variant>
        <vt:lpwstr>_Toc170383553</vt:lpwstr>
      </vt:variant>
      <vt:variant>
        <vt:i4>1376316</vt:i4>
      </vt:variant>
      <vt:variant>
        <vt:i4>86</vt:i4>
      </vt:variant>
      <vt:variant>
        <vt:i4>0</vt:i4>
      </vt:variant>
      <vt:variant>
        <vt:i4>5</vt:i4>
      </vt:variant>
      <vt:variant>
        <vt:lpwstr/>
      </vt:variant>
      <vt:variant>
        <vt:lpwstr>_Toc170383552</vt:lpwstr>
      </vt:variant>
      <vt:variant>
        <vt:i4>1376316</vt:i4>
      </vt:variant>
      <vt:variant>
        <vt:i4>80</vt:i4>
      </vt:variant>
      <vt:variant>
        <vt:i4>0</vt:i4>
      </vt:variant>
      <vt:variant>
        <vt:i4>5</vt:i4>
      </vt:variant>
      <vt:variant>
        <vt:lpwstr/>
      </vt:variant>
      <vt:variant>
        <vt:lpwstr>_Toc170383551</vt:lpwstr>
      </vt:variant>
      <vt:variant>
        <vt:i4>1376316</vt:i4>
      </vt:variant>
      <vt:variant>
        <vt:i4>74</vt:i4>
      </vt:variant>
      <vt:variant>
        <vt:i4>0</vt:i4>
      </vt:variant>
      <vt:variant>
        <vt:i4>5</vt:i4>
      </vt:variant>
      <vt:variant>
        <vt:lpwstr/>
      </vt:variant>
      <vt:variant>
        <vt:lpwstr>_Toc170383550</vt:lpwstr>
      </vt:variant>
      <vt:variant>
        <vt:i4>1310780</vt:i4>
      </vt:variant>
      <vt:variant>
        <vt:i4>68</vt:i4>
      </vt:variant>
      <vt:variant>
        <vt:i4>0</vt:i4>
      </vt:variant>
      <vt:variant>
        <vt:i4>5</vt:i4>
      </vt:variant>
      <vt:variant>
        <vt:lpwstr/>
      </vt:variant>
      <vt:variant>
        <vt:lpwstr>_Toc170383549</vt:lpwstr>
      </vt:variant>
      <vt:variant>
        <vt:i4>1310780</vt:i4>
      </vt:variant>
      <vt:variant>
        <vt:i4>62</vt:i4>
      </vt:variant>
      <vt:variant>
        <vt:i4>0</vt:i4>
      </vt:variant>
      <vt:variant>
        <vt:i4>5</vt:i4>
      </vt:variant>
      <vt:variant>
        <vt:lpwstr/>
      </vt:variant>
      <vt:variant>
        <vt:lpwstr>_Toc170383548</vt:lpwstr>
      </vt:variant>
      <vt:variant>
        <vt:i4>1310780</vt:i4>
      </vt:variant>
      <vt:variant>
        <vt:i4>56</vt:i4>
      </vt:variant>
      <vt:variant>
        <vt:i4>0</vt:i4>
      </vt:variant>
      <vt:variant>
        <vt:i4>5</vt:i4>
      </vt:variant>
      <vt:variant>
        <vt:lpwstr/>
      </vt:variant>
      <vt:variant>
        <vt:lpwstr>_Toc170383547</vt:lpwstr>
      </vt:variant>
      <vt:variant>
        <vt:i4>1310780</vt:i4>
      </vt:variant>
      <vt:variant>
        <vt:i4>50</vt:i4>
      </vt:variant>
      <vt:variant>
        <vt:i4>0</vt:i4>
      </vt:variant>
      <vt:variant>
        <vt:i4>5</vt:i4>
      </vt:variant>
      <vt:variant>
        <vt:lpwstr/>
      </vt:variant>
      <vt:variant>
        <vt:lpwstr>_Toc170383546</vt:lpwstr>
      </vt:variant>
      <vt:variant>
        <vt:i4>1310780</vt:i4>
      </vt:variant>
      <vt:variant>
        <vt:i4>44</vt:i4>
      </vt:variant>
      <vt:variant>
        <vt:i4>0</vt:i4>
      </vt:variant>
      <vt:variant>
        <vt:i4>5</vt:i4>
      </vt:variant>
      <vt:variant>
        <vt:lpwstr/>
      </vt:variant>
      <vt:variant>
        <vt:lpwstr>_Toc170383545</vt:lpwstr>
      </vt:variant>
      <vt:variant>
        <vt:i4>1310780</vt:i4>
      </vt:variant>
      <vt:variant>
        <vt:i4>38</vt:i4>
      </vt:variant>
      <vt:variant>
        <vt:i4>0</vt:i4>
      </vt:variant>
      <vt:variant>
        <vt:i4>5</vt:i4>
      </vt:variant>
      <vt:variant>
        <vt:lpwstr/>
      </vt:variant>
      <vt:variant>
        <vt:lpwstr>_Toc170383544</vt:lpwstr>
      </vt:variant>
      <vt:variant>
        <vt:i4>1310780</vt:i4>
      </vt:variant>
      <vt:variant>
        <vt:i4>32</vt:i4>
      </vt:variant>
      <vt:variant>
        <vt:i4>0</vt:i4>
      </vt:variant>
      <vt:variant>
        <vt:i4>5</vt:i4>
      </vt:variant>
      <vt:variant>
        <vt:lpwstr/>
      </vt:variant>
      <vt:variant>
        <vt:lpwstr>_Toc170383543</vt:lpwstr>
      </vt:variant>
      <vt:variant>
        <vt:i4>1310780</vt:i4>
      </vt:variant>
      <vt:variant>
        <vt:i4>26</vt:i4>
      </vt:variant>
      <vt:variant>
        <vt:i4>0</vt:i4>
      </vt:variant>
      <vt:variant>
        <vt:i4>5</vt:i4>
      </vt:variant>
      <vt:variant>
        <vt:lpwstr/>
      </vt:variant>
      <vt:variant>
        <vt:lpwstr>_Toc170383542</vt:lpwstr>
      </vt:variant>
      <vt:variant>
        <vt:i4>1310780</vt:i4>
      </vt:variant>
      <vt:variant>
        <vt:i4>20</vt:i4>
      </vt:variant>
      <vt:variant>
        <vt:i4>0</vt:i4>
      </vt:variant>
      <vt:variant>
        <vt:i4>5</vt:i4>
      </vt:variant>
      <vt:variant>
        <vt:lpwstr/>
      </vt:variant>
      <vt:variant>
        <vt:lpwstr>_Toc170383541</vt:lpwstr>
      </vt:variant>
      <vt:variant>
        <vt:i4>1310780</vt:i4>
      </vt:variant>
      <vt:variant>
        <vt:i4>14</vt:i4>
      </vt:variant>
      <vt:variant>
        <vt:i4>0</vt:i4>
      </vt:variant>
      <vt:variant>
        <vt:i4>5</vt:i4>
      </vt:variant>
      <vt:variant>
        <vt:lpwstr/>
      </vt:variant>
      <vt:variant>
        <vt:lpwstr>_Toc170383540</vt:lpwstr>
      </vt:variant>
      <vt:variant>
        <vt:i4>1245244</vt:i4>
      </vt:variant>
      <vt:variant>
        <vt:i4>8</vt:i4>
      </vt:variant>
      <vt:variant>
        <vt:i4>0</vt:i4>
      </vt:variant>
      <vt:variant>
        <vt:i4>5</vt:i4>
      </vt:variant>
      <vt:variant>
        <vt:lpwstr/>
      </vt:variant>
      <vt:variant>
        <vt:lpwstr>_Toc170383539</vt:lpwstr>
      </vt:variant>
      <vt:variant>
        <vt:i4>1245244</vt:i4>
      </vt:variant>
      <vt:variant>
        <vt:i4>2</vt:i4>
      </vt:variant>
      <vt:variant>
        <vt:i4>0</vt:i4>
      </vt:variant>
      <vt:variant>
        <vt:i4>5</vt:i4>
      </vt:variant>
      <vt:variant>
        <vt:lpwstr/>
      </vt:variant>
      <vt:variant>
        <vt:lpwstr>_Toc170383538</vt:lpwstr>
      </vt:variant>
      <vt:variant>
        <vt:i4>7078004</vt:i4>
      </vt:variant>
      <vt:variant>
        <vt:i4>6</vt:i4>
      </vt:variant>
      <vt:variant>
        <vt:i4>0</vt:i4>
      </vt:variant>
      <vt:variant>
        <vt:i4>5</vt:i4>
      </vt:variant>
      <vt:variant>
        <vt:lpwstr>https://www.fwc.gov.au/hearings-decisions/major-cases/annual-wage-reviews/annual-wage-review-2023-24/submissions-annual</vt:lpwstr>
      </vt:variant>
      <vt:variant>
        <vt:lpwstr/>
      </vt:variant>
      <vt:variant>
        <vt:i4>1376257</vt:i4>
      </vt:variant>
      <vt:variant>
        <vt:i4>3</vt:i4>
      </vt:variant>
      <vt:variant>
        <vt:i4>0</vt:i4>
      </vt:variant>
      <vt:variant>
        <vt:i4>5</vt:i4>
      </vt:variant>
      <vt:variant>
        <vt:lpwstr>https://www.fwc.gov.au/hearings-decisions/major-cases/annual-wage-reviews/annual-wage-review-2023-24</vt:lpwstr>
      </vt:variant>
      <vt:variant>
        <vt:lpwstr/>
      </vt:variant>
      <vt:variant>
        <vt:i4>6029318</vt:i4>
      </vt:variant>
      <vt:variant>
        <vt:i4>0</vt:i4>
      </vt:variant>
      <vt:variant>
        <vt:i4>0</vt:i4>
      </vt:variant>
      <vt:variant>
        <vt:i4>5</vt:i4>
      </vt:variant>
      <vt:variant>
        <vt:lpwstr>https://www.budget.vic.gov.au/budget-papers</vt:lpwstr>
      </vt:variant>
      <vt:variant>
        <vt:lpwstr>budget-paper-2-strategy-and-outlook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2024-06-20T00:06:00Z</cp:lastPrinted>
  <dcterms:created xsi:type="dcterms:W3CDTF">2024-07-01T02:53:00Z</dcterms:created>
  <dcterms:modified xsi:type="dcterms:W3CDTF">2024-07-01T02:53:00Z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87f7b4e8-b6f9-47ba-9908-e9f333e1dc92</vt:lpwstr>
  </property>
  <property fmtid="{D5CDD505-2E9C-101B-9397-08002B2CF9AE}" pid="3" name="PSPFClassification">
    <vt:lpwstr>Do Not Mark</vt:lpwstr>
  </property>
  <property fmtid="{D5CDD505-2E9C-101B-9397-08002B2CF9AE}" pid="4" name="ZOTERO_PREF_2">
    <vt:lpwstr> name="fieldType" value="Field"/&gt;&lt;/prefs&gt;&lt;/data&gt;</vt:lpwstr>
  </property>
  <property fmtid="{D5CDD505-2E9C-101B-9397-08002B2CF9AE}" pid="5" name="ContentTypeId">
    <vt:lpwstr>0x010100958E11D9790CF74DAAE7686528C74D80</vt:lpwstr>
  </property>
  <property fmtid="{D5CDD505-2E9C-101B-9397-08002B2CF9AE}" pid="6" name="ZOTERO_PREF_1">
    <vt:lpwstr>&lt;data data-version="3" zotero-version="5.0.74"&gt;&lt;session id="FBM6ATKm"/&gt;&lt;style id="http://www.zotero.org/styles/chicago-fullnote-bibliography" locale="en-GB" hasBibliography="1" bibliographyStyleHasBeenSet="1"/&gt;&lt;prefs&gt;&lt;pref name="noteType" value="1"/&gt;&lt;pref</vt:lpwstr>
  </property>
  <property fmtid="{D5CDD505-2E9C-101B-9397-08002B2CF9AE}" pid="7" name="ComplianceAssetId">
    <vt:lpwstr/>
  </property>
  <property fmtid="{D5CDD505-2E9C-101B-9397-08002B2CF9AE}" pid="8" name="MSIP_Label_17d22cff-4d41-44a1-a7ea-af857521bf50_Enabled">
    <vt:lpwstr>true</vt:lpwstr>
  </property>
  <property fmtid="{D5CDD505-2E9C-101B-9397-08002B2CF9AE}" pid="9" name="MSIP_Label_17d22cff-4d41-44a1-a7ea-af857521bf50_Method">
    <vt:lpwstr>Privileged</vt:lpwstr>
  </property>
  <property fmtid="{D5CDD505-2E9C-101B-9397-08002B2CF9AE}" pid="10" name="MSIP_Label_17d22cff-4d41-44a1-a7ea-af857521bf50_Name">
    <vt:lpwstr>17d22cff-4d41-44a1-a7ea-af857521bf50</vt:lpwstr>
  </property>
  <property fmtid="{D5CDD505-2E9C-101B-9397-08002B2CF9AE}" pid="11" name="MSIP_Label_17d22cff-4d41-44a1-a7ea-af857521bf50_SiteId">
    <vt:lpwstr>722ea0be-3e1c-4b11-ad6f-9401d6856e24</vt:lpwstr>
  </property>
  <property fmtid="{D5CDD505-2E9C-101B-9397-08002B2CF9AE}" pid="12" name="MSIP_Label_17d22cff-4d41-44a1-a7ea-af857521bf50_ContentBits">
    <vt:lpwstr>2</vt:lpwstr>
  </property>
  <property fmtid="{D5CDD505-2E9C-101B-9397-08002B2CF9AE}" pid="13" name="MSIP_Label_17d22cff-4d41-44a1-a7ea-af857521bf50_SetDate">
    <vt:lpwstr>2022-06-21T06:58:53Z</vt:lpwstr>
  </property>
  <property fmtid="{D5CDD505-2E9C-101B-9397-08002B2CF9AE}" pid="14" name="MSIP_Label_17d22cff-4d41-44a1-a7ea-af857521bf50_ActionId">
    <vt:lpwstr>eb0dbd89-817e-4162-aa28-936044aacc97</vt:lpwstr>
  </property>
  <property fmtid="{D5CDD505-2E9C-101B-9397-08002B2CF9AE}" pid="15" name="Order">
    <vt:r8>154200</vt:r8>
  </property>
  <property fmtid="{D5CDD505-2E9C-101B-9397-08002B2CF9AE}" pid="16" name="xd_Signature">
    <vt:bool>false</vt:bool>
  </property>
  <property fmtid="{D5CDD505-2E9C-101B-9397-08002B2CF9AE}" pid="17" name="xd_ProgID">
    <vt:lpwstr/>
  </property>
  <property fmtid="{D5CDD505-2E9C-101B-9397-08002B2CF9AE}" pid="18" name="TemplateUrl">
    <vt:lpwstr/>
  </property>
  <property fmtid="{D5CDD505-2E9C-101B-9397-08002B2CF9AE}" pid="19" name="_ExtendedDescription">
    <vt:lpwstr/>
  </property>
  <property fmtid="{D5CDD505-2E9C-101B-9397-08002B2CF9AE}" pid="20" name="TriggerFlowInfo">
    <vt:lpwstr/>
  </property>
  <property fmtid="{D5CDD505-2E9C-101B-9397-08002B2CF9AE}" pid="21" name="MediaServiceImageTags">
    <vt:lpwstr/>
  </property>
</Properties>
</file>