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2384C855" w14:textId="7942011F" w:rsidR="002B10E0" w:rsidRPr="008C63F4" w:rsidRDefault="002B10E0" w:rsidP="008C63F4">
      <w:pPr>
        <w:spacing w:after="180"/>
        <w:rPr>
          <w:rFonts w:cs="Calibri Light"/>
          <w:color w:val="FFFFFF" w:themeColor="background1"/>
          <w:szCs w:val="20"/>
        </w:rPr>
      </w:pPr>
      <w:r w:rsidRPr="008C63F4">
        <w:rPr>
          <w:rFonts w:cs="Calibri Light"/>
          <w:noProof/>
          <w:color w:val="FFFFFF" w:themeColor="background1"/>
          <w:szCs w:val="20"/>
        </w:rPr>
        <mc:AlternateContent>
          <mc:Choice Requires="wpg">
            <w:drawing>
              <wp:anchor distT="0" distB="0" distL="114300" distR="114300" simplePos="0" relativeHeight="251658249" behindDoc="1" locked="0" layoutInCell="1" allowOverlap="1" wp14:anchorId="60B16D63" wp14:editId="027BBAF8">
                <wp:simplePos x="0" y="0"/>
                <wp:positionH relativeFrom="page">
                  <wp:posOffset>-13648</wp:posOffset>
                </wp:positionH>
                <wp:positionV relativeFrom="paragraph">
                  <wp:posOffset>-1080135</wp:posOffset>
                </wp:positionV>
                <wp:extent cx="8081645" cy="23547705"/>
                <wp:effectExtent l="0" t="0" r="0" b="0"/>
                <wp:wrapNone/>
                <wp:docPr id="27" name="Group 27"/>
                <wp:cNvGraphicFramePr/>
                <a:graphic xmlns:a="http://schemas.openxmlformats.org/drawingml/2006/main">
                  <a:graphicData uri="http://schemas.microsoft.com/office/word/2010/wordprocessingGroup">
                    <wpg:wgp>
                      <wpg:cNvGrpSpPr/>
                      <wpg:grpSpPr>
                        <a:xfrm>
                          <a:off x="0" y="0"/>
                          <a:ext cx="8081645" cy="23547705"/>
                          <a:chOff x="75951" y="-239404"/>
                          <a:chExt cx="8082000" cy="23548104"/>
                        </a:xfrm>
                      </wpg:grpSpPr>
                      <pic:pic xmlns:pic="http://schemas.openxmlformats.org/drawingml/2006/picture">
                        <pic:nvPicPr>
                          <pic:cNvPr id="233" name="Picture 8"/>
                          <pic:cNvPicPr preferRelativeResize="0">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5951" y="-239404"/>
                            <a:ext cx="8082000" cy="23548104"/>
                          </a:xfrm>
                          <a:prstGeom prst="rect">
                            <a:avLst/>
                          </a:prstGeom>
                          <a:noFill/>
                        </pic:spPr>
                      </pic:pic>
                      <pic:pic xmlns:pic="http://schemas.openxmlformats.org/drawingml/2006/picture">
                        <pic:nvPicPr>
                          <pic:cNvPr id="234" name="Picture 234"/>
                          <pic:cNvPicPr preferRelativeResize="0">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958005" y="866150"/>
                            <a:ext cx="1735276" cy="1439071"/>
                          </a:xfrm>
                          <a:prstGeom prst="rect">
                            <a:avLst/>
                          </a:prstGeom>
                        </pic:spPr>
                      </pic:pic>
                    </wpg:wgp>
                  </a:graphicData>
                </a:graphic>
              </wp:anchor>
            </w:drawing>
          </mc:Choice>
          <mc:Fallback>
            <w:pict>
              <v:group w14:anchorId="2867C8A1" id="Group 27" o:spid="_x0000_s1026" style="position:absolute;margin-left:-1.05pt;margin-top:-85.05pt;width:636.35pt;height:1854.15pt;z-index:-251658231;mso-position-horizontal-relative:page" coordorigin="759,-2394" coordsize="80820,235481"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759;top:-2394;width:80820;height:23548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">
                  <v:imagedata r:id="rId14" o:title=""/>
                </v:shape>
                <v:shape id="Picture 234" o:spid="_x0000_s1028" type="#_x0000_t75" style="position:absolute;left:9580;top:8661;width:17352;height:143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">
                  <v:imagedata r:id="rId15" o:title=""/>
                </v:shape>
                <w10:wrap anchorx="page"/>
              </v:group>
            </w:pict>
          </mc:Fallback>
        </mc:AlternateContent>
      </w:r>
    </w:p>
    <w:p w14:paraId="38063A99" w14:textId="17A22101" w:rsidR="002B10E0" w:rsidRPr="008C63F4" w:rsidRDefault="00BD48FF" w:rsidP="008C63F4">
      <w:pPr>
        <w:spacing w:after="180"/>
        <w:rPr>
          <w:rFonts w:cs="Calibri Light"/>
          <w:color w:val="FFFFFF" w:themeColor="background1"/>
          <w:szCs w:val="20"/>
        </w:rPr>
      </w:pPr>
      <w:r w:rsidRPr="008C63F4">
        <w:rPr>
          <w:rFonts w:cs="Calibri Light"/>
          <w:color w:val="FFFFFF" w:themeColor="background1"/>
          <w:szCs w:val="20"/>
        </w:rPr>
        <w:tab/>
      </w:r>
    </w:p>
    <w:p w14:paraId="6202D1A0" w14:textId="77777777" w:rsidR="002B10E0" w:rsidRPr="008C63F4" w:rsidRDefault="002B10E0" w:rsidP="008C63F4">
      <w:pPr>
        <w:spacing w:after="180"/>
        <w:rPr>
          <w:rFonts w:cs="Calibri Light"/>
          <w:color w:val="FFFFFF" w:themeColor="background1"/>
          <w:szCs w:val="20"/>
        </w:rPr>
      </w:pPr>
    </w:p>
    <w:p w14:paraId="2130E35C" w14:textId="77777777" w:rsidR="002B10E0" w:rsidRPr="008C63F4" w:rsidRDefault="002B10E0" w:rsidP="008C63F4">
      <w:pPr>
        <w:spacing w:after="180"/>
        <w:rPr>
          <w:rFonts w:cs="Calibri Light"/>
          <w:color w:val="FFFFFF" w:themeColor="background1"/>
          <w:szCs w:val="20"/>
        </w:rPr>
      </w:pPr>
    </w:p>
    <w:p w14:paraId="6B8EFA0A" w14:textId="77777777" w:rsidR="002B10E0" w:rsidRPr="008C63F4" w:rsidRDefault="002B10E0" w:rsidP="008C63F4">
      <w:pPr>
        <w:spacing w:after="180"/>
        <w:rPr>
          <w:rFonts w:cs="Calibri Light"/>
          <w:color w:val="FFFFFF" w:themeColor="background1"/>
          <w:szCs w:val="20"/>
        </w:rPr>
      </w:pPr>
    </w:p>
    <w:p w14:paraId="671B459F" w14:textId="77777777" w:rsidR="002B10E0" w:rsidRPr="008C63F4" w:rsidRDefault="002B10E0" w:rsidP="00387877">
      <w:pPr>
        <w:spacing w:after="180"/>
        <w:rPr>
          <w:rFonts w:cs="Calibri Light"/>
          <w:color w:val="FFFFFF" w:themeColor="background1"/>
          <w:szCs w:val="20"/>
        </w:rPr>
      </w:pPr>
    </w:p>
    <w:p w14:paraId="136FF3BB" w14:textId="09C1F592" w:rsidR="002B10E0" w:rsidRPr="00692504" w:rsidRDefault="00F2536E" w:rsidP="00D55A99">
      <w:pPr>
        <w:ind w:left="-426" w:right="701"/>
        <w:jc w:val="left"/>
        <w:outlineLvl w:val="0"/>
        <w:rPr>
          <w:rFonts w:asciiTheme="minorHAnsi" w:hAnsiTheme="minorHAnsi" w:cs="@MS PMincho"/>
          <w:color w:val="FFFFFF" w:themeColor="background1"/>
          <w:sz w:val="68"/>
          <w:szCs w:val="68"/>
        </w:rPr>
      </w:pPr>
      <w:bookmarkStart w:id="0" w:name="_Hlk97559626"/>
      <w:bookmarkStart w:id="1" w:name="_Toc170391799"/>
      <w:bookmarkStart w:id="2" w:name="_Toc170396201"/>
      <w:r w:rsidRPr="00F2536E">
        <w:rPr>
          <w:rFonts w:asciiTheme="minorHAnsi" w:hAnsiTheme="minorHAnsi" w:cs="@MS PMincho"/>
          <w:color w:val="FFFFFF" w:themeColor="background1"/>
          <w:sz w:val="68"/>
          <w:szCs w:val="68"/>
        </w:rPr>
        <w:t>Remuneration Bands for Executives Employed in Public Service Bodies (Victoria) Determination No. 01/</w:t>
      </w:r>
      <w:bookmarkEnd w:id="0"/>
      <w:r w:rsidR="00ED47C0">
        <w:rPr>
          <w:rFonts w:asciiTheme="minorHAnsi" w:hAnsiTheme="minorHAnsi" w:cs="@MS PMincho"/>
          <w:color w:val="FFFFFF" w:themeColor="background1"/>
          <w:sz w:val="68"/>
          <w:szCs w:val="68"/>
        </w:rPr>
        <w:t>2024</w:t>
      </w:r>
      <w:bookmarkEnd w:id="1"/>
      <w:bookmarkEnd w:id="2"/>
    </w:p>
    <w:p w14:paraId="48E61756" w14:textId="77777777" w:rsidR="002B10E0" w:rsidRPr="00BD24F3" w:rsidRDefault="002B10E0" w:rsidP="002B10E0"/>
    <w:p w14:paraId="3E1A263E" w14:textId="77777777" w:rsidR="002B10E0" w:rsidRDefault="002B10E0" w:rsidP="002B10E0"/>
    <w:p w14:paraId="67A8496B" w14:textId="386DC4AC" w:rsidR="002B10E0" w:rsidRDefault="002B10E0" w:rsidP="002B10E0">
      <w:pPr>
        <w:tabs>
          <w:tab w:val="right" w:pos="8498"/>
        </w:tabs>
        <w:spacing w:after="80"/>
        <w:rPr>
          <w:b/>
          <w:bCs/>
        </w:rPr>
      </w:pPr>
      <w:r>
        <w:rPr>
          <w:b/>
          <w:bCs/>
        </w:rPr>
        <w:br w:type="page"/>
      </w:r>
    </w:p>
    <w:p w14:paraId="3E1584C8" w14:textId="77777777" w:rsidR="002B10E0" w:rsidRDefault="002B10E0" w:rsidP="00F2536E">
      <w:pPr>
        <w:pStyle w:val="05Paragraph"/>
      </w:pPr>
    </w:p>
    <w:p w14:paraId="5A93D09C" w14:textId="77777777" w:rsidR="002B10E0" w:rsidRDefault="002B10E0" w:rsidP="00F2536E">
      <w:pPr>
        <w:pStyle w:val="05Paragraph"/>
      </w:pPr>
    </w:p>
    <w:p w14:paraId="73B6D659" w14:textId="77777777" w:rsidR="002B10E0" w:rsidRDefault="002B10E0" w:rsidP="00F2536E">
      <w:pPr>
        <w:pStyle w:val="05Paragraph"/>
      </w:pPr>
    </w:p>
    <w:p w14:paraId="484A00D4" w14:textId="77777777" w:rsidR="002B10E0" w:rsidRDefault="002B10E0" w:rsidP="00F2536E">
      <w:pPr>
        <w:pStyle w:val="05Paragraph"/>
      </w:pPr>
    </w:p>
    <w:p w14:paraId="6264BD60" w14:textId="77777777" w:rsidR="002B10E0" w:rsidRDefault="002B10E0" w:rsidP="002B10E0">
      <w:pPr>
        <w:pStyle w:val="05Paragraph"/>
      </w:pPr>
    </w:p>
    <w:p w14:paraId="4DC1F84C" w14:textId="77777777" w:rsidR="002B10E0" w:rsidRDefault="002B10E0" w:rsidP="002B10E0">
      <w:pPr>
        <w:pStyle w:val="05Paragraph"/>
      </w:pPr>
    </w:p>
    <w:p w14:paraId="255F4F15" w14:textId="77777777" w:rsidR="002B10E0" w:rsidRDefault="002B10E0" w:rsidP="002B10E0">
      <w:pPr>
        <w:pStyle w:val="05Paragraph"/>
      </w:pPr>
    </w:p>
    <w:p w14:paraId="54699971" w14:textId="77777777" w:rsidR="002B10E0" w:rsidRDefault="002B10E0" w:rsidP="002B10E0">
      <w:pPr>
        <w:pStyle w:val="05Paragraph"/>
      </w:pPr>
    </w:p>
    <w:p w14:paraId="3B0EE4E4" w14:textId="77777777" w:rsidR="002B10E0" w:rsidRDefault="002B10E0" w:rsidP="002B10E0">
      <w:pPr>
        <w:pStyle w:val="05Paragraph"/>
      </w:pPr>
    </w:p>
    <w:p w14:paraId="70283AA9" w14:textId="77777777" w:rsidR="002B10E0" w:rsidRDefault="002B10E0" w:rsidP="002B10E0">
      <w:pPr>
        <w:pStyle w:val="05Paragraph"/>
      </w:pPr>
    </w:p>
    <w:p w14:paraId="2D73B6D1" w14:textId="77777777" w:rsidR="002B10E0" w:rsidRDefault="002B10E0" w:rsidP="002B10E0">
      <w:pPr>
        <w:pStyle w:val="05Paragraph"/>
      </w:pPr>
    </w:p>
    <w:p w14:paraId="6B888725" w14:textId="77777777" w:rsidR="002B10E0" w:rsidRDefault="002B10E0" w:rsidP="002B10E0">
      <w:pPr>
        <w:pStyle w:val="05Paragraph"/>
      </w:pPr>
    </w:p>
    <w:p w14:paraId="23E56F2D" w14:textId="77777777" w:rsidR="002B10E0" w:rsidRDefault="002B10E0" w:rsidP="002B10E0">
      <w:pPr>
        <w:pStyle w:val="05Paragraph"/>
      </w:pPr>
    </w:p>
    <w:p w14:paraId="3A9A7BFA" w14:textId="77777777" w:rsidR="002B10E0" w:rsidRDefault="002B10E0" w:rsidP="002B10E0">
      <w:pPr>
        <w:pStyle w:val="05Paragraph"/>
      </w:pPr>
    </w:p>
    <w:p w14:paraId="465EAAFC" w14:textId="77777777" w:rsidR="002B10E0" w:rsidRDefault="002B10E0" w:rsidP="002B10E0">
      <w:pPr>
        <w:pStyle w:val="05Paragraph"/>
      </w:pPr>
    </w:p>
    <w:p w14:paraId="7996AB27" w14:textId="77777777" w:rsidR="002B10E0" w:rsidRDefault="002B10E0" w:rsidP="002B10E0">
      <w:pPr>
        <w:pStyle w:val="05Paragraph"/>
      </w:pPr>
    </w:p>
    <w:p w14:paraId="02362FCD" w14:textId="77777777" w:rsidR="002B10E0" w:rsidRDefault="002B10E0" w:rsidP="002B10E0">
      <w:pPr>
        <w:pStyle w:val="05Paragraph"/>
      </w:pPr>
    </w:p>
    <w:p w14:paraId="76A6B371" w14:textId="77777777" w:rsidR="00F2536E" w:rsidRDefault="00F2536E" w:rsidP="002B10E0">
      <w:pPr>
        <w:pStyle w:val="05Paragraph"/>
      </w:pPr>
    </w:p>
    <w:p w14:paraId="2E406FF3" w14:textId="77777777" w:rsidR="00F2536E" w:rsidRDefault="00F2536E" w:rsidP="002B10E0">
      <w:pPr>
        <w:pStyle w:val="05Paragraph"/>
      </w:pPr>
    </w:p>
    <w:p w14:paraId="72306275" w14:textId="77777777" w:rsidR="002B10E0" w:rsidRDefault="002B10E0" w:rsidP="002B10E0">
      <w:pPr>
        <w:pStyle w:val="05Paragraph"/>
      </w:pPr>
    </w:p>
    <w:p w14:paraId="453E1D9C" w14:textId="77777777" w:rsidR="002B10E0" w:rsidRDefault="002B10E0" w:rsidP="002B10E0">
      <w:pPr>
        <w:pStyle w:val="05Paragraph"/>
      </w:pPr>
    </w:p>
    <w:p w14:paraId="7B02D44B" w14:textId="77777777" w:rsidR="002B10E0" w:rsidRDefault="002B10E0" w:rsidP="002B10E0">
      <w:pPr>
        <w:pStyle w:val="05Paragraph"/>
        <w:rPr>
          <w:b/>
          <w:bCs/>
        </w:rPr>
      </w:pPr>
      <w:r>
        <w:rPr>
          <w:noProof/>
        </w:rPr>
        <mc:AlternateContent>
          <mc:Choice Requires="wps">
            <w:drawing>
              <wp:anchor distT="0" distB="0" distL="114300" distR="114300" simplePos="0" relativeHeight="251658241" behindDoc="0" locked="0" layoutInCell="1" allowOverlap="1" wp14:anchorId="4D68E815" wp14:editId="4C9C54BB">
                <wp:simplePos x="0" y="0"/>
                <wp:positionH relativeFrom="column">
                  <wp:posOffset>-178435</wp:posOffset>
                </wp:positionH>
                <wp:positionV relativeFrom="paragraph">
                  <wp:posOffset>7371715</wp:posOffset>
                </wp:positionV>
                <wp:extent cx="3873500" cy="914400"/>
                <wp:effectExtent l="0" t="0" r="12700" b="19050"/>
                <wp:wrapNone/>
                <wp:docPr id="15" name="Text Box 15"/>
                <wp:cNvGraphicFramePr/>
                <a:graphic xmlns:a="http://schemas.openxmlformats.org/drawingml/2006/main">
                  <a:graphicData uri="http://schemas.microsoft.com/office/word/2010/wordprocessingShape">
                    <wps:wsp>
                      <wps:cNvSpPr txBox="1"/>
                      <wps:spPr>
                        <a:xfrm>
                          <a:off x="0" y="0"/>
                          <a:ext cx="3873500" cy="914400"/>
                        </a:xfrm>
                        <a:prstGeom prst="rect">
                          <a:avLst/>
                        </a:prstGeom>
                        <a:solidFill>
                          <a:schemeClr val="lt1"/>
                        </a:solidFill>
                        <a:ln w="6350">
                          <a:solidFill>
                            <a:prstClr val="black"/>
                          </a:solidFill>
                        </a:ln>
                      </wps:spPr>
                      <wps:txbx>
                        <w:txbxContent>
                          <w:p w14:paraId="32E1387D" w14:textId="77777777" w:rsidR="002B10E0" w:rsidRPr="00E1263E" w:rsidRDefault="002B10E0" w:rsidP="002B10E0">
                            <w:pPr>
                              <w:rPr>
                                <w:sz w:val="30"/>
                                <w:szCs w:val="30"/>
                              </w:rPr>
                            </w:pPr>
                            <w:r w:rsidRPr="00E1263E">
                              <w:rPr>
                                <w:sz w:val="30"/>
                                <w:szCs w:val="30"/>
                                <w:highlight w:val="yellow"/>
                              </w:rPr>
                              <w:t>ISBN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D68E815" id="_x0000_t202" coordsize="21600,21600" o:spt="202" path="m,l,21600r21600,l21600,xe">
                <v:stroke joinstyle="miter"/>
                <v:path gradientshapeok="t" o:connecttype="rect"/>
              </v:shapetype>
              <v:shape id="Text Box 15" o:spid="_x0000_s1026" type="#_x0000_t202" style="position:absolute;left:0;text-align:left;margin-left:-14.05pt;margin-top:580.45pt;width:305pt;height:1in;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" fillcolor="white [3201]" strokeweight=".5pt">
                <v:textbox>
                  <w:txbxContent>
                    <w:p w14:paraId="32E1387D" w14:textId="77777777" w:rsidR="002B10E0" w:rsidRPr="00E1263E" w:rsidRDefault="002B10E0" w:rsidP="002B10E0">
                      <w:pPr>
                        <w:rPr>
                          <w:sz w:val="30"/>
                          <w:szCs w:val="30"/>
                        </w:rPr>
                      </w:pPr>
                      <w:r w:rsidRPr="00E1263E">
                        <w:rPr>
                          <w:sz w:val="30"/>
                          <w:szCs w:val="30"/>
                          <w:highlight w:val="yellow"/>
                        </w:rPr>
                        <w:t>ISBN</w:t>
                      </w:r>
                    </w:p>
                  </w:txbxContent>
                </v:textbox>
              </v:shape>
            </w:pict>
          </mc:Fallback>
        </mc:AlternateContent>
      </w:r>
      <w:r>
        <w:rPr>
          <w:noProof/>
        </w:rPr>
        <w:drawing>
          <wp:anchor distT="0" distB="0" distL="114300" distR="114300" simplePos="0" relativeHeight="251658240" behindDoc="0" locked="0" layoutInCell="1" allowOverlap="0" wp14:anchorId="246B6160" wp14:editId="468378BD">
            <wp:simplePos x="0" y="0"/>
            <wp:positionH relativeFrom="page">
              <wp:posOffset>5537200</wp:posOffset>
            </wp:positionH>
            <wp:positionV relativeFrom="page">
              <wp:posOffset>1159510</wp:posOffset>
            </wp:positionV>
            <wp:extent cx="1540800" cy="9507600"/>
            <wp:effectExtent l="0" t="0" r="2540" b="0"/>
            <wp:wrapSquare wrapText="bothSides"/>
            <wp:docPr id="516" name="Picture 516" descr="A green and blue rectangles&#10;&#10;Description automatically generated"/>
            <wp:cNvGraphicFramePr/>
            <a:graphic xmlns:a="http://schemas.openxmlformats.org/drawingml/2006/main">
              <a:graphicData uri="http://schemas.openxmlformats.org/drawingml/2006/picture">
                <pic:pic xmlns:pic="http://schemas.openxmlformats.org/drawingml/2006/picture">
                  <pic:nvPicPr>
                    <pic:cNvPr id="516" name="Picture 516" descr="A green and blue rectangles&#10;&#10;Description automatically generated"/>
                    <pic:cNvPicPr/>
                  </pic:nvPicPr>
                  <pic:blipFill>
                    <a:blip r:embed="rId16"/>
                    <a:stretch>
                      <a:fillRect/>
                    </a:stretch>
                  </pic:blipFill>
                  <pic:spPr>
                    <a:xfrm>
                      <a:off x="0" y="0"/>
                      <a:ext cx="1540800" cy="9507600"/>
                    </a:xfrm>
                    <a:prstGeom prst="rect">
                      <a:avLst/>
                    </a:prstGeom>
                  </pic:spPr>
                </pic:pic>
              </a:graphicData>
            </a:graphic>
            <wp14:sizeRelH relativeFrom="margin">
              <wp14:pctWidth>0</wp14:pctWidth>
            </wp14:sizeRelH>
            <wp14:sizeRelV relativeFrom="margin">
              <wp14:pctHeight>0</wp14:pctHeight>
            </wp14:sizeRelV>
          </wp:anchor>
        </w:drawing>
      </w:r>
    </w:p>
    <w:p w14:paraId="1D15BC93" w14:textId="32A3B54F" w:rsidR="00422BA7" w:rsidRDefault="00422BA7" w:rsidP="002B10E0">
      <w:pPr>
        <w:spacing w:after="80"/>
        <w:rPr>
          <w:b/>
          <w:bCs/>
        </w:rPr>
        <w:sectPr w:rsidR="00422BA7" w:rsidSect="00422BA7">
          <w:headerReference w:type="even" r:id="rId17"/>
          <w:headerReference w:type="default" r:id="rId18"/>
          <w:footerReference w:type="even" r:id="rId19"/>
          <w:footerReference w:type="default" r:id="rId20"/>
          <w:headerReference w:type="first" r:id="rId21"/>
          <w:footerReference w:type="first" r:id="rId22"/>
          <w:pgSz w:w="11906" w:h="16838"/>
          <w:pgMar w:top="1701" w:right="1701" w:bottom="1559" w:left="1701" w:header="425" w:footer="709" w:gutter="0"/>
          <w:cols w:space="282"/>
          <w:docGrid w:linePitch="360"/>
        </w:sectPr>
      </w:pPr>
    </w:p>
    <w:tbl>
      <w:tblPr>
        <w:tblStyle w:val="ListTable3-Accent2"/>
        <w:tblW w:w="0" w:type="auto"/>
        <w:tblLook w:val="04A0" w:firstRow="1" w:lastRow="0" w:firstColumn="1" w:lastColumn="0" w:noHBand="0" w:noVBand="1"/>
      </w:tblPr>
      <w:tblGrid>
        <w:gridCol w:w="4292"/>
        <w:gridCol w:w="4206"/>
      </w:tblGrid>
      <w:tr w:rsidR="00B62251" w14:paraId="240FE24B" w14:textId="77777777" w:rsidTr="007A6E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92" w:type="dxa"/>
            <w:shd w:val="clear" w:color="auto" w:fill="auto"/>
            <w:tcMar>
              <w:left w:w="0" w:type="dxa"/>
            </w:tcMar>
          </w:tcPr>
          <w:p w14:paraId="65E1C3A2" w14:textId="3C44BB3B" w:rsidR="00B62251" w:rsidRDefault="00B62251" w:rsidP="007A19EF">
            <w:pPr>
              <w:pStyle w:val="VIRTHeading3"/>
            </w:pPr>
            <w:bookmarkStart w:id="3" w:name="_Toc169878453"/>
            <w:bookmarkStart w:id="4" w:name="_Hlk17960469"/>
            <w:r w:rsidRPr="00B62251">
              <w:lastRenderedPageBreak/>
              <w:t>DETERMINATION</w:t>
            </w:r>
            <w:bookmarkEnd w:id="3"/>
          </w:p>
        </w:tc>
        <w:tc>
          <w:tcPr>
            <w:tcW w:w="4206" w:type="dxa"/>
            <w:shd w:val="clear" w:color="auto" w:fill="auto"/>
          </w:tcPr>
          <w:p w14:paraId="211B015C" w14:textId="16842527" w:rsidR="00B62251" w:rsidRPr="00B62251" w:rsidRDefault="00B62251" w:rsidP="00B62251">
            <w:pPr>
              <w:spacing w:before="0" w:after="0"/>
              <w:jc w:val="right"/>
              <w:cnfStyle w:val="100000000000" w:firstRow="1" w:lastRow="0" w:firstColumn="0" w:lastColumn="0" w:oddVBand="0" w:evenVBand="0" w:oddHBand="0" w:evenHBand="0" w:firstRowFirstColumn="0" w:firstRowLastColumn="0" w:lastRowFirstColumn="0" w:lastRowLastColumn="0"/>
              <w:rPr>
                <w:b w:val="0"/>
              </w:rPr>
            </w:pPr>
            <w:r w:rsidRPr="00E00273">
              <w:rPr>
                <w:b w:val="0"/>
                <w:color w:val="auto"/>
              </w:rPr>
              <w:t>[20</w:t>
            </w:r>
            <w:r w:rsidR="005E4F8A" w:rsidRPr="00E00273">
              <w:rPr>
                <w:b w:val="0"/>
                <w:color w:val="auto"/>
              </w:rPr>
              <w:t>2</w:t>
            </w:r>
            <w:r w:rsidR="00E00273" w:rsidRPr="00E00273">
              <w:rPr>
                <w:b w:val="0"/>
                <w:color w:val="auto"/>
              </w:rPr>
              <w:t>4</w:t>
            </w:r>
            <w:r w:rsidRPr="00E00273">
              <w:rPr>
                <w:b w:val="0"/>
                <w:color w:val="auto"/>
              </w:rPr>
              <w:t>] D</w:t>
            </w:r>
            <w:r w:rsidR="003844C7" w:rsidRPr="00E00273">
              <w:rPr>
                <w:b w:val="0"/>
                <w:color w:val="auto"/>
              </w:rPr>
              <w:t>V</w:t>
            </w:r>
            <w:r w:rsidR="005E4F8A" w:rsidRPr="00E00273">
              <w:rPr>
                <w:b w:val="0"/>
                <w:color w:val="auto"/>
              </w:rPr>
              <w:t>PS</w:t>
            </w:r>
            <w:r w:rsidRPr="00E00273">
              <w:rPr>
                <w:b w:val="0"/>
                <w:color w:val="auto"/>
              </w:rPr>
              <w:t xml:space="preserve"> 01</w:t>
            </w:r>
          </w:p>
        </w:tc>
      </w:tr>
    </w:tbl>
    <w:p w14:paraId="47E51B7A" w14:textId="589C2ABA" w:rsidR="00EA197F" w:rsidRPr="003C3D2A" w:rsidRDefault="00EA197F" w:rsidP="00B62251">
      <w:pPr>
        <w:contextualSpacing/>
        <w:jc w:val="left"/>
        <w:rPr>
          <w:color w:val="auto"/>
        </w:rPr>
      </w:pPr>
      <w:r w:rsidRPr="003C3D2A">
        <w:rPr>
          <w:i/>
          <w:color w:val="auto"/>
        </w:rPr>
        <w:t>Victorian Independent Remuneration Tribunal and Improving Parliamentary Standards Act 2019</w:t>
      </w:r>
      <w:r w:rsidRPr="003C3D2A">
        <w:rPr>
          <w:color w:val="auto"/>
        </w:rPr>
        <w:t xml:space="preserve"> (Vic)</w:t>
      </w:r>
    </w:p>
    <w:p w14:paraId="1FC34E9D" w14:textId="2BB4B054" w:rsidR="00B62251" w:rsidRPr="003C3D2A" w:rsidRDefault="00E374B7" w:rsidP="00433B91">
      <w:pPr>
        <w:jc w:val="left"/>
        <w:rPr>
          <w:color w:val="auto"/>
        </w:rPr>
      </w:pPr>
      <w:r w:rsidRPr="003C3D2A">
        <w:rPr>
          <w:color w:val="auto"/>
        </w:rPr>
        <w:t>Part 3</w:t>
      </w:r>
      <w:r w:rsidR="00EA197F" w:rsidRPr="003C3D2A">
        <w:rPr>
          <w:color w:val="auto"/>
        </w:rPr>
        <w:t xml:space="preserve">—Determination </w:t>
      </w:r>
      <w:r w:rsidR="005E4F8A" w:rsidRPr="003C3D2A">
        <w:rPr>
          <w:color w:val="auto"/>
        </w:rPr>
        <w:t>of the remuneration bands for executives employed in public service bodies</w:t>
      </w:r>
      <w:r w:rsidR="00CB1397" w:rsidRPr="003C3D2A">
        <w:rPr>
          <w:color w:val="auto"/>
        </w:rPr>
        <w:t>.</w:t>
      </w:r>
    </w:p>
    <w:p w14:paraId="482A30FC" w14:textId="10DFEE64" w:rsidR="00630EDC" w:rsidRDefault="00244229" w:rsidP="007A19EF">
      <w:pPr>
        <w:pStyle w:val="VIRTHeading3"/>
      </w:pPr>
      <w:bookmarkStart w:id="5" w:name="_Toc169878454"/>
      <w:r w:rsidRPr="00AD341C">
        <w:rPr>
          <w:sz w:val="44"/>
          <w:szCs w:val="44"/>
        </w:rPr>
        <w:t xml:space="preserve">Remuneration Bands for Executives Employed in </w:t>
      </w:r>
      <w:r w:rsidR="00CA494E" w:rsidRPr="00AD341C">
        <w:rPr>
          <w:sz w:val="44"/>
          <w:szCs w:val="44"/>
        </w:rPr>
        <w:t>Public Service Bodies</w:t>
      </w:r>
      <w:r w:rsidR="00235B52" w:rsidRPr="00AD341C">
        <w:rPr>
          <w:sz w:val="44"/>
          <w:szCs w:val="44"/>
        </w:rPr>
        <w:t xml:space="preserve"> (Victoria)</w:t>
      </w:r>
      <w:r w:rsidR="00B62251" w:rsidRPr="00AD341C">
        <w:rPr>
          <w:sz w:val="44"/>
          <w:szCs w:val="44"/>
        </w:rPr>
        <w:t xml:space="preserve"> Determination </w:t>
      </w:r>
      <w:r w:rsidR="00225D03" w:rsidRPr="00AD341C">
        <w:rPr>
          <w:rFonts w:cs="Calibri Light"/>
          <w:sz w:val="44"/>
          <w:szCs w:val="44"/>
        </w:rPr>
        <w:t>No</w:t>
      </w:r>
      <w:r w:rsidR="00235B52" w:rsidRPr="00AD341C">
        <w:rPr>
          <w:rFonts w:cs="Calibri Light"/>
          <w:sz w:val="44"/>
          <w:szCs w:val="44"/>
        </w:rPr>
        <w:t>.</w:t>
      </w:r>
      <w:r w:rsidR="00B62251" w:rsidRPr="00AD341C">
        <w:rPr>
          <w:sz w:val="44"/>
          <w:szCs w:val="44"/>
        </w:rPr>
        <w:t xml:space="preserve"> 01</w:t>
      </w:r>
      <w:r w:rsidR="00235B52" w:rsidRPr="00AD341C">
        <w:rPr>
          <w:sz w:val="44"/>
          <w:szCs w:val="44"/>
        </w:rPr>
        <w:t>/</w:t>
      </w:r>
      <w:r w:rsidR="00B62251" w:rsidRPr="00AD341C">
        <w:rPr>
          <w:sz w:val="44"/>
          <w:szCs w:val="44"/>
        </w:rPr>
        <w:t>20</w:t>
      </w:r>
      <w:r w:rsidR="00CA494E" w:rsidRPr="00AD341C">
        <w:rPr>
          <w:sz w:val="44"/>
          <w:szCs w:val="44"/>
        </w:rPr>
        <w:t>2</w:t>
      </w:r>
      <w:r w:rsidR="00E00273" w:rsidRPr="00AD341C">
        <w:rPr>
          <w:sz w:val="44"/>
          <w:szCs w:val="44"/>
        </w:rPr>
        <w:t>4</w:t>
      </w:r>
      <w:bookmarkEnd w:id="5"/>
      <w:r w:rsidR="00012DBA">
        <w:br/>
      </w:r>
      <w:bookmarkStart w:id="6" w:name="_Toc169878455"/>
      <w:r w:rsidR="00630EDC" w:rsidRPr="00C24017">
        <w:rPr>
          <w:noProof/>
        </w:rPr>
        <w:drawing>
          <wp:inline distT="0" distB="0" distL="0" distR="0" wp14:anchorId="215EBDFB" wp14:editId="4AAB014D">
            <wp:extent cx="2218055" cy="2546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8055" cy="254635"/>
                    </a:xfrm>
                    <a:prstGeom prst="rect">
                      <a:avLst/>
                    </a:prstGeom>
                    <a:noFill/>
                  </pic:spPr>
                </pic:pic>
              </a:graphicData>
            </a:graphic>
          </wp:inline>
        </w:drawing>
      </w:r>
      <w:bookmarkEnd w:id="6"/>
    </w:p>
    <w:p w14:paraId="77D8EDCF" w14:textId="60982757" w:rsidR="00240367" w:rsidRDefault="00192523" w:rsidP="007A19EF">
      <w:pPr>
        <w:pStyle w:val="VIRTHeading3"/>
      </w:pPr>
      <w:bookmarkStart w:id="7" w:name="_Toc169878456"/>
      <w:r>
        <w:t>Table of contents</w:t>
      </w:r>
      <w:bookmarkEnd w:id="7"/>
      <w:r>
        <w:t xml:space="preserve"> </w:t>
      </w:r>
    </w:p>
    <w:p w14:paraId="1320C9D4" w14:textId="55D7AC8E" w:rsidR="00240367" w:rsidRPr="00D132A3" w:rsidRDefault="00433B91" w:rsidP="00D9606D">
      <w:pPr>
        <w:pStyle w:val="Instrumenttableofcontents"/>
        <w:spacing w:before="60" w:after="60"/>
        <w:rPr>
          <w:rFonts w:cs="Calibri Light"/>
          <w:b/>
          <w:bCs w:val="0"/>
        </w:rPr>
      </w:pPr>
      <w:r w:rsidRPr="00D132A3">
        <w:rPr>
          <w:rFonts w:cs="Calibri Light"/>
          <w:b/>
          <w:bCs w:val="0"/>
        </w:rPr>
        <w:t>Part 1 – Legal matters and definitions</w:t>
      </w:r>
    </w:p>
    <w:p w14:paraId="4E03AC56" w14:textId="577F4DFB" w:rsidR="00433B91" w:rsidRPr="00D132A3" w:rsidRDefault="00433B91" w:rsidP="00052D06">
      <w:pPr>
        <w:pStyle w:val="Instrumenttableofcontents"/>
        <w:numPr>
          <w:ilvl w:val="0"/>
          <w:numId w:val="7"/>
        </w:numPr>
        <w:spacing w:before="60" w:after="60"/>
        <w:rPr>
          <w:rFonts w:cs="Calibri Light"/>
        </w:rPr>
      </w:pPr>
      <w:r w:rsidRPr="00D132A3">
        <w:rPr>
          <w:rFonts w:cs="Calibri Light"/>
        </w:rPr>
        <w:t>Title</w:t>
      </w:r>
    </w:p>
    <w:p w14:paraId="49DF74BE" w14:textId="239E115E" w:rsidR="00433B91" w:rsidRPr="00D132A3" w:rsidRDefault="00433B91" w:rsidP="00052D06">
      <w:pPr>
        <w:pStyle w:val="Instrumenttableofcontents"/>
        <w:numPr>
          <w:ilvl w:val="0"/>
          <w:numId w:val="7"/>
        </w:numPr>
        <w:spacing w:before="60" w:after="60"/>
        <w:rPr>
          <w:rFonts w:cs="Calibri Light"/>
        </w:rPr>
      </w:pPr>
      <w:r w:rsidRPr="00D132A3">
        <w:rPr>
          <w:rFonts w:cs="Calibri Light"/>
        </w:rPr>
        <w:t xml:space="preserve">Effective </w:t>
      </w:r>
      <w:r w:rsidR="004510B4" w:rsidRPr="00D132A3">
        <w:rPr>
          <w:rFonts w:cs="Calibri Light"/>
        </w:rPr>
        <w:t>d</w:t>
      </w:r>
      <w:r w:rsidRPr="00D132A3">
        <w:rPr>
          <w:rFonts w:cs="Calibri Light"/>
        </w:rPr>
        <w:t>ate</w:t>
      </w:r>
    </w:p>
    <w:p w14:paraId="1540DC84" w14:textId="770E5C98" w:rsidR="00433B91" w:rsidRPr="00D132A3" w:rsidRDefault="00433B91" w:rsidP="00052D06">
      <w:pPr>
        <w:pStyle w:val="Instrumenttableofcontents"/>
        <w:numPr>
          <w:ilvl w:val="0"/>
          <w:numId w:val="7"/>
        </w:numPr>
        <w:spacing w:before="60" w:after="60"/>
        <w:rPr>
          <w:rFonts w:cs="Calibri Light"/>
        </w:rPr>
      </w:pPr>
      <w:r w:rsidRPr="00D132A3">
        <w:rPr>
          <w:rFonts w:cs="Calibri Light"/>
        </w:rPr>
        <w:t>Definitions</w:t>
      </w:r>
    </w:p>
    <w:p w14:paraId="7D032242" w14:textId="77CD9293" w:rsidR="00433B91" w:rsidRPr="00D132A3" w:rsidRDefault="00433B91" w:rsidP="00052D06">
      <w:pPr>
        <w:pStyle w:val="Instrumenttableofcontents"/>
        <w:numPr>
          <w:ilvl w:val="0"/>
          <w:numId w:val="7"/>
        </w:numPr>
        <w:spacing w:before="60" w:after="60"/>
        <w:rPr>
          <w:rFonts w:cs="Calibri Light"/>
        </w:rPr>
      </w:pPr>
      <w:r w:rsidRPr="00D132A3">
        <w:rPr>
          <w:rFonts w:cs="Calibri Light"/>
        </w:rPr>
        <w:t>Coverage and application</w:t>
      </w:r>
    </w:p>
    <w:p w14:paraId="247CF97B" w14:textId="478056A2" w:rsidR="00433B91" w:rsidRPr="00D132A3" w:rsidRDefault="00433B91" w:rsidP="00D9606D">
      <w:pPr>
        <w:pStyle w:val="Instrumenttableofcontents"/>
        <w:spacing w:before="60" w:after="60"/>
        <w:rPr>
          <w:rFonts w:cs="Calibri Light"/>
          <w:b/>
          <w:bCs w:val="0"/>
        </w:rPr>
      </w:pPr>
      <w:r w:rsidRPr="00D132A3">
        <w:rPr>
          <w:rFonts w:cs="Calibri Light"/>
          <w:b/>
          <w:bCs w:val="0"/>
        </w:rPr>
        <w:t xml:space="preserve">Part 2 – </w:t>
      </w:r>
      <w:r w:rsidR="003062E5" w:rsidRPr="00D132A3">
        <w:rPr>
          <w:rFonts w:cs="Calibri Light"/>
          <w:b/>
          <w:bCs w:val="0"/>
        </w:rPr>
        <w:t>Remuneration bands</w:t>
      </w:r>
      <w:r w:rsidR="00210E02" w:rsidRPr="00D132A3">
        <w:rPr>
          <w:rFonts w:cs="Calibri Light"/>
          <w:b/>
          <w:bCs w:val="0"/>
        </w:rPr>
        <w:t xml:space="preserve"> for </w:t>
      </w:r>
      <w:r w:rsidR="00CB6767">
        <w:rPr>
          <w:rFonts w:cs="Calibri Light"/>
          <w:b/>
          <w:bCs w:val="0"/>
        </w:rPr>
        <w:t xml:space="preserve">the </w:t>
      </w:r>
      <w:r w:rsidR="00B3007C">
        <w:rPr>
          <w:b/>
        </w:rPr>
        <w:t>senior executive service</w:t>
      </w:r>
    </w:p>
    <w:p w14:paraId="350FC0D6" w14:textId="218854E1" w:rsidR="00433B91" w:rsidRPr="00D132A3" w:rsidRDefault="00B3007C" w:rsidP="00052D06">
      <w:pPr>
        <w:pStyle w:val="Instrumenttableofcontents"/>
        <w:numPr>
          <w:ilvl w:val="0"/>
          <w:numId w:val="7"/>
        </w:numPr>
        <w:spacing w:before="60" w:after="60"/>
        <w:rPr>
          <w:rFonts w:cs="Calibri Light"/>
        </w:rPr>
      </w:pPr>
      <w:r>
        <w:rPr>
          <w:rFonts w:cs="Calibri Light"/>
        </w:rPr>
        <w:t>S</w:t>
      </w:r>
      <w:r w:rsidRPr="00B3007C">
        <w:rPr>
          <w:rFonts w:cs="Calibri Light"/>
        </w:rPr>
        <w:t xml:space="preserve">enior executive service </w:t>
      </w:r>
    </w:p>
    <w:p w14:paraId="74DE4A96" w14:textId="52F005BC" w:rsidR="00210E02" w:rsidRPr="00D132A3" w:rsidRDefault="00210E02" w:rsidP="00D9606D">
      <w:pPr>
        <w:pStyle w:val="Instrumenttableofcontents"/>
        <w:spacing w:before="60" w:after="60"/>
        <w:rPr>
          <w:rFonts w:cs="Calibri Light"/>
          <w:b/>
          <w:bCs w:val="0"/>
        </w:rPr>
      </w:pPr>
      <w:r w:rsidRPr="00D132A3">
        <w:rPr>
          <w:rFonts w:cs="Calibri Light"/>
          <w:b/>
          <w:bCs w:val="0"/>
        </w:rPr>
        <w:t>Part 3 – Remuneration bands for public service body Heads</w:t>
      </w:r>
    </w:p>
    <w:p w14:paraId="0DAD7B1A" w14:textId="03FE9547" w:rsidR="005E4F8A" w:rsidRPr="00D132A3" w:rsidRDefault="005E4F8A" w:rsidP="00052D06">
      <w:pPr>
        <w:pStyle w:val="Instrumenttableofcontents"/>
        <w:numPr>
          <w:ilvl w:val="0"/>
          <w:numId w:val="7"/>
        </w:numPr>
        <w:spacing w:before="60" w:after="60"/>
        <w:rPr>
          <w:rFonts w:cs="Calibri Light"/>
        </w:rPr>
      </w:pPr>
      <w:r w:rsidRPr="00D132A3">
        <w:rPr>
          <w:rFonts w:cs="Calibri Light"/>
        </w:rPr>
        <w:t>Administrative Office</w:t>
      </w:r>
      <w:r w:rsidR="002C444C" w:rsidRPr="00D132A3">
        <w:rPr>
          <w:rFonts w:cs="Calibri Light"/>
        </w:rPr>
        <w:t xml:space="preserve"> Heads</w:t>
      </w:r>
    </w:p>
    <w:p w14:paraId="6873B0A4" w14:textId="2DC26818" w:rsidR="00433B91" w:rsidRPr="00D132A3" w:rsidRDefault="00CA494E" w:rsidP="00052D06">
      <w:pPr>
        <w:pStyle w:val="Instrumenttableofcontents"/>
        <w:numPr>
          <w:ilvl w:val="0"/>
          <w:numId w:val="7"/>
        </w:numPr>
        <w:spacing w:before="60" w:after="60"/>
        <w:rPr>
          <w:rFonts w:cs="Calibri Light"/>
        </w:rPr>
      </w:pPr>
      <w:r w:rsidRPr="00D132A3">
        <w:rPr>
          <w:rFonts w:cs="Calibri Light"/>
        </w:rPr>
        <w:t>Department</w:t>
      </w:r>
      <w:r w:rsidR="002C444C" w:rsidRPr="00D132A3">
        <w:rPr>
          <w:rFonts w:cs="Calibri Light"/>
        </w:rPr>
        <w:t xml:space="preserve"> Heads</w:t>
      </w:r>
      <w:r w:rsidRPr="00D132A3">
        <w:rPr>
          <w:rFonts w:cs="Calibri Light"/>
        </w:rPr>
        <w:t xml:space="preserve"> and the Victorian Public Sector Commission</w:t>
      </w:r>
      <w:r w:rsidR="003062E5" w:rsidRPr="00D132A3">
        <w:rPr>
          <w:rFonts w:cs="Calibri Light"/>
        </w:rPr>
        <w:t>er</w:t>
      </w:r>
    </w:p>
    <w:p w14:paraId="58BFEF03" w14:textId="1987DF0F" w:rsidR="001B50A7" w:rsidRPr="00D132A3" w:rsidRDefault="00102816" w:rsidP="00D9606D">
      <w:pPr>
        <w:pStyle w:val="Instrumenttableofcontents"/>
        <w:spacing w:before="60" w:after="60"/>
        <w:rPr>
          <w:rFonts w:cs="Calibri Light"/>
          <w:b/>
          <w:bCs w:val="0"/>
        </w:rPr>
      </w:pPr>
      <w:r w:rsidRPr="00D132A3">
        <w:rPr>
          <w:rFonts w:cs="Calibri Light"/>
          <w:b/>
          <w:bCs w:val="0"/>
        </w:rPr>
        <w:t>Statement of Reasons</w:t>
      </w:r>
    </w:p>
    <w:p w14:paraId="0C850464" w14:textId="77777777" w:rsidR="001B50A7" w:rsidRDefault="001B50A7">
      <w:pPr>
        <w:spacing w:before="0" w:after="80" w:line="240" w:lineRule="auto"/>
        <w:jc w:val="left"/>
        <w:rPr>
          <w:b/>
        </w:rPr>
      </w:pPr>
      <w:r>
        <w:rPr>
          <w:b/>
        </w:rPr>
        <w:br w:type="page"/>
      </w:r>
    </w:p>
    <w:p w14:paraId="2992F33C" w14:textId="77777777" w:rsidR="00192523" w:rsidRPr="005422DA" w:rsidRDefault="00192523" w:rsidP="007A19EF">
      <w:pPr>
        <w:pStyle w:val="VIRTHeading3"/>
      </w:pPr>
      <w:bookmarkStart w:id="8" w:name="_Toc169878457"/>
      <w:r w:rsidRPr="00620E77">
        <w:lastRenderedPageBreak/>
        <w:t>Part</w:t>
      </w:r>
      <w:r w:rsidRPr="005422DA">
        <w:t xml:space="preserve"> 1 – </w:t>
      </w:r>
      <w:r w:rsidRPr="00156E39">
        <w:t>Legal</w:t>
      </w:r>
      <w:r w:rsidRPr="005422DA">
        <w:t xml:space="preserve"> matters and definitions</w:t>
      </w:r>
      <w:bookmarkEnd w:id="8"/>
    </w:p>
    <w:p w14:paraId="263A3C91" w14:textId="438DC766" w:rsidR="00192523" w:rsidRPr="00E00273" w:rsidRDefault="00192523" w:rsidP="00052D06">
      <w:pPr>
        <w:pStyle w:val="ListParagraph"/>
        <w:numPr>
          <w:ilvl w:val="0"/>
          <w:numId w:val="6"/>
        </w:numPr>
        <w:ind w:left="357" w:hanging="357"/>
        <w:contextualSpacing w:val="0"/>
        <w:rPr>
          <w:color w:val="auto"/>
        </w:rPr>
      </w:pPr>
      <w:r w:rsidRPr="00E00273">
        <w:rPr>
          <w:b/>
          <w:color w:val="auto"/>
        </w:rPr>
        <w:t>Title:</w:t>
      </w:r>
      <w:r w:rsidRPr="00E00273">
        <w:rPr>
          <w:color w:val="auto"/>
        </w:rPr>
        <w:t xml:space="preserve"> This Determination is the </w:t>
      </w:r>
      <w:r w:rsidR="00540652" w:rsidRPr="00E00273">
        <w:rPr>
          <w:color w:val="auto"/>
        </w:rPr>
        <w:t>Remuneration Bands for Executives Employed in Public Service Bodies (Victoria) Determination No. 01/202</w:t>
      </w:r>
      <w:r w:rsidR="004C51D4">
        <w:rPr>
          <w:color w:val="auto"/>
        </w:rPr>
        <w:t>4</w:t>
      </w:r>
      <w:r w:rsidR="00540652" w:rsidRPr="00E00273">
        <w:rPr>
          <w:color w:val="auto"/>
        </w:rPr>
        <w:t xml:space="preserve"> </w:t>
      </w:r>
      <w:r w:rsidRPr="00E00273">
        <w:rPr>
          <w:color w:val="auto"/>
        </w:rPr>
        <w:t xml:space="preserve">and is made under Part 3 of the </w:t>
      </w:r>
      <w:r w:rsidRPr="00E00273">
        <w:rPr>
          <w:i/>
          <w:color w:val="auto"/>
        </w:rPr>
        <w:t xml:space="preserve">Victorian Independent Remuneration Tribunal and Improving Parliamentary Standards Act 2019 </w:t>
      </w:r>
      <w:r w:rsidRPr="00E00273">
        <w:rPr>
          <w:color w:val="auto"/>
        </w:rPr>
        <w:t xml:space="preserve">(Vic) by the Victorian Independent Remuneration Tribunal. </w:t>
      </w:r>
    </w:p>
    <w:p w14:paraId="765F3064" w14:textId="19C8BD31" w:rsidR="00996812" w:rsidRPr="00E00273" w:rsidRDefault="00192523" w:rsidP="00052D06">
      <w:pPr>
        <w:pStyle w:val="ListParagraph"/>
        <w:numPr>
          <w:ilvl w:val="0"/>
          <w:numId w:val="6"/>
        </w:numPr>
        <w:ind w:left="357" w:hanging="357"/>
        <w:contextualSpacing w:val="0"/>
        <w:rPr>
          <w:color w:val="auto"/>
        </w:rPr>
      </w:pPr>
      <w:r w:rsidRPr="00E00273">
        <w:rPr>
          <w:b/>
          <w:color w:val="auto"/>
        </w:rPr>
        <w:t xml:space="preserve">Effective </w:t>
      </w:r>
      <w:r w:rsidR="004510B4" w:rsidRPr="00E00273">
        <w:rPr>
          <w:b/>
          <w:color w:val="auto"/>
        </w:rPr>
        <w:t>d</w:t>
      </w:r>
      <w:r w:rsidRPr="00E00273">
        <w:rPr>
          <w:b/>
          <w:color w:val="auto"/>
        </w:rPr>
        <w:t>ate:</w:t>
      </w:r>
      <w:r w:rsidRPr="00E00273">
        <w:rPr>
          <w:color w:val="auto"/>
        </w:rPr>
        <w:t xml:space="preserve"> This Determination takes effect on </w:t>
      </w:r>
      <w:r w:rsidR="004C51D4">
        <w:rPr>
          <w:color w:val="auto"/>
        </w:rPr>
        <w:t>1 July 2024</w:t>
      </w:r>
      <w:r w:rsidRPr="00E00273">
        <w:rPr>
          <w:color w:val="auto"/>
        </w:rPr>
        <w:t>.</w:t>
      </w:r>
    </w:p>
    <w:p w14:paraId="0A53DB60" w14:textId="3A08FF5F" w:rsidR="00192523" w:rsidRPr="00E00273" w:rsidRDefault="00192523" w:rsidP="00A408EB">
      <w:pPr>
        <w:pStyle w:val="Instrumentlevel1numberedparagraphs"/>
      </w:pPr>
      <w:r w:rsidRPr="00E00273">
        <w:t>Definitions</w:t>
      </w:r>
    </w:p>
    <w:p w14:paraId="1C5D7C3D" w14:textId="30EAB6B7" w:rsidR="006147D9" w:rsidRPr="00E00273" w:rsidRDefault="006147D9" w:rsidP="00260C01">
      <w:pPr>
        <w:pStyle w:val="Instrumentlevel2numberedparagraphs"/>
      </w:pPr>
      <w:r w:rsidRPr="00E00273">
        <w:t xml:space="preserve">Terms not defined in this Determination have the same meaning as in the </w:t>
      </w:r>
      <w:r w:rsidR="00CA494E" w:rsidRPr="00E00273">
        <w:rPr>
          <w:i/>
        </w:rPr>
        <w:t>Public Administration Act 2004</w:t>
      </w:r>
      <w:r w:rsidR="00CA494E" w:rsidRPr="00E00273">
        <w:t xml:space="preserve"> (Vic)</w:t>
      </w:r>
      <w:r w:rsidRPr="00E00273">
        <w:t xml:space="preserve">, unless the contrary intention appears. </w:t>
      </w:r>
    </w:p>
    <w:p w14:paraId="61A96885" w14:textId="0B4D01EC" w:rsidR="009A6C87" w:rsidRPr="00E00273" w:rsidRDefault="00192523" w:rsidP="00260C01">
      <w:pPr>
        <w:pStyle w:val="Instrumentlevel2numberedparagraphs"/>
      </w:pPr>
      <w:r w:rsidRPr="00E00273">
        <w:t xml:space="preserve">In </w:t>
      </w:r>
      <w:r w:rsidR="005E18E1" w:rsidRPr="00E00273">
        <w:t>t</w:t>
      </w:r>
      <w:r w:rsidRPr="00E00273">
        <w:t>his Determination, unless the contrary intention appears</w:t>
      </w:r>
      <w:r w:rsidR="000A76BB" w:rsidRPr="00E00273">
        <w:t>:</w:t>
      </w:r>
    </w:p>
    <w:p w14:paraId="27BA7AB1" w14:textId="2FD3E9CA" w:rsidR="00BE04D4" w:rsidRPr="00E00273" w:rsidRDefault="00BE04D4" w:rsidP="00260C01">
      <w:pPr>
        <w:pStyle w:val="Instrumentlevel2numberedparagraphs"/>
        <w:numPr>
          <w:ilvl w:val="0"/>
          <w:numId w:val="0"/>
        </w:numPr>
        <w:ind w:left="907"/>
        <w:rPr>
          <w:b/>
          <w:bCs/>
        </w:rPr>
      </w:pPr>
      <w:r w:rsidRPr="00E00273">
        <w:rPr>
          <w:b/>
          <w:bCs/>
        </w:rPr>
        <w:t xml:space="preserve">FTE </w:t>
      </w:r>
      <w:r w:rsidRPr="00E00273">
        <w:t>means Full Time Equivalent</w:t>
      </w:r>
      <w:r w:rsidR="00C82B35" w:rsidRPr="00E00273">
        <w:t>;</w:t>
      </w:r>
    </w:p>
    <w:p w14:paraId="244F7495" w14:textId="60EAB8A5" w:rsidR="00210E02" w:rsidRPr="00E00273" w:rsidRDefault="00210E02" w:rsidP="00260C01">
      <w:pPr>
        <w:pStyle w:val="Instrumentlevel2numberedparagraphs"/>
        <w:numPr>
          <w:ilvl w:val="0"/>
          <w:numId w:val="0"/>
        </w:numPr>
        <w:ind w:left="907"/>
      </w:pPr>
      <w:r w:rsidRPr="00E00273">
        <w:t>Public service body Head means:</w:t>
      </w:r>
    </w:p>
    <w:p w14:paraId="138469FE" w14:textId="495AEBF2" w:rsidR="00210E02" w:rsidRPr="00E00273" w:rsidRDefault="009C6D66" w:rsidP="00052D06">
      <w:pPr>
        <w:pStyle w:val="Instrumentlevel3alphanumericallist"/>
        <w:numPr>
          <w:ilvl w:val="0"/>
          <w:numId w:val="8"/>
        </w:numPr>
      </w:pPr>
      <w:r w:rsidRPr="00E00273">
        <w:t>a Department Head</w:t>
      </w:r>
      <w:r w:rsidR="00210E02" w:rsidRPr="00E00273">
        <w:t>;</w:t>
      </w:r>
    </w:p>
    <w:p w14:paraId="1090C259" w14:textId="57F93B57" w:rsidR="00210E02" w:rsidRPr="00E00273" w:rsidRDefault="009C6D66" w:rsidP="00052D06">
      <w:pPr>
        <w:pStyle w:val="Instrumentlevel3alphanumericallist"/>
        <w:numPr>
          <w:ilvl w:val="0"/>
          <w:numId w:val="8"/>
        </w:numPr>
      </w:pPr>
      <w:r w:rsidRPr="00E00273">
        <w:t>an Administrative Office Head</w:t>
      </w:r>
      <w:r w:rsidR="00210E02" w:rsidRPr="00E00273">
        <w:t>;</w:t>
      </w:r>
    </w:p>
    <w:p w14:paraId="12CF1E21" w14:textId="5D5F7131" w:rsidR="00210E02" w:rsidRPr="00E00273" w:rsidRDefault="00210E02" w:rsidP="00052D06">
      <w:pPr>
        <w:pStyle w:val="Instrumentlevel3alphanumericallist"/>
        <w:numPr>
          <w:ilvl w:val="0"/>
          <w:numId w:val="8"/>
        </w:numPr>
      </w:pPr>
      <w:r w:rsidRPr="00E00273">
        <w:t>the Victorian Public Sector Commissioner;</w:t>
      </w:r>
    </w:p>
    <w:p w14:paraId="74AC3B07" w14:textId="4E41C045" w:rsidR="004C2ADC" w:rsidRPr="00E00273" w:rsidRDefault="005918F9" w:rsidP="00260C01">
      <w:pPr>
        <w:pStyle w:val="Instrumentlevel2numberedparagraphs"/>
        <w:numPr>
          <w:ilvl w:val="0"/>
          <w:numId w:val="0"/>
        </w:numPr>
        <w:ind w:left="907"/>
      </w:pPr>
      <w:r>
        <w:rPr>
          <w:b/>
        </w:rPr>
        <w:t>S</w:t>
      </w:r>
      <w:r w:rsidR="00B3007C">
        <w:rPr>
          <w:b/>
        </w:rPr>
        <w:t>enior</w:t>
      </w:r>
      <w:r w:rsidR="004C2ADC" w:rsidRPr="00E00273">
        <w:rPr>
          <w:b/>
        </w:rPr>
        <w:t xml:space="preserve"> </w:t>
      </w:r>
      <w:r w:rsidR="00162818">
        <w:rPr>
          <w:b/>
        </w:rPr>
        <w:t>E</w:t>
      </w:r>
      <w:r w:rsidR="004C2ADC" w:rsidRPr="00E00273">
        <w:rPr>
          <w:b/>
        </w:rPr>
        <w:t xml:space="preserve">xecutive </w:t>
      </w:r>
      <w:r w:rsidR="00162818">
        <w:rPr>
          <w:b/>
        </w:rPr>
        <w:t>S</w:t>
      </w:r>
      <w:r w:rsidR="00B3007C">
        <w:rPr>
          <w:b/>
        </w:rPr>
        <w:t>ervice</w:t>
      </w:r>
      <w:r w:rsidR="004C2ADC" w:rsidRPr="00E00273">
        <w:rPr>
          <w:b/>
        </w:rPr>
        <w:t xml:space="preserve"> </w:t>
      </w:r>
      <w:r w:rsidR="00D308B8" w:rsidRPr="00D308B8">
        <w:rPr>
          <w:bCs/>
        </w:rPr>
        <w:t>comprises</w:t>
      </w:r>
      <w:r w:rsidR="00D308B8">
        <w:rPr>
          <w:bCs/>
        </w:rPr>
        <w:t xml:space="preserve"> executives</w:t>
      </w:r>
      <w:r w:rsidR="004C2ADC" w:rsidRPr="00E00273">
        <w:t xml:space="preserve"> other than</w:t>
      </w:r>
      <w:r w:rsidR="00210E02" w:rsidRPr="00E00273">
        <w:t xml:space="preserve"> a public service body Head</w:t>
      </w:r>
      <w:r w:rsidR="001375AB" w:rsidRPr="00E00273">
        <w:t>;</w:t>
      </w:r>
    </w:p>
    <w:p w14:paraId="3A6D63D3" w14:textId="421C43EA" w:rsidR="003062E5" w:rsidRPr="00E00273" w:rsidRDefault="003062E5" w:rsidP="00260C01">
      <w:pPr>
        <w:pStyle w:val="Instrumentlevel2numberedparagraphs"/>
        <w:numPr>
          <w:ilvl w:val="0"/>
          <w:numId w:val="0"/>
        </w:numPr>
        <w:ind w:left="907"/>
      </w:pPr>
      <w:r w:rsidRPr="00E00273">
        <w:rPr>
          <w:b/>
        </w:rPr>
        <w:t xml:space="preserve">TRP </w:t>
      </w:r>
      <w:r w:rsidRPr="00E00273">
        <w:t>means Total Remuneration Package</w:t>
      </w:r>
      <w:r w:rsidR="00B11390" w:rsidRPr="00E00273">
        <w:t xml:space="preserve">, and </w:t>
      </w:r>
      <w:r w:rsidR="00540652" w:rsidRPr="00E00273">
        <w:t>is the sum of</w:t>
      </w:r>
      <w:r w:rsidR="00B11390" w:rsidRPr="00E00273">
        <w:t>:</w:t>
      </w:r>
    </w:p>
    <w:p w14:paraId="79352BE5" w14:textId="3378D4E4" w:rsidR="00B11390" w:rsidRPr="00E00273" w:rsidRDefault="00B11390" w:rsidP="00052D06">
      <w:pPr>
        <w:pStyle w:val="Instrumentlevel3alphanumericallist"/>
        <w:numPr>
          <w:ilvl w:val="0"/>
          <w:numId w:val="10"/>
        </w:numPr>
      </w:pPr>
      <w:r w:rsidRPr="00E00273">
        <w:t xml:space="preserve">base salary; </w:t>
      </w:r>
    </w:p>
    <w:p w14:paraId="03629256" w14:textId="1AF4B133" w:rsidR="00B11390" w:rsidRPr="00E00273" w:rsidRDefault="00B11390" w:rsidP="00DB0D2B">
      <w:pPr>
        <w:pStyle w:val="Instrumentlevel3alphanumericallist"/>
      </w:pPr>
      <w:r w:rsidRPr="00E00273">
        <w:t xml:space="preserve">superannuation contributions; </w:t>
      </w:r>
    </w:p>
    <w:p w14:paraId="3E083AAA" w14:textId="65180D4B" w:rsidR="001B6A11" w:rsidRPr="00E00273" w:rsidRDefault="00B11390" w:rsidP="00DB0D2B">
      <w:pPr>
        <w:pStyle w:val="Instrumentlevel3alphanumericallist"/>
      </w:pPr>
      <w:r w:rsidRPr="00E00273">
        <w:t>employment benefits</w:t>
      </w:r>
      <w:r w:rsidR="00A653DA" w:rsidRPr="00E00273">
        <w:t xml:space="preserve"> (i.e. non-salary) specified in the executive’s contract of employment</w:t>
      </w:r>
      <w:r w:rsidRPr="00E00273">
        <w:t xml:space="preserve">; and </w:t>
      </w:r>
    </w:p>
    <w:p w14:paraId="29549508" w14:textId="5AF80116" w:rsidR="00D81417" w:rsidRPr="00E00273" w:rsidRDefault="00B11390" w:rsidP="00DB0D2B">
      <w:pPr>
        <w:pStyle w:val="Instrumentlevel3alphanumericallist"/>
      </w:pPr>
      <w:r w:rsidRPr="00E00273">
        <w:t xml:space="preserve">the annual cost to the </w:t>
      </w:r>
      <w:r w:rsidR="00A653DA" w:rsidRPr="00E00273">
        <w:t>e</w:t>
      </w:r>
      <w:r w:rsidRPr="00E00273">
        <w:t>mployer of providing the non-monetary benefits, including any fringe benefits tax payable</w:t>
      </w:r>
      <w:r w:rsidR="00E33125" w:rsidRPr="00E00273">
        <w:t>;</w:t>
      </w:r>
    </w:p>
    <w:p w14:paraId="2D88E84C" w14:textId="3255DDB3" w:rsidR="003D3B4E" w:rsidRPr="00E00273" w:rsidRDefault="00E33125" w:rsidP="00260C01">
      <w:pPr>
        <w:pStyle w:val="Instrumentlevel2numberedparagraphs"/>
        <w:numPr>
          <w:ilvl w:val="0"/>
          <w:numId w:val="0"/>
        </w:numPr>
        <w:ind w:left="907"/>
      </w:pPr>
      <w:r w:rsidRPr="00E00273">
        <w:rPr>
          <w:b/>
          <w:bCs/>
        </w:rPr>
        <w:t xml:space="preserve">VPS Executive Classification Framework </w:t>
      </w:r>
      <w:r w:rsidRPr="00E00273">
        <w:t xml:space="preserve">means the Victorian Public Service Executive Classification Framework </w:t>
      </w:r>
      <w:r w:rsidR="003D3B4E" w:rsidRPr="00E00273">
        <w:t xml:space="preserve">in relation to Senior Executive </w:t>
      </w:r>
      <w:r w:rsidR="003D3B4E" w:rsidRPr="00E00273">
        <w:lastRenderedPageBreak/>
        <w:t xml:space="preserve">Service classifications </w:t>
      </w:r>
      <w:r w:rsidRPr="00E00273">
        <w:t>issued by the Victorian Public Sector Commission and available on its website</w:t>
      </w:r>
      <w:r w:rsidR="00163812" w:rsidRPr="00E00273">
        <w:t>, as amended from time to time</w:t>
      </w:r>
      <w:r w:rsidRPr="00E00273">
        <w:t>.</w:t>
      </w:r>
    </w:p>
    <w:p w14:paraId="116D523E" w14:textId="4FC3ED22" w:rsidR="00192523" w:rsidRPr="00B17DA9" w:rsidRDefault="00192523" w:rsidP="00163DCD">
      <w:pPr>
        <w:pStyle w:val="Instrumentlevel1numberedparagraphs"/>
        <w:rPr>
          <w:b w:val="0"/>
          <w:iCs/>
        </w:rPr>
      </w:pPr>
      <w:r w:rsidRPr="00E00273">
        <w:t>Coverage and application</w:t>
      </w:r>
    </w:p>
    <w:p w14:paraId="2A6D215F" w14:textId="6FCBBFD1" w:rsidR="00192523" w:rsidRPr="00B17DA9" w:rsidRDefault="00192523" w:rsidP="00260C01">
      <w:pPr>
        <w:pStyle w:val="Instrumentlevel2numberedparagraphs"/>
        <w:rPr>
          <w:iCs/>
        </w:rPr>
      </w:pPr>
      <w:r w:rsidRPr="00E00273">
        <w:t>This Determination sets the value</w:t>
      </w:r>
      <w:r w:rsidR="00CA494E" w:rsidRPr="00E00273">
        <w:t>s</w:t>
      </w:r>
      <w:r w:rsidRPr="00E00273">
        <w:t xml:space="preserve"> </w:t>
      </w:r>
      <w:r w:rsidR="00CA494E" w:rsidRPr="00E00273">
        <w:t>of the remuneration bands for executives</w:t>
      </w:r>
      <w:r w:rsidR="00F65528" w:rsidRPr="00E00273">
        <w:t xml:space="preserve"> </w:t>
      </w:r>
      <w:r w:rsidR="00CA494E" w:rsidRPr="00E00273">
        <w:t>employed in public service bodies</w:t>
      </w:r>
      <w:r w:rsidR="004A6ADF" w:rsidRPr="00E00273">
        <w:t>.</w:t>
      </w:r>
    </w:p>
    <w:p w14:paraId="3C81FB29" w14:textId="2A10915D" w:rsidR="00E84EFF" w:rsidRDefault="00E84EFF" w:rsidP="007A19EF">
      <w:pPr>
        <w:pStyle w:val="VIRTHeading3"/>
      </w:pPr>
      <w:bookmarkStart w:id="9" w:name="_Toc169878458"/>
      <w:r>
        <w:t xml:space="preserve">Part 2 – </w:t>
      </w:r>
      <w:r w:rsidR="003062E5">
        <w:t>Remuneration bands</w:t>
      </w:r>
      <w:r w:rsidR="00210E02">
        <w:t xml:space="preserve"> for </w:t>
      </w:r>
      <w:r w:rsidR="00EC3BDD">
        <w:t>S</w:t>
      </w:r>
      <w:r w:rsidR="00B3007C" w:rsidRPr="00B3007C">
        <w:t xml:space="preserve">enior </w:t>
      </w:r>
      <w:r w:rsidR="00EC3BDD">
        <w:t>E</w:t>
      </w:r>
      <w:r w:rsidR="00B3007C" w:rsidRPr="00B3007C">
        <w:t xml:space="preserve">xecutive </w:t>
      </w:r>
      <w:r w:rsidR="00EC3BDD">
        <w:t>S</w:t>
      </w:r>
      <w:r w:rsidR="00B3007C" w:rsidRPr="00B3007C">
        <w:t>ervice</w:t>
      </w:r>
      <w:r w:rsidR="00210E02">
        <w:t xml:space="preserve"> executives</w:t>
      </w:r>
      <w:bookmarkEnd w:id="9"/>
    </w:p>
    <w:p w14:paraId="4F3783E3" w14:textId="3FFFB646" w:rsidR="00CA494E" w:rsidRPr="00E00273" w:rsidRDefault="005918F9" w:rsidP="00163DCD">
      <w:pPr>
        <w:pStyle w:val="Instrumentlevel1numberedparagraphs"/>
      </w:pPr>
      <w:r>
        <w:t>S</w:t>
      </w:r>
      <w:r w:rsidR="00B3007C" w:rsidRPr="00B3007C">
        <w:t xml:space="preserve">enior </w:t>
      </w:r>
      <w:r w:rsidR="00EC3BDD">
        <w:t>E</w:t>
      </w:r>
      <w:r w:rsidR="00B3007C" w:rsidRPr="00B3007C">
        <w:t xml:space="preserve">xecutive </w:t>
      </w:r>
      <w:r w:rsidR="00EC3BDD">
        <w:t>S</w:t>
      </w:r>
      <w:r w:rsidR="00B3007C" w:rsidRPr="00B3007C">
        <w:t>ervice</w:t>
      </w:r>
      <w:r w:rsidR="00CA494E" w:rsidRPr="00E00273">
        <w:t xml:space="preserve"> </w:t>
      </w:r>
    </w:p>
    <w:p w14:paraId="0B850291" w14:textId="126CE0F2" w:rsidR="00452086" w:rsidRPr="00452086" w:rsidRDefault="0090728E" w:rsidP="00260C01">
      <w:pPr>
        <w:pStyle w:val="Instrumentlevel2numberedparagraphs"/>
      </w:pPr>
      <w:r w:rsidRPr="00452086">
        <w:t>T</w:t>
      </w:r>
      <w:r w:rsidR="00864479" w:rsidRPr="00452086">
        <w:t xml:space="preserve">he </w:t>
      </w:r>
      <w:r w:rsidR="001D179F" w:rsidRPr="00452086">
        <w:t xml:space="preserve">values of the </w:t>
      </w:r>
      <w:r w:rsidR="00864479" w:rsidRPr="00452086">
        <w:t>remuneration bands</w:t>
      </w:r>
      <w:r w:rsidR="00CA494E" w:rsidRPr="00452086">
        <w:t xml:space="preserve"> for </w:t>
      </w:r>
      <w:r w:rsidR="00144BE8">
        <w:t xml:space="preserve">the </w:t>
      </w:r>
      <w:r w:rsidR="00EC3BDD">
        <w:t>S</w:t>
      </w:r>
      <w:r w:rsidR="00B3007C" w:rsidRPr="00B3007C">
        <w:t xml:space="preserve">enior </w:t>
      </w:r>
      <w:r w:rsidR="00EC3BDD">
        <w:t>E</w:t>
      </w:r>
      <w:r w:rsidR="00B3007C" w:rsidRPr="00B3007C">
        <w:t xml:space="preserve">xecutive </w:t>
      </w:r>
      <w:r w:rsidR="00EC3BDD">
        <w:t>S</w:t>
      </w:r>
      <w:r w:rsidR="00B3007C" w:rsidRPr="00B3007C">
        <w:t>ervice</w:t>
      </w:r>
      <w:r w:rsidR="00CA494E" w:rsidRPr="00452086">
        <w:t xml:space="preserve"> executives employed in public service bodies</w:t>
      </w:r>
      <w:r w:rsidR="00386B4A" w:rsidRPr="00452086">
        <w:t xml:space="preserve"> </w:t>
      </w:r>
      <w:r w:rsidR="00A53A39" w:rsidRPr="00452086">
        <w:t xml:space="preserve">are set </w:t>
      </w:r>
      <w:r w:rsidR="001D179F" w:rsidRPr="00452086">
        <w:t xml:space="preserve">out </w:t>
      </w:r>
      <w:r w:rsidR="00A53A39" w:rsidRPr="00452086">
        <w:t>in</w:t>
      </w:r>
      <w:r w:rsidR="00386B4A" w:rsidRPr="00452086">
        <w:t xml:space="preserve"> </w:t>
      </w:r>
      <w:r w:rsidR="00B3007C">
        <w:t>T</w:t>
      </w:r>
      <w:r w:rsidR="00386B4A" w:rsidRPr="00452086">
        <w:t xml:space="preserve">able </w:t>
      </w:r>
      <w:r w:rsidR="00A53A39" w:rsidRPr="00452086">
        <w:t>1</w:t>
      </w:r>
      <w:r w:rsidR="00CA494E" w:rsidRPr="00452086">
        <w:t>.</w:t>
      </w:r>
    </w:p>
    <w:p w14:paraId="2E663DAB" w14:textId="14B13132" w:rsidR="00CA494E" w:rsidRPr="00452086" w:rsidRDefault="00E33125" w:rsidP="00260C01">
      <w:pPr>
        <w:pStyle w:val="Instrumentlevel2numberedparagraphs"/>
      </w:pPr>
      <w:r w:rsidRPr="00452086">
        <w:t xml:space="preserve">The relevant remuneration band for </w:t>
      </w:r>
      <w:r w:rsidR="008807F7" w:rsidRPr="00452086">
        <w:t>each</w:t>
      </w:r>
      <w:r w:rsidRPr="00452086">
        <w:t xml:space="preserve"> executive corresponds to the Senior Executive Service classifi</w:t>
      </w:r>
      <w:r w:rsidR="008807F7" w:rsidRPr="00452086">
        <w:t>cation</w:t>
      </w:r>
      <w:r w:rsidR="00A92F7D" w:rsidRPr="00452086">
        <w:t xml:space="preserve"> of that position determined under </w:t>
      </w:r>
      <w:r w:rsidR="00452086" w:rsidRPr="00452086">
        <w:t>the VPS Executive Classification Framework</w:t>
      </w:r>
      <w:r w:rsidR="008807F7" w:rsidRPr="00452086">
        <w:t>.</w:t>
      </w:r>
    </w:p>
    <w:p w14:paraId="636227E4" w14:textId="04BF3220" w:rsidR="00A53A39" w:rsidRPr="00D479B8" w:rsidRDefault="00A53A39" w:rsidP="00144BE8">
      <w:pPr>
        <w:pStyle w:val="Tableheading"/>
      </w:pPr>
      <w:r w:rsidRPr="00D479B8">
        <w:t xml:space="preserve">Table 1: </w:t>
      </w:r>
      <w:r w:rsidR="00144BE8">
        <w:t>V</w:t>
      </w:r>
      <w:r w:rsidR="001D179F" w:rsidRPr="00D479B8">
        <w:t xml:space="preserve">alues of </w:t>
      </w:r>
      <w:r w:rsidRPr="00D479B8">
        <w:t xml:space="preserve">remuneration bands for </w:t>
      </w:r>
      <w:r w:rsidR="00144BE8">
        <w:t xml:space="preserve">the </w:t>
      </w:r>
      <w:r w:rsidR="00157AC2">
        <w:t>S</w:t>
      </w:r>
      <w:r w:rsidR="00B3007C" w:rsidRPr="00B3007C">
        <w:t xml:space="preserve">enior </w:t>
      </w:r>
      <w:r w:rsidR="00157AC2">
        <w:t>E</w:t>
      </w:r>
      <w:r w:rsidR="00B3007C" w:rsidRPr="00B3007C">
        <w:t xml:space="preserve">xecutive </w:t>
      </w:r>
      <w:r w:rsidR="00157AC2">
        <w:t>S</w:t>
      </w:r>
      <w:r w:rsidR="00B3007C" w:rsidRPr="00B3007C">
        <w:t>ervice</w:t>
      </w:r>
    </w:p>
    <w:tbl>
      <w:tblPr>
        <w:tblStyle w:val="ListTable3-Accent2"/>
        <w:tblW w:w="4857" w:type="pct"/>
        <w:tblInd w:w="250" w:type="dxa"/>
        <w:tblLook w:val="04A0" w:firstRow="1" w:lastRow="0" w:firstColumn="1" w:lastColumn="0" w:noHBand="0" w:noVBand="1"/>
      </w:tblPr>
      <w:tblGrid>
        <w:gridCol w:w="2904"/>
        <w:gridCol w:w="2416"/>
        <w:gridCol w:w="2941"/>
      </w:tblGrid>
      <w:tr w:rsidR="00BB1556" w:rsidRPr="004E25A2" w14:paraId="1B585B8F" w14:textId="77777777" w:rsidTr="005627EC">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758" w:type="pct"/>
            <w:shd w:val="clear" w:color="auto" w:fill="148A5D"/>
            <w:vAlign w:val="top"/>
          </w:tcPr>
          <w:p w14:paraId="00DFDD95" w14:textId="24D09ECE" w:rsidR="00BB1556" w:rsidRPr="004B28E7" w:rsidRDefault="001D179F" w:rsidP="00540652">
            <w:pPr>
              <w:spacing w:before="0" w:after="0"/>
              <w:jc w:val="left"/>
              <w:rPr>
                <w:color w:val="FFFFFF" w:themeColor="background1"/>
                <w:sz w:val="22"/>
              </w:rPr>
            </w:pPr>
            <w:r>
              <w:rPr>
                <w:color w:val="FFFFFF" w:themeColor="background1"/>
                <w:sz w:val="22"/>
              </w:rPr>
              <w:t>Classification</w:t>
            </w:r>
          </w:p>
        </w:tc>
        <w:tc>
          <w:tcPr>
            <w:tcW w:w="1462" w:type="pct"/>
            <w:vAlign w:val="top"/>
          </w:tcPr>
          <w:p w14:paraId="27444D89" w14:textId="174F34FE" w:rsidR="00BB1556" w:rsidRPr="004B28E7" w:rsidRDefault="00BB1556" w:rsidP="00540652">
            <w:pPr>
              <w:spacing w:before="0" w:after="0"/>
              <w:jc w:val="righ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2"/>
              </w:rPr>
            </w:pPr>
            <w:r w:rsidRPr="004B28E7">
              <w:rPr>
                <w:color w:val="FFFFFF" w:themeColor="background1"/>
                <w:sz w:val="22"/>
              </w:rPr>
              <w:t>Base of band TRP</w:t>
            </w:r>
            <w:r w:rsidRPr="004B28E7">
              <w:rPr>
                <w:color w:val="FFFFFF" w:themeColor="background1"/>
                <w:sz w:val="22"/>
              </w:rPr>
              <w:br/>
              <w:t>$</w:t>
            </w:r>
            <w:r w:rsidR="00567E2B" w:rsidRPr="004B28E7">
              <w:rPr>
                <w:color w:val="FFFFFF" w:themeColor="background1"/>
                <w:sz w:val="22"/>
              </w:rPr>
              <w:t xml:space="preserve"> per </w:t>
            </w:r>
            <w:r w:rsidR="00540652">
              <w:rPr>
                <w:color w:val="FFFFFF" w:themeColor="background1"/>
                <w:sz w:val="22"/>
              </w:rPr>
              <w:t>annum</w:t>
            </w:r>
          </w:p>
        </w:tc>
        <w:tc>
          <w:tcPr>
            <w:tcW w:w="1780" w:type="pct"/>
            <w:vAlign w:val="top"/>
          </w:tcPr>
          <w:p w14:paraId="025F414A" w14:textId="1683E3B1" w:rsidR="00BB1556" w:rsidRPr="004B28E7" w:rsidRDefault="00BB1556" w:rsidP="00540652">
            <w:pPr>
              <w:spacing w:before="0" w:after="0"/>
              <w:jc w:val="righ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2"/>
              </w:rPr>
            </w:pPr>
            <w:r w:rsidRPr="004B28E7">
              <w:rPr>
                <w:bCs w:val="0"/>
                <w:color w:val="FFFFFF" w:themeColor="background1"/>
                <w:sz w:val="22"/>
              </w:rPr>
              <w:t>Top of band TRP</w:t>
            </w:r>
            <w:r w:rsidRPr="004B28E7">
              <w:rPr>
                <w:bCs w:val="0"/>
                <w:color w:val="FFFFFF" w:themeColor="background1"/>
                <w:sz w:val="22"/>
              </w:rPr>
              <w:br/>
            </w:r>
            <w:r w:rsidRPr="004B28E7">
              <w:rPr>
                <w:color w:val="FFFFFF" w:themeColor="background1"/>
                <w:sz w:val="22"/>
              </w:rPr>
              <w:t>$</w:t>
            </w:r>
            <w:r w:rsidR="00567E2B" w:rsidRPr="004B28E7">
              <w:rPr>
                <w:color w:val="FFFFFF" w:themeColor="background1"/>
                <w:sz w:val="22"/>
              </w:rPr>
              <w:t xml:space="preserve"> per </w:t>
            </w:r>
            <w:r w:rsidR="00540652">
              <w:rPr>
                <w:color w:val="FFFFFF" w:themeColor="background1"/>
                <w:sz w:val="22"/>
              </w:rPr>
              <w:t>annum</w:t>
            </w:r>
          </w:p>
        </w:tc>
      </w:tr>
      <w:tr w:rsidR="00E00273" w:rsidRPr="00E00273" w14:paraId="7F5DB660" w14:textId="77777777" w:rsidTr="0016381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58" w:type="pct"/>
          </w:tcPr>
          <w:p w14:paraId="1804B03F" w14:textId="1E44AD40" w:rsidR="009C0600" w:rsidRPr="0010203C" w:rsidRDefault="009C0600" w:rsidP="00951A2A">
            <w:pPr>
              <w:pStyle w:val="10Tabletext"/>
              <w:rPr>
                <w:b w:val="0"/>
                <w:color w:val="auto"/>
              </w:rPr>
            </w:pPr>
            <w:r w:rsidRPr="0010203C">
              <w:rPr>
                <w:b w:val="0"/>
                <w:color w:val="auto"/>
              </w:rPr>
              <w:t>Senior Executive Service-</w:t>
            </w:r>
            <w:r w:rsidR="005918F9" w:rsidRPr="0010203C">
              <w:rPr>
                <w:b w:val="0"/>
                <w:color w:val="auto"/>
              </w:rPr>
              <w:t>1</w:t>
            </w:r>
          </w:p>
        </w:tc>
        <w:tc>
          <w:tcPr>
            <w:tcW w:w="1462" w:type="pct"/>
          </w:tcPr>
          <w:p w14:paraId="06EA1617" w14:textId="396823C8" w:rsidR="009C0600" w:rsidRPr="0010203C" w:rsidRDefault="00DF6AC5" w:rsidP="00951A2A">
            <w:pPr>
              <w:pStyle w:val="10Tabletext"/>
              <w:jc w:val="right"/>
              <w:cnfStyle w:val="000000100000" w:firstRow="0" w:lastRow="0" w:firstColumn="0" w:lastColumn="0" w:oddVBand="0" w:evenVBand="0" w:oddHBand="1" w:evenHBand="0" w:firstRowFirstColumn="0" w:firstRowLastColumn="0" w:lastRowFirstColumn="0" w:lastRowLastColumn="0"/>
              <w:rPr>
                <w:color w:val="auto"/>
              </w:rPr>
            </w:pPr>
            <w:r w:rsidRPr="0010203C">
              <w:rPr>
                <w:color w:val="auto"/>
              </w:rPr>
              <w:t>22</w:t>
            </w:r>
            <w:r w:rsidR="00415B2E" w:rsidRPr="0010203C">
              <w:rPr>
                <w:color w:val="auto"/>
              </w:rPr>
              <w:t>5</w:t>
            </w:r>
            <w:r w:rsidRPr="0010203C">
              <w:rPr>
                <w:color w:val="auto"/>
              </w:rPr>
              <w:t>,000</w:t>
            </w:r>
          </w:p>
        </w:tc>
        <w:tc>
          <w:tcPr>
            <w:tcW w:w="1780" w:type="pct"/>
          </w:tcPr>
          <w:p w14:paraId="5D5E227B" w14:textId="1D59AADF" w:rsidR="009C0600" w:rsidRPr="0010203C" w:rsidRDefault="00DF6AC5" w:rsidP="00951A2A">
            <w:pPr>
              <w:pStyle w:val="10Tabletext"/>
              <w:jc w:val="right"/>
              <w:cnfStyle w:val="000000100000" w:firstRow="0" w:lastRow="0" w:firstColumn="0" w:lastColumn="0" w:oddVBand="0" w:evenVBand="0" w:oddHBand="1" w:evenHBand="0" w:firstRowFirstColumn="0" w:firstRowLastColumn="0" w:lastRowFirstColumn="0" w:lastRowLastColumn="0"/>
              <w:rPr>
                <w:color w:val="auto"/>
              </w:rPr>
            </w:pPr>
            <w:r w:rsidRPr="0010203C">
              <w:rPr>
                <w:color w:val="auto"/>
              </w:rPr>
              <w:t>290,600</w:t>
            </w:r>
          </w:p>
        </w:tc>
      </w:tr>
      <w:tr w:rsidR="00E00273" w:rsidRPr="00E00273" w14:paraId="3726A117" w14:textId="77777777" w:rsidTr="00163812">
        <w:trPr>
          <w:cantSplit/>
        </w:trPr>
        <w:tc>
          <w:tcPr>
            <w:cnfStyle w:val="001000000000" w:firstRow="0" w:lastRow="0" w:firstColumn="1" w:lastColumn="0" w:oddVBand="0" w:evenVBand="0" w:oddHBand="0" w:evenHBand="0" w:firstRowFirstColumn="0" w:firstRowLastColumn="0" w:lastRowFirstColumn="0" w:lastRowLastColumn="0"/>
            <w:tcW w:w="1758" w:type="pct"/>
          </w:tcPr>
          <w:p w14:paraId="1C49C363" w14:textId="13DF9A94" w:rsidR="009C0600" w:rsidRPr="0010203C" w:rsidRDefault="009C0600" w:rsidP="00951A2A">
            <w:pPr>
              <w:pStyle w:val="10Tabletext"/>
              <w:rPr>
                <w:b w:val="0"/>
                <w:color w:val="auto"/>
              </w:rPr>
            </w:pPr>
            <w:r w:rsidRPr="0010203C">
              <w:rPr>
                <w:b w:val="0"/>
                <w:color w:val="auto"/>
              </w:rPr>
              <w:t>Senior Executive Service-2</w:t>
            </w:r>
          </w:p>
        </w:tc>
        <w:tc>
          <w:tcPr>
            <w:tcW w:w="1462" w:type="pct"/>
          </w:tcPr>
          <w:p w14:paraId="54D9708D" w14:textId="7933EFA5" w:rsidR="009C0600" w:rsidRPr="0010203C" w:rsidRDefault="00DF6AC5" w:rsidP="00951A2A">
            <w:pPr>
              <w:pStyle w:val="10Tabletext"/>
              <w:jc w:val="right"/>
              <w:cnfStyle w:val="000000000000" w:firstRow="0" w:lastRow="0" w:firstColumn="0" w:lastColumn="0" w:oddVBand="0" w:evenVBand="0" w:oddHBand="0" w:evenHBand="0" w:firstRowFirstColumn="0" w:firstRowLastColumn="0" w:lastRowFirstColumn="0" w:lastRowLastColumn="0"/>
              <w:rPr>
                <w:color w:val="auto"/>
              </w:rPr>
            </w:pPr>
            <w:r w:rsidRPr="0010203C">
              <w:rPr>
                <w:color w:val="auto"/>
              </w:rPr>
              <w:t>290,601</w:t>
            </w:r>
          </w:p>
        </w:tc>
        <w:tc>
          <w:tcPr>
            <w:tcW w:w="1780" w:type="pct"/>
          </w:tcPr>
          <w:p w14:paraId="34BFA4EB" w14:textId="5010B5AD" w:rsidR="009C0600" w:rsidRPr="0010203C" w:rsidRDefault="00DF6AC5" w:rsidP="00951A2A">
            <w:pPr>
              <w:pStyle w:val="10Tabletext"/>
              <w:jc w:val="right"/>
              <w:cnfStyle w:val="000000000000" w:firstRow="0" w:lastRow="0" w:firstColumn="0" w:lastColumn="0" w:oddVBand="0" w:evenVBand="0" w:oddHBand="0" w:evenHBand="0" w:firstRowFirstColumn="0" w:firstRowLastColumn="0" w:lastRowFirstColumn="0" w:lastRowLastColumn="0"/>
              <w:rPr>
                <w:color w:val="auto"/>
              </w:rPr>
            </w:pPr>
            <w:r w:rsidRPr="0010203C">
              <w:rPr>
                <w:color w:val="auto"/>
              </w:rPr>
              <w:t>419,000</w:t>
            </w:r>
          </w:p>
        </w:tc>
      </w:tr>
      <w:tr w:rsidR="00E00273" w:rsidRPr="00E00273" w14:paraId="6913309F" w14:textId="77777777" w:rsidTr="0016381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58" w:type="pct"/>
          </w:tcPr>
          <w:p w14:paraId="27BD4A77" w14:textId="4E3E0D15" w:rsidR="009C0600" w:rsidRPr="0010203C" w:rsidRDefault="009C0600" w:rsidP="00951A2A">
            <w:pPr>
              <w:pStyle w:val="10Tabletext"/>
              <w:rPr>
                <w:b w:val="0"/>
                <w:color w:val="auto"/>
              </w:rPr>
            </w:pPr>
            <w:r w:rsidRPr="0010203C">
              <w:rPr>
                <w:b w:val="0"/>
                <w:color w:val="auto"/>
              </w:rPr>
              <w:t>Senior Executive Service-</w:t>
            </w:r>
            <w:r w:rsidR="005918F9" w:rsidRPr="0010203C">
              <w:rPr>
                <w:b w:val="0"/>
                <w:color w:val="auto"/>
              </w:rPr>
              <w:t>3</w:t>
            </w:r>
          </w:p>
        </w:tc>
        <w:tc>
          <w:tcPr>
            <w:tcW w:w="1462" w:type="pct"/>
          </w:tcPr>
          <w:p w14:paraId="23DE9155" w14:textId="7DA0A252" w:rsidR="009C0600" w:rsidRPr="0010203C" w:rsidRDefault="00E93805" w:rsidP="00951A2A">
            <w:pPr>
              <w:pStyle w:val="10Tabletext"/>
              <w:jc w:val="right"/>
              <w:cnfStyle w:val="000000100000" w:firstRow="0" w:lastRow="0" w:firstColumn="0" w:lastColumn="0" w:oddVBand="0" w:evenVBand="0" w:oddHBand="1" w:evenHBand="0" w:firstRowFirstColumn="0" w:firstRowLastColumn="0" w:lastRowFirstColumn="0" w:lastRowLastColumn="0"/>
              <w:rPr>
                <w:color w:val="auto"/>
              </w:rPr>
            </w:pPr>
            <w:r w:rsidRPr="0010203C">
              <w:rPr>
                <w:color w:val="auto"/>
              </w:rPr>
              <w:t>419,001</w:t>
            </w:r>
          </w:p>
        </w:tc>
        <w:tc>
          <w:tcPr>
            <w:tcW w:w="1780" w:type="pct"/>
          </w:tcPr>
          <w:p w14:paraId="2C7A40C3" w14:textId="15802C12" w:rsidR="009C0600" w:rsidRPr="0010203C" w:rsidRDefault="00E93805" w:rsidP="00951A2A">
            <w:pPr>
              <w:pStyle w:val="10Tabletext"/>
              <w:jc w:val="right"/>
              <w:cnfStyle w:val="000000100000" w:firstRow="0" w:lastRow="0" w:firstColumn="0" w:lastColumn="0" w:oddVBand="0" w:evenVBand="0" w:oddHBand="1" w:evenHBand="0" w:firstRowFirstColumn="0" w:firstRowLastColumn="0" w:lastRowFirstColumn="0" w:lastRowLastColumn="0"/>
              <w:rPr>
                <w:color w:val="auto"/>
              </w:rPr>
            </w:pPr>
            <w:r w:rsidRPr="0010203C">
              <w:rPr>
                <w:color w:val="auto"/>
              </w:rPr>
              <w:t>557,435</w:t>
            </w:r>
          </w:p>
        </w:tc>
      </w:tr>
    </w:tbl>
    <w:p w14:paraId="65BA840D" w14:textId="504858A4" w:rsidR="00BE04D4" w:rsidRPr="00E00273" w:rsidRDefault="00BE04D4" w:rsidP="008538B3">
      <w:pPr>
        <w:pStyle w:val="Instrumenttablenotes"/>
      </w:pPr>
      <w:r w:rsidRPr="00E00273">
        <w:t>Note: the above values are for executives</w:t>
      </w:r>
      <w:r w:rsidR="0020668C" w:rsidRPr="00E00273">
        <w:t xml:space="preserve"> </w:t>
      </w:r>
      <w:r w:rsidRPr="00E00273">
        <w:t xml:space="preserve">employed on a 1.0 FTE basis, and apply pro rata to executives employed on a part-time basis. </w:t>
      </w:r>
    </w:p>
    <w:p w14:paraId="69F1B5CD" w14:textId="65D634F5" w:rsidR="00210E02" w:rsidRPr="00210E02" w:rsidRDefault="00210E02" w:rsidP="007A19EF">
      <w:pPr>
        <w:pStyle w:val="VIRTHeading3"/>
      </w:pPr>
      <w:bookmarkStart w:id="10" w:name="_Toc169878459"/>
      <w:r>
        <w:t>Part 3 – Remuneration bands for public service body Heads</w:t>
      </w:r>
      <w:bookmarkEnd w:id="10"/>
    </w:p>
    <w:p w14:paraId="091E4DBB" w14:textId="23288694" w:rsidR="002C444C" w:rsidRPr="002C444C" w:rsidRDefault="002C444C" w:rsidP="00163DCD">
      <w:pPr>
        <w:pStyle w:val="Instrumentlevel1numberedparagraphs"/>
      </w:pPr>
      <w:r w:rsidRPr="002C444C">
        <w:t>Administrative Office Heads</w:t>
      </w:r>
    </w:p>
    <w:p w14:paraId="567BE168" w14:textId="5098234C" w:rsidR="00C7209E" w:rsidRPr="00E00273" w:rsidRDefault="002C444C" w:rsidP="00260C01">
      <w:pPr>
        <w:pStyle w:val="Instrumentlevel2numberedparagraphs"/>
      </w:pPr>
      <w:r w:rsidRPr="00E00273">
        <w:t xml:space="preserve">The </w:t>
      </w:r>
      <w:r w:rsidR="001D179F" w:rsidRPr="00E00273">
        <w:t xml:space="preserve">values of the </w:t>
      </w:r>
      <w:r w:rsidRPr="00E00273">
        <w:t xml:space="preserve">remuneration bands for Administrative Office Heads are set </w:t>
      </w:r>
      <w:r w:rsidR="001D179F" w:rsidRPr="00E00273">
        <w:t xml:space="preserve">out </w:t>
      </w:r>
      <w:r w:rsidRPr="00E00273">
        <w:t>in</w:t>
      </w:r>
      <w:r w:rsidR="004B28E7" w:rsidRPr="00E00273">
        <w:t xml:space="preserve"> </w:t>
      </w:r>
      <w:r w:rsidR="00B3007C">
        <w:t>T</w:t>
      </w:r>
      <w:r w:rsidR="004B28E7" w:rsidRPr="00E00273">
        <w:t>able 2</w:t>
      </w:r>
      <w:r w:rsidRPr="00E00273">
        <w:t>.</w:t>
      </w:r>
    </w:p>
    <w:p w14:paraId="7BC2DA0F" w14:textId="43BF0B6D" w:rsidR="00DB0D2B" w:rsidRPr="00E00273" w:rsidRDefault="00DB0D2B" w:rsidP="00260C01">
      <w:pPr>
        <w:pStyle w:val="Instrumentlevel2numberedparagraphs"/>
      </w:pPr>
      <w:r w:rsidRPr="00E00273">
        <w:t xml:space="preserve">The relevant remuneration band for </w:t>
      </w:r>
      <w:r w:rsidR="005841E7">
        <w:t>each</w:t>
      </w:r>
      <w:r w:rsidRPr="00E00273">
        <w:t xml:space="preserve"> Administrative Office Head </w:t>
      </w:r>
      <w:r w:rsidR="00C369C1" w:rsidRPr="00E00273">
        <w:t>corresponds to the Administrative Office Head classification of that position determined under th</w:t>
      </w:r>
      <w:r w:rsidR="00DD25EA">
        <w:t xml:space="preserve">e </w:t>
      </w:r>
      <w:r w:rsidR="00DD25EA" w:rsidRPr="00452086">
        <w:t>VPS Executive Classification Framework</w:t>
      </w:r>
      <w:r w:rsidR="00C369C1" w:rsidRPr="00E00273">
        <w:t>.</w:t>
      </w:r>
    </w:p>
    <w:p w14:paraId="4D5C8642" w14:textId="39DCA7A9" w:rsidR="00540652" w:rsidRDefault="00540652" w:rsidP="00144BE8">
      <w:pPr>
        <w:pStyle w:val="Tableheading"/>
      </w:pPr>
      <w:r>
        <w:lastRenderedPageBreak/>
        <w:t xml:space="preserve">Table 2: </w:t>
      </w:r>
      <w:r w:rsidR="00144BE8">
        <w:t>V</w:t>
      </w:r>
      <w:r>
        <w:t>alues of remuneration bands for Administrative Office Heads</w:t>
      </w:r>
    </w:p>
    <w:tbl>
      <w:tblPr>
        <w:tblStyle w:val="ListTable3-Accent2"/>
        <w:tblW w:w="4857" w:type="pct"/>
        <w:tblInd w:w="250" w:type="dxa"/>
        <w:tblLook w:val="04A0" w:firstRow="1" w:lastRow="0" w:firstColumn="1" w:lastColumn="0" w:noHBand="0" w:noVBand="1"/>
      </w:tblPr>
      <w:tblGrid>
        <w:gridCol w:w="2904"/>
        <w:gridCol w:w="2416"/>
        <w:gridCol w:w="2941"/>
      </w:tblGrid>
      <w:tr w:rsidR="00540652" w:rsidRPr="004E25A2" w14:paraId="1F748887" w14:textId="77777777">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758" w:type="pct"/>
            <w:vAlign w:val="top"/>
          </w:tcPr>
          <w:p w14:paraId="719763B8" w14:textId="77777777" w:rsidR="00540652" w:rsidRPr="004B28E7" w:rsidRDefault="00540652" w:rsidP="009B40DF">
            <w:pPr>
              <w:keepNext/>
              <w:spacing w:before="0" w:after="0"/>
              <w:jc w:val="left"/>
              <w:rPr>
                <w:color w:val="FFFFFF" w:themeColor="background1"/>
                <w:sz w:val="22"/>
              </w:rPr>
            </w:pPr>
            <w:r>
              <w:rPr>
                <w:color w:val="FFFFFF" w:themeColor="background1"/>
                <w:sz w:val="22"/>
              </w:rPr>
              <w:t>Classification</w:t>
            </w:r>
          </w:p>
        </w:tc>
        <w:tc>
          <w:tcPr>
            <w:tcW w:w="1462" w:type="pct"/>
            <w:vAlign w:val="top"/>
          </w:tcPr>
          <w:p w14:paraId="57D99090" w14:textId="77777777" w:rsidR="00540652" w:rsidRPr="004B28E7" w:rsidRDefault="00540652" w:rsidP="009B40DF">
            <w:pPr>
              <w:keepNext/>
              <w:spacing w:before="0" w:after="0"/>
              <w:jc w:val="righ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2"/>
              </w:rPr>
            </w:pPr>
            <w:r w:rsidRPr="004B28E7">
              <w:rPr>
                <w:color w:val="FFFFFF" w:themeColor="background1"/>
                <w:sz w:val="22"/>
              </w:rPr>
              <w:t>Base of band TRP</w:t>
            </w:r>
            <w:r w:rsidRPr="004B28E7">
              <w:rPr>
                <w:color w:val="FFFFFF" w:themeColor="background1"/>
                <w:sz w:val="22"/>
              </w:rPr>
              <w:br/>
              <w:t xml:space="preserve">$ per </w:t>
            </w:r>
            <w:r>
              <w:rPr>
                <w:color w:val="FFFFFF" w:themeColor="background1"/>
                <w:sz w:val="22"/>
              </w:rPr>
              <w:t>annum</w:t>
            </w:r>
          </w:p>
        </w:tc>
        <w:tc>
          <w:tcPr>
            <w:tcW w:w="1780" w:type="pct"/>
            <w:vAlign w:val="top"/>
          </w:tcPr>
          <w:p w14:paraId="508BD4EE" w14:textId="77777777" w:rsidR="00540652" w:rsidRPr="004B28E7" w:rsidRDefault="00540652" w:rsidP="009B40DF">
            <w:pPr>
              <w:keepNext/>
              <w:spacing w:before="0" w:after="0"/>
              <w:jc w:val="righ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2"/>
              </w:rPr>
            </w:pPr>
            <w:r w:rsidRPr="004B28E7">
              <w:rPr>
                <w:bCs w:val="0"/>
                <w:color w:val="FFFFFF" w:themeColor="background1"/>
                <w:sz w:val="22"/>
              </w:rPr>
              <w:t xml:space="preserve">Top of band </w:t>
            </w:r>
            <w:r w:rsidRPr="004B28E7">
              <w:rPr>
                <w:color w:val="FFFFFF" w:themeColor="background1"/>
                <w:sz w:val="22"/>
              </w:rPr>
              <w:t>TRP</w:t>
            </w:r>
            <w:r w:rsidRPr="004B28E7">
              <w:rPr>
                <w:bCs w:val="0"/>
                <w:color w:val="FFFFFF" w:themeColor="background1"/>
                <w:sz w:val="22"/>
              </w:rPr>
              <w:br/>
            </w:r>
            <w:r w:rsidRPr="004B28E7">
              <w:rPr>
                <w:color w:val="FFFFFF" w:themeColor="background1"/>
                <w:sz w:val="22"/>
              </w:rPr>
              <w:t xml:space="preserve">$ per </w:t>
            </w:r>
            <w:r>
              <w:rPr>
                <w:color w:val="FFFFFF" w:themeColor="background1"/>
                <w:sz w:val="22"/>
              </w:rPr>
              <w:t>annum</w:t>
            </w:r>
          </w:p>
        </w:tc>
      </w:tr>
      <w:tr w:rsidR="00E93805" w:rsidRPr="00E00273" w14:paraId="2D5116AB"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58" w:type="pct"/>
          </w:tcPr>
          <w:p w14:paraId="54A66341" w14:textId="51F69501" w:rsidR="00E93805" w:rsidRPr="0010203C" w:rsidRDefault="00E93805" w:rsidP="00E93805">
            <w:pPr>
              <w:pStyle w:val="10Tabletext"/>
              <w:keepNext/>
              <w:rPr>
                <w:b w:val="0"/>
                <w:color w:val="auto"/>
              </w:rPr>
            </w:pPr>
            <w:r w:rsidRPr="0010203C">
              <w:rPr>
                <w:b w:val="0"/>
                <w:color w:val="auto"/>
              </w:rPr>
              <w:t>Senior Executive Service-</w:t>
            </w:r>
            <w:r w:rsidR="00623884" w:rsidRPr="0010203C">
              <w:rPr>
                <w:b w:val="0"/>
                <w:color w:val="auto"/>
              </w:rPr>
              <w:t>1</w:t>
            </w:r>
            <w:r w:rsidRPr="0010203C">
              <w:rPr>
                <w:b w:val="0"/>
                <w:color w:val="auto"/>
              </w:rPr>
              <w:t xml:space="preserve"> / Administrative Office Head-</w:t>
            </w:r>
            <w:r w:rsidR="00623884" w:rsidRPr="0010203C">
              <w:rPr>
                <w:b w:val="0"/>
                <w:color w:val="auto"/>
              </w:rPr>
              <w:t>1</w:t>
            </w:r>
          </w:p>
        </w:tc>
        <w:tc>
          <w:tcPr>
            <w:tcW w:w="1462" w:type="pct"/>
          </w:tcPr>
          <w:p w14:paraId="0E3AA802" w14:textId="67159790" w:rsidR="00E93805" w:rsidRPr="0010203C" w:rsidRDefault="00E93805" w:rsidP="00E93805">
            <w:pPr>
              <w:pStyle w:val="10Tabletext"/>
              <w:keepNext/>
              <w:jc w:val="right"/>
              <w:cnfStyle w:val="000000100000" w:firstRow="0" w:lastRow="0" w:firstColumn="0" w:lastColumn="0" w:oddVBand="0" w:evenVBand="0" w:oddHBand="1" w:evenHBand="0" w:firstRowFirstColumn="0" w:firstRowLastColumn="0" w:lastRowFirstColumn="0" w:lastRowLastColumn="0"/>
              <w:rPr>
                <w:color w:val="auto"/>
              </w:rPr>
            </w:pPr>
            <w:r w:rsidRPr="0010203C">
              <w:rPr>
                <w:color w:val="auto"/>
              </w:rPr>
              <w:t>22</w:t>
            </w:r>
            <w:r w:rsidR="00415B2E" w:rsidRPr="0010203C">
              <w:rPr>
                <w:color w:val="auto"/>
              </w:rPr>
              <w:t>5</w:t>
            </w:r>
            <w:r w:rsidRPr="0010203C">
              <w:rPr>
                <w:color w:val="auto"/>
              </w:rPr>
              <w:t>,000</w:t>
            </w:r>
          </w:p>
        </w:tc>
        <w:tc>
          <w:tcPr>
            <w:tcW w:w="1780" w:type="pct"/>
          </w:tcPr>
          <w:p w14:paraId="7B4BFDB6" w14:textId="5235BA6D" w:rsidR="00E93805" w:rsidRPr="0010203C" w:rsidRDefault="00E93805" w:rsidP="00E93805">
            <w:pPr>
              <w:pStyle w:val="10Tabletext"/>
              <w:keepNext/>
              <w:jc w:val="right"/>
              <w:cnfStyle w:val="000000100000" w:firstRow="0" w:lastRow="0" w:firstColumn="0" w:lastColumn="0" w:oddVBand="0" w:evenVBand="0" w:oddHBand="1" w:evenHBand="0" w:firstRowFirstColumn="0" w:firstRowLastColumn="0" w:lastRowFirstColumn="0" w:lastRowLastColumn="0"/>
              <w:rPr>
                <w:color w:val="auto"/>
              </w:rPr>
            </w:pPr>
            <w:r w:rsidRPr="0010203C">
              <w:rPr>
                <w:color w:val="auto"/>
              </w:rPr>
              <w:t>290,600</w:t>
            </w:r>
          </w:p>
        </w:tc>
      </w:tr>
      <w:tr w:rsidR="00E93805" w:rsidRPr="00E00273" w14:paraId="0EC9C6A7" w14:textId="77777777">
        <w:trPr>
          <w:cantSplit/>
        </w:trPr>
        <w:tc>
          <w:tcPr>
            <w:cnfStyle w:val="001000000000" w:firstRow="0" w:lastRow="0" w:firstColumn="1" w:lastColumn="0" w:oddVBand="0" w:evenVBand="0" w:oddHBand="0" w:evenHBand="0" w:firstRowFirstColumn="0" w:firstRowLastColumn="0" w:lastRowFirstColumn="0" w:lastRowLastColumn="0"/>
            <w:tcW w:w="1758" w:type="pct"/>
          </w:tcPr>
          <w:p w14:paraId="1ADF7929" w14:textId="79D5ED53" w:rsidR="00E93805" w:rsidRPr="0010203C" w:rsidRDefault="00E93805" w:rsidP="00E93805">
            <w:pPr>
              <w:pStyle w:val="10Tabletext"/>
              <w:keepNext/>
              <w:rPr>
                <w:b w:val="0"/>
                <w:color w:val="auto"/>
              </w:rPr>
            </w:pPr>
            <w:r w:rsidRPr="0010203C">
              <w:rPr>
                <w:b w:val="0"/>
                <w:color w:val="auto"/>
              </w:rPr>
              <w:t>Senior Executive Service-2 / Administrative Office Head-2</w:t>
            </w:r>
          </w:p>
        </w:tc>
        <w:tc>
          <w:tcPr>
            <w:tcW w:w="1462" w:type="pct"/>
          </w:tcPr>
          <w:p w14:paraId="0A37E7F9" w14:textId="45EADA98" w:rsidR="00E93805" w:rsidRPr="00A64319" w:rsidRDefault="00E93805" w:rsidP="00E93805">
            <w:pPr>
              <w:pStyle w:val="10Tabletext"/>
              <w:keepN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10203C">
              <w:rPr>
                <w:color w:val="auto"/>
              </w:rPr>
              <w:t>290,601</w:t>
            </w:r>
          </w:p>
        </w:tc>
        <w:tc>
          <w:tcPr>
            <w:tcW w:w="1780" w:type="pct"/>
          </w:tcPr>
          <w:p w14:paraId="1DCAF946" w14:textId="2D608D97" w:rsidR="00E93805" w:rsidRPr="00A64319" w:rsidRDefault="00E93805" w:rsidP="00E93805">
            <w:pPr>
              <w:pStyle w:val="10Tabletext"/>
              <w:keepN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10203C">
              <w:rPr>
                <w:color w:val="auto"/>
              </w:rPr>
              <w:t>419,000</w:t>
            </w:r>
          </w:p>
        </w:tc>
      </w:tr>
      <w:tr w:rsidR="00E93805" w:rsidRPr="00E00273" w14:paraId="164A7D19"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58" w:type="pct"/>
          </w:tcPr>
          <w:p w14:paraId="6DD6AE6F" w14:textId="2D9FA416" w:rsidR="00E93805" w:rsidRPr="005704EF" w:rsidRDefault="00E93805" w:rsidP="00E93805">
            <w:pPr>
              <w:pStyle w:val="10Tabletext"/>
              <w:keepNext/>
              <w:rPr>
                <w:b w:val="0"/>
                <w:color w:val="auto"/>
              </w:rPr>
            </w:pPr>
            <w:r w:rsidRPr="005704EF">
              <w:rPr>
                <w:b w:val="0"/>
                <w:color w:val="auto"/>
              </w:rPr>
              <w:t>Senior Executive Service-</w:t>
            </w:r>
            <w:r w:rsidR="00623884">
              <w:rPr>
                <w:b w:val="0"/>
                <w:color w:val="auto"/>
              </w:rPr>
              <w:t>3</w:t>
            </w:r>
            <w:r w:rsidRPr="005704EF">
              <w:rPr>
                <w:b w:val="0"/>
                <w:color w:val="auto"/>
              </w:rPr>
              <w:t xml:space="preserve"> / Administrative Office Head-</w:t>
            </w:r>
            <w:r w:rsidR="00623884">
              <w:rPr>
                <w:b w:val="0"/>
                <w:color w:val="auto"/>
              </w:rPr>
              <w:t>3</w:t>
            </w:r>
          </w:p>
        </w:tc>
        <w:tc>
          <w:tcPr>
            <w:tcW w:w="1462" w:type="pct"/>
          </w:tcPr>
          <w:p w14:paraId="5FEEDA40" w14:textId="5606113C" w:rsidR="00E93805" w:rsidRPr="00A64319" w:rsidRDefault="00E93805" w:rsidP="00E93805">
            <w:pPr>
              <w:pStyle w:val="10Tabletext"/>
              <w:keepN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10203C">
              <w:rPr>
                <w:color w:val="auto"/>
              </w:rPr>
              <w:t>419,001</w:t>
            </w:r>
          </w:p>
        </w:tc>
        <w:tc>
          <w:tcPr>
            <w:tcW w:w="1780" w:type="pct"/>
          </w:tcPr>
          <w:p w14:paraId="6937A1E3" w14:textId="6396BB29" w:rsidR="00E93805" w:rsidRPr="00A64319" w:rsidRDefault="00E93805" w:rsidP="00E93805">
            <w:pPr>
              <w:pStyle w:val="10Tabletext"/>
              <w:keepN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10203C">
              <w:rPr>
                <w:color w:val="auto"/>
              </w:rPr>
              <w:t>557,435</w:t>
            </w:r>
          </w:p>
        </w:tc>
      </w:tr>
    </w:tbl>
    <w:p w14:paraId="0F0BFD53" w14:textId="42ADF6AF" w:rsidR="00540652" w:rsidRPr="00E00273" w:rsidRDefault="00540652" w:rsidP="00F67BA2">
      <w:pPr>
        <w:pStyle w:val="Instrumenttablenotes"/>
      </w:pPr>
      <w:r w:rsidRPr="00E00273">
        <w:t>Note: the above values are for executives employed on a 1.0 FTE basis, and apply pro rata to executives employed on a part-time basis.</w:t>
      </w:r>
    </w:p>
    <w:p w14:paraId="42073D53" w14:textId="031A338F" w:rsidR="002C444C" w:rsidRPr="004B28E7" w:rsidRDefault="002C444C" w:rsidP="00163DCD">
      <w:pPr>
        <w:pStyle w:val="Instrumentlevel1numberedparagraphs"/>
        <w:rPr>
          <w:b w:val="0"/>
        </w:rPr>
      </w:pPr>
      <w:r w:rsidRPr="004B28E7">
        <w:t>Department Heads and the Victorian Public Sector Commissio</w:t>
      </w:r>
      <w:r w:rsidRPr="00E40EF1">
        <w:t>n</w:t>
      </w:r>
      <w:r w:rsidR="003062E5" w:rsidRPr="00E40EF1">
        <w:t>er</w:t>
      </w:r>
    </w:p>
    <w:p w14:paraId="7577D720" w14:textId="448C3732" w:rsidR="00DB0D2B" w:rsidRPr="00E00273" w:rsidRDefault="003062E5" w:rsidP="00260C01">
      <w:pPr>
        <w:pStyle w:val="Instrumentlevel2numberedparagraphs"/>
      </w:pPr>
      <w:r w:rsidRPr="00E00273">
        <w:t>The</w:t>
      </w:r>
      <w:r w:rsidR="000F067C" w:rsidRPr="00E00273">
        <w:t xml:space="preserve"> values of the</w:t>
      </w:r>
      <w:r w:rsidRPr="00E00273">
        <w:t xml:space="preserve"> remuneration band for Department Heads and the Victorian Public Sector Commissioner </w:t>
      </w:r>
      <w:r w:rsidR="00220B53" w:rsidRPr="00E00273">
        <w:t>are</w:t>
      </w:r>
      <w:r w:rsidRPr="00E00273">
        <w:t xml:space="preserve"> set </w:t>
      </w:r>
      <w:r w:rsidR="000F067C" w:rsidRPr="00E00273">
        <w:t xml:space="preserve">out </w:t>
      </w:r>
      <w:r w:rsidRPr="00E00273">
        <w:t xml:space="preserve">in </w:t>
      </w:r>
      <w:r w:rsidR="00B3007C">
        <w:t>T</w:t>
      </w:r>
      <w:r w:rsidR="00210E02" w:rsidRPr="00E00273">
        <w:t>able 3.</w:t>
      </w:r>
    </w:p>
    <w:p w14:paraId="011DC5F4" w14:textId="7E289726" w:rsidR="004B28E7" w:rsidRDefault="004B28E7" w:rsidP="00144BE8">
      <w:pPr>
        <w:pStyle w:val="Tableheading"/>
      </w:pPr>
      <w:r>
        <w:t xml:space="preserve">Table 3: </w:t>
      </w:r>
      <w:r w:rsidR="00144BE8">
        <w:t>V</w:t>
      </w:r>
      <w:r w:rsidR="000F067C">
        <w:t xml:space="preserve">alues of </w:t>
      </w:r>
      <w:r>
        <w:t>remuneration band for Department Heads and the Victorian Public Sector Commissioner</w:t>
      </w:r>
    </w:p>
    <w:tbl>
      <w:tblPr>
        <w:tblStyle w:val="ListTable3-Accent2"/>
        <w:tblW w:w="4857" w:type="pct"/>
        <w:tblInd w:w="250" w:type="dxa"/>
        <w:tblLook w:val="04A0" w:firstRow="1" w:lastRow="0" w:firstColumn="1" w:lastColumn="0" w:noHBand="0" w:noVBand="1"/>
      </w:tblPr>
      <w:tblGrid>
        <w:gridCol w:w="2904"/>
        <w:gridCol w:w="2416"/>
        <w:gridCol w:w="2941"/>
      </w:tblGrid>
      <w:tr w:rsidR="00540652" w:rsidRPr="004E25A2" w14:paraId="024AD805" w14:textId="77777777">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758" w:type="pct"/>
            <w:vAlign w:val="top"/>
          </w:tcPr>
          <w:p w14:paraId="19527A52" w14:textId="77777777" w:rsidR="00540652" w:rsidRPr="004B28E7" w:rsidRDefault="00540652">
            <w:pPr>
              <w:spacing w:before="0" w:after="0"/>
              <w:jc w:val="left"/>
              <w:rPr>
                <w:color w:val="FFFFFF" w:themeColor="background1"/>
                <w:sz w:val="22"/>
              </w:rPr>
            </w:pPr>
            <w:r>
              <w:rPr>
                <w:color w:val="FFFFFF" w:themeColor="background1"/>
                <w:sz w:val="22"/>
              </w:rPr>
              <w:t>Classification</w:t>
            </w:r>
          </w:p>
        </w:tc>
        <w:tc>
          <w:tcPr>
            <w:tcW w:w="1462" w:type="pct"/>
            <w:vAlign w:val="top"/>
          </w:tcPr>
          <w:p w14:paraId="0C2B52DD" w14:textId="77777777" w:rsidR="00540652" w:rsidRPr="004B28E7" w:rsidRDefault="00540652">
            <w:pPr>
              <w:spacing w:before="0" w:after="0"/>
              <w:jc w:val="righ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2"/>
              </w:rPr>
            </w:pPr>
            <w:r w:rsidRPr="004B28E7">
              <w:rPr>
                <w:color w:val="FFFFFF" w:themeColor="background1"/>
                <w:sz w:val="22"/>
              </w:rPr>
              <w:t>Base of band TRP</w:t>
            </w:r>
            <w:r w:rsidRPr="004B28E7">
              <w:rPr>
                <w:color w:val="FFFFFF" w:themeColor="background1"/>
                <w:sz w:val="22"/>
              </w:rPr>
              <w:br/>
              <w:t xml:space="preserve">$ per </w:t>
            </w:r>
            <w:r>
              <w:rPr>
                <w:color w:val="FFFFFF" w:themeColor="background1"/>
                <w:sz w:val="22"/>
              </w:rPr>
              <w:t>annum</w:t>
            </w:r>
          </w:p>
        </w:tc>
        <w:tc>
          <w:tcPr>
            <w:tcW w:w="1780" w:type="pct"/>
            <w:vAlign w:val="top"/>
          </w:tcPr>
          <w:p w14:paraId="7516AF2A" w14:textId="77777777" w:rsidR="00540652" w:rsidRPr="004B28E7" w:rsidRDefault="00540652">
            <w:pPr>
              <w:spacing w:before="0" w:after="0"/>
              <w:jc w:val="righ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2"/>
              </w:rPr>
            </w:pPr>
            <w:r w:rsidRPr="004B28E7">
              <w:rPr>
                <w:bCs w:val="0"/>
                <w:color w:val="FFFFFF" w:themeColor="background1"/>
                <w:sz w:val="22"/>
              </w:rPr>
              <w:t>Top of band TRP</w:t>
            </w:r>
            <w:r w:rsidRPr="004B28E7">
              <w:rPr>
                <w:bCs w:val="0"/>
                <w:color w:val="FFFFFF" w:themeColor="background1"/>
                <w:sz w:val="22"/>
              </w:rPr>
              <w:br/>
            </w:r>
            <w:r w:rsidRPr="004B28E7">
              <w:rPr>
                <w:color w:val="FFFFFF" w:themeColor="background1"/>
                <w:sz w:val="22"/>
              </w:rPr>
              <w:t xml:space="preserve">$ per </w:t>
            </w:r>
            <w:r>
              <w:rPr>
                <w:color w:val="FFFFFF" w:themeColor="background1"/>
                <w:sz w:val="22"/>
              </w:rPr>
              <w:t>annum</w:t>
            </w:r>
          </w:p>
        </w:tc>
      </w:tr>
      <w:tr w:rsidR="00E00273" w:rsidRPr="00E00273" w14:paraId="056B79D4"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58" w:type="pct"/>
          </w:tcPr>
          <w:p w14:paraId="0C4DF1BD" w14:textId="14FE5451" w:rsidR="00540652" w:rsidRPr="0010203C" w:rsidRDefault="00540652" w:rsidP="00951A2A">
            <w:pPr>
              <w:pStyle w:val="10Tabletext"/>
              <w:rPr>
                <w:b w:val="0"/>
                <w:color w:val="auto"/>
              </w:rPr>
            </w:pPr>
            <w:r w:rsidRPr="0010203C">
              <w:rPr>
                <w:b w:val="0"/>
                <w:color w:val="auto"/>
              </w:rPr>
              <w:t>Department Head / Victorian Public Sector Commissioner</w:t>
            </w:r>
          </w:p>
        </w:tc>
        <w:tc>
          <w:tcPr>
            <w:tcW w:w="1462" w:type="pct"/>
          </w:tcPr>
          <w:p w14:paraId="253FA2CD" w14:textId="5CF39299" w:rsidR="00540652" w:rsidRPr="0010203C" w:rsidRDefault="00E93805" w:rsidP="00951A2A">
            <w:pPr>
              <w:pStyle w:val="10Tabletext"/>
              <w:jc w:val="right"/>
              <w:cnfStyle w:val="000000100000" w:firstRow="0" w:lastRow="0" w:firstColumn="0" w:lastColumn="0" w:oddVBand="0" w:evenVBand="0" w:oddHBand="1" w:evenHBand="0" w:firstRowFirstColumn="0" w:firstRowLastColumn="0" w:lastRowFirstColumn="0" w:lastRowLastColumn="0"/>
              <w:rPr>
                <w:color w:val="auto"/>
              </w:rPr>
            </w:pPr>
            <w:r w:rsidRPr="0010203C">
              <w:rPr>
                <w:color w:val="auto"/>
              </w:rPr>
              <w:t>603,713</w:t>
            </w:r>
          </w:p>
        </w:tc>
        <w:tc>
          <w:tcPr>
            <w:tcW w:w="1780" w:type="pct"/>
          </w:tcPr>
          <w:p w14:paraId="1555535B" w14:textId="438A1236" w:rsidR="00540652" w:rsidRPr="0010203C" w:rsidRDefault="00E93805" w:rsidP="00951A2A">
            <w:pPr>
              <w:pStyle w:val="10Tabletext"/>
              <w:jc w:val="right"/>
              <w:cnfStyle w:val="000000100000" w:firstRow="0" w:lastRow="0" w:firstColumn="0" w:lastColumn="0" w:oddVBand="0" w:evenVBand="0" w:oddHBand="1" w:evenHBand="0" w:firstRowFirstColumn="0" w:firstRowLastColumn="0" w:lastRowFirstColumn="0" w:lastRowLastColumn="0"/>
              <w:rPr>
                <w:color w:val="auto"/>
              </w:rPr>
            </w:pPr>
            <w:r w:rsidRPr="0010203C">
              <w:rPr>
                <w:color w:val="auto"/>
              </w:rPr>
              <w:t>813,524</w:t>
            </w:r>
          </w:p>
        </w:tc>
      </w:tr>
    </w:tbl>
    <w:p w14:paraId="1A55A23F" w14:textId="182C8411" w:rsidR="00BE04D4" w:rsidRPr="00E00273" w:rsidRDefault="004E1590" w:rsidP="00F67BA2">
      <w:pPr>
        <w:pStyle w:val="Instrumenttablenotes"/>
      </w:pPr>
      <w:r w:rsidRPr="00E00273">
        <w:t>Note: the above values are for executives employed on a 1.0 FTE basis, and apply pro rata to executives employed on a part-time basis.</w:t>
      </w:r>
      <w:r w:rsidR="00BE04D4" w:rsidRPr="00E00273">
        <w:t xml:space="preserve"> </w:t>
      </w:r>
    </w:p>
    <w:p w14:paraId="7D6AAB0E" w14:textId="235BB162" w:rsidR="00210E02" w:rsidRDefault="00210E02" w:rsidP="00187454"/>
    <w:p w14:paraId="175A3EFA" w14:textId="7C2EBCA8" w:rsidR="00244229" w:rsidRDefault="00244229" w:rsidP="0018745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1"/>
        <w:gridCol w:w="2832"/>
      </w:tblGrid>
      <w:tr w:rsidR="005E3D24" w:rsidRPr="006F1B2E" w14:paraId="3F96514D" w14:textId="77777777" w:rsidTr="00A9246E">
        <w:tc>
          <w:tcPr>
            <w:tcW w:w="2881" w:type="dxa"/>
          </w:tcPr>
          <w:p w14:paraId="3FF50F89" w14:textId="77777777" w:rsidR="005E3D24" w:rsidRPr="006F1B2E" w:rsidRDefault="005E3D24" w:rsidP="00A9246E">
            <w:pPr>
              <w:spacing w:after="0"/>
              <w:rPr>
                <w:rFonts w:cs="Calibri Light"/>
                <w:color w:val="auto"/>
                <w:szCs w:val="26"/>
              </w:rPr>
            </w:pPr>
            <w:r w:rsidRPr="006F1B2E">
              <w:rPr>
                <w:noProof/>
              </w:rPr>
              <w:drawing>
                <wp:inline distT="0" distB="0" distL="0" distR="0" wp14:anchorId="44841CAC" wp14:editId="1B4CC210">
                  <wp:extent cx="1466850" cy="508000"/>
                  <wp:effectExtent l="0" t="0" r="0" b="6350"/>
                  <wp:docPr id="400146992" name="Picture 400146992" descr="Warren McCann'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arren McCann's signature"/>
                          <pic:cNvPicPr>
                            <a:picLocks noChangeAspect="1"/>
                          </pic:cNvPicPr>
                        </pic:nvPicPr>
                        <pic:blipFill>
                          <a:blip r:embed="rId24"/>
                          <a:stretch>
                            <a:fillRect/>
                          </a:stretch>
                        </pic:blipFill>
                        <pic:spPr>
                          <a:xfrm>
                            <a:off x="0" y="0"/>
                            <a:ext cx="1466850" cy="508000"/>
                          </a:xfrm>
                          <a:prstGeom prst="rect">
                            <a:avLst/>
                          </a:prstGeom>
                        </pic:spPr>
                      </pic:pic>
                    </a:graphicData>
                  </a:graphic>
                </wp:inline>
              </w:drawing>
            </w:r>
          </w:p>
        </w:tc>
        <w:tc>
          <w:tcPr>
            <w:tcW w:w="2832" w:type="dxa"/>
            <w:vAlign w:val="center"/>
          </w:tcPr>
          <w:p w14:paraId="3761D788" w14:textId="77777777" w:rsidR="005E3D24" w:rsidRPr="006F1B2E" w:rsidRDefault="005E3D24" w:rsidP="00A9246E">
            <w:pPr>
              <w:spacing w:after="0"/>
              <w:rPr>
                <w:rFonts w:cs="Calibri Light"/>
                <w:color w:val="auto"/>
                <w:szCs w:val="26"/>
              </w:rPr>
            </w:pPr>
            <w:r w:rsidRPr="006F1B2E">
              <w:rPr>
                <w:noProof/>
              </w:rPr>
              <w:drawing>
                <wp:inline distT="0" distB="0" distL="0" distR="0" wp14:anchorId="6ABD8F8A" wp14:editId="05389606">
                  <wp:extent cx="1661160" cy="294640"/>
                  <wp:effectExtent l="0" t="0" r="0" b="0"/>
                  <wp:docPr id="235" name="Picture 235" descr="Laurinda Gardner'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Laurinda Gardner's signature"/>
                          <pic:cNvPicPr>
                            <a:picLocks noChangeAspect="1"/>
                          </pic:cNvPicPr>
                        </pic:nvPicPr>
                        <pic:blipFill>
                          <a:blip r:embed="rId25"/>
                          <a:stretch>
                            <a:fillRect/>
                          </a:stretch>
                        </pic:blipFill>
                        <pic:spPr>
                          <a:xfrm>
                            <a:off x="0" y="0"/>
                            <a:ext cx="1661160" cy="294640"/>
                          </a:xfrm>
                          <a:prstGeom prst="rect">
                            <a:avLst/>
                          </a:prstGeom>
                        </pic:spPr>
                      </pic:pic>
                    </a:graphicData>
                  </a:graphic>
                </wp:inline>
              </w:drawing>
            </w:r>
          </w:p>
        </w:tc>
      </w:tr>
      <w:tr w:rsidR="005E3D24" w:rsidRPr="006F1B2E" w14:paraId="37BE7573" w14:textId="77777777" w:rsidTr="00A9246E">
        <w:tc>
          <w:tcPr>
            <w:tcW w:w="2881" w:type="dxa"/>
          </w:tcPr>
          <w:p w14:paraId="04B9C919" w14:textId="77777777" w:rsidR="005E3D24" w:rsidRPr="006F1B2E" w:rsidRDefault="005E3D24" w:rsidP="00A9246E">
            <w:pPr>
              <w:spacing w:after="0"/>
              <w:rPr>
                <w:rFonts w:cs="Calibri Light"/>
                <w:color w:val="auto"/>
                <w:szCs w:val="26"/>
              </w:rPr>
            </w:pPr>
          </w:p>
        </w:tc>
        <w:tc>
          <w:tcPr>
            <w:tcW w:w="2832" w:type="dxa"/>
          </w:tcPr>
          <w:p w14:paraId="66647A8E" w14:textId="77777777" w:rsidR="005E3D24" w:rsidRPr="006F1B2E" w:rsidRDefault="005E3D24" w:rsidP="00A9246E">
            <w:pPr>
              <w:spacing w:after="0"/>
              <w:rPr>
                <w:rFonts w:cs="Calibri Light"/>
                <w:color w:val="auto"/>
                <w:szCs w:val="26"/>
              </w:rPr>
            </w:pPr>
          </w:p>
        </w:tc>
      </w:tr>
      <w:tr w:rsidR="005E3D24" w:rsidRPr="006F1B2E" w14:paraId="48558545" w14:textId="77777777" w:rsidTr="00A9246E">
        <w:tc>
          <w:tcPr>
            <w:tcW w:w="2881" w:type="dxa"/>
            <w:hideMark/>
          </w:tcPr>
          <w:p w14:paraId="20AC8AC8" w14:textId="77777777" w:rsidR="005E3D24" w:rsidRDefault="005E3D24" w:rsidP="00A9246E">
            <w:pPr>
              <w:spacing w:before="120" w:after="120"/>
              <w:rPr>
                <w:rFonts w:cs="Calibri Light"/>
                <w:color w:val="auto"/>
                <w:szCs w:val="26"/>
              </w:rPr>
            </w:pPr>
            <w:r w:rsidRPr="006F1B2E">
              <w:rPr>
                <w:rFonts w:cs="Calibri Light"/>
                <w:color w:val="auto"/>
                <w:szCs w:val="26"/>
              </w:rPr>
              <w:t>Warren McCann</w:t>
            </w:r>
          </w:p>
          <w:p w14:paraId="1654D182" w14:textId="77777777" w:rsidR="005E3D24" w:rsidRDefault="005E3D24" w:rsidP="00A9246E">
            <w:pPr>
              <w:spacing w:before="120" w:after="120"/>
              <w:rPr>
                <w:rFonts w:cs="Calibri Light"/>
                <w:i/>
                <w:color w:val="auto"/>
                <w:szCs w:val="26"/>
              </w:rPr>
            </w:pPr>
            <w:r w:rsidRPr="006F1B2E">
              <w:rPr>
                <w:rFonts w:cs="Calibri Light"/>
                <w:i/>
                <w:color w:val="auto"/>
                <w:szCs w:val="26"/>
              </w:rPr>
              <w:t>Chair</w:t>
            </w:r>
          </w:p>
          <w:p w14:paraId="4EF61A34" w14:textId="77777777" w:rsidR="005E3D24" w:rsidRPr="00893FF3" w:rsidRDefault="005E3D24" w:rsidP="00A829EE">
            <w:pPr>
              <w:spacing w:before="120" w:after="120"/>
              <w:jc w:val="left"/>
              <w:rPr>
                <w:rFonts w:cs="Calibri Light"/>
                <w:color w:val="auto"/>
                <w:szCs w:val="26"/>
              </w:rPr>
            </w:pPr>
            <w:r w:rsidRPr="006F1B2E">
              <w:rPr>
                <w:rFonts w:cs="Calibri Light"/>
                <w:color w:val="auto"/>
                <w:szCs w:val="26"/>
              </w:rPr>
              <w:t>Victorian Independent Remuneration Tribunal</w:t>
            </w:r>
          </w:p>
        </w:tc>
        <w:tc>
          <w:tcPr>
            <w:tcW w:w="2832" w:type="dxa"/>
          </w:tcPr>
          <w:p w14:paraId="52581CA6" w14:textId="77777777" w:rsidR="005E3D24" w:rsidRDefault="005E3D24" w:rsidP="00A9246E">
            <w:pPr>
              <w:spacing w:before="120" w:after="120"/>
              <w:rPr>
                <w:rFonts w:cs="Calibri Light"/>
                <w:color w:val="auto"/>
                <w:szCs w:val="26"/>
              </w:rPr>
            </w:pPr>
            <w:r w:rsidRPr="006F1B2E">
              <w:rPr>
                <w:rFonts w:cs="Calibri Light"/>
                <w:color w:val="auto"/>
                <w:szCs w:val="26"/>
              </w:rPr>
              <w:t>Laurinda Gardner</w:t>
            </w:r>
          </w:p>
          <w:p w14:paraId="194FEB64" w14:textId="77777777" w:rsidR="005E3D24" w:rsidRDefault="005E3D24" w:rsidP="00A9246E">
            <w:pPr>
              <w:spacing w:before="120" w:after="120"/>
              <w:rPr>
                <w:rFonts w:cs="Calibri Light"/>
                <w:color w:val="auto"/>
                <w:szCs w:val="26"/>
              </w:rPr>
            </w:pPr>
            <w:r w:rsidRPr="006F1B2E">
              <w:rPr>
                <w:rFonts w:cs="Calibri Light"/>
                <w:i/>
                <w:color w:val="auto"/>
                <w:szCs w:val="26"/>
              </w:rPr>
              <w:t>Member</w:t>
            </w:r>
            <w:r w:rsidRPr="006F1B2E">
              <w:rPr>
                <w:rFonts w:cs="Calibri Light"/>
                <w:color w:val="auto"/>
                <w:szCs w:val="26"/>
              </w:rPr>
              <w:t xml:space="preserve"> </w:t>
            </w:r>
          </w:p>
          <w:p w14:paraId="2A062210" w14:textId="77777777" w:rsidR="005E3D24" w:rsidRPr="006F1B2E" w:rsidRDefault="005E3D24" w:rsidP="00A829EE">
            <w:pPr>
              <w:spacing w:before="120" w:after="120"/>
              <w:jc w:val="left"/>
              <w:rPr>
                <w:rFonts w:cs="Calibri Light"/>
                <w:color w:val="auto"/>
                <w:szCs w:val="26"/>
              </w:rPr>
            </w:pPr>
            <w:r w:rsidRPr="006F1B2E">
              <w:rPr>
                <w:rFonts w:cs="Calibri Light"/>
                <w:color w:val="auto"/>
                <w:szCs w:val="26"/>
              </w:rPr>
              <w:t>Victorian Independent Remuneration Tribunal</w:t>
            </w:r>
          </w:p>
        </w:tc>
      </w:tr>
      <w:tr w:rsidR="005E3D24" w:rsidRPr="006F1B2E" w14:paraId="17737CB6" w14:textId="77777777" w:rsidTr="00A9246E">
        <w:tc>
          <w:tcPr>
            <w:tcW w:w="2881" w:type="dxa"/>
            <w:hideMark/>
          </w:tcPr>
          <w:p w14:paraId="13E69085" w14:textId="55F35C02" w:rsidR="005E3D24" w:rsidRPr="006F1B2E" w:rsidRDefault="005E3D24" w:rsidP="00A9246E">
            <w:pPr>
              <w:spacing w:before="120" w:after="120"/>
              <w:rPr>
                <w:rFonts w:cs="Calibri Light"/>
                <w:color w:val="auto"/>
                <w:szCs w:val="26"/>
              </w:rPr>
            </w:pPr>
            <w:r w:rsidRPr="006F1B2E">
              <w:rPr>
                <w:rFonts w:cs="Calibri Light"/>
                <w:color w:val="auto"/>
                <w:szCs w:val="26"/>
              </w:rPr>
              <w:t xml:space="preserve">Date: </w:t>
            </w:r>
            <w:r>
              <w:rPr>
                <w:rFonts w:cs="Calibri Light"/>
                <w:color w:val="auto"/>
                <w:szCs w:val="26"/>
              </w:rPr>
              <w:t>2</w:t>
            </w:r>
            <w:r w:rsidRPr="006F1B2E">
              <w:rPr>
                <w:rFonts w:cs="Calibri Light"/>
                <w:color w:val="auto"/>
                <w:szCs w:val="26"/>
              </w:rPr>
              <w:t xml:space="preserve"> July 2024</w:t>
            </w:r>
          </w:p>
        </w:tc>
        <w:tc>
          <w:tcPr>
            <w:tcW w:w="2832" w:type="dxa"/>
          </w:tcPr>
          <w:p w14:paraId="0F42F9BD" w14:textId="77777777" w:rsidR="005E3D24" w:rsidRPr="006F1B2E" w:rsidRDefault="005E3D24" w:rsidP="00A9246E">
            <w:pPr>
              <w:spacing w:before="120" w:after="120"/>
              <w:rPr>
                <w:rFonts w:cs="Calibri Light"/>
                <w:color w:val="auto"/>
                <w:szCs w:val="26"/>
              </w:rPr>
            </w:pPr>
          </w:p>
        </w:tc>
      </w:tr>
      <w:bookmarkEnd w:id="4"/>
    </w:tbl>
    <w:p w14:paraId="32577070" w14:textId="5F815466" w:rsidR="005704EF" w:rsidRDefault="005704EF">
      <w:pPr>
        <w:spacing w:before="0" w:after="80" w:line="240" w:lineRule="auto"/>
        <w:jc w:val="left"/>
        <w:rPr>
          <w:color w:val="auto"/>
          <w:highlight w:val="yellow"/>
        </w:rPr>
      </w:pPr>
      <w:r>
        <w:rPr>
          <w:color w:val="auto"/>
          <w:highlight w:val="yellow"/>
        </w:rPr>
        <w:br w:type="page"/>
      </w:r>
    </w:p>
    <w:p w14:paraId="33123B42" w14:textId="77777777" w:rsidR="00A15208" w:rsidRDefault="00F25E64" w:rsidP="00332E29">
      <w:pPr>
        <w:pStyle w:val="TOC3"/>
        <w:rPr>
          <w:rStyle w:val="01ChapterheadingChar"/>
        </w:rPr>
      </w:pPr>
      <w:bookmarkStart w:id="11" w:name="_Toc169878460"/>
      <w:bookmarkStart w:id="12" w:name="_Toc170396202"/>
      <w:r w:rsidRPr="006F4A8B">
        <w:rPr>
          <w:rStyle w:val="01ChapterheadingChar"/>
        </w:rPr>
        <w:lastRenderedPageBreak/>
        <w:t>Contents</w:t>
      </w:r>
      <w:bookmarkEnd w:id="11"/>
      <w:bookmarkEnd w:id="12"/>
      <w:r w:rsidR="00F573C5" w:rsidRPr="006F4A8B">
        <w:rPr>
          <w:rStyle w:val="01ChapterheadingChar"/>
        </w:rPr>
        <w:br/>
      </w:r>
      <w:r w:rsidR="00F573C5" w:rsidRPr="00C02C39">
        <w:rPr>
          <w:noProof/>
        </w:rPr>
        <w:drawing>
          <wp:inline distT="0" distB="0" distL="0" distR="0" wp14:anchorId="74B3E75C" wp14:editId="34BFA7BD">
            <wp:extent cx="2222500" cy="253365"/>
            <wp:effectExtent l="0" t="0" r="6350" b="0"/>
            <wp:docPr id="576182485" name="Picture 57618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23">
                      <a:extLst>
                        <a:ext uri="{28A0092B-C50C-407E-A947-70E740481C1C}">
                          <a14:useLocalDpi xmlns:a14="http://schemas.microsoft.com/office/drawing/2010/main" val="0"/>
                        </a:ext>
                      </a:extLst>
                    </a:blip>
                    <a:stretch>
                      <a:fillRect/>
                    </a:stretch>
                  </pic:blipFill>
                  <pic:spPr>
                    <a:xfrm>
                      <a:off x="0" y="0"/>
                      <a:ext cx="2222500" cy="253365"/>
                    </a:xfrm>
                    <a:prstGeom prst="rect">
                      <a:avLst/>
                    </a:prstGeom>
                  </pic:spPr>
                </pic:pic>
              </a:graphicData>
            </a:graphic>
          </wp:inline>
        </w:drawing>
      </w:r>
    </w:p>
    <w:p w14:paraId="73B53F36" w14:textId="308D1C87" w:rsidR="00F0021A" w:rsidRDefault="006D68F3">
      <w:pPr>
        <w:pStyle w:val="TOC1"/>
        <w:rPr>
          <w:rFonts w:asciiTheme="minorHAnsi" w:eastAsiaTheme="minorEastAsia" w:hAnsiTheme="minorHAnsi"/>
          <w:b w:val="0"/>
          <w:bCs w:val="0"/>
          <w:noProof/>
          <w:kern w:val="2"/>
          <w:sz w:val="24"/>
          <w:szCs w:val="24"/>
          <w:lang w:eastAsia="en-AU"/>
          <w14:ligatures w14:val="standardContextual"/>
        </w:rPr>
      </w:pPr>
      <w:r>
        <w:fldChar w:fldCharType="begin"/>
      </w:r>
      <w:r>
        <w:instrText xml:space="preserve"> TOC \o "1-2" \h \z \u </w:instrText>
      </w:r>
      <w:r>
        <w:fldChar w:fldCharType="separate"/>
      </w:r>
    </w:p>
    <w:p w14:paraId="3CA6C0E5" w14:textId="6A9FE661" w:rsidR="00F0021A" w:rsidRDefault="003B77A3">
      <w:pPr>
        <w:pStyle w:val="TOC1"/>
        <w:rPr>
          <w:rFonts w:asciiTheme="minorHAnsi" w:eastAsiaTheme="minorEastAsia" w:hAnsiTheme="minorHAnsi"/>
          <w:b w:val="0"/>
          <w:bCs w:val="0"/>
          <w:noProof/>
          <w:kern w:val="2"/>
          <w:sz w:val="24"/>
          <w:szCs w:val="24"/>
          <w:lang w:eastAsia="en-AU"/>
          <w14:ligatures w14:val="standardContextual"/>
        </w:rPr>
      </w:pPr>
      <w:hyperlink w:anchor="_Toc170396203" w:history="1">
        <w:r w:rsidR="00F0021A" w:rsidRPr="00A07FF2">
          <w:rPr>
            <w:rStyle w:val="Hyperlink"/>
            <w:noProof/>
            <w:spacing w:val="-6"/>
            <w:lang w:val="en-US"/>
          </w:rPr>
          <w:t>Abbreviations and glossary</w:t>
        </w:r>
        <w:r w:rsidR="00F0021A">
          <w:rPr>
            <w:noProof/>
            <w:webHidden/>
          </w:rPr>
          <w:tab/>
        </w:r>
        <w:r w:rsidR="00F0021A">
          <w:rPr>
            <w:noProof/>
            <w:webHidden/>
          </w:rPr>
          <w:fldChar w:fldCharType="begin"/>
        </w:r>
        <w:r w:rsidR="00F0021A">
          <w:rPr>
            <w:noProof/>
            <w:webHidden/>
          </w:rPr>
          <w:instrText xml:space="preserve"> PAGEREF _Toc170396203 \h </w:instrText>
        </w:r>
        <w:r w:rsidR="00F0021A">
          <w:rPr>
            <w:noProof/>
            <w:webHidden/>
          </w:rPr>
        </w:r>
        <w:r w:rsidR="00F0021A">
          <w:rPr>
            <w:noProof/>
            <w:webHidden/>
          </w:rPr>
          <w:fldChar w:fldCharType="separate"/>
        </w:r>
        <w:r w:rsidR="00EE3370">
          <w:rPr>
            <w:noProof/>
            <w:webHidden/>
          </w:rPr>
          <w:t>7</w:t>
        </w:r>
        <w:r w:rsidR="00F0021A">
          <w:rPr>
            <w:noProof/>
            <w:webHidden/>
          </w:rPr>
          <w:fldChar w:fldCharType="end"/>
        </w:r>
      </w:hyperlink>
    </w:p>
    <w:p w14:paraId="6442F78B" w14:textId="1EE53DF5" w:rsidR="00F0021A" w:rsidRDefault="003B77A3">
      <w:pPr>
        <w:pStyle w:val="TOC1"/>
        <w:rPr>
          <w:rFonts w:asciiTheme="minorHAnsi" w:eastAsiaTheme="minorEastAsia" w:hAnsiTheme="minorHAnsi"/>
          <w:b w:val="0"/>
          <w:bCs w:val="0"/>
          <w:noProof/>
          <w:kern w:val="2"/>
          <w:sz w:val="24"/>
          <w:szCs w:val="24"/>
          <w:lang w:eastAsia="en-AU"/>
          <w14:ligatures w14:val="standardContextual"/>
        </w:rPr>
      </w:pPr>
      <w:hyperlink w:anchor="_Toc170396204" w:history="1">
        <w:r w:rsidR="00F0021A" w:rsidRPr="00A07FF2">
          <w:rPr>
            <w:rStyle w:val="Hyperlink"/>
            <w:noProof/>
          </w:rPr>
          <w:t xml:space="preserve">Executive summary </w:t>
        </w:r>
        <w:r w:rsidR="00F0021A">
          <w:rPr>
            <w:noProof/>
            <w:webHidden/>
          </w:rPr>
          <w:tab/>
        </w:r>
        <w:r w:rsidR="00F0021A">
          <w:rPr>
            <w:noProof/>
            <w:webHidden/>
          </w:rPr>
          <w:fldChar w:fldCharType="begin"/>
        </w:r>
        <w:r w:rsidR="00F0021A">
          <w:rPr>
            <w:noProof/>
            <w:webHidden/>
          </w:rPr>
          <w:instrText xml:space="preserve"> PAGEREF _Toc170396204 \h </w:instrText>
        </w:r>
        <w:r w:rsidR="00F0021A">
          <w:rPr>
            <w:noProof/>
            <w:webHidden/>
          </w:rPr>
        </w:r>
        <w:r w:rsidR="00F0021A">
          <w:rPr>
            <w:noProof/>
            <w:webHidden/>
          </w:rPr>
          <w:fldChar w:fldCharType="separate"/>
        </w:r>
        <w:r w:rsidR="00EE3370">
          <w:rPr>
            <w:noProof/>
            <w:webHidden/>
          </w:rPr>
          <w:t>10</w:t>
        </w:r>
        <w:r w:rsidR="00F0021A">
          <w:rPr>
            <w:noProof/>
            <w:webHidden/>
          </w:rPr>
          <w:fldChar w:fldCharType="end"/>
        </w:r>
      </w:hyperlink>
    </w:p>
    <w:p w14:paraId="781F6DFA" w14:textId="592D2C4F" w:rsidR="00F0021A" w:rsidRDefault="003B77A3">
      <w:pPr>
        <w:pStyle w:val="TOC1"/>
        <w:rPr>
          <w:rFonts w:asciiTheme="minorHAnsi" w:eastAsiaTheme="minorEastAsia" w:hAnsiTheme="minorHAnsi"/>
          <w:b w:val="0"/>
          <w:bCs w:val="0"/>
          <w:noProof/>
          <w:kern w:val="2"/>
          <w:sz w:val="24"/>
          <w:szCs w:val="24"/>
          <w:lang w:eastAsia="en-AU"/>
          <w14:ligatures w14:val="standardContextual"/>
        </w:rPr>
      </w:pPr>
      <w:hyperlink w:anchor="_Toc170396205" w:history="1">
        <w:r w:rsidR="00F0021A" w:rsidRPr="00A07FF2">
          <w:rPr>
            <w:rStyle w:val="Hyperlink"/>
            <w:noProof/>
          </w:rPr>
          <w:t>1</w:t>
        </w:r>
        <w:r w:rsidR="00F0021A">
          <w:rPr>
            <w:rFonts w:asciiTheme="minorHAnsi" w:eastAsiaTheme="minorEastAsia" w:hAnsiTheme="minorHAnsi"/>
            <w:b w:val="0"/>
            <w:bCs w:val="0"/>
            <w:noProof/>
            <w:kern w:val="2"/>
            <w:sz w:val="24"/>
            <w:szCs w:val="24"/>
            <w:lang w:eastAsia="en-AU"/>
            <w14:ligatures w14:val="standardContextual"/>
          </w:rPr>
          <w:tab/>
        </w:r>
        <w:r w:rsidR="00F0021A" w:rsidRPr="00A07FF2">
          <w:rPr>
            <w:rStyle w:val="Hyperlink"/>
            <w:noProof/>
          </w:rPr>
          <w:t xml:space="preserve">About this Determination </w:t>
        </w:r>
        <w:r w:rsidR="00F0021A">
          <w:rPr>
            <w:noProof/>
            <w:webHidden/>
          </w:rPr>
          <w:tab/>
        </w:r>
        <w:r w:rsidR="00F0021A">
          <w:rPr>
            <w:noProof/>
            <w:webHidden/>
          </w:rPr>
          <w:fldChar w:fldCharType="begin"/>
        </w:r>
        <w:r w:rsidR="00F0021A">
          <w:rPr>
            <w:noProof/>
            <w:webHidden/>
          </w:rPr>
          <w:instrText xml:space="preserve"> PAGEREF _Toc170396205 \h </w:instrText>
        </w:r>
        <w:r w:rsidR="00F0021A">
          <w:rPr>
            <w:noProof/>
            <w:webHidden/>
          </w:rPr>
        </w:r>
        <w:r w:rsidR="00F0021A">
          <w:rPr>
            <w:noProof/>
            <w:webHidden/>
          </w:rPr>
          <w:fldChar w:fldCharType="separate"/>
        </w:r>
        <w:r w:rsidR="00EE3370">
          <w:rPr>
            <w:noProof/>
            <w:webHidden/>
          </w:rPr>
          <w:t>20</w:t>
        </w:r>
        <w:r w:rsidR="00F0021A">
          <w:rPr>
            <w:noProof/>
            <w:webHidden/>
          </w:rPr>
          <w:fldChar w:fldCharType="end"/>
        </w:r>
      </w:hyperlink>
    </w:p>
    <w:p w14:paraId="68CB11E5" w14:textId="50356FE8" w:rsidR="00F0021A" w:rsidRDefault="003B77A3" w:rsidP="00557732">
      <w:pPr>
        <w:pStyle w:val="TOC2"/>
        <w:rPr>
          <w:rFonts w:asciiTheme="minorHAnsi" w:eastAsiaTheme="minorEastAsia" w:hAnsiTheme="minorHAnsi"/>
          <w:color w:val="auto"/>
          <w:kern w:val="2"/>
          <w:sz w:val="24"/>
          <w:szCs w:val="24"/>
          <w:lang w:eastAsia="en-AU"/>
          <w14:ligatures w14:val="standardContextual"/>
        </w:rPr>
      </w:pPr>
      <w:hyperlink w:anchor="_Toc170396206" w:history="1">
        <w:r w:rsidR="00F0021A" w:rsidRPr="00A07FF2">
          <w:rPr>
            <w:rStyle w:val="Hyperlink"/>
          </w:rPr>
          <w:t>1.1</w:t>
        </w:r>
        <w:r w:rsidR="00F0021A">
          <w:rPr>
            <w:rFonts w:asciiTheme="minorHAnsi" w:eastAsiaTheme="minorEastAsia" w:hAnsiTheme="minorHAnsi"/>
            <w:color w:val="auto"/>
            <w:kern w:val="2"/>
            <w:sz w:val="24"/>
            <w:szCs w:val="24"/>
            <w:lang w:eastAsia="en-AU"/>
            <w14:ligatures w14:val="standardContextual"/>
          </w:rPr>
          <w:tab/>
        </w:r>
        <w:r w:rsidR="00F0021A" w:rsidRPr="00A07FF2">
          <w:rPr>
            <w:rStyle w:val="Hyperlink"/>
          </w:rPr>
          <w:t>The Determination applies to executives in VPS bodies</w:t>
        </w:r>
        <w:r w:rsidR="00F0021A">
          <w:rPr>
            <w:webHidden/>
          </w:rPr>
          <w:tab/>
        </w:r>
        <w:r w:rsidR="00F0021A">
          <w:rPr>
            <w:webHidden/>
          </w:rPr>
          <w:fldChar w:fldCharType="begin"/>
        </w:r>
        <w:r w:rsidR="00F0021A">
          <w:rPr>
            <w:webHidden/>
          </w:rPr>
          <w:instrText xml:space="preserve"> PAGEREF _Toc170396206 \h </w:instrText>
        </w:r>
        <w:r w:rsidR="00F0021A">
          <w:rPr>
            <w:webHidden/>
          </w:rPr>
        </w:r>
        <w:r w:rsidR="00F0021A">
          <w:rPr>
            <w:webHidden/>
          </w:rPr>
          <w:fldChar w:fldCharType="separate"/>
        </w:r>
        <w:r w:rsidR="00EE3370">
          <w:rPr>
            <w:webHidden/>
          </w:rPr>
          <w:t>21</w:t>
        </w:r>
        <w:r w:rsidR="00F0021A">
          <w:rPr>
            <w:webHidden/>
          </w:rPr>
          <w:fldChar w:fldCharType="end"/>
        </w:r>
      </w:hyperlink>
    </w:p>
    <w:p w14:paraId="517A649E" w14:textId="4B543CF3" w:rsidR="00F0021A" w:rsidRDefault="003B77A3" w:rsidP="00557732">
      <w:pPr>
        <w:pStyle w:val="TOC2"/>
        <w:rPr>
          <w:rFonts w:asciiTheme="minorHAnsi" w:eastAsiaTheme="minorEastAsia" w:hAnsiTheme="minorHAnsi"/>
          <w:color w:val="auto"/>
          <w:kern w:val="2"/>
          <w:sz w:val="24"/>
          <w:szCs w:val="24"/>
          <w:lang w:eastAsia="en-AU"/>
          <w14:ligatures w14:val="standardContextual"/>
        </w:rPr>
      </w:pPr>
      <w:hyperlink w:anchor="_Toc170396207" w:history="1">
        <w:r w:rsidR="00F0021A" w:rsidRPr="00A07FF2">
          <w:rPr>
            <w:rStyle w:val="Hyperlink"/>
          </w:rPr>
          <w:t>1.2</w:t>
        </w:r>
        <w:r w:rsidR="00F0021A">
          <w:rPr>
            <w:rFonts w:asciiTheme="minorHAnsi" w:eastAsiaTheme="minorEastAsia" w:hAnsiTheme="minorHAnsi"/>
            <w:color w:val="auto"/>
            <w:kern w:val="2"/>
            <w:sz w:val="24"/>
            <w:szCs w:val="24"/>
            <w:lang w:eastAsia="en-AU"/>
            <w14:ligatures w14:val="standardContextual"/>
          </w:rPr>
          <w:tab/>
        </w:r>
        <w:r w:rsidR="00F0021A" w:rsidRPr="00A07FF2">
          <w:rPr>
            <w:rStyle w:val="Hyperlink"/>
          </w:rPr>
          <w:t>The Tribunal considered legislative requirements</w:t>
        </w:r>
        <w:r w:rsidR="00F0021A">
          <w:rPr>
            <w:webHidden/>
          </w:rPr>
          <w:tab/>
        </w:r>
        <w:r w:rsidR="00F0021A">
          <w:rPr>
            <w:webHidden/>
          </w:rPr>
          <w:fldChar w:fldCharType="begin"/>
        </w:r>
        <w:r w:rsidR="00F0021A">
          <w:rPr>
            <w:webHidden/>
          </w:rPr>
          <w:instrText xml:space="preserve"> PAGEREF _Toc170396207 \h </w:instrText>
        </w:r>
        <w:r w:rsidR="00F0021A">
          <w:rPr>
            <w:webHidden/>
          </w:rPr>
        </w:r>
        <w:r w:rsidR="00F0021A">
          <w:rPr>
            <w:webHidden/>
          </w:rPr>
          <w:fldChar w:fldCharType="separate"/>
        </w:r>
        <w:r w:rsidR="00EE3370">
          <w:rPr>
            <w:webHidden/>
          </w:rPr>
          <w:t>24</w:t>
        </w:r>
        <w:r w:rsidR="00F0021A">
          <w:rPr>
            <w:webHidden/>
          </w:rPr>
          <w:fldChar w:fldCharType="end"/>
        </w:r>
      </w:hyperlink>
    </w:p>
    <w:p w14:paraId="5F72E6DA" w14:textId="66921427" w:rsidR="00F0021A" w:rsidRDefault="003B77A3" w:rsidP="00557732">
      <w:pPr>
        <w:pStyle w:val="TOC2"/>
        <w:rPr>
          <w:rFonts w:asciiTheme="minorHAnsi" w:eastAsiaTheme="minorEastAsia" w:hAnsiTheme="minorHAnsi"/>
          <w:color w:val="auto"/>
          <w:kern w:val="2"/>
          <w:sz w:val="24"/>
          <w:szCs w:val="24"/>
          <w:lang w:eastAsia="en-AU"/>
          <w14:ligatures w14:val="standardContextual"/>
        </w:rPr>
      </w:pPr>
      <w:hyperlink w:anchor="_Toc170396208" w:history="1">
        <w:r w:rsidR="00F0021A" w:rsidRPr="00A07FF2">
          <w:rPr>
            <w:rStyle w:val="Hyperlink"/>
          </w:rPr>
          <w:t>1.3</w:t>
        </w:r>
        <w:r w:rsidR="00F0021A">
          <w:rPr>
            <w:rFonts w:asciiTheme="minorHAnsi" w:eastAsiaTheme="minorEastAsia" w:hAnsiTheme="minorHAnsi"/>
            <w:color w:val="auto"/>
            <w:kern w:val="2"/>
            <w:sz w:val="24"/>
            <w:szCs w:val="24"/>
            <w:lang w:eastAsia="en-AU"/>
            <w14:ligatures w14:val="standardContextual"/>
          </w:rPr>
          <w:tab/>
        </w:r>
        <w:r w:rsidR="00F0021A" w:rsidRPr="00A07FF2">
          <w:rPr>
            <w:rStyle w:val="Hyperlink"/>
          </w:rPr>
          <w:t>The Tribunal updated its Guidelines for placement of executives within</w:t>
        </w:r>
        <w:r w:rsidR="0017318F">
          <w:rPr>
            <w:rStyle w:val="Hyperlink"/>
          </w:rPr>
          <w:t> </w:t>
        </w:r>
        <w:r w:rsidR="00F0021A" w:rsidRPr="00A07FF2">
          <w:rPr>
            <w:rStyle w:val="Hyperlink"/>
          </w:rPr>
          <w:t>the bands</w:t>
        </w:r>
        <w:r w:rsidR="00F0021A">
          <w:rPr>
            <w:webHidden/>
          </w:rPr>
          <w:tab/>
        </w:r>
        <w:r w:rsidR="00F0021A">
          <w:rPr>
            <w:webHidden/>
          </w:rPr>
          <w:fldChar w:fldCharType="begin"/>
        </w:r>
        <w:r w:rsidR="00F0021A">
          <w:rPr>
            <w:webHidden/>
          </w:rPr>
          <w:instrText xml:space="preserve"> PAGEREF _Toc170396208 \h </w:instrText>
        </w:r>
        <w:r w:rsidR="00F0021A">
          <w:rPr>
            <w:webHidden/>
          </w:rPr>
        </w:r>
        <w:r w:rsidR="00F0021A">
          <w:rPr>
            <w:webHidden/>
          </w:rPr>
          <w:fldChar w:fldCharType="separate"/>
        </w:r>
        <w:r w:rsidR="00EE3370">
          <w:rPr>
            <w:webHidden/>
          </w:rPr>
          <w:t>25</w:t>
        </w:r>
        <w:r w:rsidR="00F0021A">
          <w:rPr>
            <w:webHidden/>
          </w:rPr>
          <w:fldChar w:fldCharType="end"/>
        </w:r>
      </w:hyperlink>
    </w:p>
    <w:p w14:paraId="560F10C9" w14:textId="08A1CF66" w:rsidR="00F0021A" w:rsidRDefault="003B77A3" w:rsidP="00557732">
      <w:pPr>
        <w:pStyle w:val="TOC2"/>
        <w:rPr>
          <w:rFonts w:asciiTheme="minorHAnsi" w:eastAsiaTheme="minorEastAsia" w:hAnsiTheme="minorHAnsi"/>
          <w:color w:val="auto"/>
          <w:kern w:val="2"/>
          <w:sz w:val="24"/>
          <w:szCs w:val="24"/>
          <w:lang w:eastAsia="en-AU"/>
          <w14:ligatures w14:val="standardContextual"/>
        </w:rPr>
      </w:pPr>
      <w:hyperlink w:anchor="_Toc170396209" w:history="1">
        <w:r w:rsidR="00F0021A" w:rsidRPr="00A07FF2">
          <w:rPr>
            <w:rStyle w:val="Hyperlink"/>
          </w:rPr>
          <w:t>1.4</w:t>
        </w:r>
        <w:r w:rsidR="00F0021A">
          <w:rPr>
            <w:rFonts w:asciiTheme="minorHAnsi" w:eastAsiaTheme="minorEastAsia" w:hAnsiTheme="minorHAnsi"/>
            <w:color w:val="auto"/>
            <w:kern w:val="2"/>
            <w:sz w:val="24"/>
            <w:szCs w:val="24"/>
            <w:lang w:eastAsia="en-AU"/>
            <w14:ligatures w14:val="standardContextual"/>
          </w:rPr>
          <w:tab/>
        </w:r>
        <w:r w:rsidR="00F0021A" w:rsidRPr="00A07FF2">
          <w:rPr>
            <w:rStyle w:val="Hyperlink"/>
          </w:rPr>
          <w:t>The Tribunal undertook extensive consultation</w:t>
        </w:r>
        <w:r w:rsidR="00F0021A">
          <w:rPr>
            <w:webHidden/>
          </w:rPr>
          <w:tab/>
        </w:r>
        <w:r w:rsidR="00F0021A">
          <w:rPr>
            <w:webHidden/>
          </w:rPr>
          <w:fldChar w:fldCharType="begin"/>
        </w:r>
        <w:r w:rsidR="00F0021A">
          <w:rPr>
            <w:webHidden/>
          </w:rPr>
          <w:instrText xml:space="preserve"> PAGEREF _Toc170396209 \h </w:instrText>
        </w:r>
        <w:r w:rsidR="00F0021A">
          <w:rPr>
            <w:webHidden/>
          </w:rPr>
        </w:r>
        <w:r w:rsidR="00F0021A">
          <w:rPr>
            <w:webHidden/>
          </w:rPr>
          <w:fldChar w:fldCharType="separate"/>
        </w:r>
        <w:r w:rsidR="00EE3370">
          <w:rPr>
            <w:webHidden/>
          </w:rPr>
          <w:t>25</w:t>
        </w:r>
        <w:r w:rsidR="00F0021A">
          <w:rPr>
            <w:webHidden/>
          </w:rPr>
          <w:fldChar w:fldCharType="end"/>
        </w:r>
      </w:hyperlink>
    </w:p>
    <w:p w14:paraId="1B03D5D3" w14:textId="474DA034" w:rsidR="00F0021A" w:rsidRDefault="003B77A3" w:rsidP="00557732">
      <w:pPr>
        <w:pStyle w:val="TOC2"/>
        <w:rPr>
          <w:rFonts w:asciiTheme="minorHAnsi" w:eastAsiaTheme="minorEastAsia" w:hAnsiTheme="minorHAnsi"/>
          <w:color w:val="auto"/>
          <w:kern w:val="2"/>
          <w:sz w:val="24"/>
          <w:szCs w:val="24"/>
          <w:lang w:eastAsia="en-AU"/>
          <w14:ligatures w14:val="standardContextual"/>
        </w:rPr>
      </w:pPr>
      <w:hyperlink w:anchor="_Toc170396210" w:history="1">
        <w:r w:rsidR="00F0021A" w:rsidRPr="00A07FF2">
          <w:rPr>
            <w:rStyle w:val="Hyperlink"/>
          </w:rPr>
          <w:t>1.5</w:t>
        </w:r>
        <w:r w:rsidR="00F0021A">
          <w:rPr>
            <w:rFonts w:asciiTheme="minorHAnsi" w:eastAsiaTheme="minorEastAsia" w:hAnsiTheme="minorHAnsi"/>
            <w:color w:val="auto"/>
            <w:kern w:val="2"/>
            <w:sz w:val="24"/>
            <w:szCs w:val="24"/>
            <w:lang w:eastAsia="en-AU"/>
            <w14:ligatures w14:val="standardContextual"/>
          </w:rPr>
          <w:tab/>
        </w:r>
        <w:r w:rsidR="00F0021A" w:rsidRPr="00A07FF2">
          <w:rPr>
            <w:rStyle w:val="Hyperlink"/>
          </w:rPr>
          <w:t>Acknowledgement</w:t>
        </w:r>
        <w:r w:rsidR="00F0021A">
          <w:rPr>
            <w:webHidden/>
          </w:rPr>
          <w:tab/>
        </w:r>
        <w:r w:rsidR="00F0021A">
          <w:rPr>
            <w:webHidden/>
          </w:rPr>
          <w:fldChar w:fldCharType="begin"/>
        </w:r>
        <w:r w:rsidR="00F0021A">
          <w:rPr>
            <w:webHidden/>
          </w:rPr>
          <w:instrText xml:space="preserve"> PAGEREF _Toc170396210 \h </w:instrText>
        </w:r>
        <w:r w:rsidR="00F0021A">
          <w:rPr>
            <w:webHidden/>
          </w:rPr>
        </w:r>
        <w:r w:rsidR="00F0021A">
          <w:rPr>
            <w:webHidden/>
          </w:rPr>
          <w:fldChar w:fldCharType="separate"/>
        </w:r>
        <w:r w:rsidR="00EE3370">
          <w:rPr>
            <w:webHidden/>
          </w:rPr>
          <w:t>26</w:t>
        </w:r>
        <w:r w:rsidR="00F0021A">
          <w:rPr>
            <w:webHidden/>
          </w:rPr>
          <w:fldChar w:fldCharType="end"/>
        </w:r>
      </w:hyperlink>
    </w:p>
    <w:p w14:paraId="7D2EBB38" w14:textId="2B47204D" w:rsidR="00F0021A" w:rsidRDefault="003B77A3">
      <w:pPr>
        <w:pStyle w:val="TOC1"/>
        <w:rPr>
          <w:rFonts w:asciiTheme="minorHAnsi" w:eastAsiaTheme="minorEastAsia" w:hAnsiTheme="minorHAnsi"/>
          <w:b w:val="0"/>
          <w:bCs w:val="0"/>
          <w:noProof/>
          <w:kern w:val="2"/>
          <w:sz w:val="24"/>
          <w:szCs w:val="24"/>
          <w:lang w:eastAsia="en-AU"/>
          <w14:ligatures w14:val="standardContextual"/>
        </w:rPr>
      </w:pPr>
      <w:hyperlink w:anchor="_Toc170396211" w:history="1">
        <w:r w:rsidR="00F0021A" w:rsidRPr="00A07FF2">
          <w:rPr>
            <w:rStyle w:val="Hyperlink"/>
            <w:noProof/>
          </w:rPr>
          <w:t>2</w:t>
        </w:r>
        <w:r w:rsidR="00F0021A">
          <w:rPr>
            <w:rFonts w:asciiTheme="minorHAnsi" w:eastAsiaTheme="minorEastAsia" w:hAnsiTheme="minorHAnsi"/>
            <w:b w:val="0"/>
            <w:bCs w:val="0"/>
            <w:noProof/>
            <w:kern w:val="2"/>
            <w:sz w:val="24"/>
            <w:szCs w:val="24"/>
            <w:lang w:eastAsia="en-AU"/>
            <w14:ligatures w14:val="standardContextual"/>
          </w:rPr>
          <w:tab/>
        </w:r>
        <w:r w:rsidR="00F0021A" w:rsidRPr="00A07FF2">
          <w:rPr>
            <w:rStyle w:val="Hyperlink"/>
            <w:noProof/>
          </w:rPr>
          <w:t xml:space="preserve">Roles of VPS executives </w:t>
        </w:r>
        <w:r w:rsidR="00F0021A">
          <w:rPr>
            <w:noProof/>
            <w:webHidden/>
          </w:rPr>
          <w:tab/>
        </w:r>
        <w:r w:rsidR="00F0021A">
          <w:rPr>
            <w:noProof/>
            <w:webHidden/>
          </w:rPr>
          <w:fldChar w:fldCharType="begin"/>
        </w:r>
        <w:r w:rsidR="00F0021A">
          <w:rPr>
            <w:noProof/>
            <w:webHidden/>
          </w:rPr>
          <w:instrText xml:space="preserve"> PAGEREF _Toc170396211 \h </w:instrText>
        </w:r>
        <w:r w:rsidR="00F0021A">
          <w:rPr>
            <w:noProof/>
            <w:webHidden/>
          </w:rPr>
        </w:r>
        <w:r w:rsidR="00F0021A">
          <w:rPr>
            <w:noProof/>
            <w:webHidden/>
          </w:rPr>
          <w:fldChar w:fldCharType="separate"/>
        </w:r>
        <w:r w:rsidR="00EE3370">
          <w:rPr>
            <w:noProof/>
            <w:webHidden/>
          </w:rPr>
          <w:t>27</w:t>
        </w:r>
        <w:r w:rsidR="00F0021A">
          <w:rPr>
            <w:noProof/>
            <w:webHidden/>
          </w:rPr>
          <w:fldChar w:fldCharType="end"/>
        </w:r>
      </w:hyperlink>
    </w:p>
    <w:p w14:paraId="04D13CB2" w14:textId="6A750ACF" w:rsidR="00F0021A" w:rsidRDefault="003B77A3" w:rsidP="00557732">
      <w:pPr>
        <w:pStyle w:val="TOC2"/>
        <w:rPr>
          <w:rFonts w:asciiTheme="minorHAnsi" w:eastAsiaTheme="minorEastAsia" w:hAnsiTheme="minorHAnsi"/>
          <w:color w:val="auto"/>
          <w:kern w:val="2"/>
          <w:sz w:val="24"/>
          <w:szCs w:val="24"/>
          <w:lang w:eastAsia="en-AU"/>
          <w14:ligatures w14:val="standardContextual"/>
        </w:rPr>
      </w:pPr>
      <w:hyperlink w:anchor="_Toc170396212" w:history="1">
        <w:r w:rsidR="00F0021A" w:rsidRPr="00A07FF2">
          <w:rPr>
            <w:rStyle w:val="Hyperlink"/>
          </w:rPr>
          <w:t>2.1</w:t>
        </w:r>
        <w:r w:rsidR="00F0021A">
          <w:rPr>
            <w:rFonts w:asciiTheme="minorHAnsi" w:eastAsiaTheme="minorEastAsia" w:hAnsiTheme="minorHAnsi"/>
            <w:color w:val="auto"/>
            <w:kern w:val="2"/>
            <w:sz w:val="24"/>
            <w:szCs w:val="24"/>
            <w:lang w:eastAsia="en-AU"/>
            <w14:ligatures w14:val="standardContextual"/>
          </w:rPr>
          <w:tab/>
        </w:r>
        <w:r w:rsidR="00F0021A" w:rsidRPr="00A07FF2">
          <w:rPr>
            <w:rStyle w:val="Hyperlink"/>
          </w:rPr>
          <w:t xml:space="preserve">Public service body Heads have specific obligations and </w:t>
        </w:r>
        <w:r w:rsidR="000730B5">
          <w:rPr>
            <w:rStyle w:val="Hyperlink"/>
          </w:rPr>
          <w:br/>
        </w:r>
        <w:r w:rsidR="00F0021A" w:rsidRPr="00A07FF2">
          <w:rPr>
            <w:rStyle w:val="Hyperlink"/>
          </w:rPr>
          <w:t>responsibilities</w:t>
        </w:r>
        <w:r w:rsidR="00F0021A">
          <w:rPr>
            <w:webHidden/>
          </w:rPr>
          <w:tab/>
        </w:r>
        <w:r w:rsidR="00F0021A">
          <w:rPr>
            <w:webHidden/>
          </w:rPr>
          <w:fldChar w:fldCharType="begin"/>
        </w:r>
        <w:r w:rsidR="00F0021A">
          <w:rPr>
            <w:webHidden/>
          </w:rPr>
          <w:instrText xml:space="preserve"> PAGEREF _Toc170396212 \h </w:instrText>
        </w:r>
        <w:r w:rsidR="00F0021A">
          <w:rPr>
            <w:webHidden/>
          </w:rPr>
        </w:r>
        <w:r w:rsidR="00F0021A">
          <w:rPr>
            <w:webHidden/>
          </w:rPr>
          <w:fldChar w:fldCharType="separate"/>
        </w:r>
        <w:r w:rsidR="00EE3370">
          <w:rPr>
            <w:webHidden/>
          </w:rPr>
          <w:t>27</w:t>
        </w:r>
        <w:r w:rsidR="00F0021A">
          <w:rPr>
            <w:webHidden/>
          </w:rPr>
          <w:fldChar w:fldCharType="end"/>
        </w:r>
      </w:hyperlink>
    </w:p>
    <w:p w14:paraId="6A123B20" w14:textId="73369918" w:rsidR="00F0021A" w:rsidRDefault="003B77A3" w:rsidP="00557732">
      <w:pPr>
        <w:pStyle w:val="TOC2"/>
        <w:rPr>
          <w:rFonts w:asciiTheme="minorHAnsi" w:eastAsiaTheme="minorEastAsia" w:hAnsiTheme="minorHAnsi"/>
          <w:color w:val="auto"/>
          <w:kern w:val="2"/>
          <w:sz w:val="24"/>
          <w:szCs w:val="24"/>
          <w:lang w:eastAsia="en-AU"/>
          <w14:ligatures w14:val="standardContextual"/>
        </w:rPr>
      </w:pPr>
      <w:hyperlink w:anchor="_Toc170396213" w:history="1">
        <w:r w:rsidR="00F0021A" w:rsidRPr="00A07FF2">
          <w:rPr>
            <w:rStyle w:val="Hyperlink"/>
          </w:rPr>
          <w:t>2.2</w:t>
        </w:r>
        <w:r w:rsidR="00F0021A">
          <w:rPr>
            <w:rFonts w:asciiTheme="minorHAnsi" w:eastAsiaTheme="minorEastAsia" w:hAnsiTheme="minorHAnsi"/>
            <w:color w:val="auto"/>
            <w:kern w:val="2"/>
            <w:sz w:val="24"/>
            <w:szCs w:val="24"/>
            <w:lang w:eastAsia="en-AU"/>
            <w14:ligatures w14:val="standardContextual"/>
          </w:rPr>
          <w:tab/>
        </w:r>
        <w:r w:rsidR="00F0021A" w:rsidRPr="00A07FF2">
          <w:rPr>
            <w:rStyle w:val="Hyperlink"/>
          </w:rPr>
          <w:t>The executive classification framework sets out expectations for</w:t>
        </w:r>
        <w:r w:rsidR="0017318F">
          <w:rPr>
            <w:rStyle w:val="Hyperlink"/>
          </w:rPr>
          <w:br/>
        </w:r>
        <w:r w:rsidR="00F0021A" w:rsidRPr="00A07FF2">
          <w:rPr>
            <w:rStyle w:val="Hyperlink"/>
          </w:rPr>
          <w:t>the SES</w:t>
        </w:r>
        <w:r w:rsidR="00F0021A">
          <w:rPr>
            <w:webHidden/>
          </w:rPr>
          <w:tab/>
        </w:r>
        <w:r w:rsidR="00F0021A">
          <w:rPr>
            <w:webHidden/>
          </w:rPr>
          <w:fldChar w:fldCharType="begin"/>
        </w:r>
        <w:r w:rsidR="00F0021A">
          <w:rPr>
            <w:webHidden/>
          </w:rPr>
          <w:instrText xml:space="preserve"> PAGEREF _Toc170396213 \h </w:instrText>
        </w:r>
        <w:r w:rsidR="00F0021A">
          <w:rPr>
            <w:webHidden/>
          </w:rPr>
        </w:r>
        <w:r w:rsidR="00F0021A">
          <w:rPr>
            <w:webHidden/>
          </w:rPr>
          <w:fldChar w:fldCharType="separate"/>
        </w:r>
        <w:r w:rsidR="00EE3370">
          <w:rPr>
            <w:webHidden/>
          </w:rPr>
          <w:t>33</w:t>
        </w:r>
        <w:r w:rsidR="00F0021A">
          <w:rPr>
            <w:webHidden/>
          </w:rPr>
          <w:fldChar w:fldCharType="end"/>
        </w:r>
      </w:hyperlink>
    </w:p>
    <w:p w14:paraId="587318E2" w14:textId="4EFCF220" w:rsidR="00F0021A" w:rsidRDefault="003B77A3" w:rsidP="00557732">
      <w:pPr>
        <w:pStyle w:val="TOC2"/>
        <w:rPr>
          <w:rFonts w:asciiTheme="minorHAnsi" w:eastAsiaTheme="minorEastAsia" w:hAnsiTheme="minorHAnsi"/>
          <w:color w:val="auto"/>
          <w:kern w:val="2"/>
          <w:sz w:val="24"/>
          <w:szCs w:val="24"/>
          <w:lang w:eastAsia="en-AU"/>
          <w14:ligatures w14:val="standardContextual"/>
        </w:rPr>
      </w:pPr>
      <w:hyperlink w:anchor="_Toc170396214" w:history="1">
        <w:r w:rsidR="00F0021A" w:rsidRPr="00A07FF2">
          <w:rPr>
            <w:rStyle w:val="Hyperlink"/>
          </w:rPr>
          <w:t>2.3</w:t>
        </w:r>
        <w:r w:rsidR="00F0021A">
          <w:rPr>
            <w:rFonts w:asciiTheme="minorHAnsi" w:eastAsiaTheme="minorEastAsia" w:hAnsiTheme="minorHAnsi"/>
            <w:color w:val="auto"/>
            <w:kern w:val="2"/>
            <w:sz w:val="24"/>
            <w:szCs w:val="24"/>
            <w:lang w:eastAsia="en-AU"/>
            <w14:ligatures w14:val="standardContextual"/>
          </w:rPr>
          <w:tab/>
        </w:r>
        <w:r w:rsidR="00F0021A" w:rsidRPr="00A07FF2">
          <w:rPr>
            <w:rStyle w:val="Hyperlink"/>
          </w:rPr>
          <w:t>Influences on executive roles since the 2020 VPS Determination</w:t>
        </w:r>
        <w:r w:rsidR="00F0021A">
          <w:rPr>
            <w:webHidden/>
          </w:rPr>
          <w:tab/>
        </w:r>
        <w:r w:rsidR="00F0021A">
          <w:rPr>
            <w:webHidden/>
          </w:rPr>
          <w:fldChar w:fldCharType="begin"/>
        </w:r>
        <w:r w:rsidR="00F0021A">
          <w:rPr>
            <w:webHidden/>
          </w:rPr>
          <w:instrText xml:space="preserve"> PAGEREF _Toc170396214 \h </w:instrText>
        </w:r>
        <w:r w:rsidR="00F0021A">
          <w:rPr>
            <w:webHidden/>
          </w:rPr>
        </w:r>
        <w:r w:rsidR="00F0021A">
          <w:rPr>
            <w:webHidden/>
          </w:rPr>
          <w:fldChar w:fldCharType="separate"/>
        </w:r>
        <w:r w:rsidR="00EE3370">
          <w:rPr>
            <w:webHidden/>
          </w:rPr>
          <w:t>35</w:t>
        </w:r>
        <w:r w:rsidR="00F0021A">
          <w:rPr>
            <w:webHidden/>
          </w:rPr>
          <w:fldChar w:fldCharType="end"/>
        </w:r>
      </w:hyperlink>
    </w:p>
    <w:p w14:paraId="528E8345" w14:textId="5EE809CF" w:rsidR="00F0021A" w:rsidRDefault="003B77A3" w:rsidP="00557732">
      <w:pPr>
        <w:pStyle w:val="TOC2"/>
        <w:rPr>
          <w:rFonts w:asciiTheme="minorHAnsi" w:eastAsiaTheme="minorEastAsia" w:hAnsiTheme="minorHAnsi"/>
          <w:color w:val="auto"/>
          <w:kern w:val="2"/>
          <w:sz w:val="24"/>
          <w:szCs w:val="24"/>
          <w:lang w:eastAsia="en-AU"/>
          <w14:ligatures w14:val="standardContextual"/>
        </w:rPr>
      </w:pPr>
      <w:hyperlink w:anchor="_Toc170396215" w:history="1">
        <w:r w:rsidR="00F0021A" w:rsidRPr="00A07FF2">
          <w:rPr>
            <w:rStyle w:val="Hyperlink"/>
            <w:rFonts w:eastAsia="Calibri"/>
          </w:rPr>
          <w:t>2.4</w:t>
        </w:r>
        <w:r w:rsidR="00F0021A">
          <w:rPr>
            <w:rFonts w:asciiTheme="minorHAnsi" w:eastAsiaTheme="minorEastAsia" w:hAnsiTheme="minorHAnsi"/>
            <w:color w:val="auto"/>
            <w:kern w:val="2"/>
            <w:sz w:val="24"/>
            <w:szCs w:val="24"/>
            <w:lang w:eastAsia="en-AU"/>
            <w14:ligatures w14:val="standardContextual"/>
          </w:rPr>
          <w:tab/>
        </w:r>
        <w:r w:rsidR="00F0021A" w:rsidRPr="00A07FF2">
          <w:rPr>
            <w:rStyle w:val="Hyperlink"/>
          </w:rPr>
          <w:t>Executives reported increased scrutiny, workload and complexity</w:t>
        </w:r>
        <w:r w:rsidR="00F0021A">
          <w:rPr>
            <w:webHidden/>
          </w:rPr>
          <w:tab/>
        </w:r>
        <w:r w:rsidR="00F0021A">
          <w:rPr>
            <w:webHidden/>
          </w:rPr>
          <w:fldChar w:fldCharType="begin"/>
        </w:r>
        <w:r w:rsidR="00F0021A">
          <w:rPr>
            <w:webHidden/>
          </w:rPr>
          <w:instrText xml:space="preserve"> PAGEREF _Toc170396215 \h </w:instrText>
        </w:r>
        <w:r w:rsidR="00F0021A">
          <w:rPr>
            <w:webHidden/>
          </w:rPr>
        </w:r>
        <w:r w:rsidR="00F0021A">
          <w:rPr>
            <w:webHidden/>
          </w:rPr>
          <w:fldChar w:fldCharType="separate"/>
        </w:r>
        <w:r w:rsidR="00EE3370">
          <w:rPr>
            <w:webHidden/>
          </w:rPr>
          <w:t>43</w:t>
        </w:r>
        <w:r w:rsidR="00F0021A">
          <w:rPr>
            <w:webHidden/>
          </w:rPr>
          <w:fldChar w:fldCharType="end"/>
        </w:r>
      </w:hyperlink>
    </w:p>
    <w:p w14:paraId="404EE0DB" w14:textId="081477FD" w:rsidR="00F0021A" w:rsidRDefault="003B77A3" w:rsidP="00557732">
      <w:pPr>
        <w:pStyle w:val="TOC2"/>
        <w:rPr>
          <w:rFonts w:asciiTheme="minorHAnsi" w:eastAsiaTheme="minorEastAsia" w:hAnsiTheme="minorHAnsi"/>
          <w:color w:val="auto"/>
          <w:kern w:val="2"/>
          <w:sz w:val="24"/>
          <w:szCs w:val="24"/>
          <w:lang w:eastAsia="en-AU"/>
          <w14:ligatures w14:val="standardContextual"/>
        </w:rPr>
      </w:pPr>
      <w:hyperlink w:anchor="_Toc170396216" w:history="1">
        <w:r w:rsidR="00F0021A" w:rsidRPr="00A07FF2">
          <w:rPr>
            <w:rStyle w:val="Hyperlink"/>
          </w:rPr>
          <w:t>2.5</w:t>
        </w:r>
        <w:r w:rsidR="00F0021A">
          <w:rPr>
            <w:rFonts w:asciiTheme="minorHAnsi" w:eastAsiaTheme="minorEastAsia" w:hAnsiTheme="minorHAnsi"/>
            <w:color w:val="auto"/>
            <w:kern w:val="2"/>
            <w:sz w:val="24"/>
            <w:szCs w:val="24"/>
            <w:lang w:eastAsia="en-AU"/>
            <w14:ligatures w14:val="standardContextual"/>
          </w:rPr>
          <w:tab/>
        </w:r>
        <w:r w:rsidR="00F0021A" w:rsidRPr="00A07FF2">
          <w:rPr>
            <w:rStyle w:val="Hyperlink"/>
          </w:rPr>
          <w:t>Future influences on executive roles</w:t>
        </w:r>
        <w:r w:rsidR="00F0021A">
          <w:rPr>
            <w:webHidden/>
          </w:rPr>
          <w:tab/>
        </w:r>
        <w:r w:rsidR="00F0021A">
          <w:rPr>
            <w:webHidden/>
          </w:rPr>
          <w:fldChar w:fldCharType="begin"/>
        </w:r>
        <w:r w:rsidR="00F0021A">
          <w:rPr>
            <w:webHidden/>
          </w:rPr>
          <w:instrText xml:space="preserve"> PAGEREF _Toc170396216 \h </w:instrText>
        </w:r>
        <w:r w:rsidR="00F0021A">
          <w:rPr>
            <w:webHidden/>
          </w:rPr>
        </w:r>
        <w:r w:rsidR="00F0021A">
          <w:rPr>
            <w:webHidden/>
          </w:rPr>
          <w:fldChar w:fldCharType="separate"/>
        </w:r>
        <w:r w:rsidR="00EE3370">
          <w:rPr>
            <w:webHidden/>
          </w:rPr>
          <w:t>48</w:t>
        </w:r>
        <w:r w:rsidR="00F0021A">
          <w:rPr>
            <w:webHidden/>
          </w:rPr>
          <w:fldChar w:fldCharType="end"/>
        </w:r>
      </w:hyperlink>
    </w:p>
    <w:p w14:paraId="2D1515E4" w14:textId="3C4904AE" w:rsidR="00F0021A" w:rsidRDefault="003B77A3" w:rsidP="00557732">
      <w:pPr>
        <w:pStyle w:val="TOC2"/>
        <w:rPr>
          <w:rFonts w:asciiTheme="minorHAnsi" w:eastAsiaTheme="minorEastAsia" w:hAnsiTheme="minorHAnsi"/>
          <w:color w:val="auto"/>
          <w:kern w:val="2"/>
          <w:sz w:val="24"/>
          <w:szCs w:val="24"/>
          <w:lang w:eastAsia="en-AU"/>
          <w14:ligatures w14:val="standardContextual"/>
        </w:rPr>
      </w:pPr>
      <w:hyperlink w:anchor="_Toc170396217" w:history="1">
        <w:r w:rsidR="00F0021A" w:rsidRPr="00A07FF2">
          <w:rPr>
            <w:rStyle w:val="Hyperlink"/>
          </w:rPr>
          <w:t>2.6</w:t>
        </w:r>
        <w:r w:rsidR="00F0021A">
          <w:rPr>
            <w:rFonts w:asciiTheme="minorHAnsi" w:eastAsiaTheme="minorEastAsia" w:hAnsiTheme="minorHAnsi"/>
            <w:color w:val="auto"/>
            <w:kern w:val="2"/>
            <w:sz w:val="24"/>
            <w:szCs w:val="24"/>
            <w:lang w:eastAsia="en-AU"/>
            <w14:ligatures w14:val="standardContextual"/>
          </w:rPr>
          <w:tab/>
        </w:r>
        <w:r w:rsidR="00F0021A" w:rsidRPr="00A07FF2">
          <w:rPr>
            <w:rStyle w:val="Hyperlink"/>
          </w:rPr>
          <w:t>Summary</w:t>
        </w:r>
        <w:r w:rsidR="00F0021A">
          <w:rPr>
            <w:webHidden/>
          </w:rPr>
          <w:tab/>
        </w:r>
        <w:r w:rsidR="00F0021A">
          <w:rPr>
            <w:webHidden/>
          </w:rPr>
          <w:fldChar w:fldCharType="begin"/>
        </w:r>
        <w:r w:rsidR="00F0021A">
          <w:rPr>
            <w:webHidden/>
          </w:rPr>
          <w:instrText xml:space="preserve"> PAGEREF _Toc170396217 \h </w:instrText>
        </w:r>
        <w:r w:rsidR="00F0021A">
          <w:rPr>
            <w:webHidden/>
          </w:rPr>
        </w:r>
        <w:r w:rsidR="00F0021A">
          <w:rPr>
            <w:webHidden/>
          </w:rPr>
          <w:fldChar w:fldCharType="separate"/>
        </w:r>
        <w:r w:rsidR="00EE3370">
          <w:rPr>
            <w:webHidden/>
          </w:rPr>
          <w:t>50</w:t>
        </w:r>
        <w:r w:rsidR="00F0021A">
          <w:rPr>
            <w:webHidden/>
          </w:rPr>
          <w:fldChar w:fldCharType="end"/>
        </w:r>
      </w:hyperlink>
    </w:p>
    <w:p w14:paraId="1CF587A0" w14:textId="79AE959F" w:rsidR="00F0021A" w:rsidRDefault="003B77A3">
      <w:pPr>
        <w:pStyle w:val="TOC1"/>
        <w:rPr>
          <w:rFonts w:asciiTheme="minorHAnsi" w:eastAsiaTheme="minorEastAsia" w:hAnsiTheme="minorHAnsi"/>
          <w:b w:val="0"/>
          <w:bCs w:val="0"/>
          <w:noProof/>
          <w:kern w:val="2"/>
          <w:sz w:val="24"/>
          <w:szCs w:val="24"/>
          <w:lang w:eastAsia="en-AU"/>
          <w14:ligatures w14:val="standardContextual"/>
        </w:rPr>
      </w:pPr>
      <w:hyperlink w:anchor="_Toc170396218" w:history="1">
        <w:r w:rsidR="00F0021A" w:rsidRPr="00A07FF2">
          <w:rPr>
            <w:rStyle w:val="Hyperlink"/>
            <w:noProof/>
          </w:rPr>
          <w:t>3</w:t>
        </w:r>
        <w:r w:rsidR="00F0021A">
          <w:rPr>
            <w:rFonts w:asciiTheme="minorHAnsi" w:eastAsiaTheme="minorEastAsia" w:hAnsiTheme="minorHAnsi"/>
            <w:b w:val="0"/>
            <w:bCs w:val="0"/>
            <w:noProof/>
            <w:kern w:val="2"/>
            <w:sz w:val="24"/>
            <w:szCs w:val="24"/>
            <w:lang w:eastAsia="en-AU"/>
            <w14:ligatures w14:val="standardContextual"/>
          </w:rPr>
          <w:tab/>
        </w:r>
        <w:r w:rsidR="00F0021A" w:rsidRPr="00A07FF2">
          <w:rPr>
            <w:rStyle w:val="Hyperlink"/>
            <w:noProof/>
          </w:rPr>
          <w:t xml:space="preserve">Existing arrangements </w:t>
        </w:r>
        <w:r w:rsidR="00F0021A">
          <w:rPr>
            <w:noProof/>
            <w:webHidden/>
          </w:rPr>
          <w:tab/>
        </w:r>
        <w:r w:rsidR="00F0021A">
          <w:rPr>
            <w:noProof/>
            <w:webHidden/>
          </w:rPr>
          <w:fldChar w:fldCharType="begin"/>
        </w:r>
        <w:r w:rsidR="00F0021A">
          <w:rPr>
            <w:noProof/>
            <w:webHidden/>
          </w:rPr>
          <w:instrText xml:space="preserve"> PAGEREF _Toc170396218 \h </w:instrText>
        </w:r>
        <w:r w:rsidR="00F0021A">
          <w:rPr>
            <w:noProof/>
            <w:webHidden/>
          </w:rPr>
        </w:r>
        <w:r w:rsidR="00F0021A">
          <w:rPr>
            <w:noProof/>
            <w:webHidden/>
          </w:rPr>
          <w:fldChar w:fldCharType="separate"/>
        </w:r>
        <w:r w:rsidR="00EE3370">
          <w:rPr>
            <w:noProof/>
            <w:webHidden/>
          </w:rPr>
          <w:t>52</w:t>
        </w:r>
        <w:r w:rsidR="00F0021A">
          <w:rPr>
            <w:noProof/>
            <w:webHidden/>
          </w:rPr>
          <w:fldChar w:fldCharType="end"/>
        </w:r>
      </w:hyperlink>
    </w:p>
    <w:p w14:paraId="1260B6A8" w14:textId="0931CB4F" w:rsidR="00F0021A" w:rsidRDefault="003B77A3" w:rsidP="00557732">
      <w:pPr>
        <w:pStyle w:val="TOC2"/>
        <w:rPr>
          <w:rFonts w:asciiTheme="minorHAnsi" w:eastAsiaTheme="minorEastAsia" w:hAnsiTheme="minorHAnsi"/>
          <w:color w:val="auto"/>
          <w:kern w:val="2"/>
          <w:sz w:val="24"/>
          <w:szCs w:val="24"/>
          <w:lang w:eastAsia="en-AU"/>
          <w14:ligatures w14:val="standardContextual"/>
        </w:rPr>
      </w:pPr>
      <w:hyperlink w:anchor="_Toc170396219" w:history="1">
        <w:r w:rsidR="00F0021A" w:rsidRPr="00A07FF2">
          <w:rPr>
            <w:rStyle w:val="Hyperlink"/>
          </w:rPr>
          <w:t>3.1</w:t>
        </w:r>
        <w:r w:rsidR="00F0021A">
          <w:rPr>
            <w:rFonts w:asciiTheme="minorHAnsi" w:eastAsiaTheme="minorEastAsia" w:hAnsiTheme="minorHAnsi"/>
            <w:color w:val="auto"/>
            <w:kern w:val="2"/>
            <w:sz w:val="24"/>
            <w:szCs w:val="24"/>
            <w:lang w:eastAsia="en-AU"/>
            <w14:ligatures w14:val="standardContextual"/>
          </w:rPr>
          <w:tab/>
        </w:r>
        <w:r w:rsidR="00F0021A" w:rsidRPr="00A07FF2">
          <w:rPr>
            <w:rStyle w:val="Hyperlink"/>
          </w:rPr>
          <w:t xml:space="preserve">Executive employment is governed by the PAA and supporting </w:t>
        </w:r>
        <w:r w:rsidR="000730B5">
          <w:rPr>
            <w:rStyle w:val="Hyperlink"/>
          </w:rPr>
          <w:br/>
        </w:r>
        <w:r w:rsidR="00F0021A" w:rsidRPr="00A07FF2">
          <w:rPr>
            <w:rStyle w:val="Hyperlink"/>
          </w:rPr>
          <w:t>policies</w:t>
        </w:r>
        <w:r w:rsidR="00F0021A">
          <w:rPr>
            <w:webHidden/>
          </w:rPr>
          <w:tab/>
        </w:r>
        <w:r w:rsidR="00F0021A">
          <w:rPr>
            <w:webHidden/>
          </w:rPr>
          <w:fldChar w:fldCharType="begin"/>
        </w:r>
        <w:r w:rsidR="00F0021A">
          <w:rPr>
            <w:webHidden/>
          </w:rPr>
          <w:instrText xml:space="preserve"> PAGEREF _Toc170396219 \h </w:instrText>
        </w:r>
        <w:r w:rsidR="00F0021A">
          <w:rPr>
            <w:webHidden/>
          </w:rPr>
        </w:r>
        <w:r w:rsidR="00F0021A">
          <w:rPr>
            <w:webHidden/>
          </w:rPr>
          <w:fldChar w:fldCharType="separate"/>
        </w:r>
        <w:r w:rsidR="00EE3370">
          <w:rPr>
            <w:webHidden/>
          </w:rPr>
          <w:t>52</w:t>
        </w:r>
        <w:r w:rsidR="00F0021A">
          <w:rPr>
            <w:webHidden/>
          </w:rPr>
          <w:fldChar w:fldCharType="end"/>
        </w:r>
      </w:hyperlink>
    </w:p>
    <w:p w14:paraId="234C00FB" w14:textId="090C2288" w:rsidR="00F0021A" w:rsidRDefault="003B77A3" w:rsidP="00557732">
      <w:pPr>
        <w:pStyle w:val="TOC2"/>
        <w:rPr>
          <w:rFonts w:asciiTheme="minorHAnsi" w:eastAsiaTheme="minorEastAsia" w:hAnsiTheme="minorHAnsi"/>
          <w:color w:val="auto"/>
          <w:kern w:val="2"/>
          <w:sz w:val="24"/>
          <w:szCs w:val="24"/>
          <w:lang w:eastAsia="en-AU"/>
          <w14:ligatures w14:val="standardContextual"/>
        </w:rPr>
      </w:pPr>
      <w:hyperlink w:anchor="_Toc170396220" w:history="1">
        <w:r w:rsidR="00F0021A" w:rsidRPr="00A07FF2">
          <w:rPr>
            <w:rStyle w:val="Hyperlink"/>
          </w:rPr>
          <w:t>3.2</w:t>
        </w:r>
        <w:r w:rsidR="00F0021A">
          <w:rPr>
            <w:rFonts w:asciiTheme="minorHAnsi" w:eastAsiaTheme="minorEastAsia" w:hAnsiTheme="minorHAnsi"/>
            <w:color w:val="auto"/>
            <w:kern w:val="2"/>
            <w:sz w:val="24"/>
            <w:szCs w:val="24"/>
            <w:lang w:eastAsia="en-AU"/>
            <w14:ligatures w14:val="standardContextual"/>
          </w:rPr>
          <w:tab/>
        </w:r>
        <w:r w:rsidR="00F0021A" w:rsidRPr="00A07FF2">
          <w:rPr>
            <w:rStyle w:val="Hyperlink"/>
          </w:rPr>
          <w:t>SES roles are classified into one of three levels</w:t>
        </w:r>
        <w:r w:rsidR="00F0021A">
          <w:rPr>
            <w:webHidden/>
          </w:rPr>
          <w:tab/>
        </w:r>
        <w:r w:rsidR="00F0021A">
          <w:rPr>
            <w:webHidden/>
          </w:rPr>
          <w:fldChar w:fldCharType="begin"/>
        </w:r>
        <w:r w:rsidR="00F0021A">
          <w:rPr>
            <w:webHidden/>
          </w:rPr>
          <w:instrText xml:space="preserve"> PAGEREF _Toc170396220 \h </w:instrText>
        </w:r>
        <w:r w:rsidR="00F0021A">
          <w:rPr>
            <w:webHidden/>
          </w:rPr>
        </w:r>
        <w:r w:rsidR="00F0021A">
          <w:rPr>
            <w:webHidden/>
          </w:rPr>
          <w:fldChar w:fldCharType="separate"/>
        </w:r>
        <w:r w:rsidR="00EE3370">
          <w:rPr>
            <w:webHidden/>
          </w:rPr>
          <w:t>54</w:t>
        </w:r>
        <w:r w:rsidR="00F0021A">
          <w:rPr>
            <w:webHidden/>
          </w:rPr>
          <w:fldChar w:fldCharType="end"/>
        </w:r>
      </w:hyperlink>
    </w:p>
    <w:p w14:paraId="35CE6EA2" w14:textId="4AA69E79" w:rsidR="00F0021A" w:rsidRDefault="003B77A3" w:rsidP="00557732">
      <w:pPr>
        <w:pStyle w:val="TOC2"/>
        <w:rPr>
          <w:rFonts w:asciiTheme="minorHAnsi" w:eastAsiaTheme="minorEastAsia" w:hAnsiTheme="minorHAnsi"/>
          <w:color w:val="auto"/>
          <w:kern w:val="2"/>
          <w:sz w:val="24"/>
          <w:szCs w:val="24"/>
          <w:lang w:eastAsia="en-AU"/>
          <w14:ligatures w14:val="standardContextual"/>
        </w:rPr>
      </w:pPr>
      <w:hyperlink w:anchor="_Toc170396221" w:history="1">
        <w:r w:rsidR="00F0021A" w:rsidRPr="00A07FF2">
          <w:rPr>
            <w:rStyle w:val="Hyperlink"/>
          </w:rPr>
          <w:t>3.3</w:t>
        </w:r>
        <w:r w:rsidR="00F0021A">
          <w:rPr>
            <w:rFonts w:asciiTheme="minorHAnsi" w:eastAsiaTheme="minorEastAsia" w:hAnsiTheme="minorHAnsi"/>
            <w:color w:val="auto"/>
            <w:kern w:val="2"/>
            <w:sz w:val="24"/>
            <w:szCs w:val="24"/>
            <w:lang w:eastAsia="en-AU"/>
            <w14:ligatures w14:val="standardContextual"/>
          </w:rPr>
          <w:tab/>
        </w:r>
        <w:r w:rsidR="00F0021A" w:rsidRPr="00A07FF2">
          <w:rPr>
            <w:rStyle w:val="Hyperlink"/>
          </w:rPr>
          <w:t>Executives are paid a total remuneration package</w:t>
        </w:r>
        <w:r w:rsidR="00F0021A">
          <w:rPr>
            <w:webHidden/>
          </w:rPr>
          <w:tab/>
        </w:r>
        <w:r w:rsidR="00F0021A">
          <w:rPr>
            <w:webHidden/>
          </w:rPr>
          <w:fldChar w:fldCharType="begin"/>
        </w:r>
        <w:r w:rsidR="00F0021A">
          <w:rPr>
            <w:webHidden/>
          </w:rPr>
          <w:instrText xml:space="preserve"> PAGEREF _Toc170396221 \h </w:instrText>
        </w:r>
        <w:r w:rsidR="00F0021A">
          <w:rPr>
            <w:webHidden/>
          </w:rPr>
        </w:r>
        <w:r w:rsidR="00F0021A">
          <w:rPr>
            <w:webHidden/>
          </w:rPr>
          <w:fldChar w:fldCharType="separate"/>
        </w:r>
        <w:r w:rsidR="00EE3370">
          <w:rPr>
            <w:webHidden/>
          </w:rPr>
          <w:t>56</w:t>
        </w:r>
        <w:r w:rsidR="00F0021A">
          <w:rPr>
            <w:webHidden/>
          </w:rPr>
          <w:fldChar w:fldCharType="end"/>
        </w:r>
      </w:hyperlink>
    </w:p>
    <w:p w14:paraId="4B770156" w14:textId="130F1F4A" w:rsidR="00F0021A" w:rsidRDefault="003B77A3" w:rsidP="00557732">
      <w:pPr>
        <w:pStyle w:val="TOC2"/>
        <w:rPr>
          <w:rFonts w:asciiTheme="minorHAnsi" w:eastAsiaTheme="minorEastAsia" w:hAnsiTheme="minorHAnsi"/>
          <w:color w:val="auto"/>
          <w:kern w:val="2"/>
          <w:sz w:val="24"/>
          <w:szCs w:val="24"/>
          <w:lang w:eastAsia="en-AU"/>
          <w14:ligatures w14:val="standardContextual"/>
        </w:rPr>
      </w:pPr>
      <w:hyperlink w:anchor="_Toc170396222" w:history="1">
        <w:r w:rsidR="00F0021A" w:rsidRPr="00A07FF2">
          <w:rPr>
            <w:rStyle w:val="Hyperlink"/>
          </w:rPr>
          <w:t>3.4</w:t>
        </w:r>
        <w:r w:rsidR="00F0021A">
          <w:rPr>
            <w:rFonts w:asciiTheme="minorHAnsi" w:eastAsiaTheme="minorEastAsia" w:hAnsiTheme="minorHAnsi"/>
            <w:color w:val="auto"/>
            <w:kern w:val="2"/>
            <w:sz w:val="24"/>
            <w:szCs w:val="24"/>
            <w:lang w:eastAsia="en-AU"/>
            <w14:ligatures w14:val="standardContextual"/>
          </w:rPr>
          <w:tab/>
        </w:r>
        <w:r w:rsidR="00F0021A" w:rsidRPr="00A07FF2">
          <w:rPr>
            <w:rStyle w:val="Hyperlink"/>
          </w:rPr>
          <w:t>The Tribunal sets the value of the remuneration bands</w:t>
        </w:r>
        <w:r w:rsidR="00F0021A">
          <w:rPr>
            <w:webHidden/>
          </w:rPr>
          <w:tab/>
        </w:r>
        <w:r w:rsidR="00F0021A">
          <w:rPr>
            <w:webHidden/>
          </w:rPr>
          <w:fldChar w:fldCharType="begin"/>
        </w:r>
        <w:r w:rsidR="00F0021A">
          <w:rPr>
            <w:webHidden/>
          </w:rPr>
          <w:instrText xml:space="preserve"> PAGEREF _Toc170396222 \h </w:instrText>
        </w:r>
        <w:r w:rsidR="00F0021A">
          <w:rPr>
            <w:webHidden/>
          </w:rPr>
        </w:r>
        <w:r w:rsidR="00F0021A">
          <w:rPr>
            <w:webHidden/>
          </w:rPr>
          <w:fldChar w:fldCharType="separate"/>
        </w:r>
        <w:r w:rsidR="00EE3370">
          <w:rPr>
            <w:webHidden/>
          </w:rPr>
          <w:t>58</w:t>
        </w:r>
        <w:r w:rsidR="00F0021A">
          <w:rPr>
            <w:webHidden/>
          </w:rPr>
          <w:fldChar w:fldCharType="end"/>
        </w:r>
      </w:hyperlink>
    </w:p>
    <w:p w14:paraId="2F7B1AD5" w14:textId="3D7488F9" w:rsidR="00F0021A" w:rsidRDefault="003B77A3" w:rsidP="00557732">
      <w:pPr>
        <w:pStyle w:val="TOC2"/>
        <w:rPr>
          <w:rFonts w:asciiTheme="minorHAnsi" w:eastAsiaTheme="minorEastAsia" w:hAnsiTheme="minorHAnsi"/>
          <w:color w:val="auto"/>
          <w:kern w:val="2"/>
          <w:sz w:val="24"/>
          <w:szCs w:val="24"/>
          <w:lang w:eastAsia="en-AU"/>
          <w14:ligatures w14:val="standardContextual"/>
        </w:rPr>
      </w:pPr>
      <w:hyperlink w:anchor="_Toc170396223" w:history="1">
        <w:r w:rsidR="00F0021A" w:rsidRPr="00A07FF2">
          <w:rPr>
            <w:rStyle w:val="Hyperlink"/>
          </w:rPr>
          <w:t>3.5</w:t>
        </w:r>
        <w:r w:rsidR="00F0021A">
          <w:rPr>
            <w:rFonts w:asciiTheme="minorHAnsi" w:eastAsiaTheme="minorEastAsia" w:hAnsiTheme="minorHAnsi"/>
            <w:color w:val="auto"/>
            <w:kern w:val="2"/>
            <w:sz w:val="24"/>
            <w:szCs w:val="24"/>
            <w:lang w:eastAsia="en-AU"/>
            <w14:ligatures w14:val="standardContextual"/>
          </w:rPr>
          <w:tab/>
        </w:r>
        <w:r w:rsidR="00F0021A" w:rsidRPr="00A07FF2">
          <w:rPr>
            <w:rStyle w:val="Hyperlink"/>
          </w:rPr>
          <w:t>Employers set the remuneration of individual executives</w:t>
        </w:r>
        <w:r w:rsidR="00F0021A">
          <w:rPr>
            <w:webHidden/>
          </w:rPr>
          <w:tab/>
        </w:r>
        <w:r w:rsidR="00F0021A">
          <w:rPr>
            <w:webHidden/>
          </w:rPr>
          <w:fldChar w:fldCharType="begin"/>
        </w:r>
        <w:r w:rsidR="00F0021A">
          <w:rPr>
            <w:webHidden/>
          </w:rPr>
          <w:instrText xml:space="preserve"> PAGEREF _Toc170396223 \h </w:instrText>
        </w:r>
        <w:r w:rsidR="00F0021A">
          <w:rPr>
            <w:webHidden/>
          </w:rPr>
        </w:r>
        <w:r w:rsidR="00F0021A">
          <w:rPr>
            <w:webHidden/>
          </w:rPr>
          <w:fldChar w:fldCharType="separate"/>
        </w:r>
        <w:r w:rsidR="00EE3370">
          <w:rPr>
            <w:webHidden/>
          </w:rPr>
          <w:t>61</w:t>
        </w:r>
        <w:r w:rsidR="00F0021A">
          <w:rPr>
            <w:webHidden/>
          </w:rPr>
          <w:fldChar w:fldCharType="end"/>
        </w:r>
      </w:hyperlink>
    </w:p>
    <w:p w14:paraId="20C12802" w14:textId="2E044FD6" w:rsidR="000730B5" w:rsidRDefault="003B77A3" w:rsidP="00557732">
      <w:pPr>
        <w:pStyle w:val="TOC2"/>
      </w:pPr>
      <w:hyperlink w:anchor="_Toc170396224" w:history="1">
        <w:r w:rsidR="00F0021A" w:rsidRPr="00A07FF2">
          <w:rPr>
            <w:rStyle w:val="Hyperlink"/>
          </w:rPr>
          <w:t>3.6</w:t>
        </w:r>
        <w:r w:rsidR="00F0021A">
          <w:rPr>
            <w:rFonts w:asciiTheme="minorHAnsi" w:eastAsiaTheme="minorEastAsia" w:hAnsiTheme="minorHAnsi"/>
            <w:color w:val="auto"/>
            <w:kern w:val="2"/>
            <w:sz w:val="24"/>
            <w:szCs w:val="24"/>
            <w:lang w:eastAsia="en-AU"/>
            <w14:ligatures w14:val="standardContextual"/>
          </w:rPr>
          <w:tab/>
        </w:r>
        <w:r w:rsidR="00F0021A" w:rsidRPr="00A07FF2">
          <w:rPr>
            <w:rStyle w:val="Hyperlink"/>
          </w:rPr>
          <w:t>Summary</w:t>
        </w:r>
        <w:r w:rsidR="00F0021A">
          <w:rPr>
            <w:webHidden/>
          </w:rPr>
          <w:tab/>
        </w:r>
        <w:r w:rsidR="00F0021A">
          <w:rPr>
            <w:webHidden/>
          </w:rPr>
          <w:fldChar w:fldCharType="begin"/>
        </w:r>
        <w:r w:rsidR="00F0021A">
          <w:rPr>
            <w:webHidden/>
          </w:rPr>
          <w:instrText xml:space="preserve"> PAGEREF _Toc170396224 \h </w:instrText>
        </w:r>
        <w:r w:rsidR="00F0021A">
          <w:rPr>
            <w:webHidden/>
          </w:rPr>
        </w:r>
        <w:r w:rsidR="00F0021A">
          <w:rPr>
            <w:webHidden/>
          </w:rPr>
          <w:fldChar w:fldCharType="separate"/>
        </w:r>
        <w:r w:rsidR="00EE3370">
          <w:rPr>
            <w:webHidden/>
          </w:rPr>
          <w:t>63</w:t>
        </w:r>
        <w:r w:rsidR="00F0021A">
          <w:rPr>
            <w:webHidden/>
          </w:rPr>
          <w:fldChar w:fldCharType="end"/>
        </w:r>
      </w:hyperlink>
    </w:p>
    <w:p w14:paraId="737D540A" w14:textId="77777777" w:rsidR="000730B5" w:rsidRDefault="000730B5">
      <w:pPr>
        <w:spacing w:before="0" w:after="80" w:line="240" w:lineRule="auto"/>
        <w:jc w:val="left"/>
        <w:rPr>
          <w:iCs/>
          <w:noProof/>
          <w:szCs w:val="20"/>
        </w:rPr>
      </w:pPr>
      <w:r>
        <w:br w:type="page"/>
      </w:r>
    </w:p>
    <w:p w14:paraId="2D28AB45" w14:textId="648A5D21" w:rsidR="00F0021A" w:rsidRDefault="003B77A3">
      <w:pPr>
        <w:pStyle w:val="TOC1"/>
        <w:rPr>
          <w:rFonts w:asciiTheme="minorHAnsi" w:eastAsiaTheme="minorEastAsia" w:hAnsiTheme="minorHAnsi"/>
          <w:b w:val="0"/>
          <w:bCs w:val="0"/>
          <w:noProof/>
          <w:kern w:val="2"/>
          <w:sz w:val="24"/>
          <w:szCs w:val="24"/>
          <w:lang w:eastAsia="en-AU"/>
          <w14:ligatures w14:val="standardContextual"/>
        </w:rPr>
      </w:pPr>
      <w:hyperlink w:anchor="_Toc170396225" w:history="1">
        <w:r w:rsidR="00F0021A" w:rsidRPr="00A07FF2">
          <w:rPr>
            <w:rStyle w:val="Hyperlink"/>
            <w:noProof/>
          </w:rPr>
          <w:t>4</w:t>
        </w:r>
        <w:r w:rsidR="00F0021A">
          <w:rPr>
            <w:rFonts w:asciiTheme="minorHAnsi" w:eastAsiaTheme="minorEastAsia" w:hAnsiTheme="minorHAnsi"/>
            <w:b w:val="0"/>
            <w:bCs w:val="0"/>
            <w:noProof/>
            <w:kern w:val="2"/>
            <w:sz w:val="24"/>
            <w:szCs w:val="24"/>
            <w:lang w:eastAsia="en-AU"/>
            <w14:ligatures w14:val="standardContextual"/>
          </w:rPr>
          <w:tab/>
        </w:r>
        <w:r w:rsidR="00F0021A" w:rsidRPr="00A07FF2">
          <w:rPr>
            <w:rStyle w:val="Hyperlink"/>
            <w:noProof/>
          </w:rPr>
          <w:t xml:space="preserve">Labour market considerations </w:t>
        </w:r>
        <w:r w:rsidR="00F0021A">
          <w:rPr>
            <w:noProof/>
            <w:webHidden/>
          </w:rPr>
          <w:tab/>
        </w:r>
        <w:r w:rsidR="00F0021A">
          <w:rPr>
            <w:noProof/>
            <w:webHidden/>
          </w:rPr>
          <w:fldChar w:fldCharType="begin"/>
        </w:r>
        <w:r w:rsidR="00F0021A">
          <w:rPr>
            <w:noProof/>
            <w:webHidden/>
          </w:rPr>
          <w:instrText xml:space="preserve"> PAGEREF _Toc170396225 \h </w:instrText>
        </w:r>
        <w:r w:rsidR="00F0021A">
          <w:rPr>
            <w:noProof/>
            <w:webHidden/>
          </w:rPr>
        </w:r>
        <w:r w:rsidR="00F0021A">
          <w:rPr>
            <w:noProof/>
            <w:webHidden/>
          </w:rPr>
          <w:fldChar w:fldCharType="separate"/>
        </w:r>
        <w:r w:rsidR="00EE3370">
          <w:rPr>
            <w:noProof/>
            <w:webHidden/>
          </w:rPr>
          <w:t>64</w:t>
        </w:r>
        <w:r w:rsidR="00F0021A">
          <w:rPr>
            <w:noProof/>
            <w:webHidden/>
          </w:rPr>
          <w:fldChar w:fldCharType="end"/>
        </w:r>
      </w:hyperlink>
    </w:p>
    <w:p w14:paraId="0C3F480B" w14:textId="1144C158" w:rsidR="00F0021A" w:rsidRDefault="003B77A3" w:rsidP="00557732">
      <w:pPr>
        <w:pStyle w:val="TOC2"/>
        <w:rPr>
          <w:rFonts w:asciiTheme="minorHAnsi" w:eastAsiaTheme="minorEastAsia" w:hAnsiTheme="minorHAnsi"/>
          <w:color w:val="auto"/>
          <w:kern w:val="2"/>
          <w:sz w:val="24"/>
          <w:szCs w:val="24"/>
          <w:lang w:eastAsia="en-AU"/>
          <w14:ligatures w14:val="standardContextual"/>
        </w:rPr>
      </w:pPr>
      <w:hyperlink w:anchor="_Toc170396226" w:history="1">
        <w:r w:rsidR="00F0021A" w:rsidRPr="00A07FF2">
          <w:rPr>
            <w:rStyle w:val="Hyperlink"/>
          </w:rPr>
          <w:t>4.1</w:t>
        </w:r>
        <w:r w:rsidR="00F0021A">
          <w:rPr>
            <w:rFonts w:asciiTheme="minorHAnsi" w:eastAsiaTheme="minorEastAsia" w:hAnsiTheme="minorHAnsi"/>
            <w:color w:val="auto"/>
            <w:kern w:val="2"/>
            <w:sz w:val="24"/>
            <w:szCs w:val="24"/>
            <w:lang w:eastAsia="en-AU"/>
            <w14:ligatures w14:val="standardContextual"/>
          </w:rPr>
          <w:tab/>
        </w:r>
        <w:r w:rsidR="00F0021A" w:rsidRPr="00A07FF2">
          <w:rPr>
            <w:rStyle w:val="Hyperlink"/>
          </w:rPr>
          <w:t>Conditions in the broader labour market are tight</w:t>
        </w:r>
        <w:r w:rsidR="00F0021A">
          <w:rPr>
            <w:webHidden/>
          </w:rPr>
          <w:tab/>
        </w:r>
        <w:r w:rsidR="00F0021A">
          <w:rPr>
            <w:webHidden/>
          </w:rPr>
          <w:fldChar w:fldCharType="begin"/>
        </w:r>
        <w:r w:rsidR="00F0021A">
          <w:rPr>
            <w:webHidden/>
          </w:rPr>
          <w:instrText xml:space="preserve"> PAGEREF _Toc170396226 \h </w:instrText>
        </w:r>
        <w:r w:rsidR="00F0021A">
          <w:rPr>
            <w:webHidden/>
          </w:rPr>
        </w:r>
        <w:r w:rsidR="00F0021A">
          <w:rPr>
            <w:webHidden/>
          </w:rPr>
          <w:fldChar w:fldCharType="separate"/>
        </w:r>
        <w:r w:rsidR="00EE3370">
          <w:rPr>
            <w:webHidden/>
          </w:rPr>
          <w:t>64</w:t>
        </w:r>
        <w:r w:rsidR="00F0021A">
          <w:rPr>
            <w:webHidden/>
          </w:rPr>
          <w:fldChar w:fldCharType="end"/>
        </w:r>
      </w:hyperlink>
    </w:p>
    <w:p w14:paraId="72BB7688" w14:textId="1B4E2B7C" w:rsidR="00F0021A" w:rsidRDefault="003B77A3" w:rsidP="00557732">
      <w:pPr>
        <w:pStyle w:val="TOC2"/>
        <w:rPr>
          <w:rFonts w:asciiTheme="minorHAnsi" w:eastAsiaTheme="minorEastAsia" w:hAnsiTheme="minorHAnsi"/>
          <w:color w:val="auto"/>
          <w:kern w:val="2"/>
          <w:sz w:val="24"/>
          <w:szCs w:val="24"/>
          <w:lang w:eastAsia="en-AU"/>
          <w14:ligatures w14:val="standardContextual"/>
        </w:rPr>
      </w:pPr>
      <w:hyperlink w:anchor="_Toc170396227" w:history="1">
        <w:r w:rsidR="00F0021A" w:rsidRPr="00A07FF2">
          <w:rPr>
            <w:rStyle w:val="Hyperlink"/>
          </w:rPr>
          <w:t>4.2</w:t>
        </w:r>
        <w:r w:rsidR="00F0021A">
          <w:rPr>
            <w:rFonts w:asciiTheme="minorHAnsi" w:eastAsiaTheme="minorEastAsia" w:hAnsiTheme="minorHAnsi"/>
            <w:color w:val="auto"/>
            <w:kern w:val="2"/>
            <w:sz w:val="24"/>
            <w:szCs w:val="24"/>
            <w:lang w:eastAsia="en-AU"/>
            <w14:ligatures w14:val="standardContextual"/>
          </w:rPr>
          <w:tab/>
        </w:r>
        <w:r w:rsidR="00F0021A" w:rsidRPr="00A07FF2">
          <w:rPr>
            <w:rStyle w:val="Hyperlink"/>
          </w:rPr>
          <w:t>Demand for VPS executives is moderating</w:t>
        </w:r>
        <w:r w:rsidR="00F0021A">
          <w:rPr>
            <w:webHidden/>
          </w:rPr>
          <w:tab/>
        </w:r>
        <w:r w:rsidR="00F0021A">
          <w:rPr>
            <w:webHidden/>
          </w:rPr>
          <w:fldChar w:fldCharType="begin"/>
        </w:r>
        <w:r w:rsidR="00F0021A">
          <w:rPr>
            <w:webHidden/>
          </w:rPr>
          <w:instrText xml:space="preserve"> PAGEREF _Toc170396227 \h </w:instrText>
        </w:r>
        <w:r w:rsidR="00F0021A">
          <w:rPr>
            <w:webHidden/>
          </w:rPr>
        </w:r>
        <w:r w:rsidR="00F0021A">
          <w:rPr>
            <w:webHidden/>
          </w:rPr>
          <w:fldChar w:fldCharType="separate"/>
        </w:r>
        <w:r w:rsidR="00EE3370">
          <w:rPr>
            <w:webHidden/>
          </w:rPr>
          <w:t>66</w:t>
        </w:r>
        <w:r w:rsidR="00F0021A">
          <w:rPr>
            <w:webHidden/>
          </w:rPr>
          <w:fldChar w:fldCharType="end"/>
        </w:r>
      </w:hyperlink>
    </w:p>
    <w:p w14:paraId="1CBF2383" w14:textId="58FBA6EE" w:rsidR="00F0021A" w:rsidRDefault="003B77A3" w:rsidP="00557732">
      <w:pPr>
        <w:pStyle w:val="TOC2"/>
        <w:rPr>
          <w:rFonts w:asciiTheme="minorHAnsi" w:eastAsiaTheme="minorEastAsia" w:hAnsiTheme="minorHAnsi"/>
          <w:color w:val="auto"/>
          <w:kern w:val="2"/>
          <w:sz w:val="24"/>
          <w:szCs w:val="24"/>
          <w:lang w:eastAsia="en-AU"/>
          <w14:ligatures w14:val="standardContextual"/>
        </w:rPr>
      </w:pPr>
      <w:hyperlink w:anchor="_Toc170396228" w:history="1">
        <w:r w:rsidR="00F0021A" w:rsidRPr="00A07FF2">
          <w:rPr>
            <w:rStyle w:val="Hyperlink"/>
          </w:rPr>
          <w:t>4.3</w:t>
        </w:r>
        <w:r w:rsidR="00F0021A">
          <w:rPr>
            <w:rFonts w:asciiTheme="minorHAnsi" w:eastAsiaTheme="minorEastAsia" w:hAnsiTheme="minorHAnsi"/>
            <w:color w:val="auto"/>
            <w:kern w:val="2"/>
            <w:sz w:val="24"/>
            <w:szCs w:val="24"/>
            <w:lang w:eastAsia="en-AU"/>
            <w14:ligatures w14:val="standardContextual"/>
          </w:rPr>
          <w:tab/>
        </w:r>
        <w:r w:rsidR="00F0021A" w:rsidRPr="00A07FF2">
          <w:rPr>
            <w:rStyle w:val="Hyperlink"/>
          </w:rPr>
          <w:t xml:space="preserve">The supply of VPS executives is matching demand, with </w:t>
        </w:r>
        <w:r w:rsidR="00B6224E">
          <w:rPr>
            <w:rStyle w:val="Hyperlink"/>
          </w:rPr>
          <w:br/>
        </w:r>
        <w:r w:rsidR="00F0021A" w:rsidRPr="00A07FF2">
          <w:rPr>
            <w:rStyle w:val="Hyperlink"/>
          </w:rPr>
          <w:t>some exceptions</w:t>
        </w:r>
        <w:r w:rsidR="00F0021A">
          <w:rPr>
            <w:webHidden/>
          </w:rPr>
          <w:tab/>
        </w:r>
        <w:r w:rsidR="00F0021A">
          <w:rPr>
            <w:webHidden/>
          </w:rPr>
          <w:fldChar w:fldCharType="begin"/>
        </w:r>
        <w:r w:rsidR="00F0021A">
          <w:rPr>
            <w:webHidden/>
          </w:rPr>
          <w:instrText xml:space="preserve"> PAGEREF _Toc170396228 \h </w:instrText>
        </w:r>
        <w:r w:rsidR="00F0021A">
          <w:rPr>
            <w:webHidden/>
          </w:rPr>
        </w:r>
        <w:r w:rsidR="00F0021A">
          <w:rPr>
            <w:webHidden/>
          </w:rPr>
          <w:fldChar w:fldCharType="separate"/>
        </w:r>
        <w:r w:rsidR="00EE3370">
          <w:rPr>
            <w:webHidden/>
          </w:rPr>
          <w:t>68</w:t>
        </w:r>
        <w:r w:rsidR="00F0021A">
          <w:rPr>
            <w:webHidden/>
          </w:rPr>
          <w:fldChar w:fldCharType="end"/>
        </w:r>
      </w:hyperlink>
    </w:p>
    <w:p w14:paraId="6BC225D7" w14:textId="34C933BA" w:rsidR="00F0021A" w:rsidRDefault="003B77A3" w:rsidP="00557732">
      <w:pPr>
        <w:pStyle w:val="TOC2"/>
        <w:rPr>
          <w:rFonts w:asciiTheme="minorHAnsi" w:eastAsiaTheme="minorEastAsia" w:hAnsiTheme="minorHAnsi"/>
          <w:color w:val="auto"/>
          <w:kern w:val="2"/>
          <w:sz w:val="24"/>
          <w:szCs w:val="24"/>
          <w:lang w:eastAsia="en-AU"/>
          <w14:ligatures w14:val="standardContextual"/>
        </w:rPr>
      </w:pPr>
      <w:hyperlink w:anchor="_Toc170396229" w:history="1">
        <w:r w:rsidR="00F0021A" w:rsidRPr="00A07FF2">
          <w:rPr>
            <w:rStyle w:val="Hyperlink"/>
          </w:rPr>
          <w:t>4.4</w:t>
        </w:r>
        <w:r w:rsidR="00F0021A">
          <w:rPr>
            <w:rFonts w:asciiTheme="minorHAnsi" w:eastAsiaTheme="minorEastAsia" w:hAnsiTheme="minorHAnsi"/>
            <w:color w:val="auto"/>
            <w:kern w:val="2"/>
            <w:sz w:val="24"/>
            <w:szCs w:val="24"/>
            <w:lang w:eastAsia="en-AU"/>
            <w14:ligatures w14:val="standardContextual"/>
          </w:rPr>
          <w:tab/>
        </w:r>
        <w:r w:rsidR="00F0021A" w:rsidRPr="00A07FF2">
          <w:rPr>
            <w:rStyle w:val="Hyperlink"/>
          </w:rPr>
          <w:t>How the remuneration bands influence the supply of executives</w:t>
        </w:r>
        <w:r w:rsidR="00F0021A">
          <w:rPr>
            <w:webHidden/>
          </w:rPr>
          <w:tab/>
        </w:r>
        <w:r w:rsidR="00F0021A">
          <w:rPr>
            <w:webHidden/>
          </w:rPr>
          <w:fldChar w:fldCharType="begin"/>
        </w:r>
        <w:r w:rsidR="00F0021A">
          <w:rPr>
            <w:webHidden/>
          </w:rPr>
          <w:instrText xml:space="preserve"> PAGEREF _Toc170396229 \h </w:instrText>
        </w:r>
        <w:r w:rsidR="00F0021A">
          <w:rPr>
            <w:webHidden/>
          </w:rPr>
        </w:r>
        <w:r w:rsidR="00F0021A">
          <w:rPr>
            <w:webHidden/>
          </w:rPr>
          <w:fldChar w:fldCharType="separate"/>
        </w:r>
        <w:r w:rsidR="00EE3370">
          <w:rPr>
            <w:webHidden/>
          </w:rPr>
          <w:t>72</w:t>
        </w:r>
        <w:r w:rsidR="00F0021A">
          <w:rPr>
            <w:webHidden/>
          </w:rPr>
          <w:fldChar w:fldCharType="end"/>
        </w:r>
      </w:hyperlink>
    </w:p>
    <w:p w14:paraId="12328D5D" w14:textId="0B406D60" w:rsidR="00F0021A" w:rsidRDefault="003B77A3" w:rsidP="00557732">
      <w:pPr>
        <w:pStyle w:val="TOC2"/>
        <w:rPr>
          <w:rFonts w:asciiTheme="minorHAnsi" w:eastAsiaTheme="minorEastAsia" w:hAnsiTheme="minorHAnsi"/>
          <w:color w:val="auto"/>
          <w:kern w:val="2"/>
          <w:sz w:val="24"/>
          <w:szCs w:val="24"/>
          <w:lang w:eastAsia="en-AU"/>
          <w14:ligatures w14:val="standardContextual"/>
        </w:rPr>
      </w:pPr>
      <w:hyperlink w:anchor="_Toc170396230" w:history="1">
        <w:r w:rsidR="00F0021A" w:rsidRPr="00A07FF2">
          <w:rPr>
            <w:rStyle w:val="Hyperlink"/>
          </w:rPr>
          <w:t>4.5</w:t>
        </w:r>
        <w:r w:rsidR="00F0021A">
          <w:rPr>
            <w:rFonts w:asciiTheme="minorHAnsi" w:eastAsiaTheme="minorEastAsia" w:hAnsiTheme="minorHAnsi"/>
            <w:color w:val="auto"/>
            <w:kern w:val="2"/>
            <w:sz w:val="24"/>
            <w:szCs w:val="24"/>
            <w:lang w:eastAsia="en-AU"/>
            <w14:ligatures w14:val="standardContextual"/>
          </w:rPr>
          <w:tab/>
        </w:r>
        <w:r w:rsidR="00F0021A" w:rsidRPr="00A07FF2">
          <w:rPr>
            <w:rStyle w:val="Hyperlink"/>
          </w:rPr>
          <w:t>The remuneration bands are positioned towards the lower end of the</w:t>
        </w:r>
        <w:r w:rsidR="0017318F">
          <w:rPr>
            <w:rStyle w:val="Hyperlink"/>
          </w:rPr>
          <w:t> </w:t>
        </w:r>
        <w:r w:rsidR="00F0021A" w:rsidRPr="00A07FF2">
          <w:rPr>
            <w:rStyle w:val="Hyperlink"/>
          </w:rPr>
          <w:t>market</w:t>
        </w:r>
        <w:r w:rsidR="00F0021A">
          <w:rPr>
            <w:webHidden/>
          </w:rPr>
          <w:tab/>
        </w:r>
        <w:r w:rsidR="00F0021A">
          <w:rPr>
            <w:webHidden/>
          </w:rPr>
          <w:fldChar w:fldCharType="begin"/>
        </w:r>
        <w:r w:rsidR="00F0021A">
          <w:rPr>
            <w:webHidden/>
          </w:rPr>
          <w:instrText xml:space="preserve"> PAGEREF _Toc170396230 \h </w:instrText>
        </w:r>
        <w:r w:rsidR="00F0021A">
          <w:rPr>
            <w:webHidden/>
          </w:rPr>
        </w:r>
        <w:r w:rsidR="00F0021A">
          <w:rPr>
            <w:webHidden/>
          </w:rPr>
          <w:fldChar w:fldCharType="separate"/>
        </w:r>
        <w:r w:rsidR="00EE3370">
          <w:rPr>
            <w:webHidden/>
          </w:rPr>
          <w:t>79</w:t>
        </w:r>
        <w:r w:rsidR="00F0021A">
          <w:rPr>
            <w:webHidden/>
          </w:rPr>
          <w:fldChar w:fldCharType="end"/>
        </w:r>
      </w:hyperlink>
    </w:p>
    <w:p w14:paraId="3865DDC3" w14:textId="3369142D" w:rsidR="00F0021A" w:rsidRDefault="003B77A3" w:rsidP="00557732">
      <w:pPr>
        <w:pStyle w:val="TOC2"/>
        <w:rPr>
          <w:rFonts w:asciiTheme="minorHAnsi" w:eastAsiaTheme="minorEastAsia" w:hAnsiTheme="minorHAnsi"/>
          <w:color w:val="auto"/>
          <w:kern w:val="2"/>
          <w:sz w:val="24"/>
          <w:szCs w:val="24"/>
          <w:lang w:eastAsia="en-AU"/>
          <w14:ligatures w14:val="standardContextual"/>
        </w:rPr>
      </w:pPr>
      <w:hyperlink w:anchor="_Toc170396231" w:history="1">
        <w:r w:rsidR="00F0021A" w:rsidRPr="00A07FF2">
          <w:rPr>
            <w:rStyle w:val="Hyperlink"/>
          </w:rPr>
          <w:t>4.6</w:t>
        </w:r>
        <w:r w:rsidR="00F0021A">
          <w:rPr>
            <w:rFonts w:asciiTheme="minorHAnsi" w:eastAsiaTheme="minorEastAsia" w:hAnsiTheme="minorHAnsi"/>
            <w:color w:val="auto"/>
            <w:kern w:val="2"/>
            <w:sz w:val="24"/>
            <w:szCs w:val="24"/>
            <w:lang w:eastAsia="en-AU"/>
            <w14:ligatures w14:val="standardContextual"/>
          </w:rPr>
          <w:tab/>
        </w:r>
        <w:r w:rsidR="00F0021A" w:rsidRPr="00A07FF2">
          <w:rPr>
            <w:rStyle w:val="Hyperlink"/>
          </w:rPr>
          <w:t>Summary</w:t>
        </w:r>
        <w:r w:rsidR="00F0021A">
          <w:rPr>
            <w:webHidden/>
          </w:rPr>
          <w:tab/>
        </w:r>
        <w:r w:rsidR="00F0021A">
          <w:rPr>
            <w:webHidden/>
          </w:rPr>
          <w:fldChar w:fldCharType="begin"/>
        </w:r>
        <w:r w:rsidR="00F0021A">
          <w:rPr>
            <w:webHidden/>
          </w:rPr>
          <w:instrText xml:space="preserve"> PAGEREF _Toc170396231 \h </w:instrText>
        </w:r>
        <w:r w:rsidR="00F0021A">
          <w:rPr>
            <w:webHidden/>
          </w:rPr>
        </w:r>
        <w:r w:rsidR="00F0021A">
          <w:rPr>
            <w:webHidden/>
          </w:rPr>
          <w:fldChar w:fldCharType="separate"/>
        </w:r>
        <w:r w:rsidR="00EE3370">
          <w:rPr>
            <w:webHidden/>
          </w:rPr>
          <w:t>83</w:t>
        </w:r>
        <w:r w:rsidR="00F0021A">
          <w:rPr>
            <w:webHidden/>
          </w:rPr>
          <w:fldChar w:fldCharType="end"/>
        </w:r>
      </w:hyperlink>
    </w:p>
    <w:p w14:paraId="36F9456D" w14:textId="3734ED0A" w:rsidR="00F0021A" w:rsidRDefault="003B77A3">
      <w:pPr>
        <w:pStyle w:val="TOC1"/>
        <w:rPr>
          <w:rFonts w:asciiTheme="minorHAnsi" w:eastAsiaTheme="minorEastAsia" w:hAnsiTheme="minorHAnsi"/>
          <w:b w:val="0"/>
          <w:bCs w:val="0"/>
          <w:noProof/>
          <w:kern w:val="2"/>
          <w:sz w:val="24"/>
          <w:szCs w:val="24"/>
          <w:lang w:eastAsia="en-AU"/>
          <w14:ligatures w14:val="standardContextual"/>
        </w:rPr>
      </w:pPr>
      <w:hyperlink w:anchor="_Toc170396232" w:history="1">
        <w:r w:rsidR="00F0021A" w:rsidRPr="00A07FF2">
          <w:rPr>
            <w:rStyle w:val="Hyperlink"/>
            <w:noProof/>
          </w:rPr>
          <w:t>5</w:t>
        </w:r>
        <w:r w:rsidR="00F0021A">
          <w:rPr>
            <w:rFonts w:asciiTheme="minorHAnsi" w:eastAsiaTheme="minorEastAsia" w:hAnsiTheme="minorHAnsi"/>
            <w:b w:val="0"/>
            <w:bCs w:val="0"/>
            <w:noProof/>
            <w:kern w:val="2"/>
            <w:sz w:val="24"/>
            <w:szCs w:val="24"/>
            <w:lang w:eastAsia="en-AU"/>
            <w14:ligatures w14:val="standardContextual"/>
          </w:rPr>
          <w:tab/>
        </w:r>
        <w:r w:rsidR="00F0021A" w:rsidRPr="00A07FF2">
          <w:rPr>
            <w:rStyle w:val="Hyperlink"/>
            <w:noProof/>
          </w:rPr>
          <w:t xml:space="preserve">Jurisdictional comparisons </w:t>
        </w:r>
        <w:r w:rsidR="00F0021A">
          <w:rPr>
            <w:noProof/>
            <w:webHidden/>
          </w:rPr>
          <w:tab/>
        </w:r>
        <w:r w:rsidR="00F0021A">
          <w:rPr>
            <w:noProof/>
            <w:webHidden/>
          </w:rPr>
          <w:fldChar w:fldCharType="begin"/>
        </w:r>
        <w:r w:rsidR="00F0021A">
          <w:rPr>
            <w:noProof/>
            <w:webHidden/>
          </w:rPr>
          <w:instrText xml:space="preserve"> PAGEREF _Toc170396232 \h </w:instrText>
        </w:r>
        <w:r w:rsidR="00F0021A">
          <w:rPr>
            <w:noProof/>
            <w:webHidden/>
          </w:rPr>
        </w:r>
        <w:r w:rsidR="00F0021A">
          <w:rPr>
            <w:noProof/>
            <w:webHidden/>
          </w:rPr>
          <w:fldChar w:fldCharType="separate"/>
        </w:r>
        <w:r w:rsidR="00EE3370">
          <w:rPr>
            <w:noProof/>
            <w:webHidden/>
          </w:rPr>
          <w:t>85</w:t>
        </w:r>
        <w:r w:rsidR="00F0021A">
          <w:rPr>
            <w:noProof/>
            <w:webHidden/>
          </w:rPr>
          <w:fldChar w:fldCharType="end"/>
        </w:r>
      </w:hyperlink>
    </w:p>
    <w:p w14:paraId="13E93A4C" w14:textId="509F0BC8" w:rsidR="00F0021A" w:rsidRDefault="003B77A3" w:rsidP="00557732">
      <w:pPr>
        <w:pStyle w:val="TOC2"/>
        <w:rPr>
          <w:rFonts w:asciiTheme="minorHAnsi" w:eastAsiaTheme="minorEastAsia" w:hAnsiTheme="minorHAnsi"/>
          <w:color w:val="auto"/>
          <w:kern w:val="2"/>
          <w:sz w:val="24"/>
          <w:szCs w:val="24"/>
          <w:lang w:eastAsia="en-AU"/>
          <w14:ligatures w14:val="standardContextual"/>
        </w:rPr>
      </w:pPr>
      <w:hyperlink w:anchor="_Toc170396233" w:history="1">
        <w:r w:rsidR="00F0021A" w:rsidRPr="00A07FF2">
          <w:rPr>
            <w:rStyle w:val="Hyperlink"/>
          </w:rPr>
          <w:t>5.1</w:t>
        </w:r>
        <w:r w:rsidR="00F0021A">
          <w:rPr>
            <w:rFonts w:asciiTheme="minorHAnsi" w:eastAsiaTheme="minorEastAsia" w:hAnsiTheme="minorHAnsi"/>
            <w:color w:val="auto"/>
            <w:kern w:val="2"/>
            <w:sz w:val="24"/>
            <w:szCs w:val="24"/>
            <w:lang w:eastAsia="en-AU"/>
            <w14:ligatures w14:val="standardContextual"/>
          </w:rPr>
          <w:tab/>
        </w:r>
        <w:r w:rsidR="00F0021A" w:rsidRPr="00A07FF2">
          <w:rPr>
            <w:rStyle w:val="Hyperlink"/>
          </w:rPr>
          <w:t>Commonwealth public service</w:t>
        </w:r>
        <w:r w:rsidR="00F0021A">
          <w:rPr>
            <w:webHidden/>
          </w:rPr>
          <w:tab/>
        </w:r>
        <w:r w:rsidR="00F0021A">
          <w:rPr>
            <w:webHidden/>
          </w:rPr>
          <w:fldChar w:fldCharType="begin"/>
        </w:r>
        <w:r w:rsidR="00F0021A">
          <w:rPr>
            <w:webHidden/>
          </w:rPr>
          <w:instrText xml:space="preserve"> PAGEREF _Toc170396233 \h </w:instrText>
        </w:r>
        <w:r w:rsidR="00F0021A">
          <w:rPr>
            <w:webHidden/>
          </w:rPr>
        </w:r>
        <w:r w:rsidR="00F0021A">
          <w:rPr>
            <w:webHidden/>
          </w:rPr>
          <w:fldChar w:fldCharType="separate"/>
        </w:r>
        <w:r w:rsidR="00EE3370">
          <w:rPr>
            <w:webHidden/>
          </w:rPr>
          <w:t>85</w:t>
        </w:r>
        <w:r w:rsidR="00F0021A">
          <w:rPr>
            <w:webHidden/>
          </w:rPr>
          <w:fldChar w:fldCharType="end"/>
        </w:r>
      </w:hyperlink>
    </w:p>
    <w:p w14:paraId="756E24F6" w14:textId="42CA3BF2" w:rsidR="00F0021A" w:rsidRDefault="003B77A3" w:rsidP="00557732">
      <w:pPr>
        <w:pStyle w:val="TOC2"/>
        <w:rPr>
          <w:rFonts w:asciiTheme="minorHAnsi" w:eastAsiaTheme="minorEastAsia" w:hAnsiTheme="minorHAnsi"/>
          <w:color w:val="auto"/>
          <w:kern w:val="2"/>
          <w:sz w:val="24"/>
          <w:szCs w:val="24"/>
          <w:lang w:eastAsia="en-AU"/>
          <w14:ligatures w14:val="standardContextual"/>
        </w:rPr>
      </w:pPr>
      <w:hyperlink w:anchor="_Toc170396234" w:history="1">
        <w:r w:rsidR="00F0021A" w:rsidRPr="00A07FF2">
          <w:rPr>
            <w:rStyle w:val="Hyperlink"/>
          </w:rPr>
          <w:t>5.2</w:t>
        </w:r>
        <w:r w:rsidR="00F0021A">
          <w:rPr>
            <w:rFonts w:asciiTheme="minorHAnsi" w:eastAsiaTheme="minorEastAsia" w:hAnsiTheme="minorHAnsi"/>
            <w:color w:val="auto"/>
            <w:kern w:val="2"/>
            <w:sz w:val="24"/>
            <w:szCs w:val="24"/>
            <w:lang w:eastAsia="en-AU"/>
            <w14:ligatures w14:val="standardContextual"/>
          </w:rPr>
          <w:tab/>
        </w:r>
        <w:r w:rsidR="00F0021A" w:rsidRPr="00A07FF2">
          <w:rPr>
            <w:rStyle w:val="Hyperlink"/>
          </w:rPr>
          <w:t>New South Wales public service</w:t>
        </w:r>
        <w:r w:rsidR="00F0021A">
          <w:rPr>
            <w:webHidden/>
          </w:rPr>
          <w:tab/>
        </w:r>
        <w:r w:rsidR="00F0021A">
          <w:rPr>
            <w:webHidden/>
          </w:rPr>
          <w:fldChar w:fldCharType="begin"/>
        </w:r>
        <w:r w:rsidR="00F0021A">
          <w:rPr>
            <w:webHidden/>
          </w:rPr>
          <w:instrText xml:space="preserve"> PAGEREF _Toc170396234 \h </w:instrText>
        </w:r>
        <w:r w:rsidR="00F0021A">
          <w:rPr>
            <w:webHidden/>
          </w:rPr>
        </w:r>
        <w:r w:rsidR="00F0021A">
          <w:rPr>
            <w:webHidden/>
          </w:rPr>
          <w:fldChar w:fldCharType="separate"/>
        </w:r>
        <w:r w:rsidR="00EE3370">
          <w:rPr>
            <w:webHidden/>
          </w:rPr>
          <w:t>91</w:t>
        </w:r>
        <w:r w:rsidR="00F0021A">
          <w:rPr>
            <w:webHidden/>
          </w:rPr>
          <w:fldChar w:fldCharType="end"/>
        </w:r>
      </w:hyperlink>
    </w:p>
    <w:p w14:paraId="1D8CE9C8" w14:textId="0972E795" w:rsidR="00F0021A" w:rsidRDefault="003B77A3" w:rsidP="00557732">
      <w:pPr>
        <w:pStyle w:val="TOC2"/>
        <w:rPr>
          <w:rFonts w:asciiTheme="minorHAnsi" w:eastAsiaTheme="minorEastAsia" w:hAnsiTheme="minorHAnsi"/>
          <w:color w:val="auto"/>
          <w:kern w:val="2"/>
          <w:sz w:val="24"/>
          <w:szCs w:val="24"/>
          <w:lang w:eastAsia="en-AU"/>
          <w14:ligatures w14:val="standardContextual"/>
        </w:rPr>
      </w:pPr>
      <w:hyperlink w:anchor="_Toc170396235" w:history="1">
        <w:r w:rsidR="00F0021A" w:rsidRPr="00A07FF2">
          <w:rPr>
            <w:rStyle w:val="Hyperlink"/>
          </w:rPr>
          <w:t>5.3</w:t>
        </w:r>
        <w:r w:rsidR="00F0021A">
          <w:rPr>
            <w:rFonts w:asciiTheme="minorHAnsi" w:eastAsiaTheme="minorEastAsia" w:hAnsiTheme="minorHAnsi"/>
            <w:color w:val="auto"/>
            <w:kern w:val="2"/>
            <w:sz w:val="24"/>
            <w:szCs w:val="24"/>
            <w:lang w:eastAsia="en-AU"/>
            <w14:ligatures w14:val="standardContextual"/>
          </w:rPr>
          <w:tab/>
        </w:r>
        <w:r w:rsidR="00F0021A" w:rsidRPr="00A07FF2">
          <w:rPr>
            <w:rStyle w:val="Hyperlink"/>
          </w:rPr>
          <w:t>Queensland public service</w:t>
        </w:r>
        <w:r w:rsidR="00F0021A">
          <w:rPr>
            <w:webHidden/>
          </w:rPr>
          <w:tab/>
        </w:r>
        <w:r w:rsidR="00F0021A">
          <w:rPr>
            <w:webHidden/>
          </w:rPr>
          <w:fldChar w:fldCharType="begin"/>
        </w:r>
        <w:r w:rsidR="00F0021A">
          <w:rPr>
            <w:webHidden/>
          </w:rPr>
          <w:instrText xml:space="preserve"> PAGEREF _Toc170396235 \h </w:instrText>
        </w:r>
        <w:r w:rsidR="00F0021A">
          <w:rPr>
            <w:webHidden/>
          </w:rPr>
        </w:r>
        <w:r w:rsidR="00F0021A">
          <w:rPr>
            <w:webHidden/>
          </w:rPr>
          <w:fldChar w:fldCharType="separate"/>
        </w:r>
        <w:r w:rsidR="00EE3370">
          <w:rPr>
            <w:webHidden/>
          </w:rPr>
          <w:t>96</w:t>
        </w:r>
        <w:r w:rsidR="00F0021A">
          <w:rPr>
            <w:webHidden/>
          </w:rPr>
          <w:fldChar w:fldCharType="end"/>
        </w:r>
      </w:hyperlink>
    </w:p>
    <w:p w14:paraId="41F14D3C" w14:textId="410368FE" w:rsidR="00F0021A" w:rsidRDefault="003B77A3" w:rsidP="00557732">
      <w:pPr>
        <w:pStyle w:val="TOC2"/>
        <w:rPr>
          <w:rFonts w:asciiTheme="minorHAnsi" w:eastAsiaTheme="minorEastAsia" w:hAnsiTheme="minorHAnsi"/>
          <w:color w:val="auto"/>
          <w:kern w:val="2"/>
          <w:sz w:val="24"/>
          <w:szCs w:val="24"/>
          <w:lang w:eastAsia="en-AU"/>
          <w14:ligatures w14:val="standardContextual"/>
        </w:rPr>
      </w:pPr>
      <w:hyperlink w:anchor="_Toc170396236" w:history="1">
        <w:r w:rsidR="00F0021A" w:rsidRPr="00A07FF2">
          <w:rPr>
            <w:rStyle w:val="Hyperlink"/>
          </w:rPr>
          <w:t>5.4</w:t>
        </w:r>
        <w:r w:rsidR="00F0021A">
          <w:rPr>
            <w:rFonts w:asciiTheme="minorHAnsi" w:eastAsiaTheme="minorEastAsia" w:hAnsiTheme="minorHAnsi"/>
            <w:color w:val="auto"/>
            <w:kern w:val="2"/>
            <w:sz w:val="24"/>
            <w:szCs w:val="24"/>
            <w:lang w:eastAsia="en-AU"/>
            <w14:ligatures w14:val="standardContextual"/>
          </w:rPr>
          <w:tab/>
        </w:r>
        <w:r w:rsidR="00F0021A" w:rsidRPr="00A07FF2">
          <w:rPr>
            <w:rStyle w:val="Hyperlink"/>
          </w:rPr>
          <w:t>Summary</w:t>
        </w:r>
        <w:r w:rsidR="00F0021A">
          <w:rPr>
            <w:webHidden/>
          </w:rPr>
          <w:tab/>
        </w:r>
        <w:r w:rsidR="00F0021A">
          <w:rPr>
            <w:webHidden/>
          </w:rPr>
          <w:fldChar w:fldCharType="begin"/>
        </w:r>
        <w:r w:rsidR="00F0021A">
          <w:rPr>
            <w:webHidden/>
          </w:rPr>
          <w:instrText xml:space="preserve"> PAGEREF _Toc170396236 \h </w:instrText>
        </w:r>
        <w:r w:rsidR="00F0021A">
          <w:rPr>
            <w:webHidden/>
          </w:rPr>
        </w:r>
        <w:r w:rsidR="00F0021A">
          <w:rPr>
            <w:webHidden/>
          </w:rPr>
          <w:fldChar w:fldCharType="separate"/>
        </w:r>
        <w:r w:rsidR="00EE3370">
          <w:rPr>
            <w:webHidden/>
          </w:rPr>
          <w:t>99</w:t>
        </w:r>
        <w:r w:rsidR="00F0021A">
          <w:rPr>
            <w:webHidden/>
          </w:rPr>
          <w:fldChar w:fldCharType="end"/>
        </w:r>
      </w:hyperlink>
    </w:p>
    <w:p w14:paraId="612CDDBF" w14:textId="317C02D2" w:rsidR="00F0021A" w:rsidRDefault="003B77A3">
      <w:pPr>
        <w:pStyle w:val="TOC1"/>
        <w:rPr>
          <w:rFonts w:asciiTheme="minorHAnsi" w:eastAsiaTheme="minorEastAsia" w:hAnsiTheme="minorHAnsi"/>
          <w:b w:val="0"/>
          <w:bCs w:val="0"/>
          <w:noProof/>
          <w:kern w:val="2"/>
          <w:sz w:val="24"/>
          <w:szCs w:val="24"/>
          <w:lang w:eastAsia="en-AU"/>
          <w14:ligatures w14:val="standardContextual"/>
        </w:rPr>
      </w:pPr>
      <w:hyperlink w:anchor="_Toc170396237" w:history="1">
        <w:r w:rsidR="00F0021A" w:rsidRPr="00A07FF2">
          <w:rPr>
            <w:rStyle w:val="Hyperlink"/>
            <w:noProof/>
          </w:rPr>
          <w:t>6</w:t>
        </w:r>
        <w:r w:rsidR="00F0021A">
          <w:rPr>
            <w:rFonts w:asciiTheme="minorHAnsi" w:eastAsiaTheme="minorEastAsia" w:hAnsiTheme="minorHAnsi"/>
            <w:b w:val="0"/>
            <w:bCs w:val="0"/>
            <w:noProof/>
            <w:kern w:val="2"/>
            <w:sz w:val="24"/>
            <w:szCs w:val="24"/>
            <w:lang w:eastAsia="en-AU"/>
            <w14:ligatures w14:val="standardContextual"/>
          </w:rPr>
          <w:tab/>
        </w:r>
        <w:r w:rsidR="00F0021A" w:rsidRPr="00A07FF2">
          <w:rPr>
            <w:rStyle w:val="Hyperlink"/>
            <w:noProof/>
          </w:rPr>
          <w:t xml:space="preserve">Economic and financial considerations </w:t>
        </w:r>
        <w:r w:rsidR="00F0021A">
          <w:rPr>
            <w:noProof/>
            <w:webHidden/>
          </w:rPr>
          <w:tab/>
        </w:r>
        <w:r w:rsidR="00F0021A">
          <w:rPr>
            <w:noProof/>
            <w:webHidden/>
          </w:rPr>
          <w:fldChar w:fldCharType="begin"/>
        </w:r>
        <w:r w:rsidR="00F0021A">
          <w:rPr>
            <w:noProof/>
            <w:webHidden/>
          </w:rPr>
          <w:instrText xml:space="preserve"> PAGEREF _Toc170396237 \h </w:instrText>
        </w:r>
        <w:r w:rsidR="00F0021A">
          <w:rPr>
            <w:noProof/>
            <w:webHidden/>
          </w:rPr>
        </w:r>
        <w:r w:rsidR="00F0021A">
          <w:rPr>
            <w:noProof/>
            <w:webHidden/>
          </w:rPr>
          <w:fldChar w:fldCharType="separate"/>
        </w:r>
        <w:r w:rsidR="00EE3370">
          <w:rPr>
            <w:noProof/>
            <w:webHidden/>
          </w:rPr>
          <w:t>102</w:t>
        </w:r>
        <w:r w:rsidR="00F0021A">
          <w:rPr>
            <w:noProof/>
            <w:webHidden/>
          </w:rPr>
          <w:fldChar w:fldCharType="end"/>
        </w:r>
      </w:hyperlink>
    </w:p>
    <w:p w14:paraId="1143D842" w14:textId="74E9F740" w:rsidR="00F0021A" w:rsidRDefault="003B77A3" w:rsidP="00557732">
      <w:pPr>
        <w:pStyle w:val="TOC2"/>
        <w:rPr>
          <w:rFonts w:asciiTheme="minorHAnsi" w:eastAsiaTheme="minorEastAsia" w:hAnsiTheme="minorHAnsi"/>
          <w:color w:val="auto"/>
          <w:kern w:val="2"/>
          <w:sz w:val="24"/>
          <w:szCs w:val="24"/>
          <w:lang w:eastAsia="en-AU"/>
          <w14:ligatures w14:val="standardContextual"/>
        </w:rPr>
      </w:pPr>
      <w:hyperlink w:anchor="_Toc170396238" w:history="1">
        <w:r w:rsidR="00F0021A" w:rsidRPr="00A07FF2">
          <w:rPr>
            <w:rStyle w:val="Hyperlink"/>
            <w:lang w:eastAsia="en-AU"/>
          </w:rPr>
          <w:t>6.1</w:t>
        </w:r>
        <w:r w:rsidR="00F0021A">
          <w:rPr>
            <w:rFonts w:asciiTheme="minorHAnsi" w:eastAsiaTheme="minorEastAsia" w:hAnsiTheme="minorHAnsi"/>
            <w:color w:val="auto"/>
            <w:kern w:val="2"/>
            <w:sz w:val="24"/>
            <w:szCs w:val="24"/>
            <w:lang w:eastAsia="en-AU"/>
            <w14:ligatures w14:val="standardContextual"/>
          </w:rPr>
          <w:tab/>
        </w:r>
        <w:r w:rsidR="00F0021A" w:rsidRPr="00A07FF2">
          <w:rPr>
            <w:rStyle w:val="Hyperlink"/>
            <w:lang w:eastAsia="en-AU"/>
          </w:rPr>
          <w:t>Current economic conditions</w:t>
        </w:r>
        <w:r w:rsidR="00F0021A">
          <w:rPr>
            <w:webHidden/>
          </w:rPr>
          <w:tab/>
        </w:r>
        <w:r w:rsidR="00F0021A">
          <w:rPr>
            <w:webHidden/>
          </w:rPr>
          <w:fldChar w:fldCharType="begin"/>
        </w:r>
        <w:r w:rsidR="00F0021A">
          <w:rPr>
            <w:webHidden/>
          </w:rPr>
          <w:instrText xml:space="preserve"> PAGEREF _Toc170396238 \h </w:instrText>
        </w:r>
        <w:r w:rsidR="00F0021A">
          <w:rPr>
            <w:webHidden/>
          </w:rPr>
        </w:r>
        <w:r w:rsidR="00F0021A">
          <w:rPr>
            <w:webHidden/>
          </w:rPr>
          <w:fldChar w:fldCharType="separate"/>
        </w:r>
        <w:r w:rsidR="00EE3370">
          <w:rPr>
            <w:webHidden/>
          </w:rPr>
          <w:t>102</w:t>
        </w:r>
        <w:r w:rsidR="00F0021A">
          <w:rPr>
            <w:webHidden/>
          </w:rPr>
          <w:fldChar w:fldCharType="end"/>
        </w:r>
      </w:hyperlink>
    </w:p>
    <w:p w14:paraId="72CC16B8" w14:textId="1CD67D5F" w:rsidR="00F0021A" w:rsidRDefault="003B77A3" w:rsidP="00557732">
      <w:pPr>
        <w:pStyle w:val="TOC2"/>
        <w:rPr>
          <w:rFonts w:asciiTheme="minorHAnsi" w:eastAsiaTheme="minorEastAsia" w:hAnsiTheme="minorHAnsi"/>
          <w:color w:val="auto"/>
          <w:kern w:val="2"/>
          <w:sz w:val="24"/>
          <w:szCs w:val="24"/>
          <w:lang w:eastAsia="en-AU"/>
          <w14:ligatures w14:val="standardContextual"/>
        </w:rPr>
      </w:pPr>
      <w:hyperlink w:anchor="_Toc170396239" w:history="1">
        <w:r w:rsidR="00F0021A" w:rsidRPr="00A07FF2">
          <w:rPr>
            <w:rStyle w:val="Hyperlink"/>
          </w:rPr>
          <w:t>6.2</w:t>
        </w:r>
        <w:r w:rsidR="00F0021A">
          <w:rPr>
            <w:rFonts w:asciiTheme="minorHAnsi" w:eastAsiaTheme="minorEastAsia" w:hAnsiTheme="minorHAnsi"/>
            <w:color w:val="auto"/>
            <w:kern w:val="2"/>
            <w:sz w:val="24"/>
            <w:szCs w:val="24"/>
            <w:lang w:eastAsia="en-AU"/>
            <w14:ligatures w14:val="standardContextual"/>
          </w:rPr>
          <w:tab/>
        </w:r>
        <w:r w:rsidR="00F0021A" w:rsidRPr="00A07FF2">
          <w:rPr>
            <w:rStyle w:val="Hyperlink"/>
          </w:rPr>
          <w:t>Economic outlook</w:t>
        </w:r>
        <w:r w:rsidR="00F0021A">
          <w:rPr>
            <w:webHidden/>
          </w:rPr>
          <w:tab/>
        </w:r>
        <w:r w:rsidR="00F0021A">
          <w:rPr>
            <w:webHidden/>
          </w:rPr>
          <w:fldChar w:fldCharType="begin"/>
        </w:r>
        <w:r w:rsidR="00F0021A">
          <w:rPr>
            <w:webHidden/>
          </w:rPr>
          <w:instrText xml:space="preserve"> PAGEREF _Toc170396239 \h </w:instrText>
        </w:r>
        <w:r w:rsidR="00F0021A">
          <w:rPr>
            <w:webHidden/>
          </w:rPr>
        </w:r>
        <w:r w:rsidR="00F0021A">
          <w:rPr>
            <w:webHidden/>
          </w:rPr>
          <w:fldChar w:fldCharType="separate"/>
        </w:r>
        <w:r w:rsidR="00EE3370">
          <w:rPr>
            <w:webHidden/>
          </w:rPr>
          <w:t>110</w:t>
        </w:r>
        <w:r w:rsidR="00F0021A">
          <w:rPr>
            <w:webHidden/>
          </w:rPr>
          <w:fldChar w:fldCharType="end"/>
        </w:r>
      </w:hyperlink>
    </w:p>
    <w:p w14:paraId="1A907A45" w14:textId="39682291" w:rsidR="00F0021A" w:rsidRDefault="003B77A3" w:rsidP="00557732">
      <w:pPr>
        <w:pStyle w:val="TOC2"/>
        <w:rPr>
          <w:rFonts w:asciiTheme="minorHAnsi" w:eastAsiaTheme="minorEastAsia" w:hAnsiTheme="minorHAnsi"/>
          <w:color w:val="auto"/>
          <w:kern w:val="2"/>
          <w:sz w:val="24"/>
          <w:szCs w:val="24"/>
          <w:lang w:eastAsia="en-AU"/>
          <w14:ligatures w14:val="standardContextual"/>
        </w:rPr>
      </w:pPr>
      <w:hyperlink w:anchor="_Toc170396240" w:history="1">
        <w:r w:rsidR="00F0021A" w:rsidRPr="00A07FF2">
          <w:rPr>
            <w:rStyle w:val="Hyperlink"/>
            <w:lang w:eastAsia="en-AU"/>
          </w:rPr>
          <w:t>6.3</w:t>
        </w:r>
        <w:r w:rsidR="00F0021A">
          <w:rPr>
            <w:rFonts w:asciiTheme="minorHAnsi" w:eastAsiaTheme="minorEastAsia" w:hAnsiTheme="minorHAnsi"/>
            <w:color w:val="auto"/>
            <w:kern w:val="2"/>
            <w:sz w:val="24"/>
            <w:szCs w:val="24"/>
            <w:lang w:eastAsia="en-AU"/>
            <w14:ligatures w14:val="standardContextual"/>
          </w:rPr>
          <w:tab/>
        </w:r>
        <w:r w:rsidR="00F0021A" w:rsidRPr="00A07FF2">
          <w:rPr>
            <w:rStyle w:val="Hyperlink"/>
            <w:lang w:eastAsia="en-AU"/>
          </w:rPr>
          <w:t>Financial position and fiscal strategy of the State of Victoria</w:t>
        </w:r>
        <w:r w:rsidR="00F0021A">
          <w:rPr>
            <w:webHidden/>
          </w:rPr>
          <w:tab/>
        </w:r>
        <w:r w:rsidR="00F0021A">
          <w:rPr>
            <w:webHidden/>
          </w:rPr>
          <w:fldChar w:fldCharType="begin"/>
        </w:r>
        <w:r w:rsidR="00F0021A">
          <w:rPr>
            <w:webHidden/>
          </w:rPr>
          <w:instrText xml:space="preserve"> PAGEREF _Toc170396240 \h </w:instrText>
        </w:r>
        <w:r w:rsidR="00F0021A">
          <w:rPr>
            <w:webHidden/>
          </w:rPr>
        </w:r>
        <w:r w:rsidR="00F0021A">
          <w:rPr>
            <w:webHidden/>
          </w:rPr>
          <w:fldChar w:fldCharType="separate"/>
        </w:r>
        <w:r w:rsidR="00EE3370">
          <w:rPr>
            <w:webHidden/>
          </w:rPr>
          <w:t>115</w:t>
        </w:r>
        <w:r w:rsidR="00F0021A">
          <w:rPr>
            <w:webHidden/>
          </w:rPr>
          <w:fldChar w:fldCharType="end"/>
        </w:r>
      </w:hyperlink>
    </w:p>
    <w:p w14:paraId="33AF726C" w14:textId="6C1D3D42" w:rsidR="00F0021A" w:rsidRDefault="003B77A3" w:rsidP="00557732">
      <w:pPr>
        <w:pStyle w:val="TOC2"/>
        <w:rPr>
          <w:rFonts w:asciiTheme="minorHAnsi" w:eastAsiaTheme="minorEastAsia" w:hAnsiTheme="minorHAnsi"/>
          <w:color w:val="auto"/>
          <w:kern w:val="2"/>
          <w:sz w:val="24"/>
          <w:szCs w:val="24"/>
          <w:lang w:eastAsia="en-AU"/>
          <w14:ligatures w14:val="standardContextual"/>
        </w:rPr>
      </w:pPr>
      <w:hyperlink w:anchor="_Toc170396241" w:history="1">
        <w:r w:rsidR="00F0021A" w:rsidRPr="00A07FF2">
          <w:rPr>
            <w:rStyle w:val="Hyperlink"/>
            <w:lang w:eastAsia="en-AU"/>
          </w:rPr>
          <w:t>6.4</w:t>
        </w:r>
        <w:r w:rsidR="00F0021A">
          <w:rPr>
            <w:rFonts w:asciiTheme="minorHAnsi" w:eastAsiaTheme="minorEastAsia" w:hAnsiTheme="minorHAnsi"/>
            <w:color w:val="auto"/>
            <w:kern w:val="2"/>
            <w:sz w:val="24"/>
            <w:szCs w:val="24"/>
            <w:lang w:eastAsia="en-AU"/>
            <w14:ligatures w14:val="standardContextual"/>
          </w:rPr>
          <w:tab/>
        </w:r>
        <w:r w:rsidR="00F0021A" w:rsidRPr="00A07FF2">
          <w:rPr>
            <w:rStyle w:val="Hyperlink"/>
            <w:lang w:eastAsia="en-AU"/>
          </w:rPr>
          <w:t>Victorian Public Sector Wages Policy</w:t>
        </w:r>
        <w:r w:rsidR="00F0021A">
          <w:rPr>
            <w:webHidden/>
          </w:rPr>
          <w:tab/>
        </w:r>
        <w:r w:rsidR="00F0021A">
          <w:rPr>
            <w:webHidden/>
          </w:rPr>
          <w:fldChar w:fldCharType="begin"/>
        </w:r>
        <w:r w:rsidR="00F0021A">
          <w:rPr>
            <w:webHidden/>
          </w:rPr>
          <w:instrText xml:space="preserve"> PAGEREF _Toc170396241 \h </w:instrText>
        </w:r>
        <w:r w:rsidR="00F0021A">
          <w:rPr>
            <w:webHidden/>
          </w:rPr>
        </w:r>
        <w:r w:rsidR="00F0021A">
          <w:rPr>
            <w:webHidden/>
          </w:rPr>
          <w:fldChar w:fldCharType="separate"/>
        </w:r>
        <w:r w:rsidR="00EE3370">
          <w:rPr>
            <w:webHidden/>
          </w:rPr>
          <w:t>120</w:t>
        </w:r>
        <w:r w:rsidR="00F0021A">
          <w:rPr>
            <w:webHidden/>
          </w:rPr>
          <w:fldChar w:fldCharType="end"/>
        </w:r>
      </w:hyperlink>
    </w:p>
    <w:p w14:paraId="6CC56C67" w14:textId="52B3810C" w:rsidR="00F0021A" w:rsidRDefault="003B77A3">
      <w:pPr>
        <w:pStyle w:val="TOC1"/>
        <w:rPr>
          <w:rFonts w:asciiTheme="minorHAnsi" w:eastAsiaTheme="minorEastAsia" w:hAnsiTheme="minorHAnsi"/>
          <w:b w:val="0"/>
          <w:bCs w:val="0"/>
          <w:noProof/>
          <w:kern w:val="2"/>
          <w:sz w:val="24"/>
          <w:szCs w:val="24"/>
          <w:lang w:eastAsia="en-AU"/>
          <w14:ligatures w14:val="standardContextual"/>
        </w:rPr>
      </w:pPr>
      <w:hyperlink w:anchor="_Toc170396242" w:history="1">
        <w:r w:rsidR="00F0021A" w:rsidRPr="00A07FF2">
          <w:rPr>
            <w:rStyle w:val="Hyperlink"/>
            <w:noProof/>
          </w:rPr>
          <w:t>7</w:t>
        </w:r>
        <w:r w:rsidR="00F0021A">
          <w:rPr>
            <w:rFonts w:asciiTheme="minorHAnsi" w:eastAsiaTheme="minorEastAsia" w:hAnsiTheme="minorHAnsi"/>
            <w:b w:val="0"/>
            <w:bCs w:val="0"/>
            <w:noProof/>
            <w:kern w:val="2"/>
            <w:sz w:val="24"/>
            <w:szCs w:val="24"/>
            <w:lang w:eastAsia="en-AU"/>
            <w14:ligatures w14:val="standardContextual"/>
          </w:rPr>
          <w:tab/>
        </w:r>
        <w:r w:rsidR="00F0021A" w:rsidRPr="00A07FF2">
          <w:rPr>
            <w:rStyle w:val="Hyperlink"/>
            <w:noProof/>
          </w:rPr>
          <w:t>Tribunal’s considerations</w:t>
        </w:r>
        <w:r w:rsidR="00F0021A" w:rsidRPr="00A07FF2">
          <w:rPr>
            <w:rStyle w:val="Hyperlink"/>
            <w:rFonts w:eastAsia="Rockwell"/>
            <w:noProof/>
          </w:rPr>
          <w:t xml:space="preserve"> </w:t>
        </w:r>
        <w:r w:rsidR="00F0021A">
          <w:rPr>
            <w:noProof/>
            <w:webHidden/>
          </w:rPr>
          <w:tab/>
        </w:r>
        <w:r w:rsidR="00F0021A">
          <w:rPr>
            <w:noProof/>
            <w:webHidden/>
          </w:rPr>
          <w:fldChar w:fldCharType="begin"/>
        </w:r>
        <w:r w:rsidR="00F0021A">
          <w:rPr>
            <w:noProof/>
            <w:webHidden/>
          </w:rPr>
          <w:instrText xml:space="preserve"> PAGEREF _Toc170396242 \h </w:instrText>
        </w:r>
        <w:r w:rsidR="00F0021A">
          <w:rPr>
            <w:noProof/>
            <w:webHidden/>
          </w:rPr>
        </w:r>
        <w:r w:rsidR="00F0021A">
          <w:rPr>
            <w:noProof/>
            <w:webHidden/>
          </w:rPr>
          <w:fldChar w:fldCharType="separate"/>
        </w:r>
        <w:r w:rsidR="00EE3370">
          <w:rPr>
            <w:noProof/>
            <w:webHidden/>
          </w:rPr>
          <w:t>123</w:t>
        </w:r>
        <w:r w:rsidR="00F0021A">
          <w:rPr>
            <w:noProof/>
            <w:webHidden/>
          </w:rPr>
          <w:fldChar w:fldCharType="end"/>
        </w:r>
      </w:hyperlink>
    </w:p>
    <w:p w14:paraId="6CDC9D15" w14:textId="4EF33BD0" w:rsidR="00F0021A" w:rsidRDefault="003B77A3" w:rsidP="00557732">
      <w:pPr>
        <w:pStyle w:val="TOC2"/>
        <w:rPr>
          <w:rFonts w:asciiTheme="minorHAnsi" w:eastAsiaTheme="minorEastAsia" w:hAnsiTheme="minorHAnsi"/>
          <w:color w:val="auto"/>
          <w:kern w:val="2"/>
          <w:sz w:val="24"/>
          <w:szCs w:val="24"/>
          <w:lang w:eastAsia="en-AU"/>
          <w14:ligatures w14:val="standardContextual"/>
        </w:rPr>
      </w:pPr>
      <w:hyperlink w:anchor="_Toc170396243" w:history="1">
        <w:r w:rsidR="00F0021A" w:rsidRPr="00A07FF2">
          <w:rPr>
            <w:rStyle w:val="Hyperlink"/>
          </w:rPr>
          <w:t>7.1</w:t>
        </w:r>
        <w:r w:rsidR="00F0021A">
          <w:rPr>
            <w:rFonts w:asciiTheme="minorHAnsi" w:eastAsiaTheme="minorEastAsia" w:hAnsiTheme="minorHAnsi"/>
            <w:color w:val="auto"/>
            <w:kern w:val="2"/>
            <w:sz w:val="24"/>
            <w:szCs w:val="24"/>
            <w:lang w:eastAsia="en-AU"/>
            <w14:ligatures w14:val="standardContextual"/>
          </w:rPr>
          <w:tab/>
        </w:r>
        <w:r w:rsidR="00F0021A" w:rsidRPr="00A07FF2">
          <w:rPr>
            <w:rStyle w:val="Hyperlink"/>
          </w:rPr>
          <w:t xml:space="preserve">Factors supporting an increase in the level of the remuneration </w:t>
        </w:r>
        <w:r w:rsidR="006639EA">
          <w:rPr>
            <w:rStyle w:val="Hyperlink"/>
          </w:rPr>
          <w:br/>
        </w:r>
        <w:r w:rsidR="00F0021A" w:rsidRPr="00A07FF2">
          <w:rPr>
            <w:rStyle w:val="Hyperlink"/>
          </w:rPr>
          <w:t>bands</w:t>
        </w:r>
        <w:r w:rsidR="00F0021A">
          <w:rPr>
            <w:webHidden/>
          </w:rPr>
          <w:tab/>
        </w:r>
        <w:r w:rsidR="00F0021A">
          <w:rPr>
            <w:webHidden/>
          </w:rPr>
          <w:fldChar w:fldCharType="begin"/>
        </w:r>
        <w:r w:rsidR="00F0021A">
          <w:rPr>
            <w:webHidden/>
          </w:rPr>
          <w:instrText xml:space="preserve"> PAGEREF _Toc170396243 \h </w:instrText>
        </w:r>
        <w:r w:rsidR="00F0021A">
          <w:rPr>
            <w:webHidden/>
          </w:rPr>
        </w:r>
        <w:r w:rsidR="00F0021A">
          <w:rPr>
            <w:webHidden/>
          </w:rPr>
          <w:fldChar w:fldCharType="separate"/>
        </w:r>
        <w:r w:rsidR="00EE3370">
          <w:rPr>
            <w:webHidden/>
          </w:rPr>
          <w:t>124</w:t>
        </w:r>
        <w:r w:rsidR="00F0021A">
          <w:rPr>
            <w:webHidden/>
          </w:rPr>
          <w:fldChar w:fldCharType="end"/>
        </w:r>
      </w:hyperlink>
    </w:p>
    <w:p w14:paraId="66831D98" w14:textId="181B3CB0" w:rsidR="00F0021A" w:rsidRDefault="003B77A3" w:rsidP="00557732">
      <w:pPr>
        <w:pStyle w:val="TOC2"/>
        <w:rPr>
          <w:rFonts w:asciiTheme="minorHAnsi" w:eastAsiaTheme="minorEastAsia" w:hAnsiTheme="minorHAnsi"/>
          <w:color w:val="auto"/>
          <w:kern w:val="2"/>
          <w:sz w:val="24"/>
          <w:szCs w:val="24"/>
          <w:lang w:eastAsia="en-AU"/>
          <w14:ligatures w14:val="standardContextual"/>
        </w:rPr>
      </w:pPr>
      <w:hyperlink w:anchor="_Toc170396244" w:history="1">
        <w:r w:rsidR="00F0021A" w:rsidRPr="00A07FF2">
          <w:rPr>
            <w:rStyle w:val="Hyperlink"/>
          </w:rPr>
          <w:t>7.2</w:t>
        </w:r>
        <w:r w:rsidR="00F0021A">
          <w:rPr>
            <w:rFonts w:asciiTheme="minorHAnsi" w:eastAsiaTheme="minorEastAsia" w:hAnsiTheme="minorHAnsi"/>
            <w:color w:val="auto"/>
            <w:kern w:val="2"/>
            <w:sz w:val="24"/>
            <w:szCs w:val="24"/>
            <w:lang w:eastAsia="en-AU"/>
            <w14:ligatures w14:val="standardContextual"/>
          </w:rPr>
          <w:tab/>
        </w:r>
        <w:r w:rsidR="00F0021A" w:rsidRPr="00A07FF2">
          <w:rPr>
            <w:rStyle w:val="Hyperlink"/>
          </w:rPr>
          <w:t>Factors suggesting restraint</w:t>
        </w:r>
        <w:r w:rsidR="00F0021A">
          <w:rPr>
            <w:webHidden/>
          </w:rPr>
          <w:tab/>
        </w:r>
        <w:r w:rsidR="00F0021A">
          <w:rPr>
            <w:webHidden/>
          </w:rPr>
          <w:fldChar w:fldCharType="begin"/>
        </w:r>
        <w:r w:rsidR="00F0021A">
          <w:rPr>
            <w:webHidden/>
          </w:rPr>
          <w:instrText xml:space="preserve"> PAGEREF _Toc170396244 \h </w:instrText>
        </w:r>
        <w:r w:rsidR="00F0021A">
          <w:rPr>
            <w:webHidden/>
          </w:rPr>
        </w:r>
        <w:r w:rsidR="00F0021A">
          <w:rPr>
            <w:webHidden/>
          </w:rPr>
          <w:fldChar w:fldCharType="separate"/>
        </w:r>
        <w:r w:rsidR="00EE3370">
          <w:rPr>
            <w:webHidden/>
          </w:rPr>
          <w:t>127</w:t>
        </w:r>
        <w:r w:rsidR="00F0021A">
          <w:rPr>
            <w:webHidden/>
          </w:rPr>
          <w:fldChar w:fldCharType="end"/>
        </w:r>
      </w:hyperlink>
    </w:p>
    <w:p w14:paraId="4F1350DF" w14:textId="11D756CB" w:rsidR="00F0021A" w:rsidRDefault="003B77A3" w:rsidP="00557732">
      <w:pPr>
        <w:pStyle w:val="TOC2"/>
        <w:rPr>
          <w:rFonts w:asciiTheme="minorHAnsi" w:eastAsiaTheme="minorEastAsia" w:hAnsiTheme="minorHAnsi"/>
          <w:color w:val="auto"/>
          <w:kern w:val="2"/>
          <w:sz w:val="24"/>
          <w:szCs w:val="24"/>
          <w:lang w:eastAsia="en-AU"/>
          <w14:ligatures w14:val="standardContextual"/>
        </w:rPr>
      </w:pPr>
      <w:hyperlink w:anchor="_Toc170396245" w:history="1">
        <w:r w:rsidR="00F0021A" w:rsidRPr="00A07FF2">
          <w:rPr>
            <w:rStyle w:val="Hyperlink"/>
          </w:rPr>
          <w:t>7.3</w:t>
        </w:r>
        <w:r w:rsidR="00F0021A">
          <w:rPr>
            <w:rFonts w:asciiTheme="minorHAnsi" w:eastAsiaTheme="minorEastAsia" w:hAnsiTheme="minorHAnsi"/>
            <w:color w:val="auto"/>
            <w:kern w:val="2"/>
            <w:sz w:val="24"/>
            <w:szCs w:val="24"/>
            <w:lang w:eastAsia="en-AU"/>
            <w14:ligatures w14:val="standardContextual"/>
          </w:rPr>
          <w:tab/>
        </w:r>
        <w:r w:rsidR="00F0021A" w:rsidRPr="00A07FF2">
          <w:rPr>
            <w:rStyle w:val="Hyperlink"/>
          </w:rPr>
          <w:t>The Tribunal’s decision</w:t>
        </w:r>
        <w:r w:rsidR="00F0021A">
          <w:rPr>
            <w:webHidden/>
          </w:rPr>
          <w:tab/>
        </w:r>
        <w:r w:rsidR="00F0021A">
          <w:rPr>
            <w:webHidden/>
          </w:rPr>
          <w:fldChar w:fldCharType="begin"/>
        </w:r>
        <w:r w:rsidR="00F0021A">
          <w:rPr>
            <w:webHidden/>
          </w:rPr>
          <w:instrText xml:space="preserve"> PAGEREF _Toc170396245 \h </w:instrText>
        </w:r>
        <w:r w:rsidR="00F0021A">
          <w:rPr>
            <w:webHidden/>
          </w:rPr>
        </w:r>
        <w:r w:rsidR="00F0021A">
          <w:rPr>
            <w:webHidden/>
          </w:rPr>
          <w:fldChar w:fldCharType="separate"/>
        </w:r>
        <w:r w:rsidR="00EE3370">
          <w:rPr>
            <w:webHidden/>
          </w:rPr>
          <w:t>129</w:t>
        </w:r>
        <w:r w:rsidR="00F0021A">
          <w:rPr>
            <w:webHidden/>
          </w:rPr>
          <w:fldChar w:fldCharType="end"/>
        </w:r>
      </w:hyperlink>
    </w:p>
    <w:p w14:paraId="33125022" w14:textId="0ABE5948" w:rsidR="00F0021A" w:rsidRDefault="003B77A3" w:rsidP="00557732">
      <w:pPr>
        <w:pStyle w:val="TOC2"/>
        <w:rPr>
          <w:rFonts w:asciiTheme="minorHAnsi" w:eastAsiaTheme="minorEastAsia" w:hAnsiTheme="minorHAnsi"/>
          <w:color w:val="auto"/>
          <w:kern w:val="2"/>
          <w:sz w:val="24"/>
          <w:szCs w:val="24"/>
          <w:lang w:eastAsia="en-AU"/>
          <w14:ligatures w14:val="standardContextual"/>
        </w:rPr>
      </w:pPr>
      <w:hyperlink w:anchor="_Toc170396246" w:history="1">
        <w:r w:rsidR="00F0021A" w:rsidRPr="00A07FF2">
          <w:rPr>
            <w:rStyle w:val="Hyperlink"/>
          </w:rPr>
          <w:t>7.4</w:t>
        </w:r>
        <w:r w:rsidR="00F0021A">
          <w:rPr>
            <w:rFonts w:asciiTheme="minorHAnsi" w:eastAsiaTheme="minorEastAsia" w:hAnsiTheme="minorHAnsi"/>
            <w:color w:val="auto"/>
            <w:kern w:val="2"/>
            <w:sz w:val="24"/>
            <w:szCs w:val="24"/>
            <w:lang w:eastAsia="en-AU"/>
            <w14:ligatures w14:val="standardContextual"/>
          </w:rPr>
          <w:tab/>
        </w:r>
        <w:r w:rsidR="00F0021A" w:rsidRPr="00A07FF2">
          <w:rPr>
            <w:rStyle w:val="Hyperlink"/>
          </w:rPr>
          <w:t>Other factors</w:t>
        </w:r>
        <w:r w:rsidR="00F0021A">
          <w:rPr>
            <w:webHidden/>
          </w:rPr>
          <w:tab/>
        </w:r>
        <w:r w:rsidR="00F0021A">
          <w:rPr>
            <w:webHidden/>
          </w:rPr>
          <w:fldChar w:fldCharType="begin"/>
        </w:r>
        <w:r w:rsidR="00F0021A">
          <w:rPr>
            <w:webHidden/>
          </w:rPr>
          <w:instrText xml:space="preserve"> PAGEREF _Toc170396246 \h </w:instrText>
        </w:r>
        <w:r w:rsidR="00F0021A">
          <w:rPr>
            <w:webHidden/>
          </w:rPr>
        </w:r>
        <w:r w:rsidR="00F0021A">
          <w:rPr>
            <w:webHidden/>
          </w:rPr>
          <w:fldChar w:fldCharType="separate"/>
        </w:r>
        <w:r w:rsidR="00EE3370">
          <w:rPr>
            <w:webHidden/>
          </w:rPr>
          <w:t>131</w:t>
        </w:r>
        <w:r w:rsidR="00F0021A">
          <w:rPr>
            <w:webHidden/>
          </w:rPr>
          <w:fldChar w:fldCharType="end"/>
        </w:r>
      </w:hyperlink>
    </w:p>
    <w:p w14:paraId="6098E903" w14:textId="4F726ADB" w:rsidR="00F0021A" w:rsidRDefault="003B77A3">
      <w:pPr>
        <w:pStyle w:val="TOC1"/>
        <w:rPr>
          <w:rFonts w:asciiTheme="minorHAnsi" w:eastAsiaTheme="minorEastAsia" w:hAnsiTheme="minorHAnsi"/>
          <w:b w:val="0"/>
          <w:bCs w:val="0"/>
          <w:noProof/>
          <w:kern w:val="2"/>
          <w:sz w:val="24"/>
          <w:szCs w:val="24"/>
          <w:lang w:eastAsia="en-AU"/>
          <w14:ligatures w14:val="standardContextual"/>
        </w:rPr>
      </w:pPr>
      <w:hyperlink w:anchor="_Toc170396247" w:history="1">
        <w:r w:rsidR="00F0021A" w:rsidRPr="00A07FF2">
          <w:rPr>
            <w:rStyle w:val="Hyperlink"/>
            <w:noProof/>
          </w:rPr>
          <w:t>8</w:t>
        </w:r>
        <w:r w:rsidR="00F0021A">
          <w:rPr>
            <w:rFonts w:asciiTheme="minorHAnsi" w:eastAsiaTheme="minorEastAsia" w:hAnsiTheme="minorHAnsi"/>
            <w:b w:val="0"/>
            <w:bCs w:val="0"/>
            <w:noProof/>
            <w:kern w:val="2"/>
            <w:sz w:val="24"/>
            <w:szCs w:val="24"/>
            <w:lang w:eastAsia="en-AU"/>
            <w14:ligatures w14:val="standardContextual"/>
          </w:rPr>
          <w:tab/>
        </w:r>
        <w:r w:rsidR="00F0021A" w:rsidRPr="00A07FF2">
          <w:rPr>
            <w:rStyle w:val="Hyperlink"/>
            <w:noProof/>
          </w:rPr>
          <w:t xml:space="preserve">VPS Executive Remuneration Guidelines </w:t>
        </w:r>
        <w:r w:rsidR="00F0021A">
          <w:rPr>
            <w:noProof/>
            <w:webHidden/>
          </w:rPr>
          <w:tab/>
        </w:r>
        <w:r w:rsidR="00F0021A">
          <w:rPr>
            <w:noProof/>
            <w:webHidden/>
          </w:rPr>
          <w:fldChar w:fldCharType="begin"/>
        </w:r>
        <w:r w:rsidR="00F0021A">
          <w:rPr>
            <w:noProof/>
            <w:webHidden/>
          </w:rPr>
          <w:instrText xml:space="preserve"> PAGEREF _Toc170396247 \h </w:instrText>
        </w:r>
        <w:r w:rsidR="00F0021A">
          <w:rPr>
            <w:noProof/>
            <w:webHidden/>
          </w:rPr>
        </w:r>
        <w:r w:rsidR="00F0021A">
          <w:rPr>
            <w:noProof/>
            <w:webHidden/>
          </w:rPr>
          <w:fldChar w:fldCharType="separate"/>
        </w:r>
        <w:r w:rsidR="00EE3370">
          <w:rPr>
            <w:noProof/>
            <w:webHidden/>
          </w:rPr>
          <w:t>133</w:t>
        </w:r>
        <w:r w:rsidR="00F0021A">
          <w:rPr>
            <w:noProof/>
            <w:webHidden/>
          </w:rPr>
          <w:fldChar w:fldCharType="end"/>
        </w:r>
      </w:hyperlink>
    </w:p>
    <w:p w14:paraId="65300EED" w14:textId="33123DDF" w:rsidR="00F0021A" w:rsidRDefault="003B77A3">
      <w:pPr>
        <w:pStyle w:val="TOC1"/>
        <w:rPr>
          <w:rFonts w:asciiTheme="minorHAnsi" w:eastAsiaTheme="minorEastAsia" w:hAnsiTheme="minorHAnsi"/>
          <w:b w:val="0"/>
          <w:bCs w:val="0"/>
          <w:noProof/>
          <w:kern w:val="2"/>
          <w:sz w:val="24"/>
          <w:szCs w:val="24"/>
          <w:lang w:eastAsia="en-AU"/>
          <w14:ligatures w14:val="standardContextual"/>
        </w:rPr>
      </w:pPr>
      <w:hyperlink w:anchor="_Toc170396248" w:history="1">
        <w:r w:rsidR="00F0021A" w:rsidRPr="00A07FF2">
          <w:rPr>
            <w:rStyle w:val="Hyperlink"/>
            <w:rFonts w:cs="Arial"/>
            <w:noProof/>
          </w:rPr>
          <w:t>Appendix A – summary of executive questionnaire responses</w:t>
        </w:r>
        <w:r w:rsidR="00F0021A" w:rsidRPr="00A07FF2">
          <w:rPr>
            <w:rStyle w:val="Hyperlink"/>
            <w:rFonts w:eastAsia="Calibri"/>
            <w:noProof/>
          </w:rPr>
          <w:t xml:space="preserve"> </w:t>
        </w:r>
        <w:r w:rsidR="00F0021A">
          <w:rPr>
            <w:noProof/>
            <w:webHidden/>
          </w:rPr>
          <w:tab/>
        </w:r>
        <w:r w:rsidR="00F0021A">
          <w:rPr>
            <w:noProof/>
            <w:webHidden/>
          </w:rPr>
          <w:fldChar w:fldCharType="begin"/>
        </w:r>
        <w:r w:rsidR="00F0021A">
          <w:rPr>
            <w:noProof/>
            <w:webHidden/>
          </w:rPr>
          <w:instrText xml:space="preserve"> PAGEREF _Toc170396248 \h </w:instrText>
        </w:r>
        <w:r w:rsidR="00F0021A">
          <w:rPr>
            <w:noProof/>
            <w:webHidden/>
          </w:rPr>
        </w:r>
        <w:r w:rsidR="00F0021A">
          <w:rPr>
            <w:noProof/>
            <w:webHidden/>
          </w:rPr>
          <w:fldChar w:fldCharType="separate"/>
        </w:r>
        <w:r w:rsidR="00EE3370">
          <w:rPr>
            <w:noProof/>
            <w:webHidden/>
          </w:rPr>
          <w:t>135</w:t>
        </w:r>
        <w:r w:rsidR="00F0021A">
          <w:rPr>
            <w:noProof/>
            <w:webHidden/>
          </w:rPr>
          <w:fldChar w:fldCharType="end"/>
        </w:r>
      </w:hyperlink>
    </w:p>
    <w:p w14:paraId="7FB97715" w14:textId="6B7DA0BA" w:rsidR="00F0021A" w:rsidRDefault="003B77A3" w:rsidP="00557732">
      <w:pPr>
        <w:pStyle w:val="TOC2"/>
        <w:rPr>
          <w:rFonts w:asciiTheme="minorHAnsi" w:eastAsiaTheme="minorEastAsia" w:hAnsiTheme="minorHAnsi"/>
          <w:color w:val="auto"/>
          <w:kern w:val="2"/>
          <w:sz w:val="24"/>
          <w:szCs w:val="24"/>
          <w:lang w:eastAsia="en-AU"/>
          <w14:ligatures w14:val="standardContextual"/>
        </w:rPr>
      </w:pPr>
      <w:hyperlink w:anchor="_Toc170396249" w:history="1">
        <w:r w:rsidR="00F0021A" w:rsidRPr="00A07FF2">
          <w:rPr>
            <w:rStyle w:val="Hyperlink"/>
          </w:rPr>
          <w:t>Questionnaire responses</w:t>
        </w:r>
        <w:r w:rsidR="00F0021A">
          <w:rPr>
            <w:webHidden/>
          </w:rPr>
          <w:tab/>
        </w:r>
        <w:r w:rsidR="00F0021A">
          <w:rPr>
            <w:webHidden/>
          </w:rPr>
          <w:fldChar w:fldCharType="begin"/>
        </w:r>
        <w:r w:rsidR="00F0021A">
          <w:rPr>
            <w:webHidden/>
          </w:rPr>
          <w:instrText xml:space="preserve"> PAGEREF _Toc170396249 \h </w:instrText>
        </w:r>
        <w:r w:rsidR="00F0021A">
          <w:rPr>
            <w:webHidden/>
          </w:rPr>
        </w:r>
        <w:r w:rsidR="00F0021A">
          <w:rPr>
            <w:webHidden/>
          </w:rPr>
          <w:fldChar w:fldCharType="separate"/>
        </w:r>
        <w:r w:rsidR="00EE3370">
          <w:rPr>
            <w:webHidden/>
          </w:rPr>
          <w:t>136</w:t>
        </w:r>
        <w:r w:rsidR="00F0021A">
          <w:rPr>
            <w:webHidden/>
          </w:rPr>
          <w:fldChar w:fldCharType="end"/>
        </w:r>
      </w:hyperlink>
    </w:p>
    <w:p w14:paraId="091A4A6E" w14:textId="0EF15FE7" w:rsidR="00F0021A" w:rsidRDefault="003B77A3" w:rsidP="00557732">
      <w:pPr>
        <w:pStyle w:val="TOC2"/>
        <w:rPr>
          <w:rFonts w:asciiTheme="minorHAnsi" w:eastAsiaTheme="minorEastAsia" w:hAnsiTheme="minorHAnsi"/>
          <w:color w:val="auto"/>
          <w:kern w:val="2"/>
          <w:sz w:val="24"/>
          <w:szCs w:val="24"/>
          <w:lang w:eastAsia="en-AU"/>
          <w14:ligatures w14:val="standardContextual"/>
        </w:rPr>
      </w:pPr>
      <w:hyperlink w:anchor="_Toc170396250" w:history="1">
        <w:r w:rsidR="00F0021A" w:rsidRPr="00A07FF2">
          <w:rPr>
            <w:rStyle w:val="Hyperlink"/>
          </w:rPr>
          <w:t>Segment analysis</w:t>
        </w:r>
        <w:r w:rsidR="00F0021A">
          <w:rPr>
            <w:webHidden/>
          </w:rPr>
          <w:tab/>
        </w:r>
        <w:r w:rsidR="00F0021A">
          <w:rPr>
            <w:webHidden/>
          </w:rPr>
          <w:fldChar w:fldCharType="begin"/>
        </w:r>
        <w:r w:rsidR="00F0021A">
          <w:rPr>
            <w:webHidden/>
          </w:rPr>
          <w:instrText xml:space="preserve"> PAGEREF _Toc170396250 \h </w:instrText>
        </w:r>
        <w:r w:rsidR="00F0021A">
          <w:rPr>
            <w:webHidden/>
          </w:rPr>
        </w:r>
        <w:r w:rsidR="00F0021A">
          <w:rPr>
            <w:webHidden/>
          </w:rPr>
          <w:fldChar w:fldCharType="separate"/>
        </w:r>
        <w:r w:rsidR="00EE3370">
          <w:rPr>
            <w:webHidden/>
          </w:rPr>
          <w:t>151</w:t>
        </w:r>
        <w:r w:rsidR="00F0021A">
          <w:rPr>
            <w:webHidden/>
          </w:rPr>
          <w:fldChar w:fldCharType="end"/>
        </w:r>
      </w:hyperlink>
    </w:p>
    <w:p w14:paraId="50A623B8" w14:textId="53FE3593" w:rsidR="00F0021A" w:rsidRDefault="003B77A3">
      <w:pPr>
        <w:pStyle w:val="TOC1"/>
        <w:rPr>
          <w:rFonts w:asciiTheme="minorHAnsi" w:eastAsiaTheme="minorEastAsia" w:hAnsiTheme="minorHAnsi"/>
          <w:b w:val="0"/>
          <w:bCs w:val="0"/>
          <w:noProof/>
          <w:kern w:val="2"/>
          <w:sz w:val="24"/>
          <w:szCs w:val="24"/>
          <w:lang w:eastAsia="en-AU"/>
          <w14:ligatures w14:val="standardContextual"/>
        </w:rPr>
      </w:pPr>
      <w:hyperlink w:anchor="_Toc170396251" w:history="1">
        <w:r w:rsidR="00F0021A" w:rsidRPr="00A07FF2">
          <w:rPr>
            <w:rStyle w:val="Hyperlink"/>
            <w:noProof/>
          </w:rPr>
          <w:t>References</w:t>
        </w:r>
        <w:r w:rsidR="00F0021A" w:rsidRPr="00A07FF2">
          <w:rPr>
            <w:rStyle w:val="Hyperlink"/>
            <w:rFonts w:eastAsia="Calibri"/>
            <w:noProof/>
          </w:rPr>
          <w:t xml:space="preserve"> </w:t>
        </w:r>
        <w:r w:rsidR="00F0021A">
          <w:rPr>
            <w:noProof/>
            <w:webHidden/>
          </w:rPr>
          <w:tab/>
        </w:r>
        <w:r w:rsidR="00F0021A">
          <w:rPr>
            <w:noProof/>
            <w:webHidden/>
          </w:rPr>
          <w:fldChar w:fldCharType="begin"/>
        </w:r>
        <w:r w:rsidR="00F0021A">
          <w:rPr>
            <w:noProof/>
            <w:webHidden/>
          </w:rPr>
          <w:instrText xml:space="preserve"> PAGEREF _Toc170396251 \h </w:instrText>
        </w:r>
        <w:r w:rsidR="00F0021A">
          <w:rPr>
            <w:noProof/>
            <w:webHidden/>
          </w:rPr>
        </w:r>
        <w:r w:rsidR="00F0021A">
          <w:rPr>
            <w:noProof/>
            <w:webHidden/>
          </w:rPr>
          <w:fldChar w:fldCharType="separate"/>
        </w:r>
        <w:r w:rsidR="00EE3370">
          <w:rPr>
            <w:noProof/>
            <w:webHidden/>
          </w:rPr>
          <w:t>156</w:t>
        </w:r>
        <w:r w:rsidR="00F0021A">
          <w:rPr>
            <w:noProof/>
            <w:webHidden/>
          </w:rPr>
          <w:fldChar w:fldCharType="end"/>
        </w:r>
      </w:hyperlink>
    </w:p>
    <w:p w14:paraId="72216D51" w14:textId="10B527CF" w:rsidR="0055528B" w:rsidRDefault="006D68F3" w:rsidP="003040F1">
      <w:pPr>
        <w:spacing w:before="120" w:after="120" w:line="60" w:lineRule="atLeast"/>
        <w:contextualSpacing/>
      </w:pPr>
      <w:r>
        <w:fldChar w:fldCharType="end"/>
      </w:r>
    </w:p>
    <w:p w14:paraId="6770E8D4" w14:textId="77777777" w:rsidR="0055528B" w:rsidRPr="0055528B" w:rsidRDefault="0055528B" w:rsidP="003A0059"/>
    <w:p w14:paraId="4D777DB0" w14:textId="695C94E3" w:rsidR="00AC2ECD" w:rsidRDefault="00AC2ECD" w:rsidP="004C290F">
      <w:pPr>
        <w:pStyle w:val="Style4"/>
        <w:sectPr w:rsidR="00AC2ECD" w:rsidSect="000401F2">
          <w:headerReference w:type="even" r:id="rId26"/>
          <w:headerReference w:type="default" r:id="rId27"/>
          <w:footerReference w:type="even" r:id="rId28"/>
          <w:footerReference w:type="default" r:id="rId29"/>
          <w:headerReference w:type="first" r:id="rId30"/>
          <w:footerReference w:type="first" r:id="rId31"/>
          <w:pgSz w:w="11906" w:h="16838"/>
          <w:pgMar w:top="1701" w:right="1701" w:bottom="1559" w:left="1701" w:header="708" w:footer="708" w:gutter="0"/>
          <w:pgNumType w:start="1"/>
          <w:cols w:space="708"/>
          <w:titlePg/>
          <w:docGrid w:linePitch="360"/>
        </w:sectPr>
      </w:pPr>
    </w:p>
    <w:p w14:paraId="07D17088" w14:textId="1D524E0D" w:rsidR="001C4BBD" w:rsidRDefault="00F25E64" w:rsidP="003F1272">
      <w:pPr>
        <w:pStyle w:val="Style4"/>
        <w:sectPr w:rsidR="001C4BBD" w:rsidSect="00BF7D4E">
          <w:headerReference w:type="even" r:id="rId32"/>
          <w:headerReference w:type="default" r:id="rId33"/>
          <w:footerReference w:type="even" r:id="rId34"/>
          <w:footerReference w:type="default" r:id="rId35"/>
          <w:headerReference w:type="first" r:id="rId36"/>
          <w:footerReference w:type="first" r:id="rId37"/>
          <w:pgSz w:w="11906" w:h="16838"/>
          <w:pgMar w:top="1701" w:right="1701" w:bottom="1559" w:left="1701" w:header="708" w:footer="708" w:gutter="0"/>
          <w:cols w:space="708"/>
          <w:titlePg/>
          <w:docGrid w:linePitch="360"/>
        </w:sectPr>
      </w:pPr>
      <w:bookmarkStart w:id="13" w:name="_Toc170396203"/>
      <w:r w:rsidRPr="003A0059">
        <w:rPr>
          <w:rStyle w:val="01ChapterheadingChar"/>
        </w:rPr>
        <w:lastRenderedPageBreak/>
        <w:t xml:space="preserve">Abbreviations </w:t>
      </w:r>
      <w:r w:rsidR="0040269D" w:rsidRPr="003A0059">
        <w:rPr>
          <w:rStyle w:val="01ChapterheadingChar"/>
        </w:rPr>
        <w:t>and glossary</w:t>
      </w:r>
      <w:bookmarkEnd w:id="13"/>
      <w:r w:rsidR="003F1272" w:rsidRPr="003A0059">
        <w:rPr>
          <w:rStyle w:val="01ChapterheadingChar"/>
        </w:rPr>
        <w:br/>
      </w:r>
      <w:r w:rsidR="003F1272" w:rsidRPr="00C02C39">
        <w:drawing>
          <wp:inline distT="0" distB="0" distL="0" distR="0" wp14:anchorId="5534D63F" wp14:editId="670C043A">
            <wp:extent cx="2222500" cy="253365"/>
            <wp:effectExtent l="0" t="0" r="6350" b="0"/>
            <wp:docPr id="629869892" name="Picture 629869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23">
                      <a:extLst>
                        <a:ext uri="{28A0092B-C50C-407E-A947-70E740481C1C}">
                          <a14:useLocalDpi xmlns:a14="http://schemas.microsoft.com/office/drawing/2010/main" val="0"/>
                        </a:ext>
                      </a:extLst>
                    </a:blip>
                    <a:stretch>
                      <a:fillRect/>
                    </a:stretch>
                  </pic:blipFill>
                  <pic:spPr>
                    <a:xfrm>
                      <a:off x="0" y="0"/>
                      <a:ext cx="2222500" cy="253365"/>
                    </a:xfrm>
                    <a:prstGeom prst="rect">
                      <a:avLst/>
                    </a:prstGeom>
                  </pic:spPr>
                </pic:pic>
              </a:graphicData>
            </a:graphic>
          </wp:inline>
        </w:drawing>
      </w:r>
    </w:p>
    <w:tbl>
      <w:tblPr>
        <w:tblStyle w:val="Glossary"/>
        <w:tblW w:w="8647" w:type="dxa"/>
        <w:tblLayout w:type="fixed"/>
        <w:tblLook w:val="05A0" w:firstRow="1" w:lastRow="0" w:firstColumn="1" w:lastColumn="1" w:noHBand="0" w:noVBand="1"/>
      </w:tblPr>
      <w:tblGrid>
        <w:gridCol w:w="2977"/>
        <w:gridCol w:w="5670"/>
      </w:tblGrid>
      <w:tr w:rsidR="001C4BBD" w:rsidRPr="00DE5707" w14:paraId="1C7514BF" w14:textId="77777777" w:rsidTr="00215282">
        <w:trPr>
          <w:cnfStyle w:val="100000000000" w:firstRow="1" w:lastRow="0" w:firstColumn="0" w:lastColumn="0" w:oddVBand="0" w:evenVBand="0" w:oddHBand="0" w:evenHBand="0" w:firstRowFirstColumn="0" w:firstRowLastColumn="0" w:lastRowFirstColumn="0" w:lastRowLastColumn="0"/>
          <w:trHeight w:val="408"/>
          <w:tblHeader/>
        </w:trPr>
        <w:tc>
          <w:tcPr>
            <w:tcW w:w="2977" w:type="dxa"/>
            <w:vAlign w:val="center"/>
          </w:tcPr>
          <w:p w14:paraId="08D6C8B5" w14:textId="77777777" w:rsidR="001C4BBD" w:rsidRPr="00DE5707" w:rsidRDefault="001C4BBD" w:rsidP="00215282">
            <w:pPr>
              <w:pStyle w:val="10Tabletext"/>
              <w:rPr>
                <w:color w:val="F8F8F8" w:themeColor="background2"/>
              </w:rPr>
            </w:pPr>
            <w:r w:rsidRPr="00DE5707">
              <w:rPr>
                <w:color w:val="F8F8F8" w:themeColor="background2"/>
              </w:rPr>
              <w:t xml:space="preserve">Term or abbreviation </w:t>
            </w:r>
          </w:p>
        </w:tc>
        <w:tc>
          <w:tcPr>
            <w:tcW w:w="5670" w:type="dxa"/>
            <w:vAlign w:val="center"/>
          </w:tcPr>
          <w:p w14:paraId="32DE7D2E" w14:textId="77777777" w:rsidR="001C4BBD" w:rsidRPr="00DE5707" w:rsidRDefault="001C4BBD" w:rsidP="00215282">
            <w:pPr>
              <w:pStyle w:val="10Tabletext"/>
              <w:rPr>
                <w:rFonts w:eastAsia="Arial Narrow"/>
                <w:color w:val="F8F8F8" w:themeColor="background2"/>
              </w:rPr>
            </w:pPr>
            <w:r w:rsidRPr="00DE5707">
              <w:rPr>
                <w:color w:val="F8F8F8" w:themeColor="background2"/>
              </w:rPr>
              <w:t xml:space="preserve">Definition </w:t>
            </w:r>
          </w:p>
        </w:tc>
      </w:tr>
      <w:tr w:rsidR="001C4BBD" w:rsidRPr="009E4C4A" w14:paraId="2DAE9B4A" w14:textId="77777777" w:rsidTr="00215282">
        <w:trPr>
          <w:trHeight w:val="408"/>
        </w:trPr>
        <w:tc>
          <w:tcPr>
            <w:tcW w:w="2977" w:type="dxa"/>
          </w:tcPr>
          <w:p w14:paraId="19E54339" w14:textId="2B375E5B" w:rsidR="001C4BBD" w:rsidRPr="00B81B48" w:rsidRDefault="006C6978" w:rsidP="00215282">
            <w:pPr>
              <w:pStyle w:val="10Tabletext"/>
            </w:pPr>
            <w:r w:rsidRPr="006C6978">
              <w:t>2020 VPS Determination</w:t>
            </w:r>
          </w:p>
        </w:tc>
        <w:tc>
          <w:tcPr>
            <w:tcW w:w="5670" w:type="dxa"/>
          </w:tcPr>
          <w:p w14:paraId="0B50969C" w14:textId="7F997793" w:rsidR="001C4BBD" w:rsidRPr="004D214F" w:rsidRDefault="004D214F" w:rsidP="00215282">
            <w:pPr>
              <w:pStyle w:val="10Tabletext"/>
              <w:rPr>
                <w:i/>
              </w:rPr>
            </w:pPr>
            <w:r w:rsidRPr="004D214F">
              <w:rPr>
                <w:i/>
              </w:rPr>
              <w:t>Remuneration bands for executives employed in public service bodies (Victoria) Determination No. 01/2020</w:t>
            </w:r>
          </w:p>
        </w:tc>
      </w:tr>
      <w:tr w:rsidR="0084338E" w:rsidRPr="009E4C4A" w14:paraId="31402565" w14:textId="77777777" w:rsidTr="00215282">
        <w:trPr>
          <w:trHeight w:val="408"/>
        </w:trPr>
        <w:tc>
          <w:tcPr>
            <w:tcW w:w="2977" w:type="dxa"/>
          </w:tcPr>
          <w:p w14:paraId="0E785043" w14:textId="62C6FAFB" w:rsidR="0084338E" w:rsidRPr="009E7903" w:rsidRDefault="0084338E" w:rsidP="0084338E">
            <w:pPr>
              <w:pStyle w:val="10Tabletext"/>
            </w:pPr>
            <w:r w:rsidRPr="006C6978">
              <w:t>202</w:t>
            </w:r>
            <w:r>
              <w:t>4</w:t>
            </w:r>
            <w:r w:rsidRPr="006C6978">
              <w:t xml:space="preserve"> VPS Determination</w:t>
            </w:r>
          </w:p>
        </w:tc>
        <w:tc>
          <w:tcPr>
            <w:tcW w:w="5670" w:type="dxa"/>
          </w:tcPr>
          <w:p w14:paraId="38ABC8B9" w14:textId="7B211394" w:rsidR="0084338E" w:rsidRPr="00483675" w:rsidRDefault="0084338E" w:rsidP="0084338E">
            <w:pPr>
              <w:pStyle w:val="10Tabletext"/>
              <w:rPr>
                <w:i/>
              </w:rPr>
            </w:pPr>
            <w:r w:rsidRPr="004D214F">
              <w:rPr>
                <w:i/>
              </w:rPr>
              <w:t>Remuneration bands for executives employed in public service bodies (Victoria) Determination No. 01/202</w:t>
            </w:r>
            <w:r>
              <w:rPr>
                <w:i/>
              </w:rPr>
              <w:t>4</w:t>
            </w:r>
          </w:p>
        </w:tc>
      </w:tr>
      <w:tr w:rsidR="000A1EF7" w:rsidRPr="009E4C4A" w14:paraId="32AE2AC6" w14:textId="77777777">
        <w:trPr>
          <w:trHeight w:val="408"/>
        </w:trPr>
        <w:tc>
          <w:tcPr>
            <w:tcW w:w="2977" w:type="dxa"/>
          </w:tcPr>
          <w:p w14:paraId="02E4B9A6" w14:textId="77777777" w:rsidR="000A1EF7" w:rsidRPr="00B81B48" w:rsidRDefault="000A1EF7">
            <w:pPr>
              <w:pStyle w:val="10Tabletext"/>
            </w:pPr>
            <w:r>
              <w:t>2024-25</w:t>
            </w:r>
            <w:r w:rsidRPr="00B81B48">
              <w:t xml:space="preserve"> Budget</w:t>
            </w:r>
          </w:p>
        </w:tc>
        <w:tc>
          <w:tcPr>
            <w:tcW w:w="5670" w:type="dxa"/>
          </w:tcPr>
          <w:p w14:paraId="1BB2BA9F" w14:textId="77777777" w:rsidR="000A1EF7" w:rsidRPr="00B81B48" w:rsidRDefault="000A1EF7">
            <w:pPr>
              <w:pStyle w:val="10Tabletext"/>
              <w:rPr>
                <w:i/>
              </w:rPr>
            </w:pPr>
            <w:r w:rsidRPr="00B81B48">
              <w:rPr>
                <w:i/>
              </w:rPr>
              <w:t>Victorian Budget 2024-25</w:t>
            </w:r>
          </w:p>
        </w:tc>
      </w:tr>
      <w:tr w:rsidR="00517FD1" w:rsidRPr="009E4C4A" w14:paraId="0F5DA856" w14:textId="77777777" w:rsidTr="00215282">
        <w:trPr>
          <w:trHeight w:val="408"/>
        </w:trPr>
        <w:tc>
          <w:tcPr>
            <w:tcW w:w="2977" w:type="dxa"/>
          </w:tcPr>
          <w:p w14:paraId="1D2A7EB0" w14:textId="4B93F52D" w:rsidR="00517FD1" w:rsidRPr="009E7903" w:rsidRDefault="00517FD1" w:rsidP="00215282">
            <w:pPr>
              <w:pStyle w:val="10Tabletext"/>
            </w:pPr>
            <w:r>
              <w:t>AI</w:t>
            </w:r>
          </w:p>
        </w:tc>
        <w:tc>
          <w:tcPr>
            <w:tcW w:w="5670" w:type="dxa"/>
          </w:tcPr>
          <w:p w14:paraId="024AEC73" w14:textId="32AD5EBE" w:rsidR="00517FD1" w:rsidRPr="00517FD1" w:rsidRDefault="00517FD1" w:rsidP="00215282">
            <w:pPr>
              <w:pStyle w:val="10Tabletext"/>
            </w:pPr>
            <w:r w:rsidRPr="00517FD1">
              <w:t>Artificial intelligence</w:t>
            </w:r>
          </w:p>
        </w:tc>
      </w:tr>
      <w:tr w:rsidR="00745E36" w:rsidRPr="009E4C4A" w14:paraId="52B2ED41" w14:textId="77777777" w:rsidTr="00215282">
        <w:trPr>
          <w:trHeight w:val="408"/>
        </w:trPr>
        <w:tc>
          <w:tcPr>
            <w:tcW w:w="2977" w:type="dxa"/>
          </w:tcPr>
          <w:p w14:paraId="00F9426E" w14:textId="274F9A2C" w:rsidR="00745E36" w:rsidRPr="00B81B48" w:rsidRDefault="00745E36" w:rsidP="00745E36">
            <w:pPr>
              <w:pStyle w:val="10Tabletext"/>
            </w:pPr>
            <w:r w:rsidRPr="00B81B48">
              <w:t>ABS</w:t>
            </w:r>
          </w:p>
        </w:tc>
        <w:tc>
          <w:tcPr>
            <w:tcW w:w="5670" w:type="dxa"/>
          </w:tcPr>
          <w:p w14:paraId="757633EC" w14:textId="33DA475A" w:rsidR="00745E36" w:rsidRPr="00B81B48" w:rsidRDefault="00745E36" w:rsidP="00745E36">
            <w:pPr>
              <w:pStyle w:val="10Tabletext"/>
            </w:pPr>
            <w:r w:rsidRPr="00B81B48">
              <w:t>Australian Bureau of Statistics</w:t>
            </w:r>
          </w:p>
        </w:tc>
      </w:tr>
      <w:tr w:rsidR="006A6776" w:rsidRPr="009E4C4A" w14:paraId="02AE1763" w14:textId="77777777" w:rsidTr="00215282">
        <w:trPr>
          <w:trHeight w:val="408"/>
        </w:trPr>
        <w:tc>
          <w:tcPr>
            <w:tcW w:w="2977" w:type="dxa"/>
          </w:tcPr>
          <w:p w14:paraId="148BA710" w14:textId="555D95B2" w:rsidR="006A6776" w:rsidRPr="00B81B48" w:rsidRDefault="006A6776" w:rsidP="00745E36">
            <w:pPr>
              <w:pStyle w:val="10Tabletext"/>
            </w:pPr>
            <w:r>
              <w:t>AGM</w:t>
            </w:r>
          </w:p>
        </w:tc>
        <w:tc>
          <w:tcPr>
            <w:tcW w:w="5670" w:type="dxa"/>
          </w:tcPr>
          <w:p w14:paraId="4C94C749" w14:textId="490FFFD2" w:rsidR="006A6776" w:rsidRPr="00B81B48" w:rsidRDefault="006A6776" w:rsidP="00745E36">
            <w:pPr>
              <w:pStyle w:val="10Tabletext"/>
            </w:pPr>
            <w:r>
              <w:t>Australian General Market</w:t>
            </w:r>
            <w:r w:rsidR="003E544E">
              <w:t xml:space="preserve"> —</w:t>
            </w:r>
            <w:r w:rsidR="00C54AC7" w:rsidRPr="00C54AC7">
              <w:t xml:space="preserve"> Mercer’s remuneration database for positions within Australia, which is linked to work value</w:t>
            </w:r>
            <w:r w:rsidR="003E544E">
              <w:t xml:space="preserve">. </w:t>
            </w:r>
          </w:p>
        </w:tc>
      </w:tr>
      <w:tr w:rsidR="00F23FCE" w:rsidRPr="009E4C4A" w14:paraId="1F5ACB4B" w14:textId="77777777" w:rsidTr="00215282">
        <w:trPr>
          <w:trHeight w:val="408"/>
        </w:trPr>
        <w:tc>
          <w:tcPr>
            <w:tcW w:w="2977" w:type="dxa"/>
          </w:tcPr>
          <w:p w14:paraId="796CF66D" w14:textId="6CAE4327" w:rsidR="00F23FCE" w:rsidRDefault="00F23FCE" w:rsidP="00F23FCE">
            <w:pPr>
              <w:pStyle w:val="10Tabletext"/>
            </w:pPr>
            <w:r>
              <w:t>AO</w:t>
            </w:r>
          </w:p>
        </w:tc>
        <w:tc>
          <w:tcPr>
            <w:tcW w:w="5670" w:type="dxa"/>
          </w:tcPr>
          <w:p w14:paraId="6436A4BD" w14:textId="74532C12" w:rsidR="00F23FCE" w:rsidRPr="00517FD1" w:rsidRDefault="00F23FCE" w:rsidP="00F23FCE">
            <w:pPr>
              <w:pStyle w:val="10Tabletext"/>
            </w:pPr>
            <w:r w:rsidRPr="00CD4AE7">
              <w:t>Administrative Office</w:t>
            </w:r>
          </w:p>
        </w:tc>
      </w:tr>
      <w:tr w:rsidR="00F23FCE" w:rsidRPr="009E4C4A" w14:paraId="57900E3A" w14:textId="77777777" w:rsidTr="00215282">
        <w:trPr>
          <w:trHeight w:val="408"/>
        </w:trPr>
        <w:tc>
          <w:tcPr>
            <w:tcW w:w="2977" w:type="dxa"/>
          </w:tcPr>
          <w:p w14:paraId="12D70F4E" w14:textId="49C29CAF" w:rsidR="00F23FCE" w:rsidRDefault="00F23FCE" w:rsidP="00F23FCE">
            <w:pPr>
              <w:pStyle w:val="10Tabletext"/>
            </w:pPr>
            <w:r>
              <w:t>APS</w:t>
            </w:r>
          </w:p>
        </w:tc>
        <w:tc>
          <w:tcPr>
            <w:tcW w:w="5670" w:type="dxa"/>
          </w:tcPr>
          <w:p w14:paraId="5F72F0E3" w14:textId="789FFCD3" w:rsidR="00F23FCE" w:rsidRPr="00CD4AE7" w:rsidRDefault="00F23FCE" w:rsidP="00F23FCE">
            <w:pPr>
              <w:pStyle w:val="10Tabletext"/>
            </w:pPr>
            <w:r>
              <w:t>Australian Public Service</w:t>
            </w:r>
          </w:p>
        </w:tc>
      </w:tr>
      <w:tr w:rsidR="00F23FCE" w:rsidRPr="009E4C4A" w14:paraId="1152B471" w14:textId="77777777" w:rsidTr="00215282">
        <w:trPr>
          <w:trHeight w:val="408"/>
        </w:trPr>
        <w:tc>
          <w:tcPr>
            <w:tcW w:w="2977" w:type="dxa"/>
          </w:tcPr>
          <w:p w14:paraId="4E3927C9" w14:textId="61238955" w:rsidR="00F23FCE" w:rsidRDefault="00F23FCE" w:rsidP="00745E36">
            <w:pPr>
              <w:pStyle w:val="10Tabletext"/>
            </w:pPr>
            <w:r>
              <w:t>APSC</w:t>
            </w:r>
          </w:p>
        </w:tc>
        <w:tc>
          <w:tcPr>
            <w:tcW w:w="5670" w:type="dxa"/>
          </w:tcPr>
          <w:p w14:paraId="01B82AE8" w14:textId="7DAB4A9B" w:rsidR="00F23FCE" w:rsidRPr="00517FD1" w:rsidRDefault="00F23FCE" w:rsidP="00745E36">
            <w:pPr>
              <w:pStyle w:val="10Tabletext"/>
            </w:pPr>
            <w:r>
              <w:t>Australian Public Service Commission</w:t>
            </w:r>
          </w:p>
        </w:tc>
      </w:tr>
      <w:tr w:rsidR="00B4423F" w:rsidRPr="009E4C4A" w14:paraId="77DA5D65" w14:textId="77777777" w:rsidTr="00215282">
        <w:trPr>
          <w:trHeight w:val="408"/>
        </w:trPr>
        <w:tc>
          <w:tcPr>
            <w:tcW w:w="2977" w:type="dxa"/>
          </w:tcPr>
          <w:p w14:paraId="4134050D" w14:textId="02012B52" w:rsidR="00B4423F" w:rsidRPr="00B81B48" w:rsidRDefault="00B4423F" w:rsidP="00745E36">
            <w:pPr>
              <w:pStyle w:val="10Tabletext"/>
            </w:pPr>
            <w:r>
              <w:t>ASD</w:t>
            </w:r>
          </w:p>
        </w:tc>
        <w:tc>
          <w:tcPr>
            <w:tcW w:w="5670" w:type="dxa"/>
          </w:tcPr>
          <w:p w14:paraId="03B2A7C2" w14:textId="7B50B0D7" w:rsidR="00B4423F" w:rsidRPr="00B81B48" w:rsidRDefault="00517FD1" w:rsidP="00745E36">
            <w:pPr>
              <w:pStyle w:val="10Tabletext"/>
            </w:pPr>
            <w:r w:rsidRPr="00517FD1">
              <w:t>Australian Signals Directorate</w:t>
            </w:r>
          </w:p>
        </w:tc>
      </w:tr>
      <w:tr w:rsidR="00FE3074" w:rsidRPr="009E4C4A" w14:paraId="21516314" w14:textId="77777777" w:rsidTr="00215282">
        <w:trPr>
          <w:trHeight w:val="408"/>
        </w:trPr>
        <w:tc>
          <w:tcPr>
            <w:tcW w:w="2977" w:type="dxa"/>
          </w:tcPr>
          <w:p w14:paraId="4AEC5224" w14:textId="67061391" w:rsidR="00FE3074" w:rsidRDefault="00FE3074" w:rsidP="00745E36">
            <w:pPr>
              <w:pStyle w:val="10Tabletext"/>
            </w:pPr>
            <w:r>
              <w:t>BIS</w:t>
            </w:r>
          </w:p>
        </w:tc>
        <w:tc>
          <w:tcPr>
            <w:tcW w:w="5670" w:type="dxa"/>
          </w:tcPr>
          <w:p w14:paraId="67181102" w14:textId="6D72D82D" w:rsidR="00FE3074" w:rsidRDefault="00FE3074" w:rsidP="00745E36">
            <w:pPr>
              <w:pStyle w:val="10Tabletext"/>
            </w:pPr>
            <w:r>
              <w:t xml:space="preserve">Bank </w:t>
            </w:r>
            <w:r w:rsidR="00CA2306">
              <w:t>for International Settlements</w:t>
            </w:r>
          </w:p>
        </w:tc>
      </w:tr>
      <w:tr w:rsidR="00E2443D" w:rsidRPr="009E4C4A" w14:paraId="22097C92" w14:textId="77777777" w:rsidTr="00215282">
        <w:trPr>
          <w:trHeight w:val="408"/>
        </w:trPr>
        <w:tc>
          <w:tcPr>
            <w:tcW w:w="2977" w:type="dxa"/>
          </w:tcPr>
          <w:p w14:paraId="57F4B301" w14:textId="543334AA" w:rsidR="00E2443D" w:rsidRDefault="00E2443D" w:rsidP="00745E36">
            <w:pPr>
              <w:pStyle w:val="10Tabletext"/>
            </w:pPr>
            <w:r>
              <w:t>BRP</w:t>
            </w:r>
          </w:p>
        </w:tc>
        <w:tc>
          <w:tcPr>
            <w:tcW w:w="5670" w:type="dxa"/>
          </w:tcPr>
          <w:p w14:paraId="61840D92" w14:textId="54451038" w:rsidR="00E2443D" w:rsidRDefault="00E2443D" w:rsidP="00745E36">
            <w:pPr>
              <w:pStyle w:val="10Tabletext"/>
            </w:pPr>
            <w:r>
              <w:t>Base remuneration point</w:t>
            </w:r>
            <w:r w:rsidR="003E544E">
              <w:t xml:space="preserve"> —</w:t>
            </w:r>
            <w:r w:rsidR="005C7473">
              <w:t xml:space="preserve"> </w:t>
            </w:r>
            <w:r w:rsidR="00F343C9">
              <w:t xml:space="preserve">the fixed minimum remuneration point for a particular </w:t>
            </w:r>
            <w:r w:rsidR="00131667">
              <w:t xml:space="preserve">executive </w:t>
            </w:r>
            <w:r w:rsidR="00F343C9">
              <w:t>role</w:t>
            </w:r>
            <w:r w:rsidR="00131667">
              <w:t xml:space="preserve"> in New South Wales</w:t>
            </w:r>
            <w:r w:rsidR="00487BAA">
              <w:t>, which is c</w:t>
            </w:r>
            <w:r w:rsidR="00F343C9">
              <w:t xml:space="preserve">alculated based on the work value </w:t>
            </w:r>
            <w:r w:rsidR="00487BAA">
              <w:t>score</w:t>
            </w:r>
            <w:r w:rsidR="00F343C9">
              <w:t xml:space="preserve"> using a specific formula. </w:t>
            </w:r>
          </w:p>
        </w:tc>
      </w:tr>
      <w:tr w:rsidR="005F3583" w:rsidRPr="009E4C4A" w14:paraId="18637F5E" w14:textId="77777777" w:rsidTr="00215282">
        <w:trPr>
          <w:trHeight w:val="408"/>
        </w:trPr>
        <w:tc>
          <w:tcPr>
            <w:tcW w:w="2977" w:type="dxa"/>
          </w:tcPr>
          <w:p w14:paraId="5A85CEA4" w14:textId="2AF3CF2B" w:rsidR="005F3583" w:rsidRDefault="005F3583" w:rsidP="00745E36">
            <w:pPr>
              <w:pStyle w:val="10Tabletext"/>
            </w:pPr>
            <w:r>
              <w:t>CE</w:t>
            </w:r>
          </w:p>
        </w:tc>
        <w:tc>
          <w:tcPr>
            <w:tcW w:w="5670" w:type="dxa"/>
          </w:tcPr>
          <w:p w14:paraId="5A55607D" w14:textId="1D72AC71" w:rsidR="005F3583" w:rsidRDefault="005F3583" w:rsidP="00745E36">
            <w:pPr>
              <w:pStyle w:val="10Tabletext"/>
            </w:pPr>
            <w:r>
              <w:t>Chief Executive</w:t>
            </w:r>
          </w:p>
        </w:tc>
      </w:tr>
      <w:tr w:rsidR="00745E36" w:rsidRPr="009E4C4A" w14:paraId="2B71106A" w14:textId="77777777" w:rsidTr="00215282">
        <w:trPr>
          <w:trHeight w:val="408"/>
        </w:trPr>
        <w:tc>
          <w:tcPr>
            <w:tcW w:w="2977" w:type="dxa"/>
          </w:tcPr>
          <w:p w14:paraId="5BB35770" w14:textId="77777777" w:rsidR="00745E36" w:rsidRPr="00B81B48" w:rsidRDefault="00745E36" w:rsidP="00745E36">
            <w:pPr>
              <w:pStyle w:val="10Tabletext"/>
            </w:pPr>
            <w:r w:rsidRPr="00B81B48">
              <w:t>CPI</w:t>
            </w:r>
          </w:p>
        </w:tc>
        <w:tc>
          <w:tcPr>
            <w:tcW w:w="5670" w:type="dxa"/>
          </w:tcPr>
          <w:p w14:paraId="0A2E409A" w14:textId="77777777" w:rsidR="00745E36" w:rsidRPr="00B81B48" w:rsidRDefault="00745E36" w:rsidP="00745E36">
            <w:pPr>
              <w:pStyle w:val="10Tabletext"/>
            </w:pPr>
            <w:r w:rsidRPr="00B81B48">
              <w:t>Consumer Price Index</w:t>
            </w:r>
          </w:p>
        </w:tc>
      </w:tr>
      <w:tr w:rsidR="00A00416" w:rsidRPr="009E4C4A" w14:paraId="5DFF476B" w14:textId="77777777" w:rsidTr="00215282">
        <w:trPr>
          <w:trHeight w:val="408"/>
        </w:trPr>
        <w:tc>
          <w:tcPr>
            <w:tcW w:w="2977" w:type="dxa"/>
          </w:tcPr>
          <w:p w14:paraId="3C8E28FD" w14:textId="250A2F8A" w:rsidR="00A00416" w:rsidRPr="00B81B48" w:rsidRDefault="00A00416" w:rsidP="00745E36">
            <w:pPr>
              <w:pStyle w:val="10Tabletext"/>
            </w:pPr>
            <w:r>
              <w:t>CSIRO</w:t>
            </w:r>
          </w:p>
        </w:tc>
        <w:tc>
          <w:tcPr>
            <w:tcW w:w="5670" w:type="dxa"/>
          </w:tcPr>
          <w:p w14:paraId="34C75471" w14:textId="41E72A0B" w:rsidR="00A00416" w:rsidRPr="00B81B48" w:rsidRDefault="00A00416" w:rsidP="00745E36">
            <w:pPr>
              <w:pStyle w:val="10Tabletext"/>
            </w:pPr>
            <w:r>
              <w:t>Commonwealth Scientific</w:t>
            </w:r>
            <w:r w:rsidR="004347DA">
              <w:t xml:space="preserve"> and Industrial Research Organisation</w:t>
            </w:r>
          </w:p>
        </w:tc>
      </w:tr>
      <w:tr w:rsidR="00E5429E" w:rsidRPr="009E4C4A" w14:paraId="3D045140" w14:textId="77777777" w:rsidTr="00215282">
        <w:trPr>
          <w:trHeight w:val="408"/>
        </w:trPr>
        <w:tc>
          <w:tcPr>
            <w:tcW w:w="2977" w:type="dxa"/>
          </w:tcPr>
          <w:p w14:paraId="7B416FF4" w14:textId="1BE5CBEC" w:rsidR="00E5429E" w:rsidRDefault="00E5429E" w:rsidP="00745E36">
            <w:pPr>
              <w:pStyle w:val="10Tabletext"/>
            </w:pPr>
            <w:r>
              <w:t>Cth</w:t>
            </w:r>
          </w:p>
        </w:tc>
        <w:tc>
          <w:tcPr>
            <w:tcW w:w="5670" w:type="dxa"/>
          </w:tcPr>
          <w:p w14:paraId="1870DE14" w14:textId="2B729668" w:rsidR="00E5429E" w:rsidRPr="009C1342" w:rsidRDefault="00E5429E" w:rsidP="00745E36">
            <w:pPr>
              <w:pStyle w:val="10Tabletext"/>
            </w:pPr>
            <w:r>
              <w:t>Commonwealth</w:t>
            </w:r>
          </w:p>
        </w:tc>
      </w:tr>
      <w:tr w:rsidR="00CD4AE7" w:rsidRPr="009E4C4A" w14:paraId="133AABEC" w14:textId="77777777" w:rsidTr="00215282">
        <w:trPr>
          <w:trHeight w:val="408"/>
        </w:trPr>
        <w:tc>
          <w:tcPr>
            <w:tcW w:w="2977" w:type="dxa"/>
          </w:tcPr>
          <w:p w14:paraId="4F955303" w14:textId="60A243E9" w:rsidR="00CD4AE7" w:rsidRPr="00B81B48" w:rsidRDefault="009C1342" w:rsidP="00745E36">
            <w:pPr>
              <w:pStyle w:val="10Tabletext"/>
            </w:pPr>
            <w:r>
              <w:t>DE</w:t>
            </w:r>
          </w:p>
        </w:tc>
        <w:tc>
          <w:tcPr>
            <w:tcW w:w="5670" w:type="dxa"/>
          </w:tcPr>
          <w:p w14:paraId="2E9E8AAC" w14:textId="0283B393" w:rsidR="00CD4AE7" w:rsidRPr="00B81B48" w:rsidRDefault="009C1342" w:rsidP="00745E36">
            <w:pPr>
              <w:pStyle w:val="10Tabletext"/>
            </w:pPr>
            <w:r w:rsidRPr="009C1342">
              <w:t>Department of Educatio</w:t>
            </w:r>
            <w:r>
              <w:t>n</w:t>
            </w:r>
          </w:p>
        </w:tc>
      </w:tr>
      <w:tr w:rsidR="00CD4AE7" w:rsidRPr="009E4C4A" w14:paraId="1EA045C1" w14:textId="77777777" w:rsidTr="00215282">
        <w:trPr>
          <w:trHeight w:val="408"/>
        </w:trPr>
        <w:tc>
          <w:tcPr>
            <w:tcW w:w="2977" w:type="dxa"/>
          </w:tcPr>
          <w:p w14:paraId="015B8D83" w14:textId="49B80C0C" w:rsidR="00CD4AE7" w:rsidRPr="00B81B48" w:rsidRDefault="00C01567" w:rsidP="00745E36">
            <w:pPr>
              <w:pStyle w:val="10Tabletext"/>
            </w:pPr>
            <w:r w:rsidRPr="00C01567">
              <w:t>DEECA</w:t>
            </w:r>
          </w:p>
        </w:tc>
        <w:tc>
          <w:tcPr>
            <w:tcW w:w="5670" w:type="dxa"/>
          </w:tcPr>
          <w:p w14:paraId="3050963C" w14:textId="7D8746E7" w:rsidR="00CD4AE7" w:rsidRPr="00B81B48" w:rsidRDefault="00C01567" w:rsidP="00745E36">
            <w:pPr>
              <w:pStyle w:val="10Tabletext"/>
            </w:pPr>
            <w:r w:rsidRPr="00C01567">
              <w:t>Department of Energy, Environment, and Climate Action</w:t>
            </w:r>
          </w:p>
        </w:tc>
      </w:tr>
      <w:tr w:rsidR="00FE346F" w:rsidRPr="009E4C4A" w14:paraId="42EC9A26" w14:textId="77777777" w:rsidTr="00215282">
        <w:trPr>
          <w:trHeight w:val="408"/>
        </w:trPr>
        <w:tc>
          <w:tcPr>
            <w:tcW w:w="2977" w:type="dxa"/>
          </w:tcPr>
          <w:p w14:paraId="69528103" w14:textId="0D9B3A77" w:rsidR="00FE346F" w:rsidRPr="00CD59B8" w:rsidRDefault="00FE346F" w:rsidP="00745E36">
            <w:pPr>
              <w:pStyle w:val="10Tabletext"/>
            </w:pPr>
            <w:r>
              <w:t>DELWP</w:t>
            </w:r>
          </w:p>
        </w:tc>
        <w:tc>
          <w:tcPr>
            <w:tcW w:w="5670" w:type="dxa"/>
          </w:tcPr>
          <w:p w14:paraId="1D2C2DFA" w14:textId="615822B9" w:rsidR="00FE346F" w:rsidRPr="00CD59B8" w:rsidRDefault="00FE346F" w:rsidP="00745E36">
            <w:pPr>
              <w:pStyle w:val="10Tabletext"/>
            </w:pPr>
            <w:r>
              <w:t>Department of Environment, Land, Wa</w:t>
            </w:r>
            <w:r w:rsidR="00A00416">
              <w:t>t</w:t>
            </w:r>
            <w:r>
              <w:t>er and P</w:t>
            </w:r>
            <w:r w:rsidR="00A00416">
              <w:t>l</w:t>
            </w:r>
            <w:r>
              <w:t>anning</w:t>
            </w:r>
          </w:p>
        </w:tc>
      </w:tr>
      <w:tr w:rsidR="00A00416" w:rsidRPr="009E4C4A" w14:paraId="219744A5" w14:textId="77777777" w:rsidTr="00215282">
        <w:trPr>
          <w:trHeight w:val="408"/>
        </w:trPr>
        <w:tc>
          <w:tcPr>
            <w:tcW w:w="2977" w:type="dxa"/>
          </w:tcPr>
          <w:p w14:paraId="3CBB47C3" w14:textId="1C66B958" w:rsidR="00A00416" w:rsidRDefault="00A00416" w:rsidP="00745E36">
            <w:pPr>
              <w:pStyle w:val="10Tabletext"/>
            </w:pPr>
            <w:r>
              <w:t>DET</w:t>
            </w:r>
          </w:p>
        </w:tc>
        <w:tc>
          <w:tcPr>
            <w:tcW w:w="5670" w:type="dxa"/>
          </w:tcPr>
          <w:p w14:paraId="77BCD07D" w14:textId="68F3D018" w:rsidR="00A00416" w:rsidRDefault="00A00416" w:rsidP="00745E36">
            <w:pPr>
              <w:pStyle w:val="10Tabletext"/>
            </w:pPr>
            <w:r>
              <w:t>Department of Education and Training</w:t>
            </w:r>
          </w:p>
        </w:tc>
      </w:tr>
      <w:tr w:rsidR="00CD4AE7" w:rsidRPr="009E4C4A" w14:paraId="4FF95D71" w14:textId="77777777" w:rsidTr="00215282">
        <w:trPr>
          <w:trHeight w:val="408"/>
        </w:trPr>
        <w:tc>
          <w:tcPr>
            <w:tcW w:w="2977" w:type="dxa"/>
          </w:tcPr>
          <w:p w14:paraId="5A90E8EB" w14:textId="77F43B2E" w:rsidR="00CD4AE7" w:rsidRPr="00B81B48" w:rsidRDefault="00CD59B8" w:rsidP="00745E36">
            <w:pPr>
              <w:pStyle w:val="10Tabletext"/>
            </w:pPr>
            <w:r w:rsidRPr="00CD59B8">
              <w:lastRenderedPageBreak/>
              <w:t>DFFH</w:t>
            </w:r>
          </w:p>
        </w:tc>
        <w:tc>
          <w:tcPr>
            <w:tcW w:w="5670" w:type="dxa"/>
          </w:tcPr>
          <w:p w14:paraId="04446C3F" w14:textId="71703027" w:rsidR="00CD4AE7" w:rsidRPr="00B81B48" w:rsidRDefault="00CD59B8" w:rsidP="00745E36">
            <w:pPr>
              <w:pStyle w:val="10Tabletext"/>
            </w:pPr>
            <w:r w:rsidRPr="00CD59B8">
              <w:t>Department of Families, Fairness and Housing</w:t>
            </w:r>
          </w:p>
        </w:tc>
      </w:tr>
      <w:tr w:rsidR="00CD4AE7" w:rsidRPr="009E4C4A" w14:paraId="5F3994C1" w14:textId="77777777" w:rsidTr="00215282">
        <w:trPr>
          <w:trHeight w:val="408"/>
        </w:trPr>
        <w:tc>
          <w:tcPr>
            <w:tcW w:w="2977" w:type="dxa"/>
          </w:tcPr>
          <w:p w14:paraId="7840CFAA" w14:textId="0940FAA8" w:rsidR="00CD4AE7" w:rsidRPr="00B81B48" w:rsidRDefault="006D6B4B" w:rsidP="00745E36">
            <w:pPr>
              <w:pStyle w:val="10Tabletext"/>
            </w:pPr>
            <w:r>
              <w:t>DGS</w:t>
            </w:r>
          </w:p>
        </w:tc>
        <w:tc>
          <w:tcPr>
            <w:tcW w:w="5670" w:type="dxa"/>
          </w:tcPr>
          <w:p w14:paraId="696B94D5" w14:textId="7907230B" w:rsidR="00CD4AE7" w:rsidRPr="00B81B48" w:rsidRDefault="006D6B4B" w:rsidP="00745E36">
            <w:pPr>
              <w:pStyle w:val="10Tabletext"/>
            </w:pPr>
            <w:r w:rsidRPr="006D6B4B">
              <w:t>Department of Government Services</w:t>
            </w:r>
          </w:p>
        </w:tc>
      </w:tr>
      <w:tr w:rsidR="00CD4AE7" w:rsidRPr="009E4C4A" w14:paraId="6D8C6E2C" w14:textId="77777777" w:rsidTr="00215282">
        <w:trPr>
          <w:trHeight w:val="408"/>
        </w:trPr>
        <w:tc>
          <w:tcPr>
            <w:tcW w:w="2977" w:type="dxa"/>
          </w:tcPr>
          <w:p w14:paraId="12B66876" w14:textId="2BC8392D" w:rsidR="00CD4AE7" w:rsidRPr="00B81B48" w:rsidRDefault="00E90C18" w:rsidP="00745E36">
            <w:pPr>
              <w:pStyle w:val="10Tabletext"/>
            </w:pPr>
            <w:r>
              <w:t>DH</w:t>
            </w:r>
          </w:p>
        </w:tc>
        <w:tc>
          <w:tcPr>
            <w:tcW w:w="5670" w:type="dxa"/>
          </w:tcPr>
          <w:p w14:paraId="7AD236C7" w14:textId="72BF88F9" w:rsidR="00CD4AE7" w:rsidRPr="00B81B48" w:rsidRDefault="00E90C18" w:rsidP="00745E36">
            <w:pPr>
              <w:pStyle w:val="10Tabletext"/>
            </w:pPr>
            <w:r w:rsidRPr="00E90C18">
              <w:t>Department of Health</w:t>
            </w:r>
          </w:p>
        </w:tc>
      </w:tr>
      <w:tr w:rsidR="00A00416" w:rsidRPr="009E4C4A" w14:paraId="5A4E2D45" w14:textId="77777777" w:rsidTr="00215282">
        <w:trPr>
          <w:trHeight w:val="408"/>
        </w:trPr>
        <w:tc>
          <w:tcPr>
            <w:tcW w:w="2977" w:type="dxa"/>
          </w:tcPr>
          <w:p w14:paraId="2B8CC661" w14:textId="6E3536BF" w:rsidR="00A00416" w:rsidRDefault="00A00416" w:rsidP="00745E36">
            <w:pPr>
              <w:pStyle w:val="10Tabletext"/>
            </w:pPr>
            <w:r>
              <w:t>DHHS</w:t>
            </w:r>
          </w:p>
        </w:tc>
        <w:tc>
          <w:tcPr>
            <w:tcW w:w="5670" w:type="dxa"/>
          </w:tcPr>
          <w:p w14:paraId="52A335A7" w14:textId="1FF96713" w:rsidR="00A00416" w:rsidRPr="00E90C18" w:rsidRDefault="00A00416" w:rsidP="00745E36">
            <w:pPr>
              <w:pStyle w:val="10Tabletext"/>
            </w:pPr>
            <w:r>
              <w:t>Department of Health and Human Services</w:t>
            </w:r>
          </w:p>
        </w:tc>
      </w:tr>
      <w:tr w:rsidR="00A00416" w:rsidRPr="009E4C4A" w14:paraId="386AD0CE" w14:textId="77777777" w:rsidTr="00215282">
        <w:trPr>
          <w:trHeight w:val="408"/>
        </w:trPr>
        <w:tc>
          <w:tcPr>
            <w:tcW w:w="2977" w:type="dxa"/>
          </w:tcPr>
          <w:p w14:paraId="496E7EE5" w14:textId="37BDD987" w:rsidR="00A00416" w:rsidRDefault="00A00416" w:rsidP="00745E36">
            <w:pPr>
              <w:pStyle w:val="10Tabletext"/>
            </w:pPr>
            <w:r>
              <w:t>DJPR</w:t>
            </w:r>
          </w:p>
        </w:tc>
        <w:tc>
          <w:tcPr>
            <w:tcW w:w="5670" w:type="dxa"/>
          </w:tcPr>
          <w:p w14:paraId="2F06F17B" w14:textId="2DD2B3FF" w:rsidR="00A00416" w:rsidRPr="00E90C18" w:rsidRDefault="00A00416" w:rsidP="00745E36">
            <w:pPr>
              <w:pStyle w:val="10Tabletext"/>
            </w:pPr>
            <w:r>
              <w:t>Department of Jobs, Precincts and Regions</w:t>
            </w:r>
          </w:p>
        </w:tc>
      </w:tr>
      <w:tr w:rsidR="00E90C18" w:rsidRPr="009E4C4A" w14:paraId="4EEC73D3" w14:textId="77777777" w:rsidTr="00215282">
        <w:trPr>
          <w:trHeight w:val="408"/>
        </w:trPr>
        <w:tc>
          <w:tcPr>
            <w:tcW w:w="2977" w:type="dxa"/>
          </w:tcPr>
          <w:p w14:paraId="507E4D46" w14:textId="682FADE8" w:rsidR="00E90C18" w:rsidRDefault="008475DB" w:rsidP="00745E36">
            <w:pPr>
              <w:pStyle w:val="10Tabletext"/>
            </w:pPr>
            <w:r>
              <w:t>DJSIR</w:t>
            </w:r>
          </w:p>
        </w:tc>
        <w:tc>
          <w:tcPr>
            <w:tcW w:w="5670" w:type="dxa"/>
          </w:tcPr>
          <w:p w14:paraId="1867531E" w14:textId="1AF3DBF7" w:rsidR="00E90C18" w:rsidRPr="00E90C18" w:rsidRDefault="008475DB" w:rsidP="00745E36">
            <w:pPr>
              <w:pStyle w:val="10Tabletext"/>
            </w:pPr>
            <w:r w:rsidRPr="008475DB">
              <w:t>Department of Jobs, Skills, Industry and Regions</w:t>
            </w:r>
          </w:p>
        </w:tc>
      </w:tr>
      <w:tr w:rsidR="00E90C18" w:rsidRPr="009E4C4A" w14:paraId="7D57DE99" w14:textId="77777777" w:rsidTr="00215282">
        <w:trPr>
          <w:trHeight w:val="408"/>
        </w:trPr>
        <w:tc>
          <w:tcPr>
            <w:tcW w:w="2977" w:type="dxa"/>
          </w:tcPr>
          <w:p w14:paraId="5268A9A0" w14:textId="2695A3B8" w:rsidR="00E90C18" w:rsidRDefault="00C31FF3" w:rsidP="00745E36">
            <w:pPr>
              <w:pStyle w:val="10Tabletext"/>
            </w:pPr>
            <w:r>
              <w:t>DJCS</w:t>
            </w:r>
          </w:p>
        </w:tc>
        <w:tc>
          <w:tcPr>
            <w:tcW w:w="5670" w:type="dxa"/>
          </w:tcPr>
          <w:p w14:paraId="14402F00" w14:textId="4E417547" w:rsidR="00E90C18" w:rsidRPr="00E90C18" w:rsidRDefault="00C31FF3" w:rsidP="00745E36">
            <w:pPr>
              <w:pStyle w:val="10Tabletext"/>
            </w:pPr>
            <w:r w:rsidRPr="00C31FF3">
              <w:t>Department of Justice and Community Safety</w:t>
            </w:r>
          </w:p>
        </w:tc>
      </w:tr>
      <w:tr w:rsidR="00A00416" w:rsidRPr="009E4C4A" w14:paraId="0BE51BEA" w14:textId="77777777" w:rsidTr="00215282">
        <w:trPr>
          <w:trHeight w:val="408"/>
        </w:trPr>
        <w:tc>
          <w:tcPr>
            <w:tcW w:w="2977" w:type="dxa"/>
          </w:tcPr>
          <w:p w14:paraId="2243FFEF" w14:textId="4F7D087E" w:rsidR="00A00416" w:rsidRDefault="00A00416" w:rsidP="00745E36">
            <w:pPr>
              <w:pStyle w:val="10Tabletext"/>
            </w:pPr>
            <w:r>
              <w:t>DOT</w:t>
            </w:r>
          </w:p>
        </w:tc>
        <w:tc>
          <w:tcPr>
            <w:tcW w:w="5670" w:type="dxa"/>
          </w:tcPr>
          <w:p w14:paraId="25BE2D85" w14:textId="37EDD23E" w:rsidR="00A00416" w:rsidRPr="00C31FF3" w:rsidRDefault="00A00416" w:rsidP="00745E36">
            <w:pPr>
              <w:pStyle w:val="10Tabletext"/>
            </w:pPr>
            <w:r>
              <w:t>Department of Transport</w:t>
            </w:r>
          </w:p>
        </w:tc>
      </w:tr>
      <w:tr w:rsidR="00E90C18" w:rsidRPr="009E4C4A" w14:paraId="2182C372" w14:textId="77777777" w:rsidTr="00215282">
        <w:trPr>
          <w:trHeight w:val="408"/>
        </w:trPr>
        <w:tc>
          <w:tcPr>
            <w:tcW w:w="2977" w:type="dxa"/>
          </w:tcPr>
          <w:p w14:paraId="56A4E255" w14:textId="0258F1C0" w:rsidR="00E90C18" w:rsidRDefault="00C31FF3" w:rsidP="00745E36">
            <w:pPr>
              <w:pStyle w:val="10Tabletext"/>
            </w:pPr>
            <w:r>
              <w:t>DPC</w:t>
            </w:r>
          </w:p>
        </w:tc>
        <w:tc>
          <w:tcPr>
            <w:tcW w:w="5670" w:type="dxa"/>
          </w:tcPr>
          <w:p w14:paraId="0E8BBA9D" w14:textId="5163DAC7" w:rsidR="00E90C18" w:rsidRPr="00E90C18" w:rsidRDefault="002063DD" w:rsidP="00745E36">
            <w:pPr>
              <w:pStyle w:val="10Tabletext"/>
            </w:pPr>
            <w:r w:rsidRPr="002063DD">
              <w:t>Department of Premier and Cabinet</w:t>
            </w:r>
          </w:p>
        </w:tc>
      </w:tr>
      <w:tr w:rsidR="002063DD" w:rsidRPr="009E4C4A" w14:paraId="7EF9522C" w14:textId="77777777" w:rsidTr="00215282">
        <w:trPr>
          <w:trHeight w:val="408"/>
        </w:trPr>
        <w:tc>
          <w:tcPr>
            <w:tcW w:w="2977" w:type="dxa"/>
          </w:tcPr>
          <w:p w14:paraId="23DDAA70" w14:textId="08F39392" w:rsidR="002063DD" w:rsidRDefault="00A76E87" w:rsidP="00745E36">
            <w:pPr>
              <w:pStyle w:val="10Tabletext"/>
            </w:pPr>
            <w:r>
              <w:t>DTP</w:t>
            </w:r>
          </w:p>
        </w:tc>
        <w:tc>
          <w:tcPr>
            <w:tcW w:w="5670" w:type="dxa"/>
          </w:tcPr>
          <w:p w14:paraId="09E05A6A" w14:textId="61A3E55F" w:rsidR="002063DD" w:rsidRPr="002063DD" w:rsidRDefault="00A76E87" w:rsidP="00745E36">
            <w:pPr>
              <w:pStyle w:val="10Tabletext"/>
            </w:pPr>
            <w:r w:rsidRPr="00A76E87">
              <w:t>Department of Transport and Planning</w:t>
            </w:r>
          </w:p>
        </w:tc>
      </w:tr>
      <w:tr w:rsidR="00745E36" w:rsidRPr="009E4C4A" w14:paraId="36F8590B" w14:textId="77777777" w:rsidTr="00215282">
        <w:trPr>
          <w:trHeight w:val="408"/>
        </w:trPr>
        <w:tc>
          <w:tcPr>
            <w:tcW w:w="2977" w:type="dxa"/>
          </w:tcPr>
          <w:p w14:paraId="2B8F7C64" w14:textId="77777777" w:rsidR="00745E36" w:rsidRPr="00B81B48" w:rsidRDefault="00745E36" w:rsidP="00745E36">
            <w:pPr>
              <w:pStyle w:val="10Tabletext"/>
            </w:pPr>
            <w:r w:rsidRPr="00B81B48">
              <w:t>DTF</w:t>
            </w:r>
          </w:p>
        </w:tc>
        <w:tc>
          <w:tcPr>
            <w:tcW w:w="5670" w:type="dxa"/>
          </w:tcPr>
          <w:p w14:paraId="3AA3BF8D" w14:textId="77777777" w:rsidR="00745E36" w:rsidRPr="00B81B48" w:rsidRDefault="00745E36" w:rsidP="00745E36">
            <w:pPr>
              <w:pStyle w:val="10Tabletext"/>
            </w:pPr>
            <w:r w:rsidRPr="00B81B48">
              <w:t>Department of Treasury and Finance</w:t>
            </w:r>
          </w:p>
        </w:tc>
      </w:tr>
      <w:tr w:rsidR="00745E36" w:rsidRPr="009E4C4A" w14:paraId="5CBA947A" w14:textId="77777777" w:rsidTr="00215282">
        <w:trPr>
          <w:trHeight w:val="408"/>
        </w:trPr>
        <w:tc>
          <w:tcPr>
            <w:tcW w:w="2977" w:type="dxa"/>
          </w:tcPr>
          <w:p w14:paraId="707CC626" w14:textId="77777777" w:rsidR="00745E36" w:rsidRPr="00B81B48" w:rsidRDefault="00745E36" w:rsidP="00745E36">
            <w:pPr>
              <w:pStyle w:val="10Tabletext"/>
            </w:pPr>
            <w:r>
              <w:t>EA</w:t>
            </w:r>
          </w:p>
        </w:tc>
        <w:tc>
          <w:tcPr>
            <w:tcW w:w="5670" w:type="dxa"/>
          </w:tcPr>
          <w:p w14:paraId="7DCA80C2" w14:textId="77777777" w:rsidR="00745E36" w:rsidRPr="00B81B48" w:rsidRDefault="00745E36" w:rsidP="00745E36">
            <w:pPr>
              <w:pStyle w:val="10Tabletext"/>
            </w:pPr>
            <w:r>
              <w:t>Enterprise Agreement</w:t>
            </w:r>
          </w:p>
        </w:tc>
      </w:tr>
      <w:tr w:rsidR="00DE5487" w:rsidRPr="009E4C4A" w14:paraId="0E8D8E5C" w14:textId="77777777" w:rsidTr="00215282">
        <w:trPr>
          <w:trHeight w:val="408"/>
        </w:trPr>
        <w:tc>
          <w:tcPr>
            <w:tcW w:w="2977" w:type="dxa"/>
          </w:tcPr>
          <w:p w14:paraId="643E8853" w14:textId="42B818A9" w:rsidR="00DE5487" w:rsidRDefault="00DE5487" w:rsidP="00745E36">
            <w:pPr>
              <w:pStyle w:val="10Tabletext"/>
            </w:pPr>
            <w:r>
              <w:t>ES</w:t>
            </w:r>
          </w:p>
        </w:tc>
        <w:tc>
          <w:tcPr>
            <w:tcW w:w="5670" w:type="dxa"/>
          </w:tcPr>
          <w:p w14:paraId="4E00C4DF" w14:textId="254B8666" w:rsidR="00DE5487" w:rsidRPr="00DE5487" w:rsidRDefault="00DE5487" w:rsidP="00745E36">
            <w:pPr>
              <w:pStyle w:val="10Tabletext"/>
              <w:rPr>
                <w:iCs/>
              </w:rPr>
            </w:pPr>
            <w:r>
              <w:rPr>
                <w:iCs/>
              </w:rPr>
              <w:t>Executive Summary</w:t>
            </w:r>
          </w:p>
        </w:tc>
      </w:tr>
      <w:tr w:rsidR="00D44F59" w:rsidRPr="009E4C4A" w14:paraId="23DD02DF" w14:textId="77777777" w:rsidTr="00215282">
        <w:trPr>
          <w:trHeight w:val="408"/>
        </w:trPr>
        <w:tc>
          <w:tcPr>
            <w:tcW w:w="2977" w:type="dxa"/>
          </w:tcPr>
          <w:p w14:paraId="3C832780" w14:textId="2D9B50D1" w:rsidR="00D44F59" w:rsidRDefault="00140B32" w:rsidP="00745E36">
            <w:pPr>
              <w:pStyle w:val="10Tabletext"/>
            </w:pPr>
            <w:r>
              <w:t>EVP</w:t>
            </w:r>
          </w:p>
        </w:tc>
        <w:tc>
          <w:tcPr>
            <w:tcW w:w="5670" w:type="dxa"/>
          </w:tcPr>
          <w:p w14:paraId="0E8F2076" w14:textId="0484C9B5" w:rsidR="00D44F59" w:rsidRDefault="00140B32" w:rsidP="00745E36">
            <w:pPr>
              <w:pStyle w:val="10Tabletext"/>
              <w:rPr>
                <w:iCs/>
              </w:rPr>
            </w:pPr>
            <w:r>
              <w:rPr>
                <w:iCs/>
              </w:rPr>
              <w:t>E</w:t>
            </w:r>
            <w:r w:rsidRPr="00140B32">
              <w:rPr>
                <w:iCs/>
              </w:rPr>
              <w:t>mployee value proposition</w:t>
            </w:r>
          </w:p>
        </w:tc>
      </w:tr>
      <w:tr w:rsidR="00D37555" w:rsidRPr="009E4C4A" w14:paraId="058A08D9" w14:textId="77777777" w:rsidTr="00215282">
        <w:trPr>
          <w:trHeight w:val="408"/>
        </w:trPr>
        <w:tc>
          <w:tcPr>
            <w:tcW w:w="2977" w:type="dxa"/>
          </w:tcPr>
          <w:p w14:paraId="664DEC0B" w14:textId="444B83B7" w:rsidR="00D37555" w:rsidRDefault="00D37555" w:rsidP="00745E36">
            <w:pPr>
              <w:pStyle w:val="10Tabletext"/>
            </w:pPr>
            <w:r>
              <w:t>FMA</w:t>
            </w:r>
          </w:p>
        </w:tc>
        <w:tc>
          <w:tcPr>
            <w:tcW w:w="5670" w:type="dxa"/>
          </w:tcPr>
          <w:p w14:paraId="56654161" w14:textId="01ED98AB" w:rsidR="00D37555" w:rsidRDefault="009826ED" w:rsidP="00745E36">
            <w:pPr>
              <w:pStyle w:val="10Tabletext"/>
            </w:pPr>
            <w:r w:rsidRPr="009826ED">
              <w:rPr>
                <w:i/>
              </w:rPr>
              <w:t>Financial Management Act 1994</w:t>
            </w:r>
            <w:r w:rsidRPr="009826ED">
              <w:t xml:space="preserve"> (Vic)</w:t>
            </w:r>
          </w:p>
        </w:tc>
      </w:tr>
      <w:tr w:rsidR="001A765E" w:rsidRPr="009E4C4A" w14:paraId="53E409B2" w14:textId="77777777" w:rsidTr="00215282">
        <w:trPr>
          <w:trHeight w:val="408"/>
        </w:trPr>
        <w:tc>
          <w:tcPr>
            <w:tcW w:w="2977" w:type="dxa"/>
          </w:tcPr>
          <w:p w14:paraId="258C0634" w14:textId="2B9ACA21" w:rsidR="001A765E" w:rsidRPr="00B81B48" w:rsidRDefault="001A765E" w:rsidP="00745E36">
            <w:pPr>
              <w:pStyle w:val="10Tabletext"/>
            </w:pPr>
            <w:r>
              <w:t>FTE</w:t>
            </w:r>
          </w:p>
        </w:tc>
        <w:tc>
          <w:tcPr>
            <w:tcW w:w="5670" w:type="dxa"/>
          </w:tcPr>
          <w:p w14:paraId="07D6BB81" w14:textId="7659E674" w:rsidR="001A765E" w:rsidRPr="00B81B48" w:rsidRDefault="001A765E" w:rsidP="00745E36">
            <w:pPr>
              <w:pStyle w:val="10Tabletext"/>
            </w:pPr>
            <w:r>
              <w:t>Full</w:t>
            </w:r>
            <w:r w:rsidR="00B72495">
              <w:t>-time equivalent</w:t>
            </w:r>
          </w:p>
        </w:tc>
      </w:tr>
      <w:tr w:rsidR="00745E36" w:rsidRPr="009E4C4A" w14:paraId="068FA243" w14:textId="77777777" w:rsidTr="00215282">
        <w:trPr>
          <w:trHeight w:val="408"/>
        </w:trPr>
        <w:tc>
          <w:tcPr>
            <w:tcW w:w="2977" w:type="dxa"/>
          </w:tcPr>
          <w:p w14:paraId="04D0518E" w14:textId="77777777" w:rsidR="00745E36" w:rsidRPr="00B81B48" w:rsidRDefault="00745E36" w:rsidP="00745E36">
            <w:pPr>
              <w:pStyle w:val="10Tabletext"/>
            </w:pPr>
            <w:r w:rsidRPr="00B81B48">
              <w:t>FWC</w:t>
            </w:r>
          </w:p>
        </w:tc>
        <w:tc>
          <w:tcPr>
            <w:tcW w:w="5670" w:type="dxa"/>
          </w:tcPr>
          <w:p w14:paraId="46D578FF" w14:textId="77777777" w:rsidR="00745E36" w:rsidRPr="00B81B48" w:rsidRDefault="00745E36" w:rsidP="00745E36">
            <w:pPr>
              <w:pStyle w:val="10Tabletext"/>
            </w:pPr>
            <w:r w:rsidRPr="00B81B48">
              <w:t>Fair Work Commission</w:t>
            </w:r>
          </w:p>
        </w:tc>
      </w:tr>
      <w:tr w:rsidR="00745E36" w:rsidRPr="009E4C4A" w14:paraId="356AD528" w14:textId="77777777" w:rsidTr="00215282">
        <w:trPr>
          <w:trHeight w:val="408"/>
        </w:trPr>
        <w:tc>
          <w:tcPr>
            <w:tcW w:w="2977" w:type="dxa"/>
          </w:tcPr>
          <w:p w14:paraId="4F508CBA" w14:textId="77777777" w:rsidR="00745E36" w:rsidRPr="00B81B48" w:rsidRDefault="00745E36" w:rsidP="00745E36">
            <w:pPr>
              <w:pStyle w:val="10Tabletext"/>
            </w:pPr>
            <w:r w:rsidRPr="00B81B48">
              <w:t>GDP</w:t>
            </w:r>
          </w:p>
        </w:tc>
        <w:tc>
          <w:tcPr>
            <w:tcW w:w="5670" w:type="dxa"/>
          </w:tcPr>
          <w:p w14:paraId="603391BC" w14:textId="77777777" w:rsidR="00745E36" w:rsidRPr="00B81B48" w:rsidRDefault="00745E36" w:rsidP="00745E36">
            <w:pPr>
              <w:pStyle w:val="10Tabletext"/>
            </w:pPr>
            <w:r w:rsidRPr="00B81B48">
              <w:t>Gross Domestic Product</w:t>
            </w:r>
          </w:p>
        </w:tc>
      </w:tr>
      <w:tr w:rsidR="002B295C" w:rsidRPr="009E4C4A" w14:paraId="28698D2B" w14:textId="77777777" w:rsidTr="00215282">
        <w:trPr>
          <w:trHeight w:val="408"/>
        </w:trPr>
        <w:tc>
          <w:tcPr>
            <w:tcW w:w="2977" w:type="dxa"/>
          </w:tcPr>
          <w:p w14:paraId="6289B563" w14:textId="04647AFC" w:rsidR="002B295C" w:rsidRPr="00B81B48" w:rsidRDefault="002B295C" w:rsidP="00745E36">
            <w:pPr>
              <w:pStyle w:val="10Tabletext"/>
            </w:pPr>
            <w:r>
              <w:t>GE Act</w:t>
            </w:r>
          </w:p>
        </w:tc>
        <w:tc>
          <w:tcPr>
            <w:tcW w:w="5670" w:type="dxa"/>
          </w:tcPr>
          <w:p w14:paraId="58008E8D" w14:textId="4D38FD8F" w:rsidR="002B295C" w:rsidRPr="00B81B48" w:rsidRDefault="000118C2" w:rsidP="00745E36">
            <w:pPr>
              <w:pStyle w:val="10Tabletext"/>
            </w:pPr>
            <w:r w:rsidRPr="000118C2">
              <w:rPr>
                <w:i/>
              </w:rPr>
              <w:t>Gender Equality Act 2020</w:t>
            </w:r>
            <w:r w:rsidRPr="000118C2">
              <w:t xml:space="preserve"> (Vic)</w:t>
            </w:r>
          </w:p>
        </w:tc>
      </w:tr>
      <w:tr w:rsidR="00745E36" w:rsidRPr="009E4C4A" w14:paraId="60654F57" w14:textId="77777777" w:rsidTr="00215282">
        <w:trPr>
          <w:trHeight w:val="408"/>
        </w:trPr>
        <w:tc>
          <w:tcPr>
            <w:tcW w:w="2977" w:type="dxa"/>
          </w:tcPr>
          <w:p w14:paraId="5E801CAC" w14:textId="77777777" w:rsidR="00745E36" w:rsidRPr="00B81B48" w:rsidRDefault="00745E36" w:rsidP="00745E36">
            <w:pPr>
              <w:pStyle w:val="10Tabletext"/>
            </w:pPr>
            <w:r>
              <w:t>GGS</w:t>
            </w:r>
          </w:p>
        </w:tc>
        <w:tc>
          <w:tcPr>
            <w:tcW w:w="5670" w:type="dxa"/>
          </w:tcPr>
          <w:p w14:paraId="73D8D4B6" w14:textId="77777777" w:rsidR="00745E36" w:rsidRPr="00B81B48" w:rsidRDefault="00745E36" w:rsidP="00745E36">
            <w:pPr>
              <w:pStyle w:val="10Tabletext"/>
            </w:pPr>
            <w:r>
              <w:t>General Government Sector</w:t>
            </w:r>
          </w:p>
        </w:tc>
      </w:tr>
      <w:tr w:rsidR="00745E36" w:rsidRPr="009E4C4A" w14:paraId="2D539092" w14:textId="77777777" w:rsidTr="00215282">
        <w:trPr>
          <w:trHeight w:val="408"/>
        </w:trPr>
        <w:tc>
          <w:tcPr>
            <w:tcW w:w="2977" w:type="dxa"/>
          </w:tcPr>
          <w:p w14:paraId="29A194F3" w14:textId="77777777" w:rsidR="00745E36" w:rsidRPr="00B81B48" w:rsidRDefault="00745E36" w:rsidP="00745E36">
            <w:pPr>
              <w:pStyle w:val="10Tabletext"/>
            </w:pPr>
            <w:r w:rsidRPr="00B81B48">
              <w:t>GSP</w:t>
            </w:r>
          </w:p>
        </w:tc>
        <w:tc>
          <w:tcPr>
            <w:tcW w:w="5670" w:type="dxa"/>
          </w:tcPr>
          <w:p w14:paraId="36DBE7AC" w14:textId="77777777" w:rsidR="00745E36" w:rsidRPr="00B81B48" w:rsidRDefault="00745E36" w:rsidP="00745E36">
            <w:pPr>
              <w:pStyle w:val="10Tabletext"/>
            </w:pPr>
            <w:r w:rsidRPr="00B81B48">
              <w:t>Gross State Product</w:t>
            </w:r>
          </w:p>
        </w:tc>
      </w:tr>
      <w:tr w:rsidR="00BA4B38" w:rsidRPr="009E4C4A" w14:paraId="0D289ED9" w14:textId="77777777" w:rsidTr="00215282">
        <w:trPr>
          <w:trHeight w:val="408"/>
        </w:trPr>
        <w:tc>
          <w:tcPr>
            <w:tcW w:w="2977" w:type="dxa"/>
          </w:tcPr>
          <w:p w14:paraId="67FCC541" w14:textId="3C23AD2B" w:rsidR="00BA4B38" w:rsidRPr="00B81B48" w:rsidRDefault="00BA4B38" w:rsidP="00745E36">
            <w:pPr>
              <w:pStyle w:val="10Tabletext"/>
            </w:pPr>
            <w:r>
              <w:t>Guideline rate</w:t>
            </w:r>
          </w:p>
        </w:tc>
        <w:tc>
          <w:tcPr>
            <w:tcW w:w="5670" w:type="dxa"/>
          </w:tcPr>
          <w:p w14:paraId="6728393C" w14:textId="5389D80E" w:rsidR="00BA4B38" w:rsidRPr="00B81B48" w:rsidRDefault="00BA4B38" w:rsidP="00745E36">
            <w:pPr>
              <w:pStyle w:val="10Tabletext"/>
            </w:pPr>
            <w:r w:rsidRPr="00BA4B38">
              <w:t>Premier’s annual adjustment guideline rate</w:t>
            </w:r>
          </w:p>
        </w:tc>
      </w:tr>
      <w:tr w:rsidR="00747046" w:rsidRPr="009E4C4A" w14:paraId="1D9A7782" w14:textId="77777777" w:rsidTr="00215282">
        <w:trPr>
          <w:trHeight w:val="408"/>
        </w:trPr>
        <w:tc>
          <w:tcPr>
            <w:tcW w:w="2977" w:type="dxa"/>
          </w:tcPr>
          <w:p w14:paraId="1ABFF165" w14:textId="67952B54" w:rsidR="00747046" w:rsidRDefault="00747046" w:rsidP="00745E36">
            <w:pPr>
              <w:pStyle w:val="10Tabletext"/>
            </w:pPr>
            <w:r>
              <w:t>IABAC</w:t>
            </w:r>
          </w:p>
        </w:tc>
        <w:tc>
          <w:tcPr>
            <w:tcW w:w="5670" w:type="dxa"/>
          </w:tcPr>
          <w:p w14:paraId="509C7752" w14:textId="7412F73C" w:rsidR="00747046" w:rsidRPr="004347DA" w:rsidRDefault="00747046" w:rsidP="00745E36">
            <w:pPr>
              <w:pStyle w:val="10Tabletext"/>
            </w:pPr>
            <w:r w:rsidRPr="00747046">
              <w:t>International Association of Business Analytics Certification</w:t>
            </w:r>
          </w:p>
        </w:tc>
      </w:tr>
      <w:tr w:rsidR="004347DA" w:rsidRPr="009E4C4A" w14:paraId="251F7A28" w14:textId="77777777" w:rsidTr="00215282">
        <w:trPr>
          <w:trHeight w:val="408"/>
        </w:trPr>
        <w:tc>
          <w:tcPr>
            <w:tcW w:w="2977" w:type="dxa"/>
          </w:tcPr>
          <w:p w14:paraId="3E7FAEFC" w14:textId="5C476288" w:rsidR="004347DA" w:rsidRDefault="004347DA" w:rsidP="00745E36">
            <w:pPr>
              <w:pStyle w:val="10Tabletext"/>
            </w:pPr>
            <w:r>
              <w:t>IBAC</w:t>
            </w:r>
          </w:p>
        </w:tc>
        <w:tc>
          <w:tcPr>
            <w:tcW w:w="5670" w:type="dxa"/>
          </w:tcPr>
          <w:p w14:paraId="4368C377" w14:textId="03A515C3" w:rsidR="004347DA" w:rsidRPr="00BA4B38" w:rsidRDefault="004347DA" w:rsidP="00745E36">
            <w:pPr>
              <w:pStyle w:val="10Tabletext"/>
            </w:pPr>
            <w:r w:rsidRPr="004347DA">
              <w:t>Independent Broad-based Anti-corruption Commission</w:t>
            </w:r>
          </w:p>
        </w:tc>
      </w:tr>
      <w:tr w:rsidR="00CA2306" w:rsidRPr="009E4C4A" w14:paraId="7AAB34AD" w14:textId="77777777" w:rsidTr="00215282">
        <w:trPr>
          <w:trHeight w:val="408"/>
        </w:trPr>
        <w:tc>
          <w:tcPr>
            <w:tcW w:w="2977" w:type="dxa"/>
          </w:tcPr>
          <w:p w14:paraId="50D96A9E" w14:textId="74C7F457" w:rsidR="00CA2306" w:rsidRDefault="00CA2306" w:rsidP="00745E36">
            <w:pPr>
              <w:pStyle w:val="10Tabletext"/>
            </w:pPr>
            <w:r>
              <w:t>JSA</w:t>
            </w:r>
          </w:p>
        </w:tc>
        <w:tc>
          <w:tcPr>
            <w:tcW w:w="5670" w:type="dxa"/>
          </w:tcPr>
          <w:p w14:paraId="3FDC1F57" w14:textId="7B2AF171" w:rsidR="00CA2306" w:rsidRDefault="00CA2306" w:rsidP="00745E36">
            <w:pPr>
              <w:pStyle w:val="10Tabletext"/>
            </w:pPr>
            <w:r>
              <w:t>Jobs and Skills Australia</w:t>
            </w:r>
          </w:p>
        </w:tc>
      </w:tr>
      <w:tr w:rsidR="00796627" w:rsidRPr="009E4C4A" w14:paraId="375D4F27" w14:textId="77777777" w:rsidTr="00215282">
        <w:trPr>
          <w:trHeight w:val="408"/>
        </w:trPr>
        <w:tc>
          <w:tcPr>
            <w:tcW w:w="2977" w:type="dxa"/>
          </w:tcPr>
          <w:p w14:paraId="3E4853E6" w14:textId="7B7E9CBD" w:rsidR="00796627" w:rsidRDefault="00796627" w:rsidP="00745E36">
            <w:pPr>
              <w:pStyle w:val="10Tabletext"/>
            </w:pPr>
            <w:r>
              <w:t>JSE</w:t>
            </w:r>
          </w:p>
        </w:tc>
        <w:tc>
          <w:tcPr>
            <w:tcW w:w="5670" w:type="dxa"/>
          </w:tcPr>
          <w:p w14:paraId="77C7643C" w14:textId="10731F56" w:rsidR="00796627" w:rsidRDefault="00796627" w:rsidP="00745E36">
            <w:pPr>
              <w:pStyle w:val="10Tabletext"/>
            </w:pPr>
            <w:r>
              <w:t>Jobs and Skills Exchange</w:t>
            </w:r>
          </w:p>
        </w:tc>
      </w:tr>
      <w:tr w:rsidR="00547D1C" w:rsidRPr="009E4C4A" w14:paraId="6345263B" w14:textId="77777777" w:rsidTr="00215282">
        <w:trPr>
          <w:trHeight w:val="408"/>
        </w:trPr>
        <w:tc>
          <w:tcPr>
            <w:tcW w:w="2977" w:type="dxa"/>
          </w:tcPr>
          <w:p w14:paraId="452A23E0" w14:textId="4625223C" w:rsidR="00547D1C" w:rsidRDefault="00CC55AC" w:rsidP="00745E36">
            <w:pPr>
              <w:pStyle w:val="10Tabletext"/>
            </w:pPr>
            <w:r>
              <w:t>Melbourne CPI</w:t>
            </w:r>
          </w:p>
        </w:tc>
        <w:tc>
          <w:tcPr>
            <w:tcW w:w="5670" w:type="dxa"/>
          </w:tcPr>
          <w:p w14:paraId="7CAF11A7" w14:textId="7A395A12" w:rsidR="00547D1C" w:rsidRDefault="00CC55AC" w:rsidP="00745E36">
            <w:pPr>
              <w:pStyle w:val="10Tabletext"/>
            </w:pPr>
            <w:r>
              <w:t>All Groups Consumer Price In</w:t>
            </w:r>
            <w:r w:rsidR="0056484D">
              <w:t>dex for Melbourne</w:t>
            </w:r>
          </w:p>
        </w:tc>
      </w:tr>
      <w:tr w:rsidR="00E90D74" w:rsidRPr="009E4C4A" w14:paraId="4987053B" w14:textId="77777777" w:rsidTr="00215282">
        <w:trPr>
          <w:trHeight w:val="408"/>
        </w:trPr>
        <w:tc>
          <w:tcPr>
            <w:tcW w:w="2977" w:type="dxa"/>
          </w:tcPr>
          <w:p w14:paraId="58EFB03C" w14:textId="021C83F3" w:rsidR="00E90D74" w:rsidRDefault="00E90D74" w:rsidP="00745E36">
            <w:pPr>
              <w:pStyle w:val="10Tabletext"/>
            </w:pPr>
            <w:r>
              <w:t>MSCB</w:t>
            </w:r>
          </w:p>
        </w:tc>
        <w:tc>
          <w:tcPr>
            <w:tcW w:w="5670" w:type="dxa"/>
          </w:tcPr>
          <w:p w14:paraId="7E48CA54" w14:textId="0C16643F" w:rsidR="00E90D74" w:rsidRPr="002B295C" w:rsidRDefault="00771B36" w:rsidP="00745E36">
            <w:pPr>
              <w:pStyle w:val="10Tabletext"/>
            </w:pPr>
            <w:r>
              <w:t>M</w:t>
            </w:r>
            <w:r w:rsidRPr="00771B36">
              <w:t>aximum superannuation contribution base</w:t>
            </w:r>
          </w:p>
        </w:tc>
      </w:tr>
      <w:tr w:rsidR="008E17AB" w:rsidRPr="009E4C4A" w14:paraId="4E12281F" w14:textId="77777777" w:rsidTr="00215282">
        <w:trPr>
          <w:trHeight w:val="408"/>
        </w:trPr>
        <w:tc>
          <w:tcPr>
            <w:tcW w:w="2977" w:type="dxa"/>
          </w:tcPr>
          <w:p w14:paraId="47118A7B" w14:textId="5651408F" w:rsidR="008E17AB" w:rsidRDefault="008E17AB" w:rsidP="00745E36">
            <w:pPr>
              <w:pStyle w:val="10Tabletext"/>
            </w:pPr>
            <w:r>
              <w:t>NMW</w:t>
            </w:r>
          </w:p>
        </w:tc>
        <w:tc>
          <w:tcPr>
            <w:tcW w:w="5670" w:type="dxa"/>
          </w:tcPr>
          <w:p w14:paraId="06FA5EC4" w14:textId="4C9780AF" w:rsidR="008E17AB" w:rsidRDefault="008E17AB" w:rsidP="00745E36">
            <w:pPr>
              <w:pStyle w:val="10Tabletext"/>
            </w:pPr>
            <w:r>
              <w:t>National Minimum Wage</w:t>
            </w:r>
          </w:p>
        </w:tc>
      </w:tr>
      <w:tr w:rsidR="00B053D2" w:rsidRPr="009E4C4A" w14:paraId="17ADEC90" w14:textId="77777777" w:rsidTr="00215282">
        <w:trPr>
          <w:trHeight w:val="408"/>
        </w:trPr>
        <w:tc>
          <w:tcPr>
            <w:tcW w:w="2977" w:type="dxa"/>
          </w:tcPr>
          <w:p w14:paraId="4BC76A99" w14:textId="0CEA0B13" w:rsidR="00B053D2" w:rsidRDefault="00B053D2" w:rsidP="00745E36">
            <w:pPr>
              <w:pStyle w:val="10Tabletext"/>
            </w:pPr>
            <w:r>
              <w:t>NSW</w:t>
            </w:r>
          </w:p>
        </w:tc>
        <w:tc>
          <w:tcPr>
            <w:tcW w:w="5670" w:type="dxa"/>
          </w:tcPr>
          <w:p w14:paraId="3C51581C" w14:textId="21A2DA79" w:rsidR="00B053D2" w:rsidRPr="002B295C" w:rsidRDefault="00B053D2" w:rsidP="00745E36">
            <w:pPr>
              <w:pStyle w:val="10Tabletext"/>
            </w:pPr>
            <w:r>
              <w:t>New South Wales</w:t>
            </w:r>
          </w:p>
        </w:tc>
      </w:tr>
      <w:tr w:rsidR="00F31295" w:rsidRPr="009E4C4A" w14:paraId="220F435B" w14:textId="77777777" w:rsidTr="00215282">
        <w:trPr>
          <w:trHeight w:val="408"/>
        </w:trPr>
        <w:tc>
          <w:tcPr>
            <w:tcW w:w="2977" w:type="dxa"/>
          </w:tcPr>
          <w:p w14:paraId="46E99759" w14:textId="4C433333" w:rsidR="00F31295" w:rsidRDefault="00F31295" w:rsidP="00745E36">
            <w:pPr>
              <w:pStyle w:val="10Tabletext"/>
            </w:pPr>
            <w:r>
              <w:t>NSWPSC</w:t>
            </w:r>
          </w:p>
        </w:tc>
        <w:tc>
          <w:tcPr>
            <w:tcW w:w="5670" w:type="dxa"/>
          </w:tcPr>
          <w:p w14:paraId="0A600E3F" w14:textId="599D67CF" w:rsidR="00F31295" w:rsidRPr="002B295C" w:rsidRDefault="00F31295" w:rsidP="00745E36">
            <w:pPr>
              <w:pStyle w:val="10Tabletext"/>
            </w:pPr>
            <w:r>
              <w:t>NSW Public Sector Commission</w:t>
            </w:r>
          </w:p>
        </w:tc>
      </w:tr>
      <w:tr w:rsidR="00F158CF" w:rsidRPr="009E4C4A" w14:paraId="24682D44" w14:textId="77777777" w:rsidTr="00215282">
        <w:trPr>
          <w:trHeight w:val="408"/>
        </w:trPr>
        <w:tc>
          <w:tcPr>
            <w:tcW w:w="2977" w:type="dxa"/>
          </w:tcPr>
          <w:p w14:paraId="4D127326" w14:textId="5B192EA4" w:rsidR="00F158CF" w:rsidRDefault="00F158CF" w:rsidP="00745E36">
            <w:pPr>
              <w:pStyle w:val="10Tabletext"/>
            </w:pPr>
            <w:r>
              <w:lastRenderedPageBreak/>
              <w:t>OECD</w:t>
            </w:r>
          </w:p>
        </w:tc>
        <w:tc>
          <w:tcPr>
            <w:tcW w:w="5670" w:type="dxa"/>
          </w:tcPr>
          <w:p w14:paraId="57D86A05" w14:textId="207D8F52" w:rsidR="00F158CF" w:rsidRPr="002B295C" w:rsidRDefault="002B295C" w:rsidP="00745E36">
            <w:pPr>
              <w:pStyle w:val="10Tabletext"/>
            </w:pPr>
            <w:r w:rsidRPr="002B295C">
              <w:t>Organisation for Economic Co-operation and Development</w:t>
            </w:r>
          </w:p>
        </w:tc>
      </w:tr>
      <w:tr w:rsidR="004347DA" w:rsidRPr="009E4C4A" w14:paraId="1438BB9E" w14:textId="77777777" w:rsidTr="00215282">
        <w:trPr>
          <w:trHeight w:val="408"/>
        </w:trPr>
        <w:tc>
          <w:tcPr>
            <w:tcW w:w="2977" w:type="dxa"/>
          </w:tcPr>
          <w:p w14:paraId="46E8F9EB" w14:textId="0B9ECE03" w:rsidR="004347DA" w:rsidRDefault="004347DA" w:rsidP="00745E36">
            <w:pPr>
              <w:pStyle w:val="10Tabletext"/>
            </w:pPr>
            <w:r>
              <w:t>OVIC</w:t>
            </w:r>
          </w:p>
        </w:tc>
        <w:tc>
          <w:tcPr>
            <w:tcW w:w="5670" w:type="dxa"/>
          </w:tcPr>
          <w:p w14:paraId="72C8963E" w14:textId="58C823E4" w:rsidR="004347DA" w:rsidRPr="002B295C" w:rsidRDefault="004347DA" w:rsidP="00745E36">
            <w:pPr>
              <w:pStyle w:val="10Tabletext"/>
            </w:pPr>
            <w:r>
              <w:t>Office of the Victorian Information Commissioner</w:t>
            </w:r>
          </w:p>
        </w:tc>
      </w:tr>
      <w:tr w:rsidR="004D214F" w:rsidRPr="009E4C4A" w14:paraId="303B485B" w14:textId="77777777" w:rsidTr="00215282">
        <w:trPr>
          <w:trHeight w:val="408"/>
        </w:trPr>
        <w:tc>
          <w:tcPr>
            <w:tcW w:w="2977" w:type="dxa"/>
          </w:tcPr>
          <w:p w14:paraId="1B9B683D" w14:textId="28A12779" w:rsidR="004D214F" w:rsidRPr="00B81B48" w:rsidRDefault="004D214F" w:rsidP="00745E36">
            <w:pPr>
              <w:pStyle w:val="10Tabletext"/>
            </w:pPr>
            <w:r>
              <w:t>PAA</w:t>
            </w:r>
          </w:p>
        </w:tc>
        <w:tc>
          <w:tcPr>
            <w:tcW w:w="5670" w:type="dxa"/>
          </w:tcPr>
          <w:p w14:paraId="33FA9BE4" w14:textId="7A5B0268" w:rsidR="004D214F" w:rsidRPr="00B81B48" w:rsidRDefault="002B7897" w:rsidP="00745E36">
            <w:pPr>
              <w:pStyle w:val="10Tabletext"/>
            </w:pPr>
            <w:r w:rsidRPr="002B7897">
              <w:rPr>
                <w:i/>
              </w:rPr>
              <w:t>Public Administration Act 2004</w:t>
            </w:r>
            <w:r w:rsidRPr="002B7897">
              <w:t xml:space="preserve"> (Vic)</w:t>
            </w:r>
          </w:p>
        </w:tc>
      </w:tr>
      <w:tr w:rsidR="00BE5105" w:rsidRPr="009E4C4A" w14:paraId="2E840496" w14:textId="77777777" w:rsidTr="00215282">
        <w:trPr>
          <w:trHeight w:val="408"/>
        </w:trPr>
        <w:tc>
          <w:tcPr>
            <w:tcW w:w="2977" w:type="dxa"/>
          </w:tcPr>
          <w:p w14:paraId="016BBB35" w14:textId="02386581" w:rsidR="00BE5105" w:rsidRDefault="00BE5105" w:rsidP="00745E36">
            <w:pPr>
              <w:pStyle w:val="10Tabletext"/>
            </w:pPr>
            <w:r>
              <w:t>PAEC</w:t>
            </w:r>
          </w:p>
        </w:tc>
        <w:tc>
          <w:tcPr>
            <w:tcW w:w="5670" w:type="dxa"/>
          </w:tcPr>
          <w:p w14:paraId="1CF9998A" w14:textId="27F0F4AA" w:rsidR="00BE5105" w:rsidRPr="00757D7E" w:rsidRDefault="00757D7E" w:rsidP="00745E36">
            <w:pPr>
              <w:pStyle w:val="10Tabletext"/>
            </w:pPr>
            <w:r w:rsidRPr="00757D7E">
              <w:t>Public Accounts and Estimates Committee</w:t>
            </w:r>
          </w:p>
        </w:tc>
      </w:tr>
      <w:tr w:rsidR="00692C33" w:rsidRPr="009E4C4A" w14:paraId="26CE1614" w14:textId="77777777" w:rsidTr="00215282">
        <w:trPr>
          <w:trHeight w:val="408"/>
        </w:trPr>
        <w:tc>
          <w:tcPr>
            <w:tcW w:w="2977" w:type="dxa"/>
          </w:tcPr>
          <w:p w14:paraId="07605D70" w14:textId="74B020AE" w:rsidR="00692C33" w:rsidRPr="00B81B48" w:rsidRDefault="00692C33" w:rsidP="00745E36">
            <w:pPr>
              <w:pStyle w:val="10Tabletext"/>
            </w:pPr>
            <w:r>
              <w:t>PSSE</w:t>
            </w:r>
          </w:p>
        </w:tc>
        <w:tc>
          <w:tcPr>
            <w:tcW w:w="5670" w:type="dxa"/>
          </w:tcPr>
          <w:p w14:paraId="16ED4072" w14:textId="0C6671D8" w:rsidR="00692C33" w:rsidRPr="00B81B48" w:rsidRDefault="00692C33" w:rsidP="00745E36">
            <w:pPr>
              <w:pStyle w:val="10Tabletext"/>
            </w:pPr>
            <w:r>
              <w:t>Public Service Senior Executive</w:t>
            </w:r>
            <w:r w:rsidR="00911033">
              <w:t xml:space="preserve"> (NSW)</w:t>
            </w:r>
          </w:p>
        </w:tc>
      </w:tr>
      <w:tr w:rsidR="00BF1BF0" w:rsidRPr="009E4C4A" w14:paraId="53CFE963" w14:textId="77777777" w:rsidTr="00215282">
        <w:trPr>
          <w:trHeight w:val="408"/>
        </w:trPr>
        <w:tc>
          <w:tcPr>
            <w:tcW w:w="2977" w:type="dxa"/>
          </w:tcPr>
          <w:p w14:paraId="7B028C88" w14:textId="27B44BFA" w:rsidR="00BF1BF0" w:rsidRPr="001D17C0" w:rsidRDefault="00BF1BF0" w:rsidP="00745E36">
            <w:pPr>
              <w:pStyle w:val="10Tabletext"/>
            </w:pPr>
            <w:r w:rsidRPr="00BF1BF0">
              <w:t>PSSE Determination</w:t>
            </w:r>
          </w:p>
        </w:tc>
        <w:tc>
          <w:tcPr>
            <w:tcW w:w="5670" w:type="dxa"/>
          </w:tcPr>
          <w:p w14:paraId="2BD63585" w14:textId="767146A2" w:rsidR="00BF1BF0" w:rsidRPr="001D17C0" w:rsidRDefault="00BF1BF0" w:rsidP="00745E36">
            <w:pPr>
              <w:pStyle w:val="10Tabletext"/>
            </w:pPr>
            <w:r w:rsidRPr="00BF1BF0">
              <w:t>Public Service Senior Executives</w:t>
            </w:r>
            <w:r w:rsidR="00911033">
              <w:t xml:space="preserve"> —</w:t>
            </w:r>
            <w:r w:rsidRPr="00BF1BF0">
              <w:t xml:space="preserve"> Annual Determination</w:t>
            </w:r>
          </w:p>
        </w:tc>
      </w:tr>
      <w:tr w:rsidR="001D17C0" w:rsidRPr="009E4C4A" w14:paraId="01C20D0B" w14:textId="77777777" w:rsidTr="00215282">
        <w:trPr>
          <w:trHeight w:val="408"/>
        </w:trPr>
        <w:tc>
          <w:tcPr>
            <w:tcW w:w="2977" w:type="dxa"/>
          </w:tcPr>
          <w:p w14:paraId="7481ED6C" w14:textId="6CC6F8C8" w:rsidR="001D17C0" w:rsidRDefault="001D17C0" w:rsidP="00745E36">
            <w:pPr>
              <w:pStyle w:val="10Tabletext"/>
            </w:pPr>
            <w:r w:rsidRPr="001D17C0">
              <w:t>PSSE Framework</w:t>
            </w:r>
          </w:p>
        </w:tc>
        <w:tc>
          <w:tcPr>
            <w:tcW w:w="5670" w:type="dxa"/>
          </w:tcPr>
          <w:p w14:paraId="377E424B" w14:textId="69B96BE3" w:rsidR="001D17C0" w:rsidRDefault="001D17C0" w:rsidP="00745E36">
            <w:pPr>
              <w:pStyle w:val="10Tabletext"/>
            </w:pPr>
            <w:r w:rsidRPr="001D17C0">
              <w:t>Public Service Senior Executive Remuneration Management Framework</w:t>
            </w:r>
          </w:p>
        </w:tc>
      </w:tr>
      <w:tr w:rsidR="0070782C" w:rsidRPr="009E4C4A" w14:paraId="1ADF58CB" w14:textId="77777777" w:rsidTr="00215282">
        <w:trPr>
          <w:trHeight w:val="408"/>
        </w:trPr>
        <w:tc>
          <w:tcPr>
            <w:tcW w:w="2977" w:type="dxa"/>
          </w:tcPr>
          <w:p w14:paraId="6F2F831C" w14:textId="70BD6635" w:rsidR="0070782C" w:rsidRPr="00B81B48" w:rsidRDefault="0070782C" w:rsidP="00745E36">
            <w:pPr>
              <w:pStyle w:val="10Tabletext"/>
            </w:pPr>
            <w:r>
              <w:t>QPSC</w:t>
            </w:r>
          </w:p>
        </w:tc>
        <w:tc>
          <w:tcPr>
            <w:tcW w:w="5670" w:type="dxa"/>
          </w:tcPr>
          <w:p w14:paraId="0CC5C9E7" w14:textId="3DC6319C" w:rsidR="0070782C" w:rsidRPr="00B81B48" w:rsidRDefault="0070782C" w:rsidP="00745E36">
            <w:pPr>
              <w:pStyle w:val="10Tabletext"/>
            </w:pPr>
            <w:r>
              <w:t>Queensland Public Sector Commission</w:t>
            </w:r>
          </w:p>
        </w:tc>
      </w:tr>
      <w:tr w:rsidR="00745E36" w:rsidRPr="009E4C4A" w14:paraId="2B46EE5E" w14:textId="77777777" w:rsidTr="00215282">
        <w:trPr>
          <w:trHeight w:val="408"/>
        </w:trPr>
        <w:tc>
          <w:tcPr>
            <w:tcW w:w="2977" w:type="dxa"/>
          </w:tcPr>
          <w:p w14:paraId="6A753628" w14:textId="77777777" w:rsidR="00745E36" w:rsidRPr="00B81B48" w:rsidRDefault="00745E36" w:rsidP="00745E36">
            <w:pPr>
              <w:pStyle w:val="10Tabletext"/>
            </w:pPr>
            <w:r w:rsidRPr="00B81B48">
              <w:t>RBA</w:t>
            </w:r>
          </w:p>
        </w:tc>
        <w:tc>
          <w:tcPr>
            <w:tcW w:w="5670" w:type="dxa"/>
          </w:tcPr>
          <w:p w14:paraId="2DAB9A30" w14:textId="77777777" w:rsidR="00745E36" w:rsidRPr="00B81B48" w:rsidRDefault="00745E36" w:rsidP="00745E36">
            <w:pPr>
              <w:pStyle w:val="10Tabletext"/>
            </w:pPr>
            <w:r w:rsidRPr="00B81B48">
              <w:t>Reserve Bank of Australia</w:t>
            </w:r>
          </w:p>
        </w:tc>
      </w:tr>
      <w:tr w:rsidR="002B7897" w:rsidRPr="009E4C4A" w14:paraId="2FBD6BDE" w14:textId="77777777" w:rsidTr="00215282">
        <w:trPr>
          <w:trHeight w:val="408"/>
        </w:trPr>
        <w:tc>
          <w:tcPr>
            <w:tcW w:w="2977" w:type="dxa"/>
          </w:tcPr>
          <w:p w14:paraId="5C28B0B8" w14:textId="7FA46B09" w:rsidR="002B7897" w:rsidRPr="00B81B48" w:rsidRDefault="002B7897" w:rsidP="00745E36">
            <w:pPr>
              <w:pStyle w:val="10Tabletext"/>
            </w:pPr>
            <w:r>
              <w:t>SES</w:t>
            </w:r>
          </w:p>
        </w:tc>
        <w:tc>
          <w:tcPr>
            <w:tcW w:w="5670" w:type="dxa"/>
          </w:tcPr>
          <w:p w14:paraId="20106347" w14:textId="3CDCD2CD" w:rsidR="002B7897" w:rsidRPr="00B81B48" w:rsidRDefault="00876C85" w:rsidP="00745E36">
            <w:pPr>
              <w:pStyle w:val="10Tabletext"/>
            </w:pPr>
            <w:r>
              <w:t>S</w:t>
            </w:r>
            <w:r w:rsidRPr="00876C85">
              <w:t xml:space="preserve">enior </w:t>
            </w:r>
            <w:r w:rsidR="00CE7A22">
              <w:t>E</w:t>
            </w:r>
            <w:r w:rsidRPr="00876C85">
              <w:t xml:space="preserve">xecutive </w:t>
            </w:r>
            <w:r w:rsidR="00CE7A22">
              <w:t>S</w:t>
            </w:r>
            <w:r w:rsidRPr="00876C85">
              <w:t>ervice</w:t>
            </w:r>
          </w:p>
        </w:tc>
      </w:tr>
      <w:tr w:rsidR="00E90D74" w:rsidRPr="009E4C4A" w14:paraId="55088C4C" w14:textId="77777777" w:rsidTr="00215282">
        <w:trPr>
          <w:trHeight w:val="408"/>
        </w:trPr>
        <w:tc>
          <w:tcPr>
            <w:tcW w:w="2977" w:type="dxa"/>
          </w:tcPr>
          <w:p w14:paraId="1A2D5BE2" w14:textId="13905C81" w:rsidR="00E90D74" w:rsidRDefault="00E90D74" w:rsidP="00745E36">
            <w:pPr>
              <w:pStyle w:val="10Tabletext"/>
            </w:pPr>
            <w:r>
              <w:t>SG</w:t>
            </w:r>
          </w:p>
        </w:tc>
        <w:tc>
          <w:tcPr>
            <w:tcW w:w="5670" w:type="dxa"/>
          </w:tcPr>
          <w:p w14:paraId="592AABAA" w14:textId="1C8233D4" w:rsidR="00E90D74" w:rsidRDefault="00E90D74" w:rsidP="00745E36">
            <w:pPr>
              <w:pStyle w:val="10Tabletext"/>
            </w:pPr>
            <w:r>
              <w:t>Superannuation guarantee</w:t>
            </w:r>
          </w:p>
        </w:tc>
      </w:tr>
      <w:tr w:rsidR="009F1AF5" w:rsidRPr="009E4C4A" w14:paraId="1E885F78" w14:textId="77777777" w:rsidTr="00215282">
        <w:trPr>
          <w:trHeight w:val="408"/>
        </w:trPr>
        <w:tc>
          <w:tcPr>
            <w:tcW w:w="2977" w:type="dxa"/>
          </w:tcPr>
          <w:p w14:paraId="5776E263" w14:textId="3DF1C63B" w:rsidR="009F1AF5" w:rsidRDefault="009F1AF5" w:rsidP="00745E36">
            <w:pPr>
              <w:pStyle w:val="10Tabletext"/>
            </w:pPr>
            <w:r>
              <w:t>SOORT</w:t>
            </w:r>
          </w:p>
        </w:tc>
        <w:tc>
          <w:tcPr>
            <w:tcW w:w="5670" w:type="dxa"/>
          </w:tcPr>
          <w:p w14:paraId="06D7C40A" w14:textId="4688BE1D" w:rsidR="009F1AF5" w:rsidRDefault="009F1AF5" w:rsidP="00745E36">
            <w:pPr>
              <w:pStyle w:val="10Tabletext"/>
            </w:pPr>
            <w:r>
              <w:t>NSW Statutory and Other Offices Remuneration Tribunal</w:t>
            </w:r>
          </w:p>
        </w:tc>
      </w:tr>
      <w:tr w:rsidR="001E0365" w:rsidRPr="009E4C4A" w14:paraId="4A464D68" w14:textId="77777777" w:rsidTr="00215282">
        <w:trPr>
          <w:trHeight w:val="408"/>
        </w:trPr>
        <w:tc>
          <w:tcPr>
            <w:tcW w:w="2977" w:type="dxa"/>
          </w:tcPr>
          <w:p w14:paraId="5166CC6D" w14:textId="69B831EA" w:rsidR="001E0365" w:rsidRDefault="001E0365" w:rsidP="00745E36">
            <w:pPr>
              <w:pStyle w:val="10Tabletext"/>
            </w:pPr>
            <w:r>
              <w:t>Standard contract</w:t>
            </w:r>
          </w:p>
        </w:tc>
        <w:tc>
          <w:tcPr>
            <w:tcW w:w="5670" w:type="dxa"/>
          </w:tcPr>
          <w:p w14:paraId="6FBD3FD2" w14:textId="1455A6D9" w:rsidR="001E0365" w:rsidRDefault="00173698" w:rsidP="00745E36">
            <w:pPr>
              <w:pStyle w:val="10Tabletext"/>
            </w:pPr>
            <w:r>
              <w:t>Standard executive contract template published by the Victorian Public Sector Commission</w:t>
            </w:r>
          </w:p>
        </w:tc>
      </w:tr>
      <w:tr w:rsidR="00124A7A" w:rsidRPr="009E4C4A" w14:paraId="6B11E597" w14:textId="77777777" w:rsidTr="00215282">
        <w:trPr>
          <w:trHeight w:val="408"/>
        </w:trPr>
        <w:tc>
          <w:tcPr>
            <w:tcW w:w="2977" w:type="dxa"/>
          </w:tcPr>
          <w:p w14:paraId="64EA8FDD" w14:textId="29A14202" w:rsidR="00124A7A" w:rsidRPr="00B81B48" w:rsidRDefault="00EF4ED8" w:rsidP="00745E36">
            <w:pPr>
              <w:pStyle w:val="10Tabletext"/>
            </w:pPr>
            <w:r>
              <w:t>STS</w:t>
            </w:r>
          </w:p>
        </w:tc>
        <w:tc>
          <w:tcPr>
            <w:tcW w:w="5670" w:type="dxa"/>
          </w:tcPr>
          <w:p w14:paraId="159E0AD2" w14:textId="0846C02D" w:rsidR="00124A7A" w:rsidRPr="00B81B48" w:rsidRDefault="00EF4ED8" w:rsidP="00745E36">
            <w:pPr>
              <w:pStyle w:val="10Tabletext"/>
            </w:pPr>
            <w:r>
              <w:t>Senior Technical Specialist</w:t>
            </w:r>
          </w:p>
        </w:tc>
      </w:tr>
      <w:tr w:rsidR="00013704" w:rsidRPr="009E4C4A" w14:paraId="7657508A" w14:textId="77777777" w:rsidTr="00215282">
        <w:trPr>
          <w:trHeight w:val="408"/>
        </w:trPr>
        <w:tc>
          <w:tcPr>
            <w:tcW w:w="2977" w:type="dxa"/>
          </w:tcPr>
          <w:p w14:paraId="65AB2FC1" w14:textId="43D9727C" w:rsidR="00013704" w:rsidRPr="00B81B48" w:rsidRDefault="00013704" w:rsidP="00745E36">
            <w:pPr>
              <w:pStyle w:val="10Tabletext"/>
            </w:pPr>
            <w:r>
              <w:t>TEI</w:t>
            </w:r>
          </w:p>
        </w:tc>
        <w:tc>
          <w:tcPr>
            <w:tcW w:w="5670" w:type="dxa"/>
          </w:tcPr>
          <w:p w14:paraId="7353F127" w14:textId="7DC97C35" w:rsidR="00013704" w:rsidRPr="00B81B48" w:rsidRDefault="00013704" w:rsidP="00745E36">
            <w:pPr>
              <w:pStyle w:val="10Tabletext"/>
            </w:pPr>
            <w:r>
              <w:t xml:space="preserve">Total </w:t>
            </w:r>
            <w:r w:rsidR="004A6E95">
              <w:t>estimated investment</w:t>
            </w:r>
          </w:p>
        </w:tc>
      </w:tr>
      <w:tr w:rsidR="00745E36" w:rsidRPr="009E4C4A" w14:paraId="29A24DA3" w14:textId="77777777" w:rsidTr="00215282">
        <w:trPr>
          <w:trHeight w:val="408"/>
        </w:trPr>
        <w:tc>
          <w:tcPr>
            <w:tcW w:w="2977" w:type="dxa"/>
          </w:tcPr>
          <w:p w14:paraId="5B335833" w14:textId="77777777" w:rsidR="00745E36" w:rsidRPr="00B81B48" w:rsidRDefault="00745E36" w:rsidP="00745E36">
            <w:pPr>
              <w:pStyle w:val="10Tabletext"/>
            </w:pPr>
            <w:r w:rsidRPr="00B81B48">
              <w:t>Tribunal</w:t>
            </w:r>
          </w:p>
        </w:tc>
        <w:tc>
          <w:tcPr>
            <w:tcW w:w="5670" w:type="dxa"/>
          </w:tcPr>
          <w:p w14:paraId="5BCB8460" w14:textId="77777777" w:rsidR="00745E36" w:rsidRPr="00B81B48" w:rsidRDefault="00745E36" w:rsidP="00745E36">
            <w:pPr>
              <w:pStyle w:val="10Tabletext"/>
            </w:pPr>
            <w:r w:rsidRPr="00B81B48">
              <w:t>Victorian Independent Remuneration Tribunal</w:t>
            </w:r>
          </w:p>
        </w:tc>
      </w:tr>
      <w:tr w:rsidR="004C3860" w:rsidRPr="009E4C4A" w14:paraId="4D064039" w14:textId="77777777" w:rsidTr="00215282">
        <w:trPr>
          <w:trHeight w:val="408"/>
        </w:trPr>
        <w:tc>
          <w:tcPr>
            <w:tcW w:w="2977" w:type="dxa"/>
          </w:tcPr>
          <w:p w14:paraId="64A4631F" w14:textId="69DC45D7" w:rsidR="004C3860" w:rsidRPr="00B81B48" w:rsidRDefault="004C3860" w:rsidP="00745E36">
            <w:pPr>
              <w:pStyle w:val="10Tabletext"/>
            </w:pPr>
            <w:r>
              <w:t>TRP</w:t>
            </w:r>
          </w:p>
        </w:tc>
        <w:tc>
          <w:tcPr>
            <w:tcW w:w="5670" w:type="dxa"/>
          </w:tcPr>
          <w:p w14:paraId="117B94C0" w14:textId="7BE28DDB" w:rsidR="004C3860" w:rsidRPr="00B81B48" w:rsidRDefault="004C3860" w:rsidP="00745E36">
            <w:pPr>
              <w:pStyle w:val="10Tabletext"/>
            </w:pPr>
            <w:r>
              <w:t xml:space="preserve">Total </w:t>
            </w:r>
            <w:r w:rsidR="00220860">
              <w:t>r</w:t>
            </w:r>
            <w:r>
              <w:t xml:space="preserve">emuneration </w:t>
            </w:r>
            <w:r w:rsidR="00220860">
              <w:t>p</w:t>
            </w:r>
            <w:r>
              <w:t>ackage</w:t>
            </w:r>
          </w:p>
        </w:tc>
      </w:tr>
      <w:tr w:rsidR="003A42F9" w:rsidRPr="009E4C4A" w14:paraId="1A90D613" w14:textId="77777777" w:rsidTr="00215282">
        <w:trPr>
          <w:trHeight w:val="408"/>
        </w:trPr>
        <w:tc>
          <w:tcPr>
            <w:tcW w:w="2977" w:type="dxa"/>
          </w:tcPr>
          <w:p w14:paraId="0FFDD68D" w14:textId="348D56AA" w:rsidR="003A42F9" w:rsidRDefault="003A42F9" w:rsidP="00745E36">
            <w:pPr>
              <w:pStyle w:val="10Tabletext"/>
            </w:pPr>
            <w:r>
              <w:t>Wages Policy</w:t>
            </w:r>
          </w:p>
        </w:tc>
        <w:tc>
          <w:tcPr>
            <w:tcW w:w="5670" w:type="dxa"/>
          </w:tcPr>
          <w:p w14:paraId="181C8E6E" w14:textId="306626F5" w:rsidR="003A42F9" w:rsidRDefault="00706066" w:rsidP="00745E36">
            <w:pPr>
              <w:pStyle w:val="10Tabletext"/>
            </w:pPr>
            <w:r w:rsidRPr="00706066">
              <w:t>Wages Policy and the Enterprise Bargaining Framework</w:t>
            </w:r>
          </w:p>
        </w:tc>
      </w:tr>
      <w:tr w:rsidR="00305CF4" w:rsidRPr="009E4C4A" w14:paraId="619E19E2" w14:textId="77777777" w:rsidTr="00215282">
        <w:trPr>
          <w:trHeight w:val="408"/>
        </w:trPr>
        <w:tc>
          <w:tcPr>
            <w:tcW w:w="2977" w:type="dxa"/>
          </w:tcPr>
          <w:p w14:paraId="2A9100F8" w14:textId="7516FE27" w:rsidR="00305CF4" w:rsidRDefault="00305CF4" w:rsidP="00745E36">
            <w:pPr>
              <w:pStyle w:val="10Tabletext"/>
            </w:pPr>
            <w:r>
              <w:t>WPI</w:t>
            </w:r>
          </w:p>
        </w:tc>
        <w:tc>
          <w:tcPr>
            <w:tcW w:w="5670" w:type="dxa"/>
          </w:tcPr>
          <w:p w14:paraId="17DF03B6" w14:textId="7EBC9213" w:rsidR="00305CF4" w:rsidRDefault="00305CF4" w:rsidP="00745E36">
            <w:pPr>
              <w:pStyle w:val="10Tabletext"/>
            </w:pPr>
            <w:r>
              <w:t>Wage Price Index</w:t>
            </w:r>
          </w:p>
        </w:tc>
      </w:tr>
      <w:tr w:rsidR="00745E36" w:rsidRPr="009E4C4A" w14:paraId="104D1572" w14:textId="77777777" w:rsidTr="00215282">
        <w:trPr>
          <w:trHeight w:val="408"/>
        </w:trPr>
        <w:tc>
          <w:tcPr>
            <w:tcW w:w="2977" w:type="dxa"/>
          </w:tcPr>
          <w:p w14:paraId="52893C3B" w14:textId="77777777" w:rsidR="00745E36" w:rsidRPr="00B81B48" w:rsidRDefault="00745E36" w:rsidP="00745E36">
            <w:pPr>
              <w:pStyle w:val="10Tabletext"/>
            </w:pPr>
            <w:r>
              <w:t>VAGO</w:t>
            </w:r>
          </w:p>
        </w:tc>
        <w:tc>
          <w:tcPr>
            <w:tcW w:w="5670" w:type="dxa"/>
          </w:tcPr>
          <w:p w14:paraId="75D8915A" w14:textId="77777777" w:rsidR="00745E36" w:rsidRPr="00B81B48" w:rsidRDefault="00745E36" w:rsidP="00745E36">
            <w:pPr>
              <w:pStyle w:val="10Tabletext"/>
            </w:pPr>
            <w:r>
              <w:t>Victorian Auditor-General’s Office</w:t>
            </w:r>
          </w:p>
        </w:tc>
      </w:tr>
      <w:tr w:rsidR="00876C85" w:rsidRPr="00404BF0" w14:paraId="666BEA40" w14:textId="77777777" w:rsidTr="00215282">
        <w:trPr>
          <w:trHeight w:val="408"/>
        </w:trPr>
        <w:tc>
          <w:tcPr>
            <w:tcW w:w="2977" w:type="dxa"/>
          </w:tcPr>
          <w:p w14:paraId="0318A9AC" w14:textId="7D408087" w:rsidR="00876C85" w:rsidRPr="00404BF0" w:rsidRDefault="00404BF0" w:rsidP="00745E36">
            <w:pPr>
              <w:pStyle w:val="10Tabletext"/>
            </w:pPr>
            <w:r>
              <w:t>VPSC</w:t>
            </w:r>
          </w:p>
        </w:tc>
        <w:tc>
          <w:tcPr>
            <w:tcW w:w="5670" w:type="dxa"/>
          </w:tcPr>
          <w:p w14:paraId="6431D2AC" w14:textId="0A710194" w:rsidR="00876C85" w:rsidRPr="00404BF0" w:rsidRDefault="00404BF0" w:rsidP="00745E36">
            <w:pPr>
              <w:pStyle w:val="10Tabletext"/>
            </w:pPr>
            <w:r w:rsidRPr="00404BF0">
              <w:t>Victorian Public Sector Commissio</w:t>
            </w:r>
            <w:r w:rsidR="004D6923">
              <w:t>n</w:t>
            </w:r>
          </w:p>
        </w:tc>
      </w:tr>
      <w:tr w:rsidR="00A479CF" w:rsidRPr="00404BF0" w14:paraId="042223F5" w14:textId="77777777" w:rsidTr="00215282">
        <w:trPr>
          <w:trHeight w:val="408"/>
        </w:trPr>
        <w:tc>
          <w:tcPr>
            <w:tcW w:w="2977" w:type="dxa"/>
          </w:tcPr>
          <w:p w14:paraId="2C79B232" w14:textId="0CD59C16" w:rsidR="00A479CF" w:rsidRDefault="00A479CF" w:rsidP="00745E36">
            <w:pPr>
              <w:pStyle w:val="10Tabletext"/>
            </w:pPr>
            <w:r>
              <w:t>VPS</w:t>
            </w:r>
          </w:p>
        </w:tc>
        <w:tc>
          <w:tcPr>
            <w:tcW w:w="5670" w:type="dxa"/>
          </w:tcPr>
          <w:p w14:paraId="53B5E514" w14:textId="20E1BBF1" w:rsidR="00A479CF" w:rsidRPr="00404BF0" w:rsidRDefault="00A479CF" w:rsidP="00745E36">
            <w:pPr>
              <w:pStyle w:val="10Tabletext"/>
            </w:pPr>
            <w:r>
              <w:t>Victorian Public Service</w:t>
            </w:r>
          </w:p>
        </w:tc>
      </w:tr>
      <w:tr w:rsidR="00D50248" w:rsidRPr="00404BF0" w14:paraId="2484C9D6" w14:textId="77777777" w:rsidTr="00215282">
        <w:trPr>
          <w:trHeight w:val="408"/>
        </w:trPr>
        <w:tc>
          <w:tcPr>
            <w:tcW w:w="2977" w:type="dxa"/>
          </w:tcPr>
          <w:p w14:paraId="3950D484" w14:textId="60B7620A" w:rsidR="00D50248" w:rsidRPr="007B14C5" w:rsidRDefault="00D50248" w:rsidP="00745E36">
            <w:pPr>
              <w:pStyle w:val="10Tabletext"/>
            </w:pPr>
            <w:r>
              <w:t>VPS EA</w:t>
            </w:r>
          </w:p>
        </w:tc>
        <w:tc>
          <w:tcPr>
            <w:tcW w:w="5670" w:type="dxa"/>
          </w:tcPr>
          <w:p w14:paraId="6CF595E8" w14:textId="4FE85A98" w:rsidR="00D50248" w:rsidRPr="007B14C5" w:rsidRDefault="00701E59" w:rsidP="00745E36">
            <w:pPr>
              <w:pStyle w:val="10Tabletext"/>
            </w:pPr>
            <w:r>
              <w:t>Victorian Public Service Enterprise Agreement</w:t>
            </w:r>
          </w:p>
        </w:tc>
      </w:tr>
      <w:tr w:rsidR="007B14C5" w:rsidRPr="00404BF0" w14:paraId="34969326" w14:textId="77777777" w:rsidTr="00215282">
        <w:trPr>
          <w:trHeight w:val="408"/>
        </w:trPr>
        <w:tc>
          <w:tcPr>
            <w:tcW w:w="2977" w:type="dxa"/>
          </w:tcPr>
          <w:p w14:paraId="08613090" w14:textId="760A3FC5" w:rsidR="007B14C5" w:rsidRDefault="007B14C5" w:rsidP="00745E36">
            <w:pPr>
              <w:pStyle w:val="10Tabletext"/>
            </w:pPr>
            <w:r w:rsidRPr="007B14C5">
              <w:t xml:space="preserve">VPS </w:t>
            </w:r>
            <w:r w:rsidR="00EB4BC4">
              <w:t>Executive C</w:t>
            </w:r>
            <w:r w:rsidRPr="007B14C5">
              <w:t xml:space="preserve">lassification </w:t>
            </w:r>
            <w:r w:rsidR="00EB4BC4">
              <w:t>F</w:t>
            </w:r>
            <w:r w:rsidRPr="007B14C5">
              <w:t>ramework</w:t>
            </w:r>
          </w:p>
        </w:tc>
        <w:tc>
          <w:tcPr>
            <w:tcW w:w="5670" w:type="dxa"/>
          </w:tcPr>
          <w:p w14:paraId="1390C9B3" w14:textId="03F7BE31" w:rsidR="007B14C5" w:rsidRPr="00F51802" w:rsidRDefault="007B14C5" w:rsidP="00745E36">
            <w:pPr>
              <w:pStyle w:val="10Tabletext"/>
            </w:pPr>
            <w:r w:rsidRPr="007B14C5">
              <w:t>Victorian Public Service Executive Classification Framework</w:t>
            </w:r>
          </w:p>
        </w:tc>
      </w:tr>
      <w:tr w:rsidR="00A76CE0" w:rsidRPr="009E4C4A" w14:paraId="602E6E22" w14:textId="77777777" w:rsidTr="000455AE">
        <w:trPr>
          <w:trHeight w:val="408"/>
        </w:trPr>
        <w:tc>
          <w:tcPr>
            <w:tcW w:w="2977" w:type="dxa"/>
          </w:tcPr>
          <w:p w14:paraId="3C2C140F" w14:textId="77777777" w:rsidR="00A76CE0" w:rsidRDefault="00A76CE0" w:rsidP="000455AE">
            <w:pPr>
              <w:pStyle w:val="10Tabletext"/>
            </w:pPr>
            <w:r w:rsidRPr="009E7903">
              <w:t>VPS Guidelines</w:t>
            </w:r>
          </w:p>
        </w:tc>
        <w:tc>
          <w:tcPr>
            <w:tcW w:w="5670" w:type="dxa"/>
          </w:tcPr>
          <w:p w14:paraId="020A4CBC" w14:textId="77777777" w:rsidR="00A76CE0" w:rsidRPr="00483675" w:rsidRDefault="00A76CE0" w:rsidP="000455AE">
            <w:pPr>
              <w:pStyle w:val="10Tabletext"/>
              <w:rPr>
                <w:i/>
              </w:rPr>
            </w:pPr>
            <w:r w:rsidRPr="00483675">
              <w:rPr>
                <w:i/>
              </w:rPr>
              <w:t>Victorian Public Service Executive Remuneration Guideline</w:t>
            </w:r>
            <w:r>
              <w:rPr>
                <w:i/>
              </w:rPr>
              <w:t>s</w:t>
            </w:r>
          </w:p>
        </w:tc>
      </w:tr>
      <w:tr w:rsidR="00F764DB" w:rsidRPr="00404BF0" w14:paraId="798EA690" w14:textId="77777777" w:rsidTr="00215282">
        <w:trPr>
          <w:trHeight w:val="408"/>
        </w:trPr>
        <w:tc>
          <w:tcPr>
            <w:tcW w:w="2977" w:type="dxa"/>
          </w:tcPr>
          <w:p w14:paraId="3C836DD4" w14:textId="130CBB82" w:rsidR="00F764DB" w:rsidRDefault="00F764DB" w:rsidP="00745E36">
            <w:pPr>
              <w:pStyle w:val="10Tabletext"/>
            </w:pPr>
            <w:r w:rsidRPr="00F764DB">
              <w:t>VPS Handbook</w:t>
            </w:r>
          </w:p>
        </w:tc>
        <w:tc>
          <w:tcPr>
            <w:tcW w:w="5670" w:type="dxa"/>
          </w:tcPr>
          <w:p w14:paraId="19194592" w14:textId="326861FC" w:rsidR="00F764DB" w:rsidRPr="00F51802" w:rsidRDefault="00F764DB" w:rsidP="00745E36">
            <w:pPr>
              <w:pStyle w:val="10Tabletext"/>
            </w:pPr>
            <w:r w:rsidRPr="00F764DB">
              <w:t>Victorian Public Service Executive Employment Handbook</w:t>
            </w:r>
          </w:p>
        </w:tc>
      </w:tr>
      <w:tr w:rsidR="00E42280" w:rsidRPr="00404BF0" w14:paraId="22D6B870" w14:textId="77777777" w:rsidTr="00215282">
        <w:trPr>
          <w:trHeight w:val="408"/>
        </w:trPr>
        <w:tc>
          <w:tcPr>
            <w:tcW w:w="2977" w:type="dxa"/>
          </w:tcPr>
          <w:p w14:paraId="1796A8BC" w14:textId="10DE5A79" w:rsidR="00E42280" w:rsidRDefault="00E42280" w:rsidP="00745E36">
            <w:pPr>
              <w:pStyle w:val="10Tabletext"/>
            </w:pPr>
            <w:r>
              <w:t>VSB</w:t>
            </w:r>
          </w:p>
        </w:tc>
        <w:tc>
          <w:tcPr>
            <w:tcW w:w="5670" w:type="dxa"/>
          </w:tcPr>
          <w:p w14:paraId="09D3F124" w14:textId="66EC0524" w:rsidR="00E42280" w:rsidRPr="00404BF0" w:rsidRDefault="00F51802" w:rsidP="00745E36">
            <w:pPr>
              <w:pStyle w:val="10Tabletext"/>
            </w:pPr>
            <w:r w:rsidRPr="00F51802">
              <w:t>Victorian Secretaries Board</w:t>
            </w:r>
          </w:p>
        </w:tc>
      </w:tr>
      <w:tr w:rsidR="00745E36" w:rsidRPr="009E4C4A" w14:paraId="58293BC2" w14:textId="77777777" w:rsidTr="00215282">
        <w:trPr>
          <w:trHeight w:val="408"/>
        </w:trPr>
        <w:tc>
          <w:tcPr>
            <w:tcW w:w="2977" w:type="dxa"/>
          </w:tcPr>
          <w:p w14:paraId="3007C1E2" w14:textId="77777777" w:rsidR="00745E36" w:rsidRPr="00B81B48" w:rsidRDefault="00745E36" w:rsidP="00745E36">
            <w:pPr>
              <w:pStyle w:val="10Tabletext"/>
              <w:rPr>
                <w:b/>
              </w:rPr>
            </w:pPr>
            <w:r w:rsidRPr="00B81B48">
              <w:t>VIRTIPS Act</w:t>
            </w:r>
          </w:p>
        </w:tc>
        <w:tc>
          <w:tcPr>
            <w:tcW w:w="5670" w:type="dxa"/>
          </w:tcPr>
          <w:p w14:paraId="34A5CFFF" w14:textId="77777777" w:rsidR="00745E36" w:rsidRPr="00B81B48" w:rsidRDefault="00745E36" w:rsidP="00745E36">
            <w:pPr>
              <w:pStyle w:val="10Tabletext"/>
            </w:pPr>
            <w:r w:rsidRPr="00B81B48">
              <w:rPr>
                <w:i/>
              </w:rPr>
              <w:t>Victorian Independent Remuneration Tribunal and Improving Parliamentary Standards Act 2019</w:t>
            </w:r>
            <w:r w:rsidRPr="00B81B48">
              <w:t xml:space="preserve"> (Vic)</w:t>
            </w:r>
          </w:p>
        </w:tc>
      </w:tr>
      <w:tr w:rsidR="00745E36" w:rsidRPr="003B161C" w14:paraId="0FB66F41" w14:textId="77777777" w:rsidTr="00215282">
        <w:trPr>
          <w:trHeight w:val="408"/>
        </w:trPr>
        <w:tc>
          <w:tcPr>
            <w:tcW w:w="2977" w:type="dxa"/>
          </w:tcPr>
          <w:p w14:paraId="25B3D44B" w14:textId="77777777" w:rsidR="00745E36" w:rsidRPr="00B81B48" w:rsidRDefault="00745E36" w:rsidP="00745E36">
            <w:pPr>
              <w:pStyle w:val="10Tabletext"/>
            </w:pPr>
            <w:r w:rsidRPr="00B81B48">
              <w:t>WPI</w:t>
            </w:r>
          </w:p>
        </w:tc>
        <w:tc>
          <w:tcPr>
            <w:tcW w:w="5670" w:type="dxa"/>
          </w:tcPr>
          <w:p w14:paraId="7EE41995" w14:textId="77777777" w:rsidR="00745E36" w:rsidRPr="00DF7646" w:rsidRDefault="00745E36" w:rsidP="00745E36">
            <w:pPr>
              <w:pStyle w:val="10Tabletext"/>
            </w:pPr>
            <w:r w:rsidRPr="00B81B48">
              <w:t>Wage Price Index</w:t>
            </w:r>
          </w:p>
        </w:tc>
      </w:tr>
    </w:tbl>
    <w:p w14:paraId="299C28BA" w14:textId="77777777" w:rsidR="0045464D" w:rsidRDefault="0045464D" w:rsidP="003F1272">
      <w:pPr>
        <w:pStyle w:val="Style4"/>
        <w:sectPr w:rsidR="0045464D" w:rsidSect="001C4BBD">
          <w:type w:val="continuous"/>
          <w:pgSz w:w="11906" w:h="16838"/>
          <w:pgMar w:top="1701" w:right="1701" w:bottom="1559" w:left="1701" w:header="708" w:footer="708" w:gutter="0"/>
          <w:cols w:space="708"/>
          <w:titlePg/>
          <w:docGrid w:linePitch="360"/>
        </w:sectPr>
      </w:pPr>
    </w:p>
    <w:p w14:paraId="55014960" w14:textId="77777777" w:rsidR="00BD1707" w:rsidRDefault="00F25E64" w:rsidP="00BD1707">
      <w:pPr>
        <w:pStyle w:val="01Chapterheading"/>
      </w:pPr>
      <w:bookmarkStart w:id="14" w:name="_Toc169878461"/>
      <w:bookmarkStart w:id="15" w:name="_Toc170396204"/>
      <w:r w:rsidRPr="004035CE">
        <w:lastRenderedPageBreak/>
        <w:t>Executive s</w:t>
      </w:r>
      <w:r w:rsidR="00671CB5" w:rsidRPr="004035CE">
        <w:t>ummary</w:t>
      </w:r>
      <w:r w:rsidR="00BD1707" w:rsidRPr="00BD1707">
        <w:rPr>
          <w:rStyle w:val="01ChapterheadingChar"/>
        </w:rPr>
        <w:br/>
      </w:r>
      <w:r w:rsidR="00BD1707" w:rsidRPr="00C02C39">
        <w:rPr>
          <w:noProof/>
        </w:rPr>
        <w:drawing>
          <wp:inline distT="0" distB="0" distL="0" distR="0" wp14:anchorId="29409F9C" wp14:editId="2F37DB45">
            <wp:extent cx="2222500" cy="253365"/>
            <wp:effectExtent l="0" t="0" r="6350" b="0"/>
            <wp:docPr id="1343194530" name="Picture 134319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23">
                      <a:extLst>
                        <a:ext uri="{28A0092B-C50C-407E-A947-70E740481C1C}">
                          <a14:useLocalDpi xmlns:a14="http://schemas.microsoft.com/office/drawing/2010/main" val="0"/>
                        </a:ext>
                      </a:extLst>
                    </a:blip>
                    <a:stretch>
                      <a:fillRect/>
                    </a:stretch>
                  </pic:blipFill>
                  <pic:spPr>
                    <a:xfrm>
                      <a:off x="0" y="0"/>
                      <a:ext cx="2222500" cy="253365"/>
                    </a:xfrm>
                    <a:prstGeom prst="rect">
                      <a:avLst/>
                    </a:prstGeom>
                  </pic:spPr>
                </pic:pic>
              </a:graphicData>
            </a:graphic>
          </wp:inline>
        </w:drawing>
      </w:r>
      <w:bookmarkEnd w:id="14"/>
      <w:bookmarkEnd w:id="15"/>
    </w:p>
    <w:p w14:paraId="2B82D7AE" w14:textId="7B30A34F" w:rsidR="007D6662" w:rsidRDefault="007D6662" w:rsidP="007D6662">
      <w:pPr>
        <w:pStyle w:val="05Paragraph"/>
        <w:rPr>
          <w:rFonts w:cs="Calibri Light"/>
        </w:rPr>
      </w:pPr>
      <w:r>
        <w:rPr>
          <w:rFonts w:cs="Calibri Light"/>
        </w:rPr>
        <w:t xml:space="preserve">The Victorian Independent Remuneration Tribunal is responsible for setting remuneration bands for executives employed in public service bodies. </w:t>
      </w:r>
      <w:r w:rsidRPr="539D4950">
        <w:rPr>
          <w:rFonts w:cs="Calibri Light"/>
        </w:rPr>
        <w:t xml:space="preserve">This Statement of Reasons relates to the Tribunal’s second comprehensive Determination of remuneration bands for public service body Heads </w:t>
      </w:r>
      <w:r>
        <w:rPr>
          <w:rFonts w:cs="Calibri Light"/>
        </w:rPr>
        <w:t>and the</w:t>
      </w:r>
      <w:r w:rsidRPr="539D4950">
        <w:rPr>
          <w:rFonts w:cs="Calibri Light"/>
        </w:rPr>
        <w:t xml:space="preserve"> </w:t>
      </w:r>
      <w:r w:rsidR="0035505C">
        <w:rPr>
          <w:rFonts w:cs="Calibri Light"/>
        </w:rPr>
        <w:t>Senior Executive Service (</w:t>
      </w:r>
      <w:r w:rsidRPr="539D4950">
        <w:rPr>
          <w:rFonts w:cs="Calibri Light"/>
        </w:rPr>
        <w:t>SES</w:t>
      </w:r>
      <w:r w:rsidR="0035505C">
        <w:rPr>
          <w:rFonts w:cs="Calibri Light"/>
        </w:rPr>
        <w:t>)</w:t>
      </w:r>
      <w:r w:rsidR="008B00EA">
        <w:rPr>
          <w:rFonts w:cs="Calibri Light"/>
        </w:rPr>
        <w:t xml:space="preserve"> in the Victorian Public Service (VPS)</w:t>
      </w:r>
      <w:r w:rsidRPr="539D4950">
        <w:rPr>
          <w:rFonts w:cs="Calibri Light"/>
        </w:rPr>
        <w:t xml:space="preserve">. </w:t>
      </w:r>
      <w:r>
        <w:rPr>
          <w:rFonts w:cs="Calibri Light"/>
        </w:rPr>
        <w:t xml:space="preserve">A comprehensive Determination requires the Tribunal to review the roles and responsibilities of executives and provides an opportunity to reset the values of the remuneration bands in line with market conditions. </w:t>
      </w:r>
    </w:p>
    <w:p w14:paraId="5598E8CE" w14:textId="21E75D01" w:rsidR="007D6662" w:rsidRPr="00AB3AF8" w:rsidRDefault="007D6662" w:rsidP="007D6662">
      <w:pPr>
        <w:pStyle w:val="03VIRTHeading3"/>
      </w:pPr>
      <w:r w:rsidRPr="00AB3AF8">
        <w:t xml:space="preserve">The Tribunal has </w:t>
      </w:r>
      <w:r w:rsidR="00BA4F03">
        <w:t>i</w:t>
      </w:r>
      <w:r w:rsidR="00222085">
        <w:t>ncrease</w:t>
      </w:r>
      <w:r w:rsidRPr="00AB3AF8">
        <w:t xml:space="preserve">d the values of each of the remuneration bands </w:t>
      </w:r>
    </w:p>
    <w:p w14:paraId="66280252" w14:textId="6901411E" w:rsidR="007D6662" w:rsidRDefault="007D6662" w:rsidP="007D6662">
      <w:pPr>
        <w:pStyle w:val="05Paragraph"/>
        <w:rPr>
          <w:rFonts w:cs="Calibri Light"/>
        </w:rPr>
      </w:pPr>
      <w:r>
        <w:rPr>
          <w:rFonts w:cs="Calibri Light"/>
        </w:rPr>
        <w:t xml:space="preserve">In this Determination, the Tribunal has decided to maintain a remuneration band structure for the SES that consists of three distinct and contiguous remuneration bands that align with the executive classification framework administered by the </w:t>
      </w:r>
      <w:r w:rsidR="0035505C">
        <w:rPr>
          <w:rFonts w:cs="Calibri Light"/>
        </w:rPr>
        <w:t>Victorian Public Sector Commission (</w:t>
      </w:r>
      <w:r>
        <w:rPr>
          <w:rFonts w:cs="Calibri Light"/>
        </w:rPr>
        <w:t>VPSC</w:t>
      </w:r>
      <w:r w:rsidR="0035505C">
        <w:rPr>
          <w:rFonts w:cs="Calibri Light"/>
        </w:rPr>
        <w:t>)</w:t>
      </w:r>
      <w:r>
        <w:rPr>
          <w:rFonts w:cs="Calibri Light"/>
        </w:rPr>
        <w:t xml:space="preserve">. </w:t>
      </w:r>
      <w:r w:rsidR="00D838AA" w:rsidRPr="00D838AA">
        <w:rPr>
          <w:rFonts w:cs="Calibri Light"/>
        </w:rPr>
        <w:t>The remuneration bands are expressed in terms of total remuneration package (TRP), including salary and employer superannuation contributions.</w:t>
      </w:r>
    </w:p>
    <w:p w14:paraId="27EDFBAD" w14:textId="3079FFE9" w:rsidR="007D6662" w:rsidRDefault="007D6662" w:rsidP="007D6662">
      <w:pPr>
        <w:pStyle w:val="05Paragraph"/>
        <w:rPr>
          <w:rFonts w:cs="Calibri Light"/>
        </w:rPr>
      </w:pPr>
      <w:r>
        <w:rPr>
          <w:rFonts w:cs="Calibri Light"/>
        </w:rPr>
        <w:t xml:space="preserve">For public service body Heads, the Tribunal has also maintained a separate remuneration band to apply to department Heads (Secretaries) and the Victorian Public Sector Commissioner, and has continued to align the remuneration bands for </w:t>
      </w:r>
      <w:r w:rsidR="00C01CCC">
        <w:rPr>
          <w:rFonts w:cs="Calibri Light"/>
        </w:rPr>
        <w:t>Administrative Office (</w:t>
      </w:r>
      <w:r>
        <w:rPr>
          <w:rFonts w:cs="Calibri Light"/>
        </w:rPr>
        <w:t>AO</w:t>
      </w:r>
      <w:r w:rsidR="00C01CCC">
        <w:rPr>
          <w:rFonts w:cs="Calibri Light"/>
        </w:rPr>
        <w:t>)</w:t>
      </w:r>
      <w:r>
        <w:rPr>
          <w:rFonts w:cs="Calibri Light"/>
        </w:rPr>
        <w:t xml:space="preserve"> Heads with the values of the SES remuneration bands.</w:t>
      </w:r>
    </w:p>
    <w:p w14:paraId="6FDCE74C" w14:textId="2C551DD6" w:rsidR="007D6662" w:rsidRPr="00F17154" w:rsidRDefault="007D6662" w:rsidP="007D6662">
      <w:pPr>
        <w:pStyle w:val="05Paragraph"/>
      </w:pPr>
      <w:r>
        <w:rPr>
          <w:rFonts w:cs="Calibri Light"/>
        </w:rPr>
        <w:t>The</w:t>
      </w:r>
      <w:r w:rsidDel="00144BE8">
        <w:rPr>
          <w:rFonts w:cs="Calibri Light"/>
        </w:rPr>
        <w:t xml:space="preserve"> </w:t>
      </w:r>
      <w:r>
        <w:rPr>
          <w:rFonts w:cs="Calibri Light"/>
        </w:rPr>
        <w:t xml:space="preserve">values of the remuneration bands that apply from 1 July 2024 are shown in Tables </w:t>
      </w:r>
      <w:r w:rsidR="00346785">
        <w:rPr>
          <w:rFonts w:cs="Calibri Light"/>
        </w:rPr>
        <w:t>ES.</w:t>
      </w:r>
      <w:r>
        <w:rPr>
          <w:rFonts w:cs="Calibri Light"/>
        </w:rPr>
        <w:t xml:space="preserve">1 and </w:t>
      </w:r>
      <w:r w:rsidR="00346785">
        <w:rPr>
          <w:rFonts w:cs="Calibri Light"/>
        </w:rPr>
        <w:t>ES.</w:t>
      </w:r>
      <w:r>
        <w:rPr>
          <w:rFonts w:cs="Calibri Light"/>
        </w:rPr>
        <w:t xml:space="preserve">2. </w:t>
      </w:r>
      <w:r w:rsidRPr="00FA719A">
        <w:rPr>
          <w:rFonts w:cs="Calibri Light"/>
        </w:rPr>
        <w:t>The Tribunal’s decisions result in an increase of between 4.</w:t>
      </w:r>
      <w:r w:rsidR="00907136">
        <w:rPr>
          <w:rFonts w:cs="Calibri Light"/>
        </w:rPr>
        <w:t>0</w:t>
      </w:r>
      <w:r w:rsidRPr="00FA719A">
        <w:rPr>
          <w:rFonts w:cs="Calibri Light"/>
        </w:rPr>
        <w:t xml:space="preserve"> and 4.5 per cent to each of the values of the remuneration bands.</w:t>
      </w:r>
      <w:r>
        <w:rPr>
          <w:rFonts w:cs="Calibri Light"/>
        </w:rPr>
        <w:t xml:space="preserve"> </w:t>
      </w:r>
    </w:p>
    <w:p w14:paraId="791E6DA3" w14:textId="2EA62227" w:rsidR="005E7E40" w:rsidRDefault="005E7E40" w:rsidP="007D6662">
      <w:pPr>
        <w:pStyle w:val="05Paragraph"/>
      </w:pPr>
      <w:r w:rsidRPr="005E7E40">
        <w:t xml:space="preserve">It is important to note that the increases in the remuneration bands are inclusive of Commonwealth Government-legislated changes to statutory superannuation entitlements that take effect from 1 July 2024. In particular, the superannuation guarantee (SG) will increase from 11 per cent to 11.5 per cent and the maximum </w:t>
      </w:r>
      <w:r w:rsidRPr="005E7E40">
        <w:lastRenderedPageBreak/>
        <w:t>superannuation contribution base (which caps the salary to which the SG applies) will increase from $249,080 to $260,280. Victorian Government policy is that VPS employers must bear the cost of such changes, which is reflected in an increase in each executive’s TRP. Once the impact of the superannuation changes are accounted for, the effective increase in the remuneration bands is between 3.5 per cent and 4.3 per cent.</w:t>
      </w:r>
    </w:p>
    <w:p w14:paraId="5EB2DF16" w14:textId="40C62168" w:rsidR="005E7E40" w:rsidRPr="00F17154" w:rsidRDefault="005E7E40" w:rsidP="007D6662">
      <w:pPr>
        <w:pStyle w:val="05Paragraph"/>
      </w:pPr>
      <w:r>
        <w:rPr>
          <w:rFonts w:cs="Calibri Light"/>
        </w:rPr>
        <w:t>It should be noted that an increase to the bands will not automatically result in a corresponding increase for all executives. The task of the Tribunal is to determine the value of the bands. Responsibility for what executives are paid resides with employers taking account of the Premier’s annual adjustment guideline rate.</w:t>
      </w:r>
    </w:p>
    <w:p w14:paraId="08A24B72" w14:textId="008C8322" w:rsidR="007D6662" w:rsidRPr="00BF7D4E" w:rsidRDefault="007D6662" w:rsidP="00144BE8">
      <w:pPr>
        <w:pStyle w:val="08Figuretableboxheading"/>
        <w:rPr>
          <w:rFonts w:eastAsia="Calibri"/>
          <w:color w:val="4D4D4D"/>
        </w:rPr>
      </w:pPr>
      <w:bookmarkStart w:id="16" w:name="_Toc170393516"/>
      <w:r w:rsidRPr="00BF7D4E">
        <w:t xml:space="preserve">Table </w:t>
      </w:r>
      <w:r w:rsidR="00346785">
        <w:t>ES.</w:t>
      </w:r>
      <w:r>
        <w:t>1:</w:t>
      </w:r>
      <w:r w:rsidRPr="00BF7D4E">
        <w:t xml:space="preserve"> Values of the remuneration bands for the SES</w:t>
      </w:r>
      <w:r>
        <w:t xml:space="preserve"> and AO Heads</w:t>
      </w:r>
      <w:r w:rsidRPr="00BF7D4E">
        <w:t xml:space="preserve"> from 1 July 202</w:t>
      </w:r>
      <w:r>
        <w:t>4</w:t>
      </w:r>
      <w:bookmarkEnd w:id="16"/>
    </w:p>
    <w:tbl>
      <w:tblPr>
        <w:tblStyle w:val="ListTable3-Accent21"/>
        <w:tblW w:w="8503" w:type="dxa"/>
        <w:tblBorders>
          <w:left w:val="none" w:sz="0" w:space="0" w:color="auto"/>
          <w:right w:val="none" w:sz="0" w:space="0" w:color="auto"/>
          <w:insideH w:val="single" w:sz="4" w:space="0" w:color="148A5D" w:themeColor="accent2"/>
        </w:tblBorders>
        <w:tblLook w:val="04A0" w:firstRow="1" w:lastRow="0" w:firstColumn="1" w:lastColumn="0" w:noHBand="0" w:noVBand="1"/>
      </w:tblPr>
      <w:tblGrid>
        <w:gridCol w:w="3821"/>
        <w:gridCol w:w="2341"/>
        <w:gridCol w:w="2341"/>
      </w:tblGrid>
      <w:tr w:rsidR="005024A1" w:rsidRPr="00BF7D4E" w14:paraId="4014768B" w14:textId="77777777" w:rsidTr="002A18A9">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3821" w:type="dxa"/>
          </w:tcPr>
          <w:p w14:paraId="5534F934" w14:textId="77777777" w:rsidR="007D6662" w:rsidRPr="00DC2C6F" w:rsidRDefault="007D6662" w:rsidP="00DC2C6F">
            <w:pPr>
              <w:pStyle w:val="10Tabletext"/>
            </w:pPr>
            <w:r w:rsidRPr="00DC2C6F">
              <w:t>Classification</w:t>
            </w:r>
          </w:p>
        </w:tc>
        <w:tc>
          <w:tcPr>
            <w:tcW w:w="2341" w:type="dxa"/>
          </w:tcPr>
          <w:p w14:paraId="6C4920D8" w14:textId="718BF4FB" w:rsidR="007D6662" w:rsidRPr="00DC2C6F" w:rsidRDefault="007D6662" w:rsidP="00DC2C6F">
            <w:pPr>
              <w:pStyle w:val="10Tabletext"/>
              <w:jc w:val="right"/>
              <w:cnfStyle w:val="100000000000" w:firstRow="1" w:lastRow="0" w:firstColumn="0" w:lastColumn="0" w:oddVBand="0" w:evenVBand="0" w:oddHBand="0" w:evenHBand="0" w:firstRowFirstColumn="0" w:firstRowLastColumn="0" w:lastRowFirstColumn="0" w:lastRowLastColumn="0"/>
            </w:pPr>
            <w:r w:rsidRPr="00DC2C6F">
              <w:t>Base of band</w:t>
            </w:r>
            <w:r w:rsidR="008259ED">
              <w:t xml:space="preserve"> TRP</w:t>
            </w:r>
            <w:r w:rsidRPr="00DC2C6F">
              <w:br/>
            </w:r>
            <w:r w:rsidR="00F079FB">
              <w:t>(</w:t>
            </w:r>
            <w:r w:rsidR="00BA4CBC">
              <w:t>$</w:t>
            </w:r>
            <w:r w:rsidR="00F079FB">
              <w:t xml:space="preserve"> p.a.)</w:t>
            </w:r>
          </w:p>
        </w:tc>
        <w:tc>
          <w:tcPr>
            <w:tcW w:w="2341" w:type="dxa"/>
          </w:tcPr>
          <w:p w14:paraId="4C7E0052" w14:textId="21422298" w:rsidR="007D6662" w:rsidRPr="00DC2C6F" w:rsidRDefault="007D6662" w:rsidP="00DC2C6F">
            <w:pPr>
              <w:pStyle w:val="10Tabletext"/>
              <w:jc w:val="right"/>
              <w:cnfStyle w:val="100000000000" w:firstRow="1" w:lastRow="0" w:firstColumn="0" w:lastColumn="0" w:oddVBand="0" w:evenVBand="0" w:oddHBand="0" w:evenHBand="0" w:firstRowFirstColumn="0" w:firstRowLastColumn="0" w:lastRowFirstColumn="0" w:lastRowLastColumn="0"/>
            </w:pPr>
            <w:r w:rsidRPr="00DC2C6F">
              <w:t>Top of band</w:t>
            </w:r>
            <w:r w:rsidR="008259ED">
              <w:t xml:space="preserve"> TRP</w:t>
            </w:r>
            <w:r w:rsidRPr="00DC2C6F">
              <w:br/>
            </w:r>
            <w:r w:rsidR="00F079FB">
              <w:t>(</w:t>
            </w:r>
            <w:r w:rsidR="00BA4CBC">
              <w:t>$</w:t>
            </w:r>
            <w:r w:rsidR="00F079FB">
              <w:t xml:space="preserve"> p.a.)</w:t>
            </w:r>
          </w:p>
        </w:tc>
      </w:tr>
      <w:tr w:rsidR="007D6662" w:rsidRPr="00BF7D4E" w14:paraId="3959A1B3" w14:textId="77777777" w:rsidTr="002A1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1" w:type="dxa"/>
          </w:tcPr>
          <w:p w14:paraId="422A7763" w14:textId="1F294F1A" w:rsidR="007D6662" w:rsidRPr="00BF7D4E" w:rsidRDefault="007D6662" w:rsidP="00DC2C6F">
            <w:pPr>
              <w:pStyle w:val="10Tabletext"/>
              <w:rPr>
                <w:color w:val="4D4D4D"/>
              </w:rPr>
            </w:pPr>
            <w:r w:rsidRPr="00BF7D4E">
              <w:rPr>
                <w:color w:val="4D4D4D"/>
              </w:rPr>
              <w:t>SES-1</w:t>
            </w:r>
            <w:r w:rsidR="00DB6028">
              <w:rPr>
                <w:color w:val="4D4D4D"/>
              </w:rPr>
              <w:t xml:space="preserve"> / AO Head-1</w:t>
            </w:r>
          </w:p>
        </w:tc>
        <w:tc>
          <w:tcPr>
            <w:tcW w:w="2341" w:type="dxa"/>
          </w:tcPr>
          <w:p w14:paraId="7232E34F" w14:textId="73749FE5" w:rsidR="007D6662" w:rsidRPr="00BF7D4E" w:rsidRDefault="007D6662" w:rsidP="00DC2C6F">
            <w:pPr>
              <w:pStyle w:val="10Tabletext"/>
              <w:jc w:val="right"/>
              <w:cnfStyle w:val="000000100000" w:firstRow="0" w:lastRow="0" w:firstColumn="0" w:lastColumn="0" w:oddVBand="0" w:evenVBand="0" w:oddHBand="1" w:evenHBand="0" w:firstRowFirstColumn="0" w:firstRowLastColumn="0" w:lastRowFirstColumn="0" w:lastRowLastColumn="0"/>
              <w:rPr>
                <w:color w:val="4D4D4D"/>
              </w:rPr>
            </w:pPr>
            <w:r w:rsidRPr="00BF7D4E">
              <w:rPr>
                <w:color w:val="4D4D4D"/>
              </w:rPr>
              <w:t>2</w:t>
            </w:r>
            <w:r>
              <w:rPr>
                <w:color w:val="4D4D4D"/>
              </w:rPr>
              <w:t>25,000</w:t>
            </w:r>
          </w:p>
        </w:tc>
        <w:tc>
          <w:tcPr>
            <w:tcW w:w="2341" w:type="dxa"/>
          </w:tcPr>
          <w:p w14:paraId="25473F71" w14:textId="1717C76D" w:rsidR="007D6662" w:rsidRPr="00BF7D4E" w:rsidRDefault="007D6662" w:rsidP="00DC2C6F">
            <w:pPr>
              <w:pStyle w:val="10Tabletext"/>
              <w:jc w:val="right"/>
              <w:cnfStyle w:val="000000100000" w:firstRow="0" w:lastRow="0" w:firstColumn="0" w:lastColumn="0" w:oddVBand="0" w:evenVBand="0" w:oddHBand="1" w:evenHBand="0" w:firstRowFirstColumn="0" w:firstRowLastColumn="0" w:lastRowFirstColumn="0" w:lastRowLastColumn="0"/>
              <w:rPr>
                <w:color w:val="4D4D4D"/>
              </w:rPr>
            </w:pPr>
            <w:r w:rsidRPr="00BF7D4E">
              <w:rPr>
                <w:color w:val="4D4D4D"/>
              </w:rPr>
              <w:t>2</w:t>
            </w:r>
            <w:r>
              <w:rPr>
                <w:color w:val="4D4D4D"/>
              </w:rPr>
              <w:t>90,600</w:t>
            </w:r>
          </w:p>
        </w:tc>
      </w:tr>
      <w:tr w:rsidR="007D6662" w:rsidRPr="00BF7D4E" w14:paraId="4FBFF5A8" w14:textId="77777777" w:rsidTr="002A18A9">
        <w:tc>
          <w:tcPr>
            <w:cnfStyle w:val="001000000000" w:firstRow="0" w:lastRow="0" w:firstColumn="1" w:lastColumn="0" w:oddVBand="0" w:evenVBand="0" w:oddHBand="0" w:evenHBand="0" w:firstRowFirstColumn="0" w:firstRowLastColumn="0" w:lastRowFirstColumn="0" w:lastRowLastColumn="0"/>
            <w:tcW w:w="3821" w:type="dxa"/>
          </w:tcPr>
          <w:p w14:paraId="3E9D2D17" w14:textId="44A466DB" w:rsidR="007D6662" w:rsidRPr="00BF7D4E" w:rsidRDefault="007D6662" w:rsidP="00DC2C6F">
            <w:pPr>
              <w:pStyle w:val="10Tabletext"/>
              <w:rPr>
                <w:color w:val="4D4D4D"/>
              </w:rPr>
            </w:pPr>
            <w:r w:rsidRPr="00BF7D4E">
              <w:rPr>
                <w:color w:val="4D4D4D"/>
              </w:rPr>
              <w:t>SES-2</w:t>
            </w:r>
            <w:r w:rsidR="00DB6028">
              <w:rPr>
                <w:color w:val="4D4D4D"/>
              </w:rPr>
              <w:t xml:space="preserve"> / AO Head-2</w:t>
            </w:r>
          </w:p>
        </w:tc>
        <w:tc>
          <w:tcPr>
            <w:tcW w:w="2341" w:type="dxa"/>
          </w:tcPr>
          <w:p w14:paraId="2ED795C3" w14:textId="72E2865A" w:rsidR="007D6662" w:rsidRPr="00BF7D4E" w:rsidRDefault="007D6662" w:rsidP="00DC2C6F">
            <w:pPr>
              <w:pStyle w:val="10Tabletext"/>
              <w:jc w:val="right"/>
              <w:cnfStyle w:val="000000000000" w:firstRow="0" w:lastRow="0" w:firstColumn="0" w:lastColumn="0" w:oddVBand="0" w:evenVBand="0" w:oddHBand="0" w:evenHBand="0" w:firstRowFirstColumn="0" w:firstRowLastColumn="0" w:lastRowFirstColumn="0" w:lastRowLastColumn="0"/>
              <w:rPr>
                <w:color w:val="4D4D4D"/>
              </w:rPr>
            </w:pPr>
            <w:r w:rsidRPr="00BF7D4E">
              <w:rPr>
                <w:color w:val="4D4D4D"/>
              </w:rPr>
              <w:t>2</w:t>
            </w:r>
            <w:r>
              <w:rPr>
                <w:color w:val="4D4D4D"/>
              </w:rPr>
              <w:t>90,601</w:t>
            </w:r>
          </w:p>
        </w:tc>
        <w:tc>
          <w:tcPr>
            <w:tcW w:w="2341" w:type="dxa"/>
          </w:tcPr>
          <w:p w14:paraId="1F991B7B" w14:textId="6205AF55" w:rsidR="007D6662" w:rsidRPr="00BF7D4E" w:rsidRDefault="007D6662" w:rsidP="00DC2C6F">
            <w:pPr>
              <w:pStyle w:val="10Tabletext"/>
              <w:jc w:val="right"/>
              <w:cnfStyle w:val="000000000000" w:firstRow="0" w:lastRow="0" w:firstColumn="0" w:lastColumn="0" w:oddVBand="0" w:evenVBand="0" w:oddHBand="0" w:evenHBand="0" w:firstRowFirstColumn="0" w:firstRowLastColumn="0" w:lastRowFirstColumn="0" w:lastRowLastColumn="0"/>
              <w:rPr>
                <w:color w:val="4D4D4D"/>
              </w:rPr>
            </w:pPr>
            <w:r w:rsidRPr="00BF7D4E">
              <w:rPr>
                <w:color w:val="4D4D4D"/>
              </w:rPr>
              <w:t>4</w:t>
            </w:r>
            <w:r>
              <w:rPr>
                <w:color w:val="4D4D4D"/>
              </w:rPr>
              <w:t>19,000</w:t>
            </w:r>
          </w:p>
        </w:tc>
      </w:tr>
      <w:tr w:rsidR="007D6662" w:rsidRPr="00BF7D4E" w14:paraId="15622A50" w14:textId="77777777" w:rsidTr="002A1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1" w:type="dxa"/>
          </w:tcPr>
          <w:p w14:paraId="123FFBCF" w14:textId="567FF0EC" w:rsidR="007D6662" w:rsidRPr="00BF7D4E" w:rsidRDefault="007D6662" w:rsidP="00DC2C6F">
            <w:pPr>
              <w:pStyle w:val="10Tabletext"/>
              <w:rPr>
                <w:color w:val="4D4D4D"/>
              </w:rPr>
            </w:pPr>
            <w:r w:rsidRPr="00BF7D4E">
              <w:rPr>
                <w:color w:val="4D4D4D"/>
              </w:rPr>
              <w:t>SES-3</w:t>
            </w:r>
            <w:r w:rsidR="00DB6028">
              <w:rPr>
                <w:color w:val="4D4D4D"/>
              </w:rPr>
              <w:t xml:space="preserve"> / AO Head-3</w:t>
            </w:r>
          </w:p>
        </w:tc>
        <w:tc>
          <w:tcPr>
            <w:tcW w:w="2341" w:type="dxa"/>
          </w:tcPr>
          <w:p w14:paraId="3BABFC81" w14:textId="2FB35F10" w:rsidR="007D6662" w:rsidRPr="00BF7D4E" w:rsidRDefault="007D6662" w:rsidP="00DC2C6F">
            <w:pPr>
              <w:pStyle w:val="10Tabletext"/>
              <w:jc w:val="right"/>
              <w:cnfStyle w:val="000000100000" w:firstRow="0" w:lastRow="0" w:firstColumn="0" w:lastColumn="0" w:oddVBand="0" w:evenVBand="0" w:oddHBand="1" w:evenHBand="0" w:firstRowFirstColumn="0" w:firstRowLastColumn="0" w:lastRowFirstColumn="0" w:lastRowLastColumn="0"/>
              <w:rPr>
                <w:color w:val="4D4D4D"/>
              </w:rPr>
            </w:pPr>
            <w:r w:rsidRPr="00BF7D4E">
              <w:rPr>
                <w:color w:val="4D4D4D"/>
              </w:rPr>
              <w:t>4</w:t>
            </w:r>
            <w:r>
              <w:rPr>
                <w:color w:val="4D4D4D"/>
              </w:rPr>
              <w:t>19,001</w:t>
            </w:r>
          </w:p>
        </w:tc>
        <w:tc>
          <w:tcPr>
            <w:tcW w:w="2341" w:type="dxa"/>
          </w:tcPr>
          <w:p w14:paraId="5002C591" w14:textId="555E409F" w:rsidR="007D6662" w:rsidRPr="00BF7D4E" w:rsidRDefault="007D6662" w:rsidP="00DC2C6F">
            <w:pPr>
              <w:pStyle w:val="10Tabletext"/>
              <w:jc w:val="right"/>
              <w:cnfStyle w:val="000000100000" w:firstRow="0" w:lastRow="0" w:firstColumn="0" w:lastColumn="0" w:oddVBand="0" w:evenVBand="0" w:oddHBand="1" w:evenHBand="0" w:firstRowFirstColumn="0" w:firstRowLastColumn="0" w:lastRowFirstColumn="0" w:lastRowLastColumn="0"/>
              <w:rPr>
                <w:color w:val="4D4D4D"/>
              </w:rPr>
            </w:pPr>
            <w:r w:rsidRPr="00BF7D4E">
              <w:rPr>
                <w:color w:val="4D4D4D"/>
              </w:rPr>
              <w:t>5</w:t>
            </w:r>
            <w:r>
              <w:rPr>
                <w:color w:val="4D4D4D"/>
              </w:rPr>
              <w:t>57</w:t>
            </w:r>
            <w:r w:rsidRPr="00BF7D4E">
              <w:rPr>
                <w:color w:val="4D4D4D"/>
              </w:rPr>
              <w:t>,43</w:t>
            </w:r>
            <w:r>
              <w:rPr>
                <w:color w:val="4D4D4D"/>
              </w:rPr>
              <w:t>5</w:t>
            </w:r>
          </w:p>
        </w:tc>
      </w:tr>
    </w:tbl>
    <w:p w14:paraId="71FE0258" w14:textId="6ACDF662" w:rsidR="007D6662" w:rsidRPr="00BF7D4E" w:rsidRDefault="007D6662" w:rsidP="00144BE8">
      <w:pPr>
        <w:pStyle w:val="08Figuretableboxheading"/>
        <w:rPr>
          <w:rFonts w:eastAsia="Calibri"/>
          <w:color w:val="4D4D4D"/>
        </w:rPr>
      </w:pPr>
      <w:bookmarkStart w:id="17" w:name="_Toc170393517"/>
      <w:r w:rsidRPr="00BF7D4E">
        <w:t xml:space="preserve">Table </w:t>
      </w:r>
      <w:r w:rsidR="00346785">
        <w:t>ES.</w:t>
      </w:r>
      <w:r>
        <w:t>2</w:t>
      </w:r>
      <w:r w:rsidRPr="00BF7D4E">
        <w:t xml:space="preserve">: Value of remuneration band for </w:t>
      </w:r>
      <w:r>
        <w:t xml:space="preserve">department </w:t>
      </w:r>
      <w:r w:rsidR="00612465">
        <w:t>Secretaries</w:t>
      </w:r>
      <w:r w:rsidRPr="00BF7D4E">
        <w:t xml:space="preserve"> and the Victorian Public Sector Commissioner from 1 July 2023</w:t>
      </w:r>
      <w:bookmarkEnd w:id="17"/>
    </w:p>
    <w:tbl>
      <w:tblPr>
        <w:tblStyle w:val="ListTable3-Accent21"/>
        <w:tblW w:w="8505" w:type="dxa"/>
        <w:tblBorders>
          <w:left w:val="none" w:sz="0" w:space="0" w:color="auto"/>
          <w:right w:val="none" w:sz="0" w:space="0" w:color="auto"/>
          <w:insideH w:val="single" w:sz="4" w:space="0" w:color="148A5D" w:themeColor="accent2"/>
        </w:tblBorders>
        <w:tblLook w:val="04A0" w:firstRow="1" w:lastRow="0" w:firstColumn="1" w:lastColumn="0" w:noHBand="0" w:noVBand="1"/>
      </w:tblPr>
      <w:tblGrid>
        <w:gridCol w:w="3823"/>
        <w:gridCol w:w="2341"/>
        <w:gridCol w:w="2341"/>
      </w:tblGrid>
      <w:tr w:rsidR="00790042" w:rsidRPr="00BF7D4E" w14:paraId="4854C41C" w14:textId="77777777" w:rsidTr="002A18A9">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3823" w:type="dxa"/>
          </w:tcPr>
          <w:p w14:paraId="38ACEE85" w14:textId="77777777" w:rsidR="007D6662" w:rsidRPr="00DC2C6F" w:rsidRDefault="007D6662" w:rsidP="00DC2C6F">
            <w:pPr>
              <w:pStyle w:val="10Tabletext"/>
            </w:pPr>
            <w:r w:rsidRPr="00DC2C6F">
              <w:t>Classification</w:t>
            </w:r>
          </w:p>
        </w:tc>
        <w:tc>
          <w:tcPr>
            <w:tcW w:w="2341" w:type="dxa"/>
          </w:tcPr>
          <w:p w14:paraId="5D47243B" w14:textId="09F0F98C" w:rsidR="007D6662" w:rsidRPr="00DC2C6F" w:rsidRDefault="007D6662" w:rsidP="00DC2C6F">
            <w:pPr>
              <w:pStyle w:val="10Tabletext"/>
              <w:jc w:val="right"/>
              <w:cnfStyle w:val="100000000000" w:firstRow="1" w:lastRow="0" w:firstColumn="0" w:lastColumn="0" w:oddVBand="0" w:evenVBand="0" w:oddHBand="0" w:evenHBand="0" w:firstRowFirstColumn="0" w:firstRowLastColumn="0" w:lastRowFirstColumn="0" w:lastRowLastColumn="0"/>
            </w:pPr>
            <w:r w:rsidRPr="00DC2C6F">
              <w:t>Base of band</w:t>
            </w:r>
            <w:r w:rsidR="0032171E">
              <w:t xml:space="preserve"> TRP</w:t>
            </w:r>
            <w:r w:rsidRPr="00DC2C6F">
              <w:br/>
            </w:r>
            <w:r w:rsidR="003F6297">
              <w:t>(</w:t>
            </w:r>
            <w:r w:rsidR="00BA4CBC">
              <w:t>$</w:t>
            </w:r>
            <w:r w:rsidR="003F6297">
              <w:t xml:space="preserve"> p.a.)</w:t>
            </w:r>
          </w:p>
        </w:tc>
        <w:tc>
          <w:tcPr>
            <w:tcW w:w="2341" w:type="dxa"/>
          </w:tcPr>
          <w:p w14:paraId="0D45C2F4" w14:textId="0135D9CB" w:rsidR="007D6662" w:rsidRPr="00DC2C6F" w:rsidRDefault="007D6662" w:rsidP="00DC2C6F">
            <w:pPr>
              <w:pStyle w:val="10Tabletext"/>
              <w:jc w:val="right"/>
              <w:cnfStyle w:val="100000000000" w:firstRow="1" w:lastRow="0" w:firstColumn="0" w:lastColumn="0" w:oddVBand="0" w:evenVBand="0" w:oddHBand="0" w:evenHBand="0" w:firstRowFirstColumn="0" w:firstRowLastColumn="0" w:lastRowFirstColumn="0" w:lastRowLastColumn="0"/>
            </w:pPr>
            <w:r w:rsidRPr="00DC2C6F">
              <w:t>Top of band</w:t>
            </w:r>
            <w:r w:rsidR="0032171E">
              <w:t xml:space="preserve"> TRP</w:t>
            </w:r>
            <w:r w:rsidRPr="00DC2C6F">
              <w:br/>
            </w:r>
            <w:r w:rsidR="003F6297">
              <w:t>(</w:t>
            </w:r>
            <w:r w:rsidR="00BA4CBC">
              <w:t>$</w:t>
            </w:r>
            <w:r w:rsidR="003F6297">
              <w:t xml:space="preserve"> p.a.)</w:t>
            </w:r>
          </w:p>
        </w:tc>
      </w:tr>
      <w:tr w:rsidR="007D6662" w:rsidRPr="00BF7D4E" w14:paraId="7B07C494" w14:textId="77777777" w:rsidTr="002A1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6F44C39" w14:textId="59901B15" w:rsidR="007D6662" w:rsidRPr="00BF7D4E" w:rsidRDefault="007D6662" w:rsidP="00DC2C6F">
            <w:pPr>
              <w:pStyle w:val="10Tabletext"/>
              <w:rPr>
                <w:color w:val="4D4D4D"/>
              </w:rPr>
            </w:pPr>
            <w:r w:rsidRPr="00BF7D4E">
              <w:rPr>
                <w:color w:val="4D4D4D"/>
              </w:rPr>
              <w:t xml:space="preserve">Department Secretary </w:t>
            </w:r>
            <w:r w:rsidR="00091A85">
              <w:rPr>
                <w:color w:val="4D4D4D"/>
              </w:rPr>
              <w:t xml:space="preserve">/ </w:t>
            </w:r>
            <w:r w:rsidRPr="00BF7D4E">
              <w:rPr>
                <w:color w:val="4D4D4D"/>
              </w:rPr>
              <w:br/>
              <w:t>Victorian Public Sector Commissioner</w:t>
            </w:r>
          </w:p>
        </w:tc>
        <w:tc>
          <w:tcPr>
            <w:tcW w:w="2341" w:type="dxa"/>
          </w:tcPr>
          <w:p w14:paraId="151D0FAF" w14:textId="7BAB1C54" w:rsidR="007D6662" w:rsidRPr="00BF7D4E" w:rsidRDefault="007D6662" w:rsidP="00DC2C6F">
            <w:pPr>
              <w:pStyle w:val="10Tabletext"/>
              <w:jc w:val="right"/>
              <w:cnfStyle w:val="000000100000" w:firstRow="0" w:lastRow="0" w:firstColumn="0" w:lastColumn="0" w:oddVBand="0" w:evenVBand="0" w:oddHBand="1" w:evenHBand="0" w:firstRowFirstColumn="0" w:firstRowLastColumn="0" w:lastRowFirstColumn="0" w:lastRowLastColumn="0"/>
              <w:rPr>
                <w:color w:val="4D4D4D"/>
              </w:rPr>
            </w:pPr>
            <w:r>
              <w:rPr>
                <w:color w:val="4D4D4D"/>
              </w:rPr>
              <w:t>603,713</w:t>
            </w:r>
          </w:p>
        </w:tc>
        <w:tc>
          <w:tcPr>
            <w:tcW w:w="2341" w:type="dxa"/>
          </w:tcPr>
          <w:p w14:paraId="16EF727C" w14:textId="7C4FC204" w:rsidR="007D6662" w:rsidRPr="00BF7D4E" w:rsidRDefault="007D6662" w:rsidP="00DC2C6F">
            <w:pPr>
              <w:pStyle w:val="10Tabletext"/>
              <w:jc w:val="right"/>
              <w:cnfStyle w:val="000000100000" w:firstRow="0" w:lastRow="0" w:firstColumn="0" w:lastColumn="0" w:oddVBand="0" w:evenVBand="0" w:oddHBand="1" w:evenHBand="0" w:firstRowFirstColumn="0" w:firstRowLastColumn="0" w:lastRowFirstColumn="0" w:lastRowLastColumn="0"/>
              <w:rPr>
                <w:color w:val="4D4D4D"/>
              </w:rPr>
            </w:pPr>
            <w:r>
              <w:rPr>
                <w:color w:val="4D4D4D"/>
              </w:rPr>
              <w:t>813,524</w:t>
            </w:r>
          </w:p>
        </w:tc>
      </w:tr>
    </w:tbl>
    <w:p w14:paraId="740D512E" w14:textId="08ACCB76" w:rsidR="007D6662" w:rsidRPr="007639AB" w:rsidRDefault="007D6662" w:rsidP="00CA1508">
      <w:pPr>
        <w:pStyle w:val="05Paragraph"/>
      </w:pPr>
      <w:r>
        <w:t>Following is a summary of the matters the Tribunal</w:t>
      </w:r>
      <w:r w:rsidRPr="007639AB">
        <w:t xml:space="preserve"> considered, and the weight it gave to various factors, to reach a decision about the value of </w:t>
      </w:r>
      <w:r>
        <w:t xml:space="preserve">the </w:t>
      </w:r>
      <w:r w:rsidRPr="007639AB">
        <w:t>remuneration bands</w:t>
      </w:r>
      <w:r>
        <w:t>.</w:t>
      </w:r>
    </w:p>
    <w:p w14:paraId="3DF055CF" w14:textId="319D6C5F" w:rsidR="007D6662" w:rsidRPr="007639AB" w:rsidRDefault="007D6662" w:rsidP="00DC2C6F">
      <w:pPr>
        <w:pStyle w:val="05Paragraph"/>
      </w:pPr>
      <w:r w:rsidRPr="007639AB">
        <w:t xml:space="preserve">The overall analytical framework is set by the </w:t>
      </w:r>
      <w:r w:rsidR="00D80AF3" w:rsidRPr="00D80AF3">
        <w:rPr>
          <w:i/>
          <w:iCs/>
        </w:rPr>
        <w:t>Victorian Independent Remuneration Tribunal and Improving Parliamentary Standards Act 2019</w:t>
      </w:r>
      <w:r w:rsidR="00D80AF3" w:rsidRPr="00D80AF3">
        <w:t xml:space="preserve"> (Vic) </w:t>
      </w:r>
      <w:r w:rsidR="00811830">
        <w:t>(</w:t>
      </w:r>
      <w:r w:rsidRPr="007639AB">
        <w:t>VI</w:t>
      </w:r>
      <w:r w:rsidR="006D680C">
        <w:t>R</w:t>
      </w:r>
      <w:r w:rsidRPr="007639AB">
        <w:t>TIPS Act</w:t>
      </w:r>
      <w:r w:rsidR="00811830">
        <w:t>)</w:t>
      </w:r>
      <w:r w:rsidRPr="007639AB">
        <w:t xml:space="preserve"> which requires that, in making </w:t>
      </w:r>
      <w:r w:rsidR="00182945">
        <w:t>a comprehensive D</w:t>
      </w:r>
      <w:r w:rsidRPr="007639AB">
        <w:t>etermination, the Tribunal must consider the following:</w:t>
      </w:r>
    </w:p>
    <w:p w14:paraId="4818C908" w14:textId="77777777" w:rsidR="007D6662" w:rsidRPr="007639AB" w:rsidRDefault="007D6662" w:rsidP="007D6662">
      <w:pPr>
        <w:pStyle w:val="06VIRTBulletpoints"/>
      </w:pPr>
      <w:r w:rsidRPr="007639AB">
        <w:t>the existing remuneration provided to executives</w:t>
      </w:r>
    </w:p>
    <w:p w14:paraId="79E501C8" w14:textId="204F23A7" w:rsidR="007D6662" w:rsidRPr="007639AB" w:rsidRDefault="007D6662" w:rsidP="007D6662">
      <w:pPr>
        <w:pStyle w:val="06VIRTBulletpoints"/>
      </w:pPr>
      <w:r w:rsidRPr="007639AB">
        <w:t xml:space="preserve">any statement </w:t>
      </w:r>
      <w:r w:rsidR="002911C2" w:rsidRPr="007639AB">
        <w:t>o</w:t>
      </w:r>
      <w:r w:rsidR="002911C2">
        <w:t>r</w:t>
      </w:r>
      <w:r w:rsidRPr="007639AB">
        <w:t xml:space="preserve"> policy issued by the Government of Victoria which is in force with respect to its wages policy</w:t>
      </w:r>
    </w:p>
    <w:p w14:paraId="6182599A" w14:textId="77777777" w:rsidR="007D6662" w:rsidRPr="007639AB" w:rsidRDefault="007D6662" w:rsidP="007D6662">
      <w:pPr>
        <w:pStyle w:val="06VIRTBulletpoints"/>
      </w:pPr>
      <w:r w:rsidRPr="007639AB">
        <w:t xml:space="preserve">the financial position and fiscal strategy of the State </w:t>
      </w:r>
    </w:p>
    <w:p w14:paraId="60B46433" w14:textId="77777777" w:rsidR="007D6662" w:rsidRPr="007639AB" w:rsidRDefault="007D6662" w:rsidP="007D6662">
      <w:pPr>
        <w:pStyle w:val="06VIRTBulletpoints"/>
      </w:pPr>
      <w:r w:rsidRPr="007639AB">
        <w:t>current and projected economic conditions and trends</w:t>
      </w:r>
    </w:p>
    <w:p w14:paraId="0374F104" w14:textId="4CE06D32" w:rsidR="007D6662" w:rsidRPr="007639AB" w:rsidRDefault="007D6662" w:rsidP="007D6662">
      <w:pPr>
        <w:pStyle w:val="06VIRTBulletpoints"/>
      </w:pPr>
      <w:r w:rsidRPr="007639AB">
        <w:t xml:space="preserve">submissions received in relation to the proposed </w:t>
      </w:r>
      <w:r w:rsidR="00C23B34">
        <w:t>D</w:t>
      </w:r>
      <w:r w:rsidRPr="007639AB">
        <w:t>etermination</w:t>
      </w:r>
    </w:p>
    <w:p w14:paraId="384EDCED" w14:textId="77777777" w:rsidR="007D6662" w:rsidRPr="00BB5832" w:rsidRDefault="007D6662" w:rsidP="007D6662">
      <w:pPr>
        <w:pStyle w:val="06VIRTBulletpoints"/>
      </w:pPr>
      <w:r w:rsidRPr="007639AB">
        <w:lastRenderedPageBreak/>
        <w:t>a comprehensive review of the roles of executives employed in public service bodies.</w:t>
      </w:r>
    </w:p>
    <w:p w14:paraId="447E4BF6" w14:textId="77777777" w:rsidR="007D6662" w:rsidRPr="007639AB" w:rsidRDefault="007D6662" w:rsidP="00CA1508">
      <w:pPr>
        <w:pStyle w:val="05Paragraph"/>
      </w:pPr>
      <w:r w:rsidRPr="007639AB">
        <w:t xml:space="preserve">Detailed information and data supporting the analysis can be found in the </w:t>
      </w:r>
      <w:r>
        <w:t>various</w:t>
      </w:r>
      <w:r w:rsidRPr="007639AB">
        <w:t xml:space="preserve"> chapters of this statement. Chapter 2 discusses the roles and responsibilities of VPS executives, drawing on the Tribunal’s consultations and research. An overview of the existing employment and remuneration arrangements for executives is provided in </w:t>
      </w:r>
      <w:r>
        <w:t>C</w:t>
      </w:r>
      <w:r w:rsidRPr="007639AB">
        <w:t>hapter 3.</w:t>
      </w:r>
    </w:p>
    <w:p w14:paraId="3C34EA5E" w14:textId="77777777" w:rsidR="007D6662" w:rsidRPr="007639AB" w:rsidRDefault="007D6662" w:rsidP="009F7A63">
      <w:pPr>
        <w:pStyle w:val="05Paragraph"/>
      </w:pPr>
      <w:r w:rsidRPr="007639AB">
        <w:t xml:space="preserve">Chapter 4 describes the executive labour market, including current demand and supply factors and presents the remuneration benchmarking analysis commissioned by the Tribunal. In </w:t>
      </w:r>
      <w:r>
        <w:t>C</w:t>
      </w:r>
      <w:r w:rsidRPr="007639AB">
        <w:t>hapter 5, comparisons are made between executive remuneration arrangements across selected Australian jurisdictions. Chapter 6 details relevant macroeconomic and financial considerations. Submissions received by the Tribunal, including responses to the Tribunal’s executive questionnaire, are cited throughout the Statement of Reasons.</w:t>
      </w:r>
    </w:p>
    <w:p w14:paraId="550FF55C" w14:textId="77777777" w:rsidR="007D6662" w:rsidRPr="007639AB" w:rsidRDefault="007D6662" w:rsidP="00CA1508">
      <w:pPr>
        <w:pStyle w:val="03VIRTHeading3"/>
      </w:pPr>
      <w:r w:rsidRPr="007639AB">
        <w:t>Factors supporting an increase in the level of the remuneration bands</w:t>
      </w:r>
    </w:p>
    <w:p w14:paraId="6044A2C3" w14:textId="77777777" w:rsidR="007D6662" w:rsidRPr="007639AB" w:rsidRDefault="007D6662" w:rsidP="00CA1508">
      <w:pPr>
        <w:pStyle w:val="04VIRTheading4"/>
      </w:pPr>
      <w:r w:rsidRPr="007639AB">
        <w:t>The changing nature of the role</w:t>
      </w:r>
    </w:p>
    <w:p w14:paraId="4424F299" w14:textId="2BE63000" w:rsidR="007D6662" w:rsidRPr="007639AB" w:rsidRDefault="007D6662" w:rsidP="00CA1508">
      <w:pPr>
        <w:pStyle w:val="05Paragraph"/>
      </w:pPr>
      <w:r w:rsidRPr="007639AB">
        <w:t xml:space="preserve">The first part of </w:t>
      </w:r>
      <w:r w:rsidR="00222085">
        <w:t>this section</w:t>
      </w:r>
      <w:r w:rsidRPr="007639AB">
        <w:t xml:space="preserve"> identifies a number of factors which, taken together, provide evidence for the appropriateness of a significant increase to the remuneration </w:t>
      </w:r>
      <w:r w:rsidR="00276036">
        <w:t xml:space="preserve">bands </w:t>
      </w:r>
      <w:r w:rsidRPr="007639AB">
        <w:t xml:space="preserve">for VPS executives. The second part sets these considerations in a broader context including the government’s wages policy and the financial position and fiscal strategy of the State. </w:t>
      </w:r>
    </w:p>
    <w:p w14:paraId="587BB6AA" w14:textId="026EDEFA" w:rsidR="007D6662" w:rsidRPr="007639AB" w:rsidRDefault="007D6662" w:rsidP="00CA1508">
      <w:pPr>
        <w:pStyle w:val="05Paragraph"/>
      </w:pPr>
      <w:r w:rsidRPr="007639AB">
        <w:t xml:space="preserve">First, in support of an increase, there is compelling evidence of a significant change in the role of executives since the Tribunal’s first </w:t>
      </w:r>
      <w:r w:rsidR="00144BE8">
        <w:t>D</w:t>
      </w:r>
      <w:r w:rsidRPr="007639AB">
        <w:t xml:space="preserve">etermination four years ago. While core responsibilities have more or less remained constant, workload, complexity and public scrutiny associated with the role have all increased. While workload might suggest solutions other than remuneration, the latter two </w:t>
      </w:r>
      <w:r w:rsidR="00A70553">
        <w:t>—</w:t>
      </w:r>
      <w:r w:rsidRPr="007639AB">
        <w:t xml:space="preserve"> and in particular public scrutiny </w:t>
      </w:r>
      <w:r w:rsidR="00727C6B">
        <w:t>—</w:t>
      </w:r>
      <w:r w:rsidRPr="007639AB">
        <w:t xml:space="preserve"> bear directly on </w:t>
      </w:r>
      <w:r w:rsidR="00C56661">
        <w:t xml:space="preserve">considerations for setting </w:t>
      </w:r>
      <w:r w:rsidRPr="007639AB">
        <w:t>remuneration</w:t>
      </w:r>
      <w:r w:rsidR="00C56661">
        <w:t xml:space="preserve"> bands</w:t>
      </w:r>
      <w:r w:rsidRPr="007639AB">
        <w:t>.</w:t>
      </w:r>
    </w:p>
    <w:p w14:paraId="1D1B84DB" w14:textId="55F5F06F" w:rsidR="007D6662" w:rsidRDefault="007D6662" w:rsidP="00CA1508">
      <w:pPr>
        <w:pStyle w:val="05Paragraph"/>
      </w:pPr>
      <w:r w:rsidRPr="007639AB">
        <w:t>A high degree of accountability and the public examination of executives in the V</w:t>
      </w:r>
      <w:r w:rsidR="00727C6B">
        <w:t>PS</w:t>
      </w:r>
      <w:r w:rsidRPr="007639AB">
        <w:t xml:space="preserve"> is, and has always been, highly appropriate. However, information provided to the Tribunal suggests that the shift in public scrutiny has been towards personal </w:t>
      </w:r>
      <w:r w:rsidRPr="007639AB">
        <w:lastRenderedPageBreak/>
        <w:t xml:space="preserve">targeting and the introduction of a political dimension and a level of aggressiveness not evident in the past. </w:t>
      </w:r>
    </w:p>
    <w:p w14:paraId="43C48B04" w14:textId="4D487722" w:rsidR="007D6662" w:rsidRPr="007639AB" w:rsidRDefault="007D6662" w:rsidP="00CA1508">
      <w:pPr>
        <w:pStyle w:val="05Paragraph"/>
        <w:rPr>
          <w:highlight w:val="yellow"/>
        </w:rPr>
      </w:pPr>
      <w:r w:rsidRPr="007639AB">
        <w:t xml:space="preserve">The resultant increased risk of reputational damage, together with a limited capacity to respond and an associated damage to employment prospects, has had a significant impact on the number of people willing to serve in senior roles in the </w:t>
      </w:r>
      <w:r w:rsidR="00B37138">
        <w:t>VPS</w:t>
      </w:r>
      <w:r w:rsidRPr="007639AB">
        <w:t xml:space="preserve">. Moreover, those who are risk averse are discouraged leading to negative consequences for diversity. </w:t>
      </w:r>
    </w:p>
    <w:p w14:paraId="661600E7" w14:textId="6674C6A3" w:rsidR="007D6662" w:rsidRPr="007639AB" w:rsidRDefault="007D6662" w:rsidP="00CA1508">
      <w:pPr>
        <w:pStyle w:val="05Paragraph"/>
      </w:pPr>
      <w:r w:rsidRPr="007639AB">
        <w:t>Similar views were expressed in the submission from the V</w:t>
      </w:r>
      <w:r w:rsidR="00767262">
        <w:t>PSC</w:t>
      </w:r>
      <w:r w:rsidRPr="007639AB">
        <w:t xml:space="preserve"> which noted that, notwithstanding the importance of accountability, the frequency, intensity and often widely reported nature of this scrutiny can have a negative impact on executives’ mental health and their future financial earning capacity. </w:t>
      </w:r>
    </w:p>
    <w:p w14:paraId="752D7FB2" w14:textId="77777777" w:rsidR="007D6662" w:rsidRDefault="007D6662" w:rsidP="00CA1508">
      <w:pPr>
        <w:pStyle w:val="05Paragraph"/>
      </w:pPr>
      <w:r w:rsidRPr="007639AB">
        <w:t>It is the view of the Tribunal that this is not simply a passing phase but rather reflects structural changes in the system which are here to stay. The situation is not eased when the challenges of the near future are considered. There is an increasing tendency, for example, for personal responsibility to attach to big system failures including as the result of cyber-attacks, as well as to the management of natural disasters and to those functions involving the direct care of community members.</w:t>
      </w:r>
    </w:p>
    <w:p w14:paraId="6D88D170" w14:textId="21D18706" w:rsidR="007D6662" w:rsidRPr="007639AB" w:rsidRDefault="007D6662" w:rsidP="00CA1508">
      <w:pPr>
        <w:pStyle w:val="05Paragraph"/>
      </w:pPr>
      <w:r w:rsidRPr="007639AB">
        <w:t xml:space="preserve">In each of these areas and others the level of exposure and risk for senior executives has increased dramatically leading some to </w:t>
      </w:r>
      <w:r>
        <w:t xml:space="preserve">not take up more senior roles or to </w:t>
      </w:r>
      <w:r w:rsidRPr="007639AB">
        <w:t>contemplate whether a career in the private sector may be a more attractive option.</w:t>
      </w:r>
    </w:p>
    <w:p w14:paraId="34D7A69B" w14:textId="753C07F3" w:rsidR="007D6662" w:rsidRDefault="007D6662" w:rsidP="00CA1508">
      <w:pPr>
        <w:pStyle w:val="05Paragraph"/>
      </w:pPr>
      <w:r w:rsidRPr="007639AB">
        <w:t>In terms of complexity, there are a number of challenges that arise from leading a hybrid workforce including finding new ways to stimulate connections and creativity</w:t>
      </w:r>
      <w:r>
        <w:t>, manage performance</w:t>
      </w:r>
      <w:r w:rsidRPr="007639AB">
        <w:t xml:space="preserve"> and to build trust and relationships within and across teams and organisations. These challenges include maximising productivity by redesigning work to focus on a ‘digital-first’ way of working and by managing the introduction of </w:t>
      </w:r>
      <w:r w:rsidR="00CB12B2">
        <w:t>artificial intelligence</w:t>
      </w:r>
      <w:r w:rsidRPr="007639AB">
        <w:t xml:space="preserve">. </w:t>
      </w:r>
    </w:p>
    <w:p w14:paraId="501F57F5" w14:textId="77777777" w:rsidR="007D6662" w:rsidRPr="007639AB" w:rsidRDefault="007D6662" w:rsidP="00CA1508">
      <w:pPr>
        <w:pStyle w:val="05Paragraph"/>
      </w:pPr>
      <w:r w:rsidRPr="007639AB">
        <w:t xml:space="preserve">There has been a major expansion in program and project delivery across all spheres of government co-existent with the implementation of savings initiatives and the re-setting of staffing levels. And there has been a significant growth in the number of portfolios serviced by the VPS along with a continued focus on cross-portfolio </w:t>
      </w:r>
      <w:r>
        <w:t xml:space="preserve">and social reform </w:t>
      </w:r>
      <w:r w:rsidRPr="007639AB">
        <w:t>initiatives</w:t>
      </w:r>
      <w:r>
        <w:t xml:space="preserve"> that touch on every aspect of public service activity</w:t>
      </w:r>
      <w:r w:rsidRPr="007639AB">
        <w:t>.</w:t>
      </w:r>
    </w:p>
    <w:p w14:paraId="5D7E2F10" w14:textId="77777777" w:rsidR="007D6662" w:rsidRPr="007639AB" w:rsidRDefault="007D6662" w:rsidP="00346EB1">
      <w:pPr>
        <w:pStyle w:val="04VIRTheading4"/>
      </w:pPr>
      <w:r w:rsidRPr="007639AB">
        <w:lastRenderedPageBreak/>
        <w:t>Market positioning and competitiveness</w:t>
      </w:r>
    </w:p>
    <w:p w14:paraId="4CE06994" w14:textId="6D6BED1A" w:rsidR="007D6662" w:rsidRPr="007639AB" w:rsidRDefault="007D6662" w:rsidP="00346EB1">
      <w:pPr>
        <w:pStyle w:val="05Paragraph"/>
      </w:pPr>
      <w:r w:rsidRPr="007639AB">
        <w:t>The second issue relates to the level of competitiveness of the V</w:t>
      </w:r>
      <w:r w:rsidR="00EB4F9D">
        <w:t>PS</w:t>
      </w:r>
      <w:r w:rsidRPr="007639AB">
        <w:t xml:space="preserve"> compared to the private sector and other public sector jurisdictions with which Victoria competes for talent. </w:t>
      </w:r>
    </w:p>
    <w:p w14:paraId="583F3AC4" w14:textId="7EAB45F1" w:rsidR="007D6662" w:rsidRDefault="007D6662" w:rsidP="00346EB1">
      <w:pPr>
        <w:pStyle w:val="05Paragraph"/>
      </w:pPr>
      <w:r w:rsidRPr="007639AB">
        <w:t xml:space="preserve">The </w:t>
      </w:r>
      <w:r w:rsidRPr="00BC3D32">
        <w:t>Tribunal</w:t>
      </w:r>
      <w:r w:rsidRPr="007639AB">
        <w:t xml:space="preserve"> engaged recruitment firm Mercer </w:t>
      </w:r>
      <w:r w:rsidR="00F02135">
        <w:t xml:space="preserve">Consulting (Australia) </w:t>
      </w:r>
      <w:r w:rsidRPr="007639AB">
        <w:t>to undertake a detailed analysis of the market for executives. Of particular relevance is the positioning of the VPS in the Australian General Market</w:t>
      </w:r>
      <w:r w:rsidR="003C4D0B">
        <w:t xml:space="preserve"> (AGM)</w:t>
      </w:r>
      <w:r w:rsidRPr="00BC3D32">
        <w:t>.</w:t>
      </w:r>
    </w:p>
    <w:p w14:paraId="0CBE4F8B" w14:textId="11143BA0" w:rsidR="007D6662" w:rsidRPr="007639AB" w:rsidRDefault="00286B1A" w:rsidP="00346EB1">
      <w:pPr>
        <w:pStyle w:val="05Paragraph"/>
        <w:rPr>
          <w:color w:val="000000"/>
        </w:rPr>
      </w:pPr>
      <w:r w:rsidRPr="0042657F">
        <w:t xml:space="preserve">Pay practices </w:t>
      </w:r>
      <w:r w:rsidR="004352B7" w:rsidRPr="0042657F">
        <w:t xml:space="preserve">for public sector executives </w:t>
      </w:r>
      <w:r w:rsidR="007D6662" w:rsidRPr="007639AB">
        <w:t xml:space="preserve">in most Australian jurisdictions </w:t>
      </w:r>
      <w:r w:rsidR="000035D5" w:rsidRPr="0042657F">
        <w:t xml:space="preserve">are generally closer </w:t>
      </w:r>
      <w:r w:rsidR="007D6662" w:rsidRPr="007639AB">
        <w:t>to the 15</w:t>
      </w:r>
      <w:r w:rsidR="007D6662" w:rsidRPr="00BC3921">
        <w:rPr>
          <w:vertAlign w:val="superscript"/>
        </w:rPr>
        <w:t>th</w:t>
      </w:r>
      <w:r w:rsidR="007D6662" w:rsidRPr="007639AB">
        <w:t xml:space="preserve"> percentile of the AGM. This means that 85 per cent of all executives performing roles with the same work value are paid more than executives in the VPS </w:t>
      </w:r>
      <w:r w:rsidR="001C791C">
        <w:t>—</w:t>
      </w:r>
      <w:r w:rsidR="007D6662" w:rsidRPr="007639AB">
        <w:t xml:space="preserve"> reflectin</w:t>
      </w:r>
      <w:r w:rsidR="007D6662" w:rsidRPr="007639AB">
        <w:rPr>
          <w:color w:val="000000"/>
        </w:rPr>
        <w:t>g, in part</w:t>
      </w:r>
      <w:r w:rsidR="007D6662">
        <w:rPr>
          <w:color w:val="000000"/>
        </w:rPr>
        <w:t>,</w:t>
      </w:r>
      <w:r w:rsidR="007D6662" w:rsidRPr="007639AB">
        <w:rPr>
          <w:color w:val="000000"/>
        </w:rPr>
        <w:t xml:space="preserve"> the value attached to the non-salary benefits of working in the public service </w:t>
      </w:r>
      <w:r w:rsidR="001C791C">
        <w:rPr>
          <w:color w:val="000000"/>
        </w:rPr>
        <w:t>—</w:t>
      </w:r>
      <w:r w:rsidR="007D6662" w:rsidRPr="007639AB">
        <w:rPr>
          <w:color w:val="000000"/>
        </w:rPr>
        <w:t xml:space="preserve"> the satisfaction that comes from the opportunity to serve the community and make a difference for example.</w:t>
      </w:r>
    </w:p>
    <w:p w14:paraId="7BFE2EE8" w14:textId="7B74FE74" w:rsidR="007D6662" w:rsidRPr="007639AB" w:rsidRDefault="007D6662" w:rsidP="00346EB1">
      <w:pPr>
        <w:pStyle w:val="05Paragraph"/>
        <w:rPr>
          <w:color w:val="000000"/>
        </w:rPr>
      </w:pPr>
      <w:r w:rsidRPr="007639AB">
        <w:rPr>
          <w:color w:val="000000"/>
        </w:rPr>
        <w:t xml:space="preserve">The critical part of Mercer’s analysis is that, compared to four years ago, current executive remuneration </w:t>
      </w:r>
      <w:r w:rsidR="001C791C">
        <w:rPr>
          <w:color w:val="000000"/>
        </w:rPr>
        <w:t>—</w:t>
      </w:r>
      <w:r w:rsidRPr="007639AB">
        <w:rPr>
          <w:color w:val="000000"/>
        </w:rPr>
        <w:t xml:space="preserve"> particularly for senior executives </w:t>
      </w:r>
      <w:r w:rsidR="001C791C">
        <w:rPr>
          <w:color w:val="000000"/>
        </w:rPr>
        <w:t>—</w:t>
      </w:r>
      <w:r w:rsidRPr="007639AB">
        <w:rPr>
          <w:color w:val="000000"/>
        </w:rPr>
        <w:t xml:space="preserve"> has fallen further below the 15</w:t>
      </w:r>
      <w:r w:rsidRPr="00BC3921">
        <w:rPr>
          <w:color w:val="000000"/>
          <w:vertAlign w:val="superscript"/>
        </w:rPr>
        <w:t>th</w:t>
      </w:r>
      <w:r w:rsidRPr="007639AB">
        <w:rPr>
          <w:color w:val="000000"/>
        </w:rPr>
        <w:t xml:space="preserve"> percentile of the AGM. Given the importance of a high-performing public sector to the economic performance of the State, this decline in positioning and its impact of the State’s ability to compete for talent should be viewed with some concern. </w:t>
      </w:r>
    </w:p>
    <w:p w14:paraId="615A68F3" w14:textId="1FB1B0D7" w:rsidR="007D6662" w:rsidRPr="007639AB" w:rsidRDefault="007D6662" w:rsidP="00346EB1">
      <w:pPr>
        <w:pStyle w:val="05Paragraph"/>
        <w:rPr>
          <w:color w:val="000000"/>
        </w:rPr>
      </w:pPr>
      <w:r w:rsidRPr="007639AB">
        <w:rPr>
          <w:color w:val="000000"/>
        </w:rPr>
        <w:t xml:space="preserve">This is not simply a theoretical observation. As part of the Tribunal’s questionnaire, executives who are involved in the recruitment of other executives were asked to identify the factors affecting the willingness of potential candidates to apply for executive positions or accept an employment offer. Around two-thirds reported ‘significant challenges’ attracting executives. Of these, approximately 90 per cent indicated that the main factor was that the </w:t>
      </w:r>
      <w:r w:rsidR="003E7735">
        <w:rPr>
          <w:color w:val="000000"/>
        </w:rPr>
        <w:t>TRP</w:t>
      </w:r>
      <w:r w:rsidRPr="007639AB">
        <w:rPr>
          <w:color w:val="000000"/>
        </w:rPr>
        <w:t xml:space="preserve"> is too low. These are the people who </w:t>
      </w:r>
      <w:r>
        <w:rPr>
          <w:color w:val="000000"/>
        </w:rPr>
        <w:t>have first-hand experience of executive recruitment</w:t>
      </w:r>
      <w:r w:rsidRPr="007639AB">
        <w:rPr>
          <w:color w:val="000000"/>
        </w:rPr>
        <w:t xml:space="preserve"> and are more likely to have </w:t>
      </w:r>
      <w:r>
        <w:rPr>
          <w:color w:val="000000"/>
        </w:rPr>
        <w:t>real knowledge</w:t>
      </w:r>
      <w:r w:rsidRPr="007639AB">
        <w:rPr>
          <w:color w:val="000000"/>
        </w:rPr>
        <w:t xml:space="preserve"> of contemporary market realities.</w:t>
      </w:r>
    </w:p>
    <w:p w14:paraId="6479170E" w14:textId="41194043" w:rsidR="007D6662" w:rsidRPr="007639AB" w:rsidRDefault="007D6662" w:rsidP="00346EB1">
      <w:pPr>
        <w:pStyle w:val="05Paragraph"/>
        <w:rPr>
          <w:color w:val="000000"/>
        </w:rPr>
      </w:pPr>
      <w:r w:rsidRPr="007639AB">
        <w:rPr>
          <w:color w:val="000000"/>
        </w:rPr>
        <w:t xml:space="preserve">In addition to the current remuneration bands, there is evidence that broader terms and conditions </w:t>
      </w:r>
      <w:r w:rsidR="001C791C">
        <w:rPr>
          <w:color w:val="000000"/>
        </w:rPr>
        <w:t>—</w:t>
      </w:r>
      <w:r w:rsidRPr="007639AB">
        <w:rPr>
          <w:color w:val="000000"/>
        </w:rPr>
        <w:t xml:space="preserve"> such as the termination provisions of the employment contract </w:t>
      </w:r>
      <w:r w:rsidR="001C791C">
        <w:rPr>
          <w:color w:val="000000"/>
        </w:rPr>
        <w:t>—</w:t>
      </w:r>
      <w:r w:rsidRPr="007639AB">
        <w:rPr>
          <w:color w:val="000000"/>
        </w:rPr>
        <w:t xml:space="preserve"> have also adversely affected recruitment and retention.</w:t>
      </w:r>
    </w:p>
    <w:p w14:paraId="147659B1" w14:textId="77777777" w:rsidR="007D6662" w:rsidRPr="007639AB" w:rsidRDefault="007D6662" w:rsidP="00346EB1">
      <w:pPr>
        <w:pStyle w:val="04VIRTheading4"/>
      </w:pPr>
      <w:r w:rsidRPr="007639AB">
        <w:t>Economic considerations</w:t>
      </w:r>
    </w:p>
    <w:p w14:paraId="1B5B9A78" w14:textId="67D3D679" w:rsidR="007D6662" w:rsidRPr="007639AB" w:rsidRDefault="007D6662" w:rsidP="00346EB1">
      <w:pPr>
        <w:pStyle w:val="05Paragraph"/>
      </w:pPr>
      <w:r w:rsidRPr="007639AB">
        <w:t xml:space="preserve">Although the economic outlook remains mixed, a number of indicators suggest a trend towards a more positive environment for wages growth over the coming </w:t>
      </w:r>
      <w:r w:rsidRPr="007639AB">
        <w:lastRenderedPageBreak/>
        <w:t xml:space="preserve">years. Nominal wages growth has picked up in response to the tight labour market and high inflation. Real wages are growing again but remain lower than they were a few years ago. For example, since the Tribunal’s first comprehensive </w:t>
      </w:r>
      <w:r w:rsidR="005D1EDC">
        <w:t>Determination</w:t>
      </w:r>
      <w:r w:rsidRPr="007639AB">
        <w:t xml:space="preserve"> four years ago, real wages for executives have declined by </w:t>
      </w:r>
      <w:r w:rsidRPr="009E6CF3">
        <w:t>7.1</w:t>
      </w:r>
      <w:r w:rsidR="009B690B" w:rsidRPr="009E6CF3">
        <w:t> </w:t>
      </w:r>
      <w:r w:rsidRPr="009E6CF3">
        <w:t>per cent</w:t>
      </w:r>
      <w:r w:rsidRPr="007639AB">
        <w:t>. Moreover, public sector wages are growing more slowly than private sector wages in Victoria.</w:t>
      </w:r>
    </w:p>
    <w:p w14:paraId="2441A5CB" w14:textId="61FC5CDF" w:rsidR="007D6662" w:rsidRPr="007639AB" w:rsidRDefault="00C80B78" w:rsidP="00346EB1">
      <w:pPr>
        <w:pStyle w:val="05Paragraph"/>
      </w:pPr>
      <w:r>
        <w:t xml:space="preserve">Economic </w:t>
      </w:r>
      <w:r w:rsidR="007D6662" w:rsidRPr="007639AB">
        <w:t>growth in both Australia and Victoria is expected to pick up in the latter part of this year again creating a more positive outlook for wages growth. Although not directly relevant to the public sector executive cohort, as an indicator of trends in the broader economy, of note is the Fair Work Commission’s decision of 3</w:t>
      </w:r>
      <w:r w:rsidR="00BC3921">
        <w:t> </w:t>
      </w:r>
      <w:r w:rsidR="007D6662" w:rsidRPr="007639AB">
        <w:t>June</w:t>
      </w:r>
      <w:r w:rsidR="00BC3921">
        <w:t> </w:t>
      </w:r>
      <w:r w:rsidR="00F612BF">
        <w:t>2024</w:t>
      </w:r>
      <w:r w:rsidR="007D6662" w:rsidRPr="007639AB">
        <w:t xml:space="preserve"> to lift the minimum wage by 3.75 per cent slightly above annual inflation to March this year of 3.6 per cent (although it did warn of the inappropriateness of increasing the minimum wage significantly above inflation due to limited growth in labour productivity). </w:t>
      </w:r>
    </w:p>
    <w:p w14:paraId="05821911" w14:textId="77777777" w:rsidR="007D6662" w:rsidRPr="007639AB" w:rsidRDefault="007D6662" w:rsidP="00346EB1">
      <w:pPr>
        <w:pStyle w:val="03VIRTHeading3"/>
      </w:pPr>
      <w:r w:rsidRPr="007639AB">
        <w:t>Factors suggesting restraint</w:t>
      </w:r>
    </w:p>
    <w:p w14:paraId="6B085D1E" w14:textId="77777777" w:rsidR="007D6662" w:rsidRPr="007639AB" w:rsidRDefault="007D6662" w:rsidP="00346EB1">
      <w:pPr>
        <w:pStyle w:val="04VIRTheading4"/>
      </w:pPr>
      <w:r w:rsidRPr="007639AB">
        <w:t>Views of the VPS leadership</w:t>
      </w:r>
    </w:p>
    <w:p w14:paraId="3AE92DBA" w14:textId="18D099C7" w:rsidR="007D6662" w:rsidRPr="007639AB" w:rsidRDefault="007D6662" w:rsidP="00346EB1">
      <w:pPr>
        <w:pStyle w:val="05Paragraph"/>
      </w:pPr>
      <w:r w:rsidRPr="007639AB">
        <w:t>The first point to note is that submissions from the Victorian Secretaries Board and the V</w:t>
      </w:r>
      <w:r w:rsidR="00D75707">
        <w:t>PSC</w:t>
      </w:r>
      <w:r w:rsidRPr="007639AB">
        <w:t xml:space="preserve"> expressed the view that the remuneration bands for public service executives are broadly appropriate.</w:t>
      </w:r>
    </w:p>
    <w:p w14:paraId="1E8C0CB8" w14:textId="42B96E9E" w:rsidR="007D6662" w:rsidRPr="007639AB" w:rsidRDefault="007D6662" w:rsidP="00346EB1">
      <w:pPr>
        <w:pStyle w:val="05Paragraph"/>
      </w:pPr>
      <w:r w:rsidRPr="007639AB">
        <w:t>Part of the reasoning can be found in the payment above the band provision in the VIRTIPS Act. Under this provision, an employer may pay an executive above the maximum of the relevant band but first must seek and consider the advice of the Tribunal. The employer is not bound to accept the advice. The fact that relatively few executives are paid above the band (less than 3 per cent) suggests that the bands are generally fair, equitable and competitive for the vast majority of executives.</w:t>
      </w:r>
    </w:p>
    <w:p w14:paraId="7DD0A1A4" w14:textId="53FFD7E7" w:rsidR="007D6662" w:rsidRPr="007639AB" w:rsidRDefault="007D6662" w:rsidP="00346EB1">
      <w:pPr>
        <w:pStyle w:val="05Paragraph"/>
      </w:pPr>
      <w:r w:rsidRPr="007639AB">
        <w:t xml:space="preserve">The availability of this mechanism also enables employers, where there are competitive market pressures, to enter the realm of the general market and, together with the flexibility provided by the width of the bands (up </w:t>
      </w:r>
      <w:r w:rsidRPr="000470B6">
        <w:t xml:space="preserve">to </w:t>
      </w:r>
      <w:r w:rsidRPr="0015780E">
        <w:t>$</w:t>
      </w:r>
      <w:r w:rsidR="00DB14FC">
        <w:t>132,413</w:t>
      </w:r>
      <w:r w:rsidRPr="007639AB">
        <w:t xml:space="preserve"> for the </w:t>
      </w:r>
      <w:r w:rsidR="006E35B3">
        <w:t xml:space="preserve">current </w:t>
      </w:r>
      <w:r w:rsidRPr="007639AB">
        <w:t xml:space="preserve">SES-3 band), should equip them with the capacity to offer competitive remuneration in most cases.   </w:t>
      </w:r>
    </w:p>
    <w:p w14:paraId="47D616A0" w14:textId="77777777" w:rsidR="007D6662" w:rsidRPr="007639AB" w:rsidRDefault="007D6662" w:rsidP="00346EB1">
      <w:pPr>
        <w:pStyle w:val="04VIRTheading4"/>
      </w:pPr>
      <w:r w:rsidRPr="007639AB">
        <w:lastRenderedPageBreak/>
        <w:t>Wages policy and the financial position and fiscal strategy of the State</w:t>
      </w:r>
    </w:p>
    <w:p w14:paraId="7B2ED050" w14:textId="67E478F7" w:rsidR="007D6662" w:rsidRPr="007639AB" w:rsidRDefault="007D6662" w:rsidP="00346EB1">
      <w:pPr>
        <w:pStyle w:val="05Paragraph"/>
      </w:pPr>
      <w:r w:rsidRPr="007639AB">
        <w:t>Although the government’s wages policy is one of many factors the Tribunal is required to consider in making its decisions, in light of the current financial circumstances of the State and its strategies for dealing with net debt, the Tribunal felt it appropriate that the policy be given considerable weight in the decision</w:t>
      </w:r>
      <w:r w:rsidR="00C16621">
        <w:noBreakHyphen/>
      </w:r>
      <w:r w:rsidRPr="007639AB">
        <w:t xml:space="preserve">making process. </w:t>
      </w:r>
    </w:p>
    <w:p w14:paraId="4B7150A8" w14:textId="77777777" w:rsidR="00FB51F0" w:rsidRDefault="00FB51F0" w:rsidP="00FB51F0">
      <w:pPr>
        <w:pStyle w:val="05Paragraph"/>
      </w:pPr>
      <w:r>
        <w:t xml:space="preserve">Prior to the making of this Determination, the Victorian Government and the Community and Public Sector Union announced that they had reached in-principle agreement on the terms and conditions for a new VPS enterprise agreement. </w:t>
      </w:r>
    </w:p>
    <w:p w14:paraId="55300E7A" w14:textId="77777777" w:rsidR="00FB51F0" w:rsidRDefault="00FB51F0" w:rsidP="00FB51F0">
      <w:pPr>
        <w:pStyle w:val="05Paragraph"/>
      </w:pPr>
      <w:r>
        <w:t xml:space="preserve">Relevant aspects of the proposed agreement, which applies to non-executive VPS employees, include annual salary increases of 3 per cent, a once-off lump sum payment of $5,600 (pro-rated for part-time employees) and an increase in the lump sum progression payment available for employees at the top of their grade. The Tribunal notes that equivalent lump sum and progression payments are not typically available to VPS executives. </w:t>
      </w:r>
    </w:p>
    <w:p w14:paraId="7CB3BB6A" w14:textId="2FA8492B" w:rsidR="00170AAD" w:rsidRPr="007639AB" w:rsidRDefault="00FB51F0" w:rsidP="00FB51F0">
      <w:pPr>
        <w:pStyle w:val="05Paragraph"/>
      </w:pPr>
      <w:r>
        <w:t>The Tribunal heard that maintaining relativities between non-executive and executive employees is important for attraction and retention of executives. It is also a matter of fairness that increases in non-executive remuneration should inform the Tribunal’s consideration of the executive remuneration bands. For example, as a reference point, if the $5,600 lump sum payment was amortised over the four-year term of the proposed VPS enterprise agreement and considered as forming part of salary, the effective salary increase for VPS employees on 1 July 2024 would range from 5.7 per cent at the lowest VPS grade to 3.6 per cent at the highest grade.</w:t>
      </w:r>
    </w:p>
    <w:p w14:paraId="4DFA853F" w14:textId="0C097D8B" w:rsidR="007D6662" w:rsidRPr="007639AB" w:rsidRDefault="007D6662" w:rsidP="00346EB1">
      <w:pPr>
        <w:pStyle w:val="05Paragraph"/>
      </w:pPr>
      <w:r w:rsidRPr="007639AB">
        <w:t xml:space="preserve">The Tribunal’s rationale for giving some weight to wages policy is not related to the financial impact of any increase in </w:t>
      </w:r>
      <w:r w:rsidR="000F5052">
        <w:t xml:space="preserve">the </w:t>
      </w:r>
      <w:r w:rsidRPr="007639AB">
        <w:t>executive remuneration</w:t>
      </w:r>
      <w:r w:rsidR="000F5052">
        <w:t xml:space="preserve"> bands</w:t>
      </w:r>
      <w:r w:rsidRPr="007639AB">
        <w:t xml:space="preserve">. Given the relatively small size of the executive cohort compared to total public sector employment, any increase in </w:t>
      </w:r>
      <w:r w:rsidR="00523B40">
        <w:t xml:space="preserve">the </w:t>
      </w:r>
      <w:r w:rsidRPr="007639AB">
        <w:t xml:space="preserve">executive remuneration </w:t>
      </w:r>
      <w:r w:rsidR="00523B40">
        <w:t>bands</w:t>
      </w:r>
      <w:r w:rsidRPr="007639AB">
        <w:t xml:space="preserve"> will not have a significant impact on the budget’s bottom line. </w:t>
      </w:r>
    </w:p>
    <w:p w14:paraId="1ED6A937" w14:textId="032CFD0B" w:rsidR="007D6662" w:rsidRPr="007639AB" w:rsidRDefault="007D6662" w:rsidP="00346EB1">
      <w:pPr>
        <w:pStyle w:val="05Paragraph"/>
      </w:pPr>
      <w:r w:rsidRPr="007639AB">
        <w:t xml:space="preserve">Rather, the challenges facing the State are considerable and a degree of discipline and a high level of adherence to policy objectives will be required to overcome them. If any group is seen to be given </w:t>
      </w:r>
      <w:r w:rsidR="0024509C">
        <w:t>‘</w:t>
      </w:r>
      <w:r w:rsidRPr="007639AB">
        <w:t>special treatment</w:t>
      </w:r>
      <w:r w:rsidR="0024509C">
        <w:t>’</w:t>
      </w:r>
      <w:r w:rsidRPr="007639AB">
        <w:t xml:space="preserve"> it will inevitably weaken the collective effort.</w:t>
      </w:r>
    </w:p>
    <w:p w14:paraId="2C2668F7" w14:textId="77777777" w:rsidR="007D6662" w:rsidRPr="007639AB" w:rsidRDefault="007D6662" w:rsidP="00346EB1">
      <w:pPr>
        <w:pStyle w:val="04VIRTheading4"/>
      </w:pPr>
      <w:r w:rsidRPr="007639AB">
        <w:lastRenderedPageBreak/>
        <w:t>The social compact</w:t>
      </w:r>
    </w:p>
    <w:p w14:paraId="5895983B" w14:textId="56A146CE" w:rsidR="007D6662" w:rsidRPr="007639AB" w:rsidRDefault="007D6662" w:rsidP="00346EB1">
      <w:pPr>
        <w:pStyle w:val="05Paragraph"/>
      </w:pPr>
      <w:r w:rsidRPr="007639AB">
        <w:t xml:space="preserve">In making this decision </w:t>
      </w:r>
      <w:r w:rsidR="000470B6">
        <w:t>—</w:t>
      </w:r>
      <w:r w:rsidRPr="007639AB">
        <w:t xml:space="preserve"> and indeed all decisions </w:t>
      </w:r>
      <w:r w:rsidR="000470B6">
        <w:t>—</w:t>
      </w:r>
      <w:r w:rsidRPr="007639AB">
        <w:t xml:space="preserve"> the Tribunal did so having weighed the impact that its decision may have on the level of trust between the community and the </w:t>
      </w:r>
      <w:r w:rsidR="000470B6">
        <w:t>VPS</w:t>
      </w:r>
      <w:r w:rsidRPr="007639AB">
        <w:t xml:space="preserve"> if increases in remuneration for senior public servants are perceived as out of step with community standards and expectations and prevailing economic conditions.</w:t>
      </w:r>
    </w:p>
    <w:p w14:paraId="7DFDFABA" w14:textId="77777777" w:rsidR="007D6662" w:rsidRPr="007639AB" w:rsidRDefault="007D6662" w:rsidP="00346EB1">
      <w:pPr>
        <w:pStyle w:val="04VIRTheading4"/>
      </w:pPr>
      <w:r w:rsidRPr="007639AB">
        <w:t>Jurisdictional comparisons</w:t>
      </w:r>
    </w:p>
    <w:p w14:paraId="1388B5F9" w14:textId="476351DE" w:rsidR="007D6662" w:rsidRPr="007639AB" w:rsidRDefault="007D6662" w:rsidP="00346EB1">
      <w:pPr>
        <w:pStyle w:val="05Paragraph"/>
      </w:pPr>
      <w:r w:rsidRPr="007639AB">
        <w:t xml:space="preserve">The comparison focussed on the Commonwealth, New South Wales and Queensland public services. They are the most comparable in terms of population and geographical location, as well as the number of public service departments, the size of the executive and non-executive workforce. </w:t>
      </w:r>
    </w:p>
    <w:p w14:paraId="7EB9C36E" w14:textId="2AA25955" w:rsidR="007D6662" w:rsidRDefault="007D6662" w:rsidP="00346EB1">
      <w:pPr>
        <w:pStyle w:val="05Paragraph"/>
      </w:pPr>
      <w:r w:rsidRPr="007639AB">
        <w:t>Although different structural arrangements make direct comparisons difficult, it appear</w:t>
      </w:r>
      <w:r>
        <w:t>s</w:t>
      </w:r>
      <w:r w:rsidRPr="007639AB">
        <w:t xml:space="preserve"> that the disparities are not sufficient to suggest that weight should be given to jurisdictional comparisons in this analysis.</w:t>
      </w:r>
    </w:p>
    <w:p w14:paraId="378B5915" w14:textId="77777777" w:rsidR="007D6662" w:rsidRPr="007639AB" w:rsidRDefault="007D6662" w:rsidP="00346EB1">
      <w:pPr>
        <w:pStyle w:val="03VIRTHeading3"/>
      </w:pPr>
      <w:r w:rsidRPr="007639AB">
        <w:t>The Tribunal’s decision</w:t>
      </w:r>
    </w:p>
    <w:p w14:paraId="77E559DC" w14:textId="0BC4A136" w:rsidR="00744414" w:rsidRDefault="007D6662" w:rsidP="00346EB1">
      <w:pPr>
        <w:pStyle w:val="05Paragraph"/>
      </w:pPr>
      <w:r w:rsidRPr="007639AB">
        <w:t xml:space="preserve">As discussed earlier, the </w:t>
      </w:r>
      <w:r w:rsidR="00510157">
        <w:t>VPS</w:t>
      </w:r>
      <w:r w:rsidRPr="007639AB">
        <w:t xml:space="preserve"> has fallen behind movements in the </w:t>
      </w:r>
      <w:r w:rsidR="00464641">
        <w:t>AGM</w:t>
      </w:r>
      <w:r w:rsidRPr="007639AB">
        <w:t xml:space="preserve"> compared to where it was four years ago </w:t>
      </w:r>
      <w:r w:rsidR="00044CC7">
        <w:t>—</w:t>
      </w:r>
      <w:r w:rsidRPr="00BC3D32">
        <w:t xml:space="preserve"> for example, the top of the SES-3 band is now 8.4 per cent below where it would have been if it had been adjusted in line with market movements.</w:t>
      </w:r>
      <w:r w:rsidRPr="007639AB">
        <w:t xml:space="preserve"> In recognition of this Mercer recommended increases set out in </w:t>
      </w:r>
      <w:r w:rsidR="0010647B">
        <w:t>Table ES.3</w:t>
      </w:r>
      <w:r w:rsidRPr="007639AB">
        <w:t xml:space="preserve"> </w:t>
      </w:r>
      <w:r w:rsidR="00044CC7">
        <w:t>—</w:t>
      </w:r>
      <w:r w:rsidRPr="007639AB">
        <w:t xml:space="preserve"> a pay position which </w:t>
      </w:r>
      <w:r w:rsidR="0024509C">
        <w:t>‘</w:t>
      </w:r>
      <w:r w:rsidRPr="007639AB">
        <w:t>references the 15</w:t>
      </w:r>
      <w:r w:rsidRPr="00B91915">
        <w:rPr>
          <w:vertAlign w:val="superscript"/>
        </w:rPr>
        <w:t>th</w:t>
      </w:r>
      <w:r w:rsidRPr="007639AB">
        <w:t xml:space="preserve"> percentile</w:t>
      </w:r>
      <w:r w:rsidR="0024509C">
        <w:t>’</w:t>
      </w:r>
      <w:r w:rsidRPr="007639AB">
        <w:t xml:space="preserve"> and which is considered by Mercer to be affordable and a solution which would not drive a step change in executive remuneration.</w:t>
      </w:r>
    </w:p>
    <w:p w14:paraId="5135C4FE" w14:textId="77777777" w:rsidR="00744414" w:rsidRDefault="00744414">
      <w:pPr>
        <w:spacing w:before="0" w:after="80" w:line="240" w:lineRule="auto"/>
        <w:jc w:val="left"/>
        <w:rPr>
          <w:rFonts w:cs="Arial"/>
          <w:color w:val="auto"/>
          <w:szCs w:val="20"/>
        </w:rPr>
      </w:pPr>
      <w:r>
        <w:br w:type="page"/>
      </w:r>
    </w:p>
    <w:p w14:paraId="29963F5F" w14:textId="41F76B56" w:rsidR="007D6662" w:rsidRPr="0015780E" w:rsidRDefault="007D6662" w:rsidP="00144BE8">
      <w:pPr>
        <w:pStyle w:val="08Figuretableboxheading"/>
      </w:pPr>
      <w:bookmarkStart w:id="18" w:name="_Toc170393518"/>
      <w:r w:rsidRPr="007639AB">
        <w:lastRenderedPageBreak/>
        <w:t xml:space="preserve">Table </w:t>
      </w:r>
      <w:r w:rsidR="00D20D3D">
        <w:t>ES.3</w:t>
      </w:r>
      <w:r w:rsidRPr="007639AB">
        <w:t xml:space="preserve">: Mercer </w:t>
      </w:r>
      <w:r w:rsidR="00B348A0">
        <w:t>recommendation</w:t>
      </w:r>
      <w:r w:rsidRPr="007639AB">
        <w:t xml:space="preserve"> compared to the current VPS remuneration bands</w:t>
      </w:r>
      <w:bookmarkEnd w:id="18"/>
    </w:p>
    <w:tbl>
      <w:tblPr>
        <w:tblStyle w:val="ListTable3-Accent21"/>
        <w:tblW w:w="8505" w:type="dxa"/>
        <w:tblBorders>
          <w:left w:val="none" w:sz="0" w:space="0" w:color="auto"/>
          <w:right w:val="none" w:sz="0" w:space="0" w:color="auto"/>
          <w:insideH w:val="single" w:sz="4" w:space="0" w:color="148A5D" w:themeColor="accent2"/>
        </w:tblBorders>
        <w:tblLook w:val="04A0" w:firstRow="1" w:lastRow="0" w:firstColumn="1" w:lastColumn="0" w:noHBand="0" w:noVBand="1"/>
      </w:tblPr>
      <w:tblGrid>
        <w:gridCol w:w="2122"/>
        <w:gridCol w:w="3118"/>
        <w:gridCol w:w="1632"/>
        <w:gridCol w:w="1633"/>
      </w:tblGrid>
      <w:tr w:rsidR="001275DA" w:rsidRPr="001275DA" w14:paraId="16064B87" w14:textId="77777777" w:rsidTr="002A18A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2" w:type="dxa"/>
            <w:hideMark/>
          </w:tcPr>
          <w:p w14:paraId="0409F04A" w14:textId="77777777" w:rsidR="007D6662" w:rsidRPr="002516B8" w:rsidRDefault="007D6662" w:rsidP="001275DA">
            <w:pPr>
              <w:pStyle w:val="10Tabletext"/>
            </w:pPr>
            <w:r w:rsidRPr="002516B8">
              <w:t>Band</w:t>
            </w:r>
          </w:p>
        </w:tc>
        <w:tc>
          <w:tcPr>
            <w:tcW w:w="3118" w:type="dxa"/>
            <w:hideMark/>
          </w:tcPr>
          <w:p w14:paraId="0C53F305" w14:textId="3145ADF5" w:rsidR="007D6662" w:rsidRPr="002516B8" w:rsidRDefault="00E00C79" w:rsidP="001275DA">
            <w:pPr>
              <w:pStyle w:val="10Tabletext"/>
              <w:cnfStyle w:val="100000000000" w:firstRow="1" w:lastRow="0" w:firstColumn="0" w:lastColumn="0" w:oddVBand="0" w:evenVBand="0" w:oddHBand="0" w:evenHBand="0" w:firstRowFirstColumn="0" w:firstRowLastColumn="0" w:lastRowFirstColumn="0" w:lastRowLastColumn="0"/>
            </w:pPr>
            <w:r w:rsidRPr="002516B8">
              <w:t>Description</w:t>
            </w:r>
          </w:p>
        </w:tc>
        <w:tc>
          <w:tcPr>
            <w:tcW w:w="1632" w:type="dxa"/>
            <w:hideMark/>
          </w:tcPr>
          <w:p w14:paraId="0B9EB9C5" w14:textId="549055D9" w:rsidR="007D6662" w:rsidRPr="002516B8" w:rsidRDefault="00771762" w:rsidP="001275DA">
            <w:pPr>
              <w:pStyle w:val="10Tabletext"/>
              <w:jc w:val="right"/>
              <w:cnfStyle w:val="100000000000" w:firstRow="1" w:lastRow="0" w:firstColumn="0" w:lastColumn="0" w:oddVBand="0" w:evenVBand="0" w:oddHBand="0" w:evenHBand="0" w:firstRowFirstColumn="0" w:firstRowLastColumn="0" w:lastRowFirstColumn="0" w:lastRowLastColumn="0"/>
            </w:pPr>
            <w:r w:rsidRPr="002516B8">
              <w:t>Base</w:t>
            </w:r>
            <w:r w:rsidR="005C44C5" w:rsidRPr="002516B8">
              <w:t xml:space="preserve"> </w:t>
            </w:r>
            <w:r w:rsidR="007D6662" w:rsidRPr="002516B8">
              <w:t>of band</w:t>
            </w:r>
            <w:r w:rsidRPr="002516B8">
              <w:t xml:space="preserve"> </w:t>
            </w:r>
          </w:p>
        </w:tc>
        <w:tc>
          <w:tcPr>
            <w:tcW w:w="1633" w:type="dxa"/>
            <w:hideMark/>
          </w:tcPr>
          <w:p w14:paraId="634981D2" w14:textId="77777777" w:rsidR="007D6662" w:rsidRPr="002516B8" w:rsidRDefault="007D6662" w:rsidP="001275DA">
            <w:pPr>
              <w:pStyle w:val="10Tabletext"/>
              <w:jc w:val="right"/>
              <w:cnfStyle w:val="100000000000" w:firstRow="1" w:lastRow="0" w:firstColumn="0" w:lastColumn="0" w:oddVBand="0" w:evenVBand="0" w:oddHBand="0" w:evenHBand="0" w:firstRowFirstColumn="0" w:firstRowLastColumn="0" w:lastRowFirstColumn="0" w:lastRowLastColumn="0"/>
            </w:pPr>
            <w:r w:rsidRPr="002516B8">
              <w:t>Top of band </w:t>
            </w:r>
          </w:p>
        </w:tc>
      </w:tr>
      <w:tr w:rsidR="007D6662" w:rsidRPr="007639AB" w14:paraId="5895ED15" w14:textId="77777777" w:rsidTr="002A18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vMerge w:val="restart"/>
          </w:tcPr>
          <w:p w14:paraId="0A8C45A6" w14:textId="77777777" w:rsidR="007D6662" w:rsidRPr="007639AB" w:rsidRDefault="007D6662" w:rsidP="00DF2916">
            <w:pPr>
              <w:pStyle w:val="10Tabletext"/>
              <w:rPr>
                <w:b w:val="0"/>
                <w:bCs/>
                <w:lang w:eastAsia="en-AU"/>
              </w:rPr>
            </w:pPr>
            <w:r w:rsidRPr="007639AB">
              <w:rPr>
                <w:bCs/>
                <w:lang w:eastAsia="en-AU"/>
              </w:rPr>
              <w:t>SES-1 /</w:t>
            </w:r>
          </w:p>
          <w:p w14:paraId="4258AF58" w14:textId="77777777" w:rsidR="007D6662" w:rsidRPr="007639AB" w:rsidRDefault="007D6662" w:rsidP="00DF2916">
            <w:pPr>
              <w:pStyle w:val="10Tabletext"/>
              <w:rPr>
                <w:lang w:eastAsia="en-AU"/>
              </w:rPr>
            </w:pPr>
            <w:r w:rsidRPr="007639AB">
              <w:rPr>
                <w:bCs/>
                <w:lang w:eastAsia="en-AU"/>
              </w:rPr>
              <w:t>AO Head-1</w:t>
            </w:r>
          </w:p>
        </w:tc>
        <w:tc>
          <w:tcPr>
            <w:tcW w:w="3118" w:type="dxa"/>
          </w:tcPr>
          <w:p w14:paraId="5F4BAC17" w14:textId="3399844A" w:rsidR="007D6662" w:rsidRPr="007639AB" w:rsidRDefault="007D6662" w:rsidP="00DF2916">
            <w:pPr>
              <w:pStyle w:val="10Tabletext"/>
              <w:cnfStyle w:val="000000100000" w:firstRow="0" w:lastRow="0" w:firstColumn="0" w:lastColumn="0" w:oddVBand="0" w:evenVBand="0" w:oddHBand="1" w:evenHBand="0" w:firstRowFirstColumn="0" w:firstRowLastColumn="0" w:lastRowFirstColumn="0" w:lastRowLastColumn="0"/>
              <w:rPr>
                <w:lang w:eastAsia="en-AU"/>
              </w:rPr>
            </w:pPr>
            <w:r w:rsidRPr="007639AB">
              <w:t>Current band</w:t>
            </w:r>
            <w:r w:rsidR="00B12DA3">
              <w:t xml:space="preserve"> ($ p.a.)</w:t>
            </w:r>
          </w:p>
        </w:tc>
        <w:tc>
          <w:tcPr>
            <w:tcW w:w="1632" w:type="dxa"/>
          </w:tcPr>
          <w:p w14:paraId="7515E87C" w14:textId="77C02931" w:rsidR="007D6662" w:rsidRPr="007639AB" w:rsidRDefault="007D6662" w:rsidP="001275DA">
            <w:pPr>
              <w:pStyle w:val="10Tabletext"/>
              <w:jc w:val="right"/>
              <w:cnfStyle w:val="000000100000" w:firstRow="0" w:lastRow="0" w:firstColumn="0" w:lastColumn="0" w:oddVBand="0" w:evenVBand="0" w:oddHBand="1" w:evenHBand="0" w:firstRowFirstColumn="0" w:firstRowLastColumn="0" w:lastRowFirstColumn="0" w:lastRowLastColumn="0"/>
              <w:rPr>
                <w:lang w:eastAsia="en-AU"/>
              </w:rPr>
            </w:pPr>
            <w:r w:rsidRPr="007639AB">
              <w:t xml:space="preserve">216,376 </w:t>
            </w:r>
          </w:p>
        </w:tc>
        <w:tc>
          <w:tcPr>
            <w:tcW w:w="1633" w:type="dxa"/>
          </w:tcPr>
          <w:p w14:paraId="6484E018" w14:textId="3FEBDC90" w:rsidR="007D6662" w:rsidRPr="007639AB" w:rsidRDefault="007D6662" w:rsidP="001275DA">
            <w:pPr>
              <w:pStyle w:val="10Tabletext"/>
              <w:jc w:val="right"/>
              <w:cnfStyle w:val="000000100000" w:firstRow="0" w:lastRow="0" w:firstColumn="0" w:lastColumn="0" w:oddVBand="0" w:evenVBand="0" w:oddHBand="1" w:evenHBand="0" w:firstRowFirstColumn="0" w:firstRowLastColumn="0" w:lastRowFirstColumn="0" w:lastRowLastColumn="0"/>
              <w:rPr>
                <w:lang w:eastAsia="en-AU"/>
              </w:rPr>
            </w:pPr>
            <w:r w:rsidRPr="007639AB">
              <w:t xml:space="preserve">279,238 </w:t>
            </w:r>
          </w:p>
        </w:tc>
      </w:tr>
      <w:tr w:rsidR="007D6662" w:rsidRPr="007639AB" w14:paraId="704B6C58" w14:textId="77777777" w:rsidTr="002A18A9">
        <w:trPr>
          <w:trHeight w:val="300"/>
        </w:trPr>
        <w:tc>
          <w:tcPr>
            <w:cnfStyle w:val="001000000000" w:firstRow="0" w:lastRow="0" w:firstColumn="1" w:lastColumn="0" w:oddVBand="0" w:evenVBand="0" w:oddHBand="0" w:evenHBand="0" w:firstRowFirstColumn="0" w:firstRowLastColumn="0" w:lastRowFirstColumn="0" w:lastRowLastColumn="0"/>
            <w:tcW w:w="2122" w:type="dxa"/>
            <w:vMerge/>
          </w:tcPr>
          <w:p w14:paraId="0AB51BD8" w14:textId="77777777" w:rsidR="007D6662" w:rsidRPr="007639AB" w:rsidRDefault="007D6662" w:rsidP="00DF2916">
            <w:pPr>
              <w:pStyle w:val="10Tabletext"/>
              <w:rPr>
                <w:lang w:eastAsia="en-AU"/>
              </w:rPr>
            </w:pPr>
          </w:p>
        </w:tc>
        <w:tc>
          <w:tcPr>
            <w:tcW w:w="3118" w:type="dxa"/>
          </w:tcPr>
          <w:p w14:paraId="60F9DF72" w14:textId="5F650BA2" w:rsidR="007D6662" w:rsidRPr="007639AB" w:rsidRDefault="007D6662" w:rsidP="00DF2916">
            <w:pPr>
              <w:pStyle w:val="10Tabletext"/>
              <w:cnfStyle w:val="000000000000" w:firstRow="0" w:lastRow="0" w:firstColumn="0" w:lastColumn="0" w:oddVBand="0" w:evenVBand="0" w:oddHBand="0" w:evenHBand="0" w:firstRowFirstColumn="0" w:firstRowLastColumn="0" w:lastRowFirstColumn="0" w:lastRowLastColumn="0"/>
              <w:rPr>
                <w:lang w:eastAsia="en-AU"/>
              </w:rPr>
            </w:pPr>
            <w:r w:rsidRPr="007639AB">
              <w:t>Mercer recommend</w:t>
            </w:r>
            <w:r w:rsidR="00DF2916">
              <w:t>ation</w:t>
            </w:r>
            <w:r w:rsidR="00B12DA3">
              <w:t xml:space="preserve"> ($ p.a.)</w:t>
            </w:r>
          </w:p>
        </w:tc>
        <w:tc>
          <w:tcPr>
            <w:tcW w:w="1632" w:type="dxa"/>
          </w:tcPr>
          <w:p w14:paraId="6CFDF82C" w14:textId="23537E52" w:rsidR="007D6662" w:rsidRPr="007639AB" w:rsidRDefault="007D6662" w:rsidP="001275DA">
            <w:pPr>
              <w:pStyle w:val="10Tabletext"/>
              <w:jc w:val="right"/>
              <w:cnfStyle w:val="000000000000" w:firstRow="0" w:lastRow="0" w:firstColumn="0" w:lastColumn="0" w:oddVBand="0" w:evenVBand="0" w:oddHBand="0" w:evenHBand="0" w:firstRowFirstColumn="0" w:firstRowLastColumn="0" w:lastRowFirstColumn="0" w:lastRowLastColumn="0"/>
              <w:rPr>
                <w:lang w:eastAsia="en-AU"/>
              </w:rPr>
            </w:pPr>
            <w:r w:rsidRPr="007639AB">
              <w:t>218,000</w:t>
            </w:r>
          </w:p>
        </w:tc>
        <w:tc>
          <w:tcPr>
            <w:tcW w:w="1633" w:type="dxa"/>
          </w:tcPr>
          <w:p w14:paraId="66268F11" w14:textId="63C12C23" w:rsidR="007D6662" w:rsidRPr="007639AB" w:rsidRDefault="007D6662" w:rsidP="001275DA">
            <w:pPr>
              <w:pStyle w:val="10Tabletext"/>
              <w:jc w:val="right"/>
              <w:cnfStyle w:val="000000000000" w:firstRow="0" w:lastRow="0" w:firstColumn="0" w:lastColumn="0" w:oddVBand="0" w:evenVBand="0" w:oddHBand="0" w:evenHBand="0" w:firstRowFirstColumn="0" w:firstRowLastColumn="0" w:lastRowFirstColumn="0" w:lastRowLastColumn="0"/>
              <w:rPr>
                <w:lang w:eastAsia="en-AU"/>
              </w:rPr>
            </w:pPr>
            <w:r w:rsidRPr="007639AB">
              <w:t>290,600</w:t>
            </w:r>
          </w:p>
        </w:tc>
      </w:tr>
      <w:tr w:rsidR="007D6662" w:rsidRPr="007639AB" w14:paraId="2443BB92" w14:textId="77777777" w:rsidTr="002A18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vMerge/>
          </w:tcPr>
          <w:p w14:paraId="18885EC3" w14:textId="77777777" w:rsidR="007D6662" w:rsidRPr="007639AB" w:rsidRDefault="007D6662" w:rsidP="00DF2916">
            <w:pPr>
              <w:pStyle w:val="10Tabletext"/>
              <w:rPr>
                <w:lang w:eastAsia="en-AU"/>
              </w:rPr>
            </w:pPr>
          </w:p>
        </w:tc>
        <w:tc>
          <w:tcPr>
            <w:tcW w:w="3118" w:type="dxa"/>
          </w:tcPr>
          <w:p w14:paraId="42A81CCE" w14:textId="2254616E" w:rsidR="007D6662" w:rsidRPr="007639AB" w:rsidRDefault="00900189" w:rsidP="00DF2916">
            <w:pPr>
              <w:pStyle w:val="10Tabletext"/>
              <w:cnfStyle w:val="000000100000" w:firstRow="0" w:lastRow="0" w:firstColumn="0" w:lastColumn="0" w:oddVBand="0" w:evenVBand="0" w:oddHBand="1" w:evenHBand="0" w:firstRowFirstColumn="0" w:firstRowLastColumn="0" w:lastRowFirstColumn="0" w:lastRowLastColumn="0"/>
              <w:rPr>
                <w:i/>
                <w:iCs/>
                <w:lang w:eastAsia="en-AU"/>
              </w:rPr>
            </w:pPr>
            <w:r>
              <w:rPr>
                <w:i/>
                <w:iCs/>
              </w:rPr>
              <w:t>C</w:t>
            </w:r>
            <w:r w:rsidR="007D6662" w:rsidRPr="007639AB">
              <w:rPr>
                <w:i/>
                <w:iCs/>
              </w:rPr>
              <w:t>hange</w:t>
            </w:r>
            <w:r>
              <w:rPr>
                <w:i/>
                <w:iCs/>
              </w:rPr>
              <w:t xml:space="preserve"> (</w:t>
            </w:r>
            <w:r w:rsidR="0001382F">
              <w:rPr>
                <w:i/>
                <w:iCs/>
              </w:rPr>
              <w:t>%)</w:t>
            </w:r>
            <w:r w:rsidR="007D6662">
              <w:rPr>
                <w:i/>
                <w:iCs/>
              </w:rPr>
              <w:t xml:space="preserve"> </w:t>
            </w:r>
          </w:p>
        </w:tc>
        <w:tc>
          <w:tcPr>
            <w:tcW w:w="1632" w:type="dxa"/>
          </w:tcPr>
          <w:p w14:paraId="4665ECFE" w14:textId="13000A88" w:rsidR="007D6662" w:rsidRPr="007639AB" w:rsidRDefault="0001382F" w:rsidP="001275DA">
            <w:pPr>
              <w:pStyle w:val="10Tabletext"/>
              <w:jc w:val="right"/>
              <w:cnfStyle w:val="000000100000" w:firstRow="0" w:lastRow="0" w:firstColumn="0" w:lastColumn="0" w:oddVBand="0" w:evenVBand="0" w:oddHBand="1" w:evenHBand="0" w:firstRowFirstColumn="0" w:firstRowLastColumn="0" w:lastRowFirstColumn="0" w:lastRowLastColumn="0"/>
              <w:rPr>
                <w:i/>
                <w:iCs/>
                <w:lang w:eastAsia="en-AU"/>
              </w:rPr>
            </w:pPr>
            <w:r>
              <w:rPr>
                <w:i/>
                <w:iCs/>
              </w:rPr>
              <w:t>+</w:t>
            </w:r>
            <w:r w:rsidR="007D6662" w:rsidRPr="007639AB">
              <w:rPr>
                <w:i/>
                <w:iCs/>
              </w:rPr>
              <w:t>0.8</w:t>
            </w:r>
          </w:p>
        </w:tc>
        <w:tc>
          <w:tcPr>
            <w:tcW w:w="1633" w:type="dxa"/>
          </w:tcPr>
          <w:p w14:paraId="4F41A42A" w14:textId="0E55D335" w:rsidR="007D6662" w:rsidRPr="007639AB" w:rsidRDefault="0001382F" w:rsidP="001275DA">
            <w:pPr>
              <w:pStyle w:val="10Tabletext"/>
              <w:jc w:val="right"/>
              <w:cnfStyle w:val="000000100000" w:firstRow="0" w:lastRow="0" w:firstColumn="0" w:lastColumn="0" w:oddVBand="0" w:evenVBand="0" w:oddHBand="1" w:evenHBand="0" w:firstRowFirstColumn="0" w:firstRowLastColumn="0" w:lastRowFirstColumn="0" w:lastRowLastColumn="0"/>
              <w:rPr>
                <w:i/>
                <w:iCs/>
                <w:lang w:eastAsia="en-AU"/>
              </w:rPr>
            </w:pPr>
            <w:r>
              <w:rPr>
                <w:i/>
                <w:iCs/>
              </w:rPr>
              <w:t>+</w:t>
            </w:r>
            <w:r w:rsidR="007D6662" w:rsidRPr="007639AB">
              <w:rPr>
                <w:i/>
                <w:iCs/>
              </w:rPr>
              <w:t>4.1</w:t>
            </w:r>
          </w:p>
        </w:tc>
      </w:tr>
      <w:tr w:rsidR="007D6662" w:rsidRPr="007639AB" w14:paraId="74225DEB" w14:textId="77777777" w:rsidTr="002A18A9">
        <w:trPr>
          <w:trHeight w:val="300"/>
        </w:trPr>
        <w:tc>
          <w:tcPr>
            <w:cnfStyle w:val="001000000000" w:firstRow="0" w:lastRow="0" w:firstColumn="1" w:lastColumn="0" w:oddVBand="0" w:evenVBand="0" w:oddHBand="0" w:evenHBand="0" w:firstRowFirstColumn="0" w:firstRowLastColumn="0" w:lastRowFirstColumn="0" w:lastRowLastColumn="0"/>
            <w:tcW w:w="2122" w:type="dxa"/>
            <w:vMerge w:val="restart"/>
          </w:tcPr>
          <w:p w14:paraId="557FA17C" w14:textId="77777777" w:rsidR="007D6662" w:rsidRPr="007639AB" w:rsidRDefault="007D6662" w:rsidP="00DF2916">
            <w:pPr>
              <w:pStyle w:val="10Tabletext"/>
              <w:rPr>
                <w:b w:val="0"/>
                <w:bCs/>
                <w:lang w:eastAsia="en-AU"/>
              </w:rPr>
            </w:pPr>
            <w:r w:rsidRPr="007639AB">
              <w:rPr>
                <w:bCs/>
              </w:rPr>
              <w:t xml:space="preserve">SES-2/ </w:t>
            </w:r>
          </w:p>
          <w:p w14:paraId="1C62FCE6" w14:textId="77777777" w:rsidR="007D6662" w:rsidRPr="007639AB" w:rsidRDefault="007D6662" w:rsidP="00DF2916">
            <w:pPr>
              <w:pStyle w:val="10Tabletext"/>
              <w:rPr>
                <w:b w:val="0"/>
                <w:bCs/>
                <w:lang w:eastAsia="en-AU"/>
              </w:rPr>
            </w:pPr>
            <w:r w:rsidRPr="007639AB">
              <w:rPr>
                <w:bCs/>
              </w:rPr>
              <w:t>AO Head-</w:t>
            </w:r>
          </w:p>
          <w:p w14:paraId="1C8CB7C8" w14:textId="77777777" w:rsidR="007D6662" w:rsidRPr="007639AB" w:rsidRDefault="007D6662" w:rsidP="00DF2916">
            <w:pPr>
              <w:pStyle w:val="10Tabletext"/>
              <w:rPr>
                <w:lang w:eastAsia="en-AU"/>
              </w:rPr>
            </w:pPr>
          </w:p>
        </w:tc>
        <w:tc>
          <w:tcPr>
            <w:tcW w:w="3118" w:type="dxa"/>
          </w:tcPr>
          <w:p w14:paraId="5D733E49" w14:textId="0F06B8FC" w:rsidR="007D6662" w:rsidRPr="007639AB" w:rsidRDefault="007D6662" w:rsidP="00DF2916">
            <w:pPr>
              <w:pStyle w:val="10Tabletext"/>
              <w:cnfStyle w:val="000000000000" w:firstRow="0" w:lastRow="0" w:firstColumn="0" w:lastColumn="0" w:oddVBand="0" w:evenVBand="0" w:oddHBand="0" w:evenHBand="0" w:firstRowFirstColumn="0" w:firstRowLastColumn="0" w:lastRowFirstColumn="0" w:lastRowLastColumn="0"/>
              <w:rPr>
                <w:lang w:eastAsia="en-AU"/>
              </w:rPr>
            </w:pPr>
            <w:r w:rsidRPr="007639AB">
              <w:t>Current band</w:t>
            </w:r>
            <w:r w:rsidR="00B12DA3">
              <w:t xml:space="preserve"> ($ p.a.)</w:t>
            </w:r>
          </w:p>
        </w:tc>
        <w:tc>
          <w:tcPr>
            <w:tcW w:w="1632" w:type="dxa"/>
          </w:tcPr>
          <w:p w14:paraId="29294D10" w14:textId="4403E033" w:rsidR="007D6662" w:rsidRPr="007639AB" w:rsidRDefault="007D6662" w:rsidP="001275DA">
            <w:pPr>
              <w:pStyle w:val="10Tabletext"/>
              <w:jc w:val="right"/>
              <w:cnfStyle w:val="000000000000" w:firstRow="0" w:lastRow="0" w:firstColumn="0" w:lastColumn="0" w:oddVBand="0" w:evenVBand="0" w:oddHBand="0" w:evenHBand="0" w:firstRowFirstColumn="0" w:firstRowLastColumn="0" w:lastRowFirstColumn="0" w:lastRowLastColumn="0"/>
              <w:rPr>
                <w:lang w:eastAsia="en-AU"/>
              </w:rPr>
            </w:pPr>
            <w:r w:rsidRPr="007639AB">
              <w:t xml:space="preserve">279,239 </w:t>
            </w:r>
          </w:p>
        </w:tc>
        <w:tc>
          <w:tcPr>
            <w:tcW w:w="1633" w:type="dxa"/>
          </w:tcPr>
          <w:p w14:paraId="307E30C9" w14:textId="74C4EAAD" w:rsidR="007D6662" w:rsidRPr="007639AB" w:rsidRDefault="007D6662" w:rsidP="001275DA">
            <w:pPr>
              <w:pStyle w:val="10Tabletext"/>
              <w:jc w:val="right"/>
              <w:cnfStyle w:val="000000000000" w:firstRow="0" w:lastRow="0" w:firstColumn="0" w:lastColumn="0" w:oddVBand="0" w:evenVBand="0" w:oddHBand="0" w:evenHBand="0" w:firstRowFirstColumn="0" w:firstRowLastColumn="0" w:lastRowFirstColumn="0" w:lastRowLastColumn="0"/>
              <w:rPr>
                <w:lang w:eastAsia="en-AU"/>
              </w:rPr>
            </w:pPr>
            <w:r w:rsidRPr="007639AB">
              <w:t xml:space="preserve">401,017 </w:t>
            </w:r>
          </w:p>
        </w:tc>
      </w:tr>
      <w:tr w:rsidR="007D6662" w:rsidRPr="007639AB" w14:paraId="7D6E7055" w14:textId="77777777" w:rsidTr="002A18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vMerge/>
          </w:tcPr>
          <w:p w14:paraId="6579E479" w14:textId="77777777" w:rsidR="007D6662" w:rsidRPr="007639AB" w:rsidRDefault="007D6662" w:rsidP="00DF2916">
            <w:pPr>
              <w:pStyle w:val="10Tabletext"/>
              <w:rPr>
                <w:lang w:eastAsia="en-AU"/>
              </w:rPr>
            </w:pPr>
          </w:p>
        </w:tc>
        <w:tc>
          <w:tcPr>
            <w:tcW w:w="3118" w:type="dxa"/>
          </w:tcPr>
          <w:p w14:paraId="103EE993" w14:textId="4ABCCD1A" w:rsidR="007D6662" w:rsidRPr="007639AB" w:rsidRDefault="007D6662" w:rsidP="00DF2916">
            <w:pPr>
              <w:pStyle w:val="10Tabletext"/>
              <w:cnfStyle w:val="000000100000" w:firstRow="0" w:lastRow="0" w:firstColumn="0" w:lastColumn="0" w:oddVBand="0" w:evenVBand="0" w:oddHBand="1" w:evenHBand="0" w:firstRowFirstColumn="0" w:firstRowLastColumn="0" w:lastRowFirstColumn="0" w:lastRowLastColumn="0"/>
              <w:rPr>
                <w:lang w:eastAsia="en-AU"/>
              </w:rPr>
            </w:pPr>
            <w:r w:rsidRPr="007639AB">
              <w:t>Mercer recommend</w:t>
            </w:r>
            <w:r w:rsidR="00DF2916">
              <w:t>ation</w:t>
            </w:r>
            <w:r w:rsidR="00B12DA3">
              <w:t xml:space="preserve"> ($ p.a.)</w:t>
            </w:r>
          </w:p>
        </w:tc>
        <w:tc>
          <w:tcPr>
            <w:tcW w:w="1632" w:type="dxa"/>
          </w:tcPr>
          <w:p w14:paraId="58936A4B" w14:textId="11C9352A" w:rsidR="007D6662" w:rsidRPr="007639AB" w:rsidRDefault="007D6662" w:rsidP="001275DA">
            <w:pPr>
              <w:pStyle w:val="10Tabletext"/>
              <w:jc w:val="right"/>
              <w:cnfStyle w:val="000000100000" w:firstRow="0" w:lastRow="0" w:firstColumn="0" w:lastColumn="0" w:oddVBand="0" w:evenVBand="0" w:oddHBand="1" w:evenHBand="0" w:firstRowFirstColumn="0" w:firstRowLastColumn="0" w:lastRowFirstColumn="0" w:lastRowLastColumn="0"/>
              <w:rPr>
                <w:lang w:eastAsia="en-AU"/>
              </w:rPr>
            </w:pPr>
            <w:r w:rsidRPr="007639AB">
              <w:t>290,601</w:t>
            </w:r>
          </w:p>
        </w:tc>
        <w:tc>
          <w:tcPr>
            <w:tcW w:w="1633" w:type="dxa"/>
          </w:tcPr>
          <w:p w14:paraId="2A619A6F" w14:textId="7AEAA2A4" w:rsidR="007D6662" w:rsidRPr="007639AB" w:rsidRDefault="007D6662" w:rsidP="001275DA">
            <w:pPr>
              <w:pStyle w:val="10Tabletext"/>
              <w:jc w:val="right"/>
              <w:cnfStyle w:val="000000100000" w:firstRow="0" w:lastRow="0" w:firstColumn="0" w:lastColumn="0" w:oddVBand="0" w:evenVBand="0" w:oddHBand="1" w:evenHBand="0" w:firstRowFirstColumn="0" w:firstRowLastColumn="0" w:lastRowFirstColumn="0" w:lastRowLastColumn="0"/>
              <w:rPr>
                <w:lang w:eastAsia="en-AU"/>
              </w:rPr>
            </w:pPr>
            <w:r w:rsidRPr="007639AB">
              <w:t>419,000</w:t>
            </w:r>
          </w:p>
        </w:tc>
      </w:tr>
      <w:tr w:rsidR="007D6662" w:rsidRPr="007639AB" w14:paraId="56ECAE60" w14:textId="77777777" w:rsidTr="002A18A9">
        <w:tc>
          <w:tcPr>
            <w:cnfStyle w:val="001000000000" w:firstRow="0" w:lastRow="0" w:firstColumn="1" w:lastColumn="0" w:oddVBand="0" w:evenVBand="0" w:oddHBand="0" w:evenHBand="0" w:firstRowFirstColumn="0" w:firstRowLastColumn="0" w:lastRowFirstColumn="0" w:lastRowLastColumn="0"/>
            <w:tcW w:w="2122" w:type="dxa"/>
            <w:vMerge/>
          </w:tcPr>
          <w:p w14:paraId="10D86F2F" w14:textId="77777777" w:rsidR="007D6662" w:rsidRPr="007639AB" w:rsidRDefault="007D6662" w:rsidP="00DF2916">
            <w:pPr>
              <w:pStyle w:val="10Tabletext"/>
              <w:rPr>
                <w:lang w:eastAsia="en-AU"/>
              </w:rPr>
            </w:pPr>
          </w:p>
        </w:tc>
        <w:tc>
          <w:tcPr>
            <w:tcW w:w="3118" w:type="dxa"/>
          </w:tcPr>
          <w:p w14:paraId="5A2E0CC1" w14:textId="246FCC0E" w:rsidR="007D6662" w:rsidRPr="007639AB" w:rsidRDefault="0001382F" w:rsidP="00DF2916">
            <w:pPr>
              <w:pStyle w:val="10Tabletext"/>
              <w:cnfStyle w:val="000000000000" w:firstRow="0" w:lastRow="0" w:firstColumn="0" w:lastColumn="0" w:oddVBand="0" w:evenVBand="0" w:oddHBand="0" w:evenHBand="0" w:firstRowFirstColumn="0" w:firstRowLastColumn="0" w:lastRowFirstColumn="0" w:lastRowLastColumn="0"/>
              <w:rPr>
                <w:i/>
                <w:iCs/>
                <w:lang w:eastAsia="en-AU"/>
              </w:rPr>
            </w:pPr>
            <w:r>
              <w:rPr>
                <w:i/>
                <w:iCs/>
              </w:rPr>
              <w:t>C</w:t>
            </w:r>
            <w:r w:rsidR="007D6662" w:rsidRPr="007639AB">
              <w:rPr>
                <w:i/>
                <w:iCs/>
              </w:rPr>
              <w:t>hange</w:t>
            </w:r>
            <w:r>
              <w:rPr>
                <w:i/>
                <w:iCs/>
              </w:rPr>
              <w:t xml:space="preserve"> (%)</w:t>
            </w:r>
          </w:p>
        </w:tc>
        <w:tc>
          <w:tcPr>
            <w:tcW w:w="1632" w:type="dxa"/>
          </w:tcPr>
          <w:p w14:paraId="33AC282C" w14:textId="43DD8F0D" w:rsidR="007D6662" w:rsidRPr="007639AB" w:rsidRDefault="0001382F" w:rsidP="001275DA">
            <w:pPr>
              <w:pStyle w:val="10Tabletext"/>
              <w:jc w:val="right"/>
              <w:cnfStyle w:val="000000000000" w:firstRow="0" w:lastRow="0" w:firstColumn="0" w:lastColumn="0" w:oddVBand="0" w:evenVBand="0" w:oddHBand="0" w:evenHBand="0" w:firstRowFirstColumn="0" w:firstRowLastColumn="0" w:lastRowFirstColumn="0" w:lastRowLastColumn="0"/>
              <w:rPr>
                <w:i/>
                <w:iCs/>
                <w:lang w:eastAsia="en-AU"/>
              </w:rPr>
            </w:pPr>
            <w:r>
              <w:rPr>
                <w:i/>
                <w:iCs/>
              </w:rPr>
              <w:t>+</w:t>
            </w:r>
            <w:r w:rsidR="007D6662" w:rsidRPr="007639AB">
              <w:rPr>
                <w:i/>
                <w:iCs/>
              </w:rPr>
              <w:t>4.1</w:t>
            </w:r>
          </w:p>
        </w:tc>
        <w:tc>
          <w:tcPr>
            <w:tcW w:w="1633" w:type="dxa"/>
          </w:tcPr>
          <w:p w14:paraId="6E8DF493" w14:textId="0551B9A3" w:rsidR="007D6662" w:rsidRPr="007639AB" w:rsidRDefault="0001382F" w:rsidP="001275DA">
            <w:pPr>
              <w:pStyle w:val="10Tabletext"/>
              <w:jc w:val="right"/>
              <w:cnfStyle w:val="000000000000" w:firstRow="0" w:lastRow="0" w:firstColumn="0" w:lastColumn="0" w:oddVBand="0" w:evenVBand="0" w:oddHBand="0" w:evenHBand="0" w:firstRowFirstColumn="0" w:firstRowLastColumn="0" w:lastRowFirstColumn="0" w:lastRowLastColumn="0"/>
              <w:rPr>
                <w:i/>
                <w:iCs/>
                <w:lang w:eastAsia="en-AU"/>
              </w:rPr>
            </w:pPr>
            <w:r>
              <w:rPr>
                <w:i/>
                <w:iCs/>
              </w:rPr>
              <w:t>+</w:t>
            </w:r>
            <w:r w:rsidR="007D6662" w:rsidRPr="007639AB">
              <w:rPr>
                <w:i/>
                <w:iCs/>
              </w:rPr>
              <w:t>4.5</w:t>
            </w:r>
          </w:p>
        </w:tc>
      </w:tr>
      <w:tr w:rsidR="007D6662" w:rsidRPr="007639AB" w14:paraId="69E48018" w14:textId="77777777" w:rsidTr="002A18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vMerge w:val="restart"/>
          </w:tcPr>
          <w:p w14:paraId="50EA8632" w14:textId="77777777" w:rsidR="007D6662" w:rsidRPr="007639AB" w:rsidRDefault="007D6662" w:rsidP="00DF2916">
            <w:pPr>
              <w:pStyle w:val="10Tabletext"/>
              <w:rPr>
                <w:b w:val="0"/>
                <w:bCs/>
                <w:lang w:eastAsia="en-AU"/>
              </w:rPr>
            </w:pPr>
            <w:r w:rsidRPr="007639AB">
              <w:rPr>
                <w:bCs/>
              </w:rPr>
              <w:t xml:space="preserve">SES-3 / </w:t>
            </w:r>
          </w:p>
          <w:p w14:paraId="502B0687" w14:textId="77777777" w:rsidR="007D6662" w:rsidRPr="007639AB" w:rsidRDefault="007D6662" w:rsidP="00DF2916">
            <w:pPr>
              <w:pStyle w:val="10Tabletext"/>
              <w:rPr>
                <w:lang w:eastAsia="en-AU"/>
              </w:rPr>
            </w:pPr>
            <w:r w:rsidRPr="007639AB">
              <w:rPr>
                <w:bCs/>
              </w:rPr>
              <w:t>AO Head-3</w:t>
            </w:r>
          </w:p>
        </w:tc>
        <w:tc>
          <w:tcPr>
            <w:tcW w:w="3118" w:type="dxa"/>
          </w:tcPr>
          <w:p w14:paraId="1DA64522" w14:textId="7FF6E3E5" w:rsidR="007D6662" w:rsidRPr="007639AB" w:rsidRDefault="007D6662" w:rsidP="00DF2916">
            <w:pPr>
              <w:pStyle w:val="10Tabletext"/>
              <w:cnfStyle w:val="000000100000" w:firstRow="0" w:lastRow="0" w:firstColumn="0" w:lastColumn="0" w:oddVBand="0" w:evenVBand="0" w:oddHBand="1" w:evenHBand="0" w:firstRowFirstColumn="0" w:firstRowLastColumn="0" w:lastRowFirstColumn="0" w:lastRowLastColumn="0"/>
              <w:rPr>
                <w:lang w:eastAsia="en-AU"/>
              </w:rPr>
            </w:pPr>
            <w:r w:rsidRPr="007639AB">
              <w:t>Current band</w:t>
            </w:r>
            <w:r w:rsidR="00B12DA3">
              <w:t xml:space="preserve"> ($ p.a.)</w:t>
            </w:r>
          </w:p>
        </w:tc>
        <w:tc>
          <w:tcPr>
            <w:tcW w:w="1632" w:type="dxa"/>
          </w:tcPr>
          <w:p w14:paraId="0EB6E5E6" w14:textId="5CF822C6" w:rsidR="007D6662" w:rsidRPr="007639AB" w:rsidRDefault="007D6662" w:rsidP="001275DA">
            <w:pPr>
              <w:pStyle w:val="10Tabletext"/>
              <w:jc w:val="right"/>
              <w:cnfStyle w:val="000000100000" w:firstRow="0" w:lastRow="0" w:firstColumn="0" w:lastColumn="0" w:oddVBand="0" w:evenVBand="0" w:oddHBand="1" w:evenHBand="0" w:firstRowFirstColumn="0" w:firstRowLastColumn="0" w:lastRowFirstColumn="0" w:lastRowLastColumn="0"/>
              <w:rPr>
                <w:lang w:eastAsia="en-AU"/>
              </w:rPr>
            </w:pPr>
            <w:r w:rsidRPr="007639AB">
              <w:t>401,018</w:t>
            </w:r>
          </w:p>
        </w:tc>
        <w:tc>
          <w:tcPr>
            <w:tcW w:w="1633" w:type="dxa"/>
          </w:tcPr>
          <w:p w14:paraId="199E530B" w14:textId="743A07D8" w:rsidR="007D6662" w:rsidRPr="007639AB" w:rsidRDefault="007D6662" w:rsidP="001275DA">
            <w:pPr>
              <w:pStyle w:val="10Tabletext"/>
              <w:jc w:val="right"/>
              <w:cnfStyle w:val="000000100000" w:firstRow="0" w:lastRow="0" w:firstColumn="0" w:lastColumn="0" w:oddVBand="0" w:evenVBand="0" w:oddHBand="1" w:evenHBand="0" w:firstRowFirstColumn="0" w:firstRowLastColumn="0" w:lastRowFirstColumn="0" w:lastRowLastColumn="0"/>
              <w:rPr>
                <w:lang w:eastAsia="en-AU"/>
              </w:rPr>
            </w:pPr>
            <w:r w:rsidRPr="007639AB">
              <w:t>533,431</w:t>
            </w:r>
          </w:p>
        </w:tc>
      </w:tr>
      <w:tr w:rsidR="007D6662" w:rsidRPr="007639AB" w14:paraId="557E72A4" w14:textId="77777777" w:rsidTr="002A18A9">
        <w:trPr>
          <w:trHeight w:val="300"/>
        </w:trPr>
        <w:tc>
          <w:tcPr>
            <w:cnfStyle w:val="001000000000" w:firstRow="0" w:lastRow="0" w:firstColumn="1" w:lastColumn="0" w:oddVBand="0" w:evenVBand="0" w:oddHBand="0" w:evenHBand="0" w:firstRowFirstColumn="0" w:firstRowLastColumn="0" w:lastRowFirstColumn="0" w:lastRowLastColumn="0"/>
            <w:tcW w:w="2122" w:type="dxa"/>
            <w:vMerge/>
          </w:tcPr>
          <w:p w14:paraId="7E131446" w14:textId="77777777" w:rsidR="007D6662" w:rsidRPr="007639AB" w:rsidRDefault="007D6662" w:rsidP="00DF2916">
            <w:pPr>
              <w:pStyle w:val="10Tabletext"/>
              <w:rPr>
                <w:lang w:eastAsia="en-AU"/>
              </w:rPr>
            </w:pPr>
          </w:p>
        </w:tc>
        <w:tc>
          <w:tcPr>
            <w:tcW w:w="3118" w:type="dxa"/>
          </w:tcPr>
          <w:p w14:paraId="3CFDAF6D" w14:textId="0B930FDF" w:rsidR="007D6662" w:rsidRPr="007639AB" w:rsidRDefault="007D6662" w:rsidP="00DF2916">
            <w:pPr>
              <w:pStyle w:val="10Tabletext"/>
              <w:cnfStyle w:val="000000000000" w:firstRow="0" w:lastRow="0" w:firstColumn="0" w:lastColumn="0" w:oddVBand="0" w:evenVBand="0" w:oddHBand="0" w:evenHBand="0" w:firstRowFirstColumn="0" w:firstRowLastColumn="0" w:lastRowFirstColumn="0" w:lastRowLastColumn="0"/>
              <w:rPr>
                <w:lang w:eastAsia="en-AU"/>
              </w:rPr>
            </w:pPr>
            <w:r w:rsidRPr="007639AB">
              <w:t>Mercer recommend</w:t>
            </w:r>
            <w:r w:rsidR="00DF2916">
              <w:t>ation</w:t>
            </w:r>
            <w:r w:rsidR="00B12DA3">
              <w:t xml:space="preserve"> ($ p.a.)</w:t>
            </w:r>
          </w:p>
        </w:tc>
        <w:tc>
          <w:tcPr>
            <w:tcW w:w="1632" w:type="dxa"/>
          </w:tcPr>
          <w:p w14:paraId="6B3FB4F3" w14:textId="389D7614" w:rsidR="007D6662" w:rsidRPr="007639AB" w:rsidRDefault="007D6662" w:rsidP="001275DA">
            <w:pPr>
              <w:pStyle w:val="10Tabletext"/>
              <w:jc w:val="right"/>
              <w:cnfStyle w:val="000000000000" w:firstRow="0" w:lastRow="0" w:firstColumn="0" w:lastColumn="0" w:oddVBand="0" w:evenVBand="0" w:oddHBand="0" w:evenHBand="0" w:firstRowFirstColumn="0" w:firstRowLastColumn="0" w:lastRowFirstColumn="0" w:lastRowLastColumn="0"/>
              <w:rPr>
                <w:lang w:eastAsia="en-AU"/>
              </w:rPr>
            </w:pPr>
            <w:r w:rsidRPr="007639AB">
              <w:t>419,001</w:t>
            </w:r>
          </w:p>
        </w:tc>
        <w:tc>
          <w:tcPr>
            <w:tcW w:w="1633" w:type="dxa"/>
          </w:tcPr>
          <w:p w14:paraId="060DABA4" w14:textId="204D391F" w:rsidR="007D6662" w:rsidRPr="007639AB" w:rsidRDefault="007D6662" w:rsidP="001275DA">
            <w:pPr>
              <w:pStyle w:val="10Tabletext"/>
              <w:jc w:val="right"/>
              <w:cnfStyle w:val="000000000000" w:firstRow="0" w:lastRow="0" w:firstColumn="0" w:lastColumn="0" w:oddVBand="0" w:evenVBand="0" w:oddHBand="0" w:evenHBand="0" w:firstRowFirstColumn="0" w:firstRowLastColumn="0" w:lastRowFirstColumn="0" w:lastRowLastColumn="0"/>
              <w:rPr>
                <w:lang w:eastAsia="en-AU"/>
              </w:rPr>
            </w:pPr>
            <w:r w:rsidRPr="007639AB">
              <w:t>578,300</w:t>
            </w:r>
          </w:p>
        </w:tc>
      </w:tr>
      <w:tr w:rsidR="007D6662" w:rsidRPr="007639AB" w14:paraId="33390A24" w14:textId="77777777" w:rsidTr="002A18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vMerge/>
          </w:tcPr>
          <w:p w14:paraId="6F00E307" w14:textId="77777777" w:rsidR="007D6662" w:rsidRPr="007639AB" w:rsidRDefault="007D6662" w:rsidP="00DF2916">
            <w:pPr>
              <w:pStyle w:val="10Tabletext"/>
              <w:rPr>
                <w:lang w:eastAsia="en-AU"/>
              </w:rPr>
            </w:pPr>
          </w:p>
        </w:tc>
        <w:tc>
          <w:tcPr>
            <w:tcW w:w="3118" w:type="dxa"/>
          </w:tcPr>
          <w:p w14:paraId="10128180" w14:textId="5EDCC697" w:rsidR="007D6662" w:rsidRPr="007639AB" w:rsidRDefault="0001382F" w:rsidP="00DF2916">
            <w:pPr>
              <w:pStyle w:val="10Tabletext"/>
              <w:cnfStyle w:val="000000100000" w:firstRow="0" w:lastRow="0" w:firstColumn="0" w:lastColumn="0" w:oddVBand="0" w:evenVBand="0" w:oddHBand="1" w:evenHBand="0" w:firstRowFirstColumn="0" w:firstRowLastColumn="0" w:lastRowFirstColumn="0" w:lastRowLastColumn="0"/>
              <w:rPr>
                <w:i/>
                <w:iCs/>
                <w:lang w:eastAsia="en-AU"/>
              </w:rPr>
            </w:pPr>
            <w:r>
              <w:rPr>
                <w:i/>
                <w:iCs/>
              </w:rPr>
              <w:t>C</w:t>
            </w:r>
            <w:r w:rsidR="007D6662" w:rsidRPr="007639AB">
              <w:rPr>
                <w:i/>
                <w:iCs/>
              </w:rPr>
              <w:t>hange</w:t>
            </w:r>
            <w:r w:rsidR="004B7005">
              <w:rPr>
                <w:i/>
                <w:iCs/>
              </w:rPr>
              <w:t xml:space="preserve"> (%)</w:t>
            </w:r>
          </w:p>
        </w:tc>
        <w:tc>
          <w:tcPr>
            <w:tcW w:w="1632" w:type="dxa"/>
          </w:tcPr>
          <w:p w14:paraId="30FECC04" w14:textId="21FA646B" w:rsidR="007D6662" w:rsidRPr="007639AB" w:rsidRDefault="004B7005" w:rsidP="001275DA">
            <w:pPr>
              <w:pStyle w:val="10Tabletext"/>
              <w:jc w:val="right"/>
              <w:cnfStyle w:val="000000100000" w:firstRow="0" w:lastRow="0" w:firstColumn="0" w:lastColumn="0" w:oddVBand="0" w:evenVBand="0" w:oddHBand="1" w:evenHBand="0" w:firstRowFirstColumn="0" w:firstRowLastColumn="0" w:lastRowFirstColumn="0" w:lastRowLastColumn="0"/>
              <w:rPr>
                <w:i/>
                <w:iCs/>
                <w:lang w:eastAsia="en-AU"/>
              </w:rPr>
            </w:pPr>
            <w:r>
              <w:rPr>
                <w:i/>
                <w:iCs/>
              </w:rPr>
              <w:t>+</w:t>
            </w:r>
            <w:r w:rsidR="007D6662" w:rsidRPr="007639AB">
              <w:rPr>
                <w:i/>
                <w:iCs/>
              </w:rPr>
              <w:t>4.5</w:t>
            </w:r>
          </w:p>
        </w:tc>
        <w:tc>
          <w:tcPr>
            <w:tcW w:w="1633" w:type="dxa"/>
          </w:tcPr>
          <w:p w14:paraId="39E577FD" w14:textId="206D5B77" w:rsidR="007D6662" w:rsidRPr="007639AB" w:rsidRDefault="004B7005" w:rsidP="001275DA">
            <w:pPr>
              <w:pStyle w:val="10Tabletext"/>
              <w:jc w:val="right"/>
              <w:cnfStyle w:val="000000100000" w:firstRow="0" w:lastRow="0" w:firstColumn="0" w:lastColumn="0" w:oddVBand="0" w:evenVBand="0" w:oddHBand="1" w:evenHBand="0" w:firstRowFirstColumn="0" w:firstRowLastColumn="0" w:lastRowFirstColumn="0" w:lastRowLastColumn="0"/>
              <w:rPr>
                <w:i/>
                <w:iCs/>
                <w:lang w:eastAsia="en-AU"/>
              </w:rPr>
            </w:pPr>
            <w:r>
              <w:rPr>
                <w:i/>
                <w:iCs/>
              </w:rPr>
              <w:t>+</w:t>
            </w:r>
            <w:r w:rsidR="007D6662" w:rsidRPr="007639AB">
              <w:rPr>
                <w:i/>
                <w:iCs/>
              </w:rPr>
              <w:t>8.4</w:t>
            </w:r>
          </w:p>
        </w:tc>
      </w:tr>
      <w:tr w:rsidR="007D6662" w:rsidRPr="007639AB" w14:paraId="076C868A" w14:textId="77777777" w:rsidTr="002A18A9">
        <w:trPr>
          <w:trHeight w:val="300"/>
        </w:trPr>
        <w:tc>
          <w:tcPr>
            <w:cnfStyle w:val="001000000000" w:firstRow="0" w:lastRow="0" w:firstColumn="1" w:lastColumn="0" w:oddVBand="0" w:evenVBand="0" w:oddHBand="0" w:evenHBand="0" w:firstRowFirstColumn="0" w:firstRowLastColumn="0" w:lastRowFirstColumn="0" w:lastRowLastColumn="0"/>
            <w:tcW w:w="2122" w:type="dxa"/>
            <w:vMerge w:val="restart"/>
          </w:tcPr>
          <w:p w14:paraId="2E46C9C4" w14:textId="3D33F45A" w:rsidR="007D6662" w:rsidRPr="007639AB" w:rsidRDefault="007D6662" w:rsidP="00DF2916">
            <w:pPr>
              <w:pStyle w:val="10Tabletext"/>
              <w:rPr>
                <w:b w:val="0"/>
                <w:bCs/>
                <w:lang w:eastAsia="en-AU"/>
              </w:rPr>
            </w:pPr>
            <w:r w:rsidRPr="007639AB">
              <w:rPr>
                <w:bCs/>
                <w:lang w:eastAsia="en-AU"/>
              </w:rPr>
              <w:t>Department</w:t>
            </w:r>
            <w:r w:rsidR="002516B8">
              <w:rPr>
                <w:bCs/>
                <w:lang w:eastAsia="en-AU"/>
              </w:rPr>
              <w:t xml:space="preserve"> </w:t>
            </w:r>
            <w:r w:rsidR="00557942">
              <w:rPr>
                <w:bCs/>
                <w:lang w:eastAsia="en-AU"/>
              </w:rPr>
              <w:t>Secretary</w:t>
            </w:r>
            <w:r w:rsidRPr="007639AB">
              <w:rPr>
                <w:bCs/>
                <w:lang w:eastAsia="en-AU"/>
              </w:rPr>
              <w:t xml:space="preserve"> / Victorian Public Sector Commissioner</w:t>
            </w:r>
          </w:p>
        </w:tc>
        <w:tc>
          <w:tcPr>
            <w:tcW w:w="3118" w:type="dxa"/>
          </w:tcPr>
          <w:p w14:paraId="6CB73101" w14:textId="4AA590B6" w:rsidR="007D6662" w:rsidRPr="007639AB" w:rsidRDefault="007D6662" w:rsidP="00DF2916">
            <w:pPr>
              <w:pStyle w:val="10Tabletext"/>
              <w:cnfStyle w:val="000000000000" w:firstRow="0" w:lastRow="0" w:firstColumn="0" w:lastColumn="0" w:oddVBand="0" w:evenVBand="0" w:oddHBand="0" w:evenHBand="0" w:firstRowFirstColumn="0" w:firstRowLastColumn="0" w:lastRowFirstColumn="0" w:lastRowLastColumn="0"/>
              <w:rPr>
                <w:lang w:eastAsia="en-AU"/>
              </w:rPr>
            </w:pPr>
            <w:r w:rsidRPr="007639AB">
              <w:t>Current band</w:t>
            </w:r>
            <w:r w:rsidR="00B12DA3">
              <w:t xml:space="preserve"> ($ p.a.)</w:t>
            </w:r>
          </w:p>
        </w:tc>
        <w:tc>
          <w:tcPr>
            <w:tcW w:w="1632" w:type="dxa"/>
          </w:tcPr>
          <w:p w14:paraId="4ADFD42C" w14:textId="2D28B63E" w:rsidR="007D6662" w:rsidRPr="007639AB" w:rsidRDefault="007D6662" w:rsidP="001275DA">
            <w:pPr>
              <w:pStyle w:val="10Tabletext"/>
              <w:jc w:val="right"/>
              <w:cnfStyle w:val="000000000000" w:firstRow="0" w:lastRow="0" w:firstColumn="0" w:lastColumn="0" w:oddVBand="0" w:evenVBand="0" w:oddHBand="0" w:evenHBand="0" w:firstRowFirstColumn="0" w:firstRowLastColumn="0" w:lastRowFirstColumn="0" w:lastRowLastColumn="0"/>
              <w:rPr>
                <w:lang w:eastAsia="en-AU"/>
              </w:rPr>
            </w:pPr>
            <w:r w:rsidRPr="007639AB">
              <w:t>577,716</w:t>
            </w:r>
          </w:p>
        </w:tc>
        <w:tc>
          <w:tcPr>
            <w:tcW w:w="1633" w:type="dxa"/>
          </w:tcPr>
          <w:p w14:paraId="07DB698A" w14:textId="5D8EB188" w:rsidR="007D6662" w:rsidRPr="007639AB" w:rsidRDefault="007D6662" w:rsidP="001275DA">
            <w:pPr>
              <w:pStyle w:val="10Tabletext"/>
              <w:jc w:val="right"/>
              <w:cnfStyle w:val="000000000000" w:firstRow="0" w:lastRow="0" w:firstColumn="0" w:lastColumn="0" w:oddVBand="0" w:evenVBand="0" w:oddHBand="0" w:evenHBand="0" w:firstRowFirstColumn="0" w:firstRowLastColumn="0" w:lastRowFirstColumn="0" w:lastRowLastColumn="0"/>
              <w:rPr>
                <w:lang w:eastAsia="en-AU"/>
              </w:rPr>
            </w:pPr>
            <w:r w:rsidRPr="007639AB">
              <w:t>778,492</w:t>
            </w:r>
          </w:p>
        </w:tc>
      </w:tr>
      <w:tr w:rsidR="007D6662" w:rsidRPr="007639AB" w14:paraId="4150E085" w14:textId="77777777" w:rsidTr="002A18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vMerge/>
          </w:tcPr>
          <w:p w14:paraId="69720079" w14:textId="77777777" w:rsidR="007D6662" w:rsidRPr="007639AB" w:rsidRDefault="007D6662" w:rsidP="00DF2916">
            <w:pPr>
              <w:pStyle w:val="10Tabletext"/>
              <w:rPr>
                <w:lang w:eastAsia="en-AU"/>
              </w:rPr>
            </w:pPr>
          </w:p>
        </w:tc>
        <w:tc>
          <w:tcPr>
            <w:tcW w:w="3118" w:type="dxa"/>
          </w:tcPr>
          <w:p w14:paraId="5588FF77" w14:textId="23E7F7BB" w:rsidR="007D6662" w:rsidRPr="007639AB" w:rsidRDefault="007D6662" w:rsidP="00DF2916">
            <w:pPr>
              <w:pStyle w:val="10Tabletext"/>
              <w:cnfStyle w:val="000000100000" w:firstRow="0" w:lastRow="0" w:firstColumn="0" w:lastColumn="0" w:oddVBand="0" w:evenVBand="0" w:oddHBand="1" w:evenHBand="0" w:firstRowFirstColumn="0" w:firstRowLastColumn="0" w:lastRowFirstColumn="0" w:lastRowLastColumn="0"/>
              <w:rPr>
                <w:lang w:eastAsia="en-AU"/>
              </w:rPr>
            </w:pPr>
            <w:r w:rsidRPr="007639AB">
              <w:t>Mercer recommend</w:t>
            </w:r>
            <w:r w:rsidR="00DF2916">
              <w:t>ation</w:t>
            </w:r>
            <w:r w:rsidR="00B12DA3">
              <w:t xml:space="preserve"> ($ p.a.)</w:t>
            </w:r>
          </w:p>
        </w:tc>
        <w:tc>
          <w:tcPr>
            <w:tcW w:w="1632" w:type="dxa"/>
          </w:tcPr>
          <w:p w14:paraId="03BD6C73" w14:textId="144982A9" w:rsidR="007D6662" w:rsidRPr="007639AB" w:rsidRDefault="007D6662" w:rsidP="001275DA">
            <w:pPr>
              <w:pStyle w:val="10Tabletext"/>
              <w:jc w:val="right"/>
              <w:cnfStyle w:val="000000100000" w:firstRow="0" w:lastRow="0" w:firstColumn="0" w:lastColumn="0" w:oddVBand="0" w:evenVBand="0" w:oddHBand="1" w:evenHBand="0" w:firstRowFirstColumn="0" w:firstRowLastColumn="0" w:lastRowFirstColumn="0" w:lastRowLastColumn="0"/>
              <w:rPr>
                <w:lang w:eastAsia="en-AU"/>
              </w:rPr>
            </w:pPr>
            <w:r w:rsidRPr="007639AB">
              <w:t>578,301</w:t>
            </w:r>
          </w:p>
        </w:tc>
        <w:tc>
          <w:tcPr>
            <w:tcW w:w="1633" w:type="dxa"/>
          </w:tcPr>
          <w:p w14:paraId="14F620B1" w14:textId="77D8EE78" w:rsidR="007D6662" w:rsidRPr="007639AB" w:rsidRDefault="007D6662" w:rsidP="001275DA">
            <w:pPr>
              <w:pStyle w:val="10Tabletext"/>
              <w:jc w:val="right"/>
              <w:cnfStyle w:val="000000100000" w:firstRow="0" w:lastRow="0" w:firstColumn="0" w:lastColumn="0" w:oddVBand="0" w:evenVBand="0" w:oddHBand="1" w:evenHBand="0" w:firstRowFirstColumn="0" w:firstRowLastColumn="0" w:lastRowFirstColumn="0" w:lastRowLastColumn="0"/>
              <w:rPr>
                <w:lang w:eastAsia="en-AU"/>
              </w:rPr>
            </w:pPr>
            <w:r w:rsidRPr="007639AB">
              <w:t>832,800</w:t>
            </w:r>
          </w:p>
        </w:tc>
      </w:tr>
      <w:tr w:rsidR="007D6662" w:rsidRPr="007639AB" w14:paraId="355EFB8F" w14:textId="77777777" w:rsidTr="002A18A9">
        <w:tc>
          <w:tcPr>
            <w:cnfStyle w:val="001000000000" w:firstRow="0" w:lastRow="0" w:firstColumn="1" w:lastColumn="0" w:oddVBand="0" w:evenVBand="0" w:oddHBand="0" w:evenHBand="0" w:firstRowFirstColumn="0" w:firstRowLastColumn="0" w:lastRowFirstColumn="0" w:lastRowLastColumn="0"/>
            <w:tcW w:w="2122" w:type="dxa"/>
            <w:vMerge/>
          </w:tcPr>
          <w:p w14:paraId="56C22D53" w14:textId="77777777" w:rsidR="007D6662" w:rsidRPr="007639AB" w:rsidRDefault="007D6662" w:rsidP="00DF2916">
            <w:pPr>
              <w:pStyle w:val="10Tabletext"/>
              <w:rPr>
                <w:lang w:eastAsia="en-AU"/>
              </w:rPr>
            </w:pPr>
          </w:p>
        </w:tc>
        <w:tc>
          <w:tcPr>
            <w:tcW w:w="3118" w:type="dxa"/>
          </w:tcPr>
          <w:p w14:paraId="7251AF47" w14:textId="540C2540" w:rsidR="007D6662" w:rsidRPr="007639AB" w:rsidRDefault="004B7005" w:rsidP="00DF2916">
            <w:pPr>
              <w:pStyle w:val="10Tabletext"/>
              <w:cnfStyle w:val="000000000000" w:firstRow="0" w:lastRow="0" w:firstColumn="0" w:lastColumn="0" w:oddVBand="0" w:evenVBand="0" w:oddHBand="0" w:evenHBand="0" w:firstRowFirstColumn="0" w:firstRowLastColumn="0" w:lastRowFirstColumn="0" w:lastRowLastColumn="0"/>
              <w:rPr>
                <w:i/>
                <w:iCs/>
                <w:lang w:eastAsia="en-AU"/>
              </w:rPr>
            </w:pPr>
            <w:r>
              <w:rPr>
                <w:i/>
                <w:iCs/>
              </w:rPr>
              <w:t>C</w:t>
            </w:r>
            <w:r w:rsidR="007D6662" w:rsidRPr="007639AB">
              <w:rPr>
                <w:i/>
                <w:iCs/>
              </w:rPr>
              <w:t>hange</w:t>
            </w:r>
            <w:r>
              <w:rPr>
                <w:i/>
                <w:iCs/>
              </w:rPr>
              <w:t xml:space="preserve"> (%)</w:t>
            </w:r>
          </w:p>
        </w:tc>
        <w:tc>
          <w:tcPr>
            <w:tcW w:w="1632" w:type="dxa"/>
          </w:tcPr>
          <w:p w14:paraId="42BE26BC" w14:textId="2C51602C" w:rsidR="007D6662" w:rsidRPr="007639AB" w:rsidRDefault="004B7005" w:rsidP="001275DA">
            <w:pPr>
              <w:pStyle w:val="10Tabletext"/>
              <w:jc w:val="right"/>
              <w:cnfStyle w:val="000000000000" w:firstRow="0" w:lastRow="0" w:firstColumn="0" w:lastColumn="0" w:oddVBand="0" w:evenVBand="0" w:oddHBand="0" w:evenHBand="0" w:firstRowFirstColumn="0" w:firstRowLastColumn="0" w:lastRowFirstColumn="0" w:lastRowLastColumn="0"/>
              <w:rPr>
                <w:i/>
                <w:iCs/>
                <w:lang w:eastAsia="en-AU"/>
              </w:rPr>
            </w:pPr>
            <w:r>
              <w:rPr>
                <w:i/>
                <w:iCs/>
              </w:rPr>
              <w:t>+</w:t>
            </w:r>
            <w:r w:rsidR="007D6662" w:rsidRPr="007639AB">
              <w:rPr>
                <w:i/>
                <w:iCs/>
              </w:rPr>
              <w:t>0.1</w:t>
            </w:r>
          </w:p>
        </w:tc>
        <w:tc>
          <w:tcPr>
            <w:tcW w:w="1633" w:type="dxa"/>
          </w:tcPr>
          <w:p w14:paraId="13E0E286" w14:textId="1CA5CF3F" w:rsidR="007D6662" w:rsidRPr="007639AB" w:rsidRDefault="004B7005" w:rsidP="001275DA">
            <w:pPr>
              <w:pStyle w:val="10Tabletext"/>
              <w:jc w:val="right"/>
              <w:cnfStyle w:val="000000000000" w:firstRow="0" w:lastRow="0" w:firstColumn="0" w:lastColumn="0" w:oddVBand="0" w:evenVBand="0" w:oddHBand="0" w:evenHBand="0" w:firstRowFirstColumn="0" w:firstRowLastColumn="0" w:lastRowFirstColumn="0" w:lastRowLastColumn="0"/>
              <w:rPr>
                <w:i/>
                <w:iCs/>
                <w:lang w:eastAsia="en-AU"/>
              </w:rPr>
            </w:pPr>
            <w:r>
              <w:rPr>
                <w:i/>
                <w:iCs/>
              </w:rPr>
              <w:t>+</w:t>
            </w:r>
            <w:r w:rsidR="007D6662" w:rsidRPr="007639AB">
              <w:rPr>
                <w:i/>
                <w:iCs/>
              </w:rPr>
              <w:t>7.0</w:t>
            </w:r>
          </w:p>
        </w:tc>
      </w:tr>
    </w:tbl>
    <w:p w14:paraId="17E55E5D" w14:textId="79317625" w:rsidR="007D6662" w:rsidRPr="00D20D3D" w:rsidRDefault="007D6662" w:rsidP="00D20D3D">
      <w:pPr>
        <w:pStyle w:val="09Sourcesandnotesfortablesfiguresboxes"/>
      </w:pPr>
      <w:r w:rsidRPr="00D20D3D">
        <w:t xml:space="preserve">Sources: Mercer </w:t>
      </w:r>
      <w:r w:rsidR="0092021B">
        <w:t>(</w:t>
      </w:r>
      <w:r w:rsidRPr="00D20D3D">
        <w:t>2024</w:t>
      </w:r>
      <w:r w:rsidR="0092021B">
        <w:t>);</w:t>
      </w:r>
      <w:r w:rsidRPr="00D20D3D">
        <w:t xml:space="preserve"> </w:t>
      </w:r>
      <w:r w:rsidR="0092021B">
        <w:t>Victorian Independent Remuneration Tribunal (Tribunal)</w:t>
      </w:r>
      <w:r w:rsidRPr="00D20D3D">
        <w:t xml:space="preserve"> </w:t>
      </w:r>
      <w:r w:rsidR="0092021B">
        <w:t>(</w:t>
      </w:r>
      <w:r w:rsidRPr="00D20D3D">
        <w:t>2023</w:t>
      </w:r>
      <w:r w:rsidR="0092021B">
        <w:t>b)</w:t>
      </w:r>
      <w:r w:rsidRPr="00D20D3D">
        <w:t>.</w:t>
      </w:r>
    </w:p>
    <w:p w14:paraId="5561DF37" w14:textId="2B897BC9" w:rsidR="007D6662" w:rsidRPr="007639AB" w:rsidRDefault="007D6662" w:rsidP="00D80AF3">
      <w:pPr>
        <w:pStyle w:val="05Paragraph"/>
      </w:pPr>
      <w:r w:rsidRPr="007639AB">
        <w:t>The Tribunal is of the view that the remuneration structure recommend</w:t>
      </w:r>
      <w:r w:rsidR="00EC188E">
        <w:t>ed</w:t>
      </w:r>
      <w:r w:rsidRPr="007639AB">
        <w:t xml:space="preserve"> by Mercer is justified by the evidence and particularly if the significant changes to the role of executives is taken into account. </w:t>
      </w:r>
    </w:p>
    <w:p w14:paraId="26BD1B1F" w14:textId="77777777" w:rsidR="007D6662" w:rsidRPr="00695E81" w:rsidRDefault="007D6662" w:rsidP="00D80AF3">
      <w:pPr>
        <w:pStyle w:val="05Paragraph"/>
      </w:pPr>
      <w:r w:rsidRPr="007639AB">
        <w:t xml:space="preserve">However, having weighed all of the factors discussed above and in particular the financial position of the State and the likely public reaction to significant increases in public service executive pay at this time, it has decided to </w:t>
      </w:r>
      <w:r w:rsidRPr="00695E81">
        <w:t>make the following adjustments to Mercer’s recommended structure:</w:t>
      </w:r>
    </w:p>
    <w:p w14:paraId="3FC63B72" w14:textId="77777777" w:rsidR="007D6662" w:rsidRPr="00695E81" w:rsidRDefault="007D6662" w:rsidP="007D6662">
      <w:pPr>
        <w:pStyle w:val="06VIRTBulletpoints"/>
      </w:pPr>
      <w:r w:rsidRPr="00695E81">
        <w:t>changes to the band structure at the more senior levels have been capped at 4.5 per cent</w:t>
      </w:r>
    </w:p>
    <w:p w14:paraId="32E34D52" w14:textId="20C9065A" w:rsidR="007D6662" w:rsidRPr="00695E81" w:rsidRDefault="008007E6" w:rsidP="007D6662">
      <w:pPr>
        <w:pStyle w:val="06VIRTBulletpoints"/>
      </w:pPr>
      <w:r>
        <w:t>i</w:t>
      </w:r>
      <w:r w:rsidR="007D6662">
        <w:t xml:space="preserve">n response to submissions received by the Tribunal and matters raised in the executive </w:t>
      </w:r>
      <w:r>
        <w:t>questionnaire</w:t>
      </w:r>
      <w:r w:rsidR="007D6662">
        <w:t>, the gap between the top of the VPS</w:t>
      </w:r>
      <w:r w:rsidR="00CE20C7">
        <w:t>-</w:t>
      </w:r>
      <w:r w:rsidR="007D6662">
        <w:t>6 band and the base of the SES</w:t>
      </w:r>
      <w:r w:rsidR="00CE20C7">
        <w:t>-</w:t>
      </w:r>
      <w:r w:rsidR="007D6662">
        <w:t>1 band has been increased from 11.5 per cent to 12 per cent to further encourage a flow of employees into the executive ranks</w:t>
      </w:r>
    </w:p>
    <w:p w14:paraId="551A1283" w14:textId="7F3B29E7" w:rsidR="007D6662" w:rsidRPr="00695E81" w:rsidRDefault="007D6662" w:rsidP="007D6662">
      <w:pPr>
        <w:pStyle w:val="06VIRTBulletpoints"/>
      </w:pPr>
      <w:r w:rsidRPr="00695E81">
        <w:t>the gap between the top of the SES-</w:t>
      </w:r>
      <w:r w:rsidR="00CE20C7">
        <w:t>3</w:t>
      </w:r>
      <w:r w:rsidRPr="00695E81">
        <w:t xml:space="preserve"> band and the Secretary/Commissioner band has been maintained at its current level to reflect the important differences between these roles, including the different level of responsibility, risk and scrutiny attached to Secretary roles. </w:t>
      </w:r>
    </w:p>
    <w:p w14:paraId="48750D0B" w14:textId="39B85418" w:rsidR="007D6662" w:rsidRPr="007639AB" w:rsidRDefault="007D6662" w:rsidP="00D80AF3">
      <w:pPr>
        <w:pStyle w:val="05Paragraph"/>
      </w:pPr>
      <w:r w:rsidRPr="00695E81">
        <w:t>Overall, the new remuneration bands set by the Tribunal result in an increase to the current bands of between 4 and 4.5 per cent.</w:t>
      </w:r>
      <w:r w:rsidRPr="007639AB">
        <w:t xml:space="preserve"> </w:t>
      </w:r>
    </w:p>
    <w:p w14:paraId="4D82475F" w14:textId="7AB4FEE4" w:rsidR="007D6662" w:rsidRPr="007639AB" w:rsidRDefault="007D6662" w:rsidP="00612AF4">
      <w:pPr>
        <w:pStyle w:val="05Paragraph"/>
        <w:keepNext/>
      </w:pPr>
      <w:r w:rsidRPr="007639AB">
        <w:lastRenderedPageBreak/>
        <w:t xml:space="preserve">The effect of the Tribunal’s decision is shown in </w:t>
      </w:r>
      <w:r w:rsidR="00EC188E">
        <w:t>Table ES.4</w:t>
      </w:r>
      <w:r w:rsidRPr="007639AB">
        <w:t>:</w:t>
      </w:r>
    </w:p>
    <w:p w14:paraId="19F8E254" w14:textId="6360BA01" w:rsidR="007D6662" w:rsidRPr="007639AB" w:rsidRDefault="007D6662" w:rsidP="00144BE8">
      <w:pPr>
        <w:pStyle w:val="08Figuretableboxheading"/>
      </w:pPr>
      <w:bookmarkStart w:id="19" w:name="_Toc170393519"/>
      <w:r w:rsidRPr="007639AB">
        <w:t xml:space="preserve">Table </w:t>
      </w:r>
      <w:r w:rsidR="009A77D5">
        <w:t>ES.4</w:t>
      </w:r>
      <w:r w:rsidRPr="007639AB">
        <w:t>: Tribunal’s decision compared to the current VPS remuneration bands</w:t>
      </w:r>
      <w:bookmarkEnd w:id="19"/>
    </w:p>
    <w:tbl>
      <w:tblPr>
        <w:tblStyle w:val="ListTable3-Accent21"/>
        <w:tblW w:w="8505" w:type="dxa"/>
        <w:tblLook w:val="04A0" w:firstRow="1" w:lastRow="0" w:firstColumn="1" w:lastColumn="0" w:noHBand="0" w:noVBand="1"/>
      </w:tblPr>
      <w:tblGrid>
        <w:gridCol w:w="2127"/>
        <w:gridCol w:w="3113"/>
        <w:gridCol w:w="147"/>
        <w:gridCol w:w="1559"/>
        <w:gridCol w:w="1559"/>
      </w:tblGrid>
      <w:tr w:rsidR="009A77D5" w:rsidRPr="009A77D5" w14:paraId="3D2FC6C3" w14:textId="77777777" w:rsidTr="002A18A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tcBorders>
              <w:bottom w:val="single" w:sz="4" w:space="0" w:color="148A5D" w:themeColor="accent2"/>
            </w:tcBorders>
            <w:hideMark/>
          </w:tcPr>
          <w:p w14:paraId="7C0F69AF" w14:textId="77777777" w:rsidR="007D6662" w:rsidRPr="006D1EBC" w:rsidRDefault="007D6662" w:rsidP="006D1EBC">
            <w:pPr>
              <w:pStyle w:val="10Tabletext"/>
              <w:rPr>
                <w:rFonts w:ascii="Segoe UI" w:hAnsi="Segoe UI" w:cs="Segoe UI"/>
                <w:b w:val="0"/>
                <w:lang w:eastAsia="en-AU"/>
              </w:rPr>
            </w:pPr>
            <w:r w:rsidRPr="006D1EBC">
              <w:rPr>
                <w:lang w:eastAsia="en-AU"/>
              </w:rPr>
              <w:t>Band</w:t>
            </w:r>
          </w:p>
        </w:tc>
        <w:tc>
          <w:tcPr>
            <w:tcW w:w="3113" w:type="dxa"/>
            <w:tcBorders>
              <w:bottom w:val="single" w:sz="4" w:space="0" w:color="148A5D" w:themeColor="accent2"/>
            </w:tcBorders>
            <w:hideMark/>
          </w:tcPr>
          <w:p w14:paraId="76564F1D" w14:textId="5C518EDF" w:rsidR="007D6662" w:rsidRPr="006D1EBC" w:rsidRDefault="0090038B" w:rsidP="006D1EBC">
            <w:pPr>
              <w:pStyle w:val="10Tabletext"/>
              <w:cnfStyle w:val="100000000000" w:firstRow="1" w:lastRow="0" w:firstColumn="0" w:lastColumn="0" w:oddVBand="0" w:evenVBand="0" w:oddHBand="0" w:evenHBand="0" w:firstRowFirstColumn="0" w:firstRowLastColumn="0" w:lastRowFirstColumn="0" w:lastRowLastColumn="0"/>
              <w:rPr>
                <w:rFonts w:ascii="Segoe UI" w:hAnsi="Segoe UI" w:cs="Segoe UI"/>
                <w:b w:val="0"/>
                <w:lang w:eastAsia="en-AU"/>
              </w:rPr>
            </w:pPr>
            <w:r>
              <w:rPr>
                <w:lang w:eastAsia="en-AU"/>
              </w:rPr>
              <w:t>Description</w:t>
            </w:r>
          </w:p>
        </w:tc>
        <w:tc>
          <w:tcPr>
            <w:tcW w:w="1706" w:type="dxa"/>
            <w:gridSpan w:val="2"/>
            <w:tcBorders>
              <w:bottom w:val="single" w:sz="4" w:space="0" w:color="148A5D" w:themeColor="accent2"/>
            </w:tcBorders>
            <w:hideMark/>
          </w:tcPr>
          <w:p w14:paraId="68260524" w14:textId="76E87983" w:rsidR="007D6662" w:rsidRPr="006D1EBC" w:rsidRDefault="00E00C79" w:rsidP="00C05B3C">
            <w:pPr>
              <w:pStyle w:val="10Tabletext"/>
              <w:jc w:val="right"/>
              <w:cnfStyle w:val="100000000000" w:firstRow="1" w:lastRow="0" w:firstColumn="0" w:lastColumn="0" w:oddVBand="0" w:evenVBand="0" w:oddHBand="0" w:evenHBand="0" w:firstRowFirstColumn="0" w:firstRowLastColumn="0" w:lastRowFirstColumn="0" w:lastRowLastColumn="0"/>
              <w:rPr>
                <w:rFonts w:ascii="Segoe UI" w:hAnsi="Segoe UI" w:cs="Segoe UI"/>
                <w:b w:val="0"/>
                <w:lang w:eastAsia="en-AU"/>
              </w:rPr>
            </w:pPr>
            <w:r>
              <w:rPr>
                <w:lang w:eastAsia="en-AU"/>
              </w:rPr>
              <w:t xml:space="preserve">Base </w:t>
            </w:r>
            <w:r w:rsidR="007D6662" w:rsidRPr="006D1EBC">
              <w:rPr>
                <w:lang w:eastAsia="en-AU"/>
              </w:rPr>
              <w:t>of band</w:t>
            </w:r>
          </w:p>
        </w:tc>
        <w:tc>
          <w:tcPr>
            <w:tcW w:w="1559" w:type="dxa"/>
            <w:tcBorders>
              <w:bottom w:val="single" w:sz="4" w:space="0" w:color="148A5D" w:themeColor="accent2"/>
            </w:tcBorders>
            <w:hideMark/>
          </w:tcPr>
          <w:p w14:paraId="15A02ECA" w14:textId="77777777" w:rsidR="007D6662" w:rsidRPr="006D1EBC" w:rsidRDefault="007D6662" w:rsidP="00C05B3C">
            <w:pPr>
              <w:pStyle w:val="10Tabletext"/>
              <w:jc w:val="right"/>
              <w:cnfStyle w:val="100000000000" w:firstRow="1" w:lastRow="0" w:firstColumn="0" w:lastColumn="0" w:oddVBand="0" w:evenVBand="0" w:oddHBand="0" w:evenHBand="0" w:firstRowFirstColumn="0" w:firstRowLastColumn="0" w:lastRowFirstColumn="0" w:lastRowLastColumn="0"/>
              <w:rPr>
                <w:rFonts w:ascii="Segoe UI" w:hAnsi="Segoe UI" w:cs="Segoe UI"/>
                <w:b w:val="0"/>
                <w:lang w:eastAsia="en-AU"/>
              </w:rPr>
            </w:pPr>
            <w:r w:rsidRPr="006D1EBC">
              <w:rPr>
                <w:lang w:eastAsia="en-AU"/>
              </w:rPr>
              <w:t>Top of band </w:t>
            </w:r>
          </w:p>
        </w:tc>
      </w:tr>
      <w:tr w:rsidR="007D6662" w:rsidRPr="007639AB" w14:paraId="6AB54D13" w14:textId="77777777" w:rsidTr="002A18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vMerge w:val="restart"/>
            <w:tcBorders>
              <w:left w:val="nil"/>
            </w:tcBorders>
          </w:tcPr>
          <w:p w14:paraId="6CE8F656" w14:textId="77777777" w:rsidR="007D6662" w:rsidRPr="007639AB" w:rsidRDefault="007D6662" w:rsidP="00C05B3C">
            <w:pPr>
              <w:pStyle w:val="10Tabletext"/>
              <w:rPr>
                <w:b w:val="0"/>
                <w:bCs/>
                <w:lang w:eastAsia="en-AU"/>
              </w:rPr>
            </w:pPr>
            <w:r w:rsidRPr="007639AB">
              <w:rPr>
                <w:bCs/>
                <w:lang w:eastAsia="en-AU"/>
              </w:rPr>
              <w:t>SES-1 /</w:t>
            </w:r>
          </w:p>
          <w:p w14:paraId="403F36BB" w14:textId="77777777" w:rsidR="007D6662" w:rsidRPr="007639AB" w:rsidRDefault="007D6662" w:rsidP="00C05B3C">
            <w:pPr>
              <w:pStyle w:val="10Tabletext"/>
              <w:rPr>
                <w:lang w:eastAsia="en-AU"/>
              </w:rPr>
            </w:pPr>
            <w:r w:rsidRPr="007639AB">
              <w:rPr>
                <w:bCs/>
                <w:lang w:eastAsia="en-AU"/>
              </w:rPr>
              <w:t>AO Head-1</w:t>
            </w:r>
          </w:p>
        </w:tc>
        <w:tc>
          <w:tcPr>
            <w:tcW w:w="3260" w:type="dxa"/>
            <w:gridSpan w:val="2"/>
          </w:tcPr>
          <w:p w14:paraId="54237694" w14:textId="2E20922B" w:rsidR="007D6662" w:rsidRPr="007639AB" w:rsidRDefault="007D6662" w:rsidP="00C05B3C">
            <w:pPr>
              <w:pStyle w:val="10Tabletext"/>
              <w:cnfStyle w:val="000000100000" w:firstRow="0" w:lastRow="0" w:firstColumn="0" w:lastColumn="0" w:oddVBand="0" w:evenVBand="0" w:oddHBand="1" w:evenHBand="0" w:firstRowFirstColumn="0" w:firstRowLastColumn="0" w:lastRowFirstColumn="0" w:lastRowLastColumn="0"/>
              <w:rPr>
                <w:lang w:eastAsia="en-AU"/>
              </w:rPr>
            </w:pPr>
            <w:r w:rsidRPr="007639AB">
              <w:t>Current band</w:t>
            </w:r>
            <w:r w:rsidR="00EC188E">
              <w:t xml:space="preserve"> ($</w:t>
            </w:r>
            <w:r w:rsidR="00517E48">
              <w:t xml:space="preserve"> p.a.)</w:t>
            </w:r>
          </w:p>
        </w:tc>
        <w:tc>
          <w:tcPr>
            <w:tcW w:w="1559" w:type="dxa"/>
          </w:tcPr>
          <w:p w14:paraId="6F88F304" w14:textId="0BD8B2E3" w:rsidR="007D6662" w:rsidRPr="007639AB" w:rsidRDefault="007D6662" w:rsidP="00C05B3C">
            <w:pPr>
              <w:pStyle w:val="10Tabletext"/>
              <w:jc w:val="right"/>
              <w:cnfStyle w:val="000000100000" w:firstRow="0" w:lastRow="0" w:firstColumn="0" w:lastColumn="0" w:oddVBand="0" w:evenVBand="0" w:oddHBand="1" w:evenHBand="0" w:firstRowFirstColumn="0" w:firstRowLastColumn="0" w:lastRowFirstColumn="0" w:lastRowLastColumn="0"/>
              <w:rPr>
                <w:lang w:eastAsia="en-AU"/>
              </w:rPr>
            </w:pPr>
            <w:r w:rsidRPr="007639AB">
              <w:t xml:space="preserve">216,376 </w:t>
            </w:r>
          </w:p>
        </w:tc>
        <w:tc>
          <w:tcPr>
            <w:tcW w:w="1559" w:type="dxa"/>
            <w:tcBorders>
              <w:right w:val="nil"/>
            </w:tcBorders>
          </w:tcPr>
          <w:p w14:paraId="73DFC5D4" w14:textId="14DCCA91" w:rsidR="007D6662" w:rsidRPr="007639AB" w:rsidRDefault="007D6662" w:rsidP="00C05B3C">
            <w:pPr>
              <w:pStyle w:val="10Tabletext"/>
              <w:jc w:val="right"/>
              <w:cnfStyle w:val="000000100000" w:firstRow="0" w:lastRow="0" w:firstColumn="0" w:lastColumn="0" w:oddVBand="0" w:evenVBand="0" w:oddHBand="1" w:evenHBand="0" w:firstRowFirstColumn="0" w:firstRowLastColumn="0" w:lastRowFirstColumn="0" w:lastRowLastColumn="0"/>
              <w:rPr>
                <w:lang w:eastAsia="en-AU"/>
              </w:rPr>
            </w:pPr>
            <w:r w:rsidRPr="007639AB">
              <w:t xml:space="preserve">279,238 </w:t>
            </w:r>
          </w:p>
        </w:tc>
      </w:tr>
      <w:tr w:rsidR="007D6662" w:rsidRPr="007639AB" w14:paraId="2A82DBA2" w14:textId="77777777" w:rsidTr="002A18A9">
        <w:trPr>
          <w:trHeight w:val="300"/>
        </w:trPr>
        <w:tc>
          <w:tcPr>
            <w:cnfStyle w:val="001000000000" w:firstRow="0" w:lastRow="0" w:firstColumn="1" w:lastColumn="0" w:oddVBand="0" w:evenVBand="0" w:oddHBand="0" w:evenHBand="0" w:firstRowFirstColumn="0" w:firstRowLastColumn="0" w:lastRowFirstColumn="0" w:lastRowLastColumn="0"/>
            <w:tcW w:w="2127" w:type="dxa"/>
            <w:vMerge/>
            <w:tcBorders>
              <w:top w:val="single" w:sz="4" w:space="0" w:color="148A5D" w:themeColor="accent2"/>
              <w:left w:val="nil"/>
              <w:bottom w:val="single" w:sz="4" w:space="0" w:color="148A5D" w:themeColor="accent2"/>
            </w:tcBorders>
          </w:tcPr>
          <w:p w14:paraId="485AC3DE" w14:textId="77777777" w:rsidR="007D6662" w:rsidRPr="007639AB" w:rsidRDefault="007D6662" w:rsidP="00C05B3C">
            <w:pPr>
              <w:pStyle w:val="10Tabletext"/>
              <w:rPr>
                <w:lang w:eastAsia="en-AU"/>
              </w:rPr>
            </w:pPr>
          </w:p>
        </w:tc>
        <w:tc>
          <w:tcPr>
            <w:tcW w:w="3260" w:type="dxa"/>
            <w:gridSpan w:val="2"/>
            <w:tcBorders>
              <w:top w:val="single" w:sz="4" w:space="0" w:color="148A5D" w:themeColor="accent2"/>
              <w:bottom w:val="single" w:sz="4" w:space="0" w:color="148A5D" w:themeColor="accent2"/>
            </w:tcBorders>
          </w:tcPr>
          <w:p w14:paraId="5D19000D" w14:textId="3655E4F5" w:rsidR="007D6662" w:rsidRPr="007639AB" w:rsidRDefault="007D6662" w:rsidP="00C05B3C">
            <w:pPr>
              <w:pStyle w:val="10Tabletext"/>
              <w:cnfStyle w:val="000000000000" w:firstRow="0" w:lastRow="0" w:firstColumn="0" w:lastColumn="0" w:oddVBand="0" w:evenVBand="0" w:oddHBand="0" w:evenHBand="0" w:firstRowFirstColumn="0" w:firstRowLastColumn="0" w:lastRowFirstColumn="0" w:lastRowLastColumn="0"/>
              <w:rPr>
                <w:lang w:eastAsia="en-AU"/>
              </w:rPr>
            </w:pPr>
            <w:r w:rsidRPr="007639AB">
              <w:t xml:space="preserve">Tribunal’s decision </w:t>
            </w:r>
            <w:r w:rsidR="00517E48">
              <w:t>($ p.a.)</w:t>
            </w:r>
            <w:r w:rsidRPr="007639AB">
              <w:t xml:space="preserve"> </w:t>
            </w:r>
          </w:p>
        </w:tc>
        <w:tc>
          <w:tcPr>
            <w:tcW w:w="1559" w:type="dxa"/>
            <w:tcBorders>
              <w:top w:val="single" w:sz="4" w:space="0" w:color="148A5D" w:themeColor="accent2"/>
              <w:bottom w:val="single" w:sz="4" w:space="0" w:color="148A5D" w:themeColor="accent2"/>
            </w:tcBorders>
          </w:tcPr>
          <w:p w14:paraId="2323DBD9" w14:textId="0DE6B8B5" w:rsidR="007D6662" w:rsidRPr="007639AB" w:rsidRDefault="007D6662" w:rsidP="00C05B3C">
            <w:pPr>
              <w:pStyle w:val="10Tabletext"/>
              <w:jc w:val="right"/>
              <w:cnfStyle w:val="000000000000" w:firstRow="0" w:lastRow="0" w:firstColumn="0" w:lastColumn="0" w:oddVBand="0" w:evenVBand="0" w:oddHBand="0" w:evenHBand="0" w:firstRowFirstColumn="0" w:firstRowLastColumn="0" w:lastRowFirstColumn="0" w:lastRowLastColumn="0"/>
              <w:rPr>
                <w:lang w:eastAsia="en-AU"/>
              </w:rPr>
            </w:pPr>
            <w:r w:rsidRPr="007639AB">
              <w:t>225,000</w:t>
            </w:r>
          </w:p>
        </w:tc>
        <w:tc>
          <w:tcPr>
            <w:tcW w:w="1559" w:type="dxa"/>
            <w:tcBorders>
              <w:top w:val="single" w:sz="4" w:space="0" w:color="148A5D" w:themeColor="accent2"/>
              <w:bottom w:val="single" w:sz="4" w:space="0" w:color="148A5D" w:themeColor="accent2"/>
              <w:right w:val="nil"/>
            </w:tcBorders>
          </w:tcPr>
          <w:p w14:paraId="31B5E79A" w14:textId="563E1407" w:rsidR="007D6662" w:rsidRPr="007639AB" w:rsidRDefault="007D6662" w:rsidP="00C05B3C">
            <w:pPr>
              <w:pStyle w:val="10Tabletext"/>
              <w:jc w:val="right"/>
              <w:cnfStyle w:val="000000000000" w:firstRow="0" w:lastRow="0" w:firstColumn="0" w:lastColumn="0" w:oddVBand="0" w:evenVBand="0" w:oddHBand="0" w:evenHBand="0" w:firstRowFirstColumn="0" w:firstRowLastColumn="0" w:lastRowFirstColumn="0" w:lastRowLastColumn="0"/>
              <w:rPr>
                <w:lang w:eastAsia="en-AU"/>
              </w:rPr>
            </w:pPr>
            <w:r w:rsidRPr="007639AB">
              <w:t>290,600</w:t>
            </w:r>
          </w:p>
        </w:tc>
      </w:tr>
      <w:tr w:rsidR="007D6662" w:rsidRPr="007639AB" w14:paraId="5EC49B92" w14:textId="77777777" w:rsidTr="002A18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vMerge/>
            <w:tcBorders>
              <w:left w:val="nil"/>
            </w:tcBorders>
          </w:tcPr>
          <w:p w14:paraId="7930A3C6" w14:textId="77777777" w:rsidR="007D6662" w:rsidRPr="007639AB" w:rsidRDefault="007D6662" w:rsidP="00C05B3C">
            <w:pPr>
              <w:pStyle w:val="10Tabletext"/>
              <w:rPr>
                <w:lang w:eastAsia="en-AU"/>
              </w:rPr>
            </w:pPr>
          </w:p>
        </w:tc>
        <w:tc>
          <w:tcPr>
            <w:tcW w:w="3260" w:type="dxa"/>
            <w:gridSpan w:val="2"/>
          </w:tcPr>
          <w:p w14:paraId="5A07DF89" w14:textId="73E2B123" w:rsidR="007D6662" w:rsidRPr="007639AB" w:rsidRDefault="00517E48" w:rsidP="00C05B3C">
            <w:pPr>
              <w:pStyle w:val="10Tabletext"/>
              <w:cnfStyle w:val="000000100000" w:firstRow="0" w:lastRow="0" w:firstColumn="0" w:lastColumn="0" w:oddVBand="0" w:evenVBand="0" w:oddHBand="1" w:evenHBand="0" w:firstRowFirstColumn="0" w:firstRowLastColumn="0" w:lastRowFirstColumn="0" w:lastRowLastColumn="0"/>
              <w:rPr>
                <w:i/>
                <w:iCs/>
                <w:lang w:eastAsia="en-AU"/>
              </w:rPr>
            </w:pPr>
            <w:r w:rsidRPr="007639AB">
              <w:rPr>
                <w:i/>
                <w:iCs/>
              </w:rPr>
              <w:t>C</w:t>
            </w:r>
            <w:r w:rsidR="007D6662" w:rsidRPr="007639AB">
              <w:rPr>
                <w:i/>
                <w:iCs/>
              </w:rPr>
              <w:t>hange</w:t>
            </w:r>
            <w:r>
              <w:rPr>
                <w:i/>
                <w:iCs/>
              </w:rPr>
              <w:t xml:space="preserve"> (</w:t>
            </w:r>
            <w:r w:rsidR="00213BE9">
              <w:rPr>
                <w:i/>
                <w:iCs/>
              </w:rPr>
              <w:t>%)</w:t>
            </w:r>
          </w:p>
        </w:tc>
        <w:tc>
          <w:tcPr>
            <w:tcW w:w="1559" w:type="dxa"/>
          </w:tcPr>
          <w:p w14:paraId="7B17674D" w14:textId="43AABA6F" w:rsidR="007D6662" w:rsidRPr="007639AB" w:rsidRDefault="00213BE9" w:rsidP="00C05B3C">
            <w:pPr>
              <w:pStyle w:val="10Tabletext"/>
              <w:jc w:val="right"/>
              <w:cnfStyle w:val="000000100000" w:firstRow="0" w:lastRow="0" w:firstColumn="0" w:lastColumn="0" w:oddVBand="0" w:evenVBand="0" w:oddHBand="1" w:evenHBand="0" w:firstRowFirstColumn="0" w:firstRowLastColumn="0" w:lastRowFirstColumn="0" w:lastRowLastColumn="0"/>
              <w:rPr>
                <w:i/>
                <w:iCs/>
                <w:lang w:eastAsia="en-AU"/>
              </w:rPr>
            </w:pPr>
            <w:r>
              <w:rPr>
                <w:i/>
                <w:iCs/>
              </w:rPr>
              <w:t>+</w:t>
            </w:r>
            <w:r w:rsidR="007D6662" w:rsidRPr="007639AB">
              <w:rPr>
                <w:i/>
                <w:iCs/>
              </w:rPr>
              <w:t>4.0</w:t>
            </w:r>
          </w:p>
        </w:tc>
        <w:tc>
          <w:tcPr>
            <w:tcW w:w="1559" w:type="dxa"/>
            <w:tcBorders>
              <w:right w:val="nil"/>
            </w:tcBorders>
          </w:tcPr>
          <w:p w14:paraId="4BE301B0" w14:textId="554B3591" w:rsidR="007D6662" w:rsidRPr="007639AB" w:rsidRDefault="00213BE9" w:rsidP="00C05B3C">
            <w:pPr>
              <w:pStyle w:val="10Tabletext"/>
              <w:jc w:val="right"/>
              <w:cnfStyle w:val="000000100000" w:firstRow="0" w:lastRow="0" w:firstColumn="0" w:lastColumn="0" w:oddVBand="0" w:evenVBand="0" w:oddHBand="1" w:evenHBand="0" w:firstRowFirstColumn="0" w:firstRowLastColumn="0" w:lastRowFirstColumn="0" w:lastRowLastColumn="0"/>
              <w:rPr>
                <w:i/>
                <w:iCs/>
                <w:lang w:eastAsia="en-AU"/>
              </w:rPr>
            </w:pPr>
            <w:r>
              <w:rPr>
                <w:i/>
                <w:iCs/>
              </w:rPr>
              <w:t>+</w:t>
            </w:r>
            <w:r w:rsidR="007D6662" w:rsidRPr="007639AB">
              <w:rPr>
                <w:i/>
                <w:iCs/>
              </w:rPr>
              <w:t>4.1</w:t>
            </w:r>
          </w:p>
        </w:tc>
      </w:tr>
      <w:tr w:rsidR="007D6662" w:rsidRPr="007639AB" w14:paraId="51032FCF" w14:textId="77777777" w:rsidTr="002A18A9">
        <w:trPr>
          <w:trHeight w:val="300"/>
        </w:trPr>
        <w:tc>
          <w:tcPr>
            <w:cnfStyle w:val="001000000000" w:firstRow="0" w:lastRow="0" w:firstColumn="1" w:lastColumn="0" w:oddVBand="0" w:evenVBand="0" w:oddHBand="0" w:evenHBand="0" w:firstRowFirstColumn="0" w:firstRowLastColumn="0" w:lastRowFirstColumn="0" w:lastRowLastColumn="0"/>
            <w:tcW w:w="2127" w:type="dxa"/>
            <w:vMerge w:val="restart"/>
            <w:tcBorders>
              <w:top w:val="single" w:sz="4" w:space="0" w:color="148A5D" w:themeColor="accent2"/>
              <w:left w:val="nil"/>
              <w:bottom w:val="single" w:sz="4" w:space="0" w:color="148A5D" w:themeColor="accent2"/>
            </w:tcBorders>
          </w:tcPr>
          <w:p w14:paraId="379119B0" w14:textId="77777777" w:rsidR="007D6662" w:rsidRPr="007639AB" w:rsidRDefault="007D6662" w:rsidP="00C05B3C">
            <w:pPr>
              <w:pStyle w:val="10Tabletext"/>
              <w:rPr>
                <w:b w:val="0"/>
                <w:bCs/>
                <w:lang w:eastAsia="en-AU"/>
              </w:rPr>
            </w:pPr>
            <w:r w:rsidRPr="007639AB">
              <w:rPr>
                <w:bCs/>
              </w:rPr>
              <w:t xml:space="preserve">SES-2/ </w:t>
            </w:r>
          </w:p>
          <w:p w14:paraId="5493531F" w14:textId="77777777" w:rsidR="007D6662" w:rsidRPr="007639AB" w:rsidRDefault="007D6662" w:rsidP="00C05B3C">
            <w:pPr>
              <w:pStyle w:val="10Tabletext"/>
              <w:rPr>
                <w:b w:val="0"/>
                <w:bCs/>
                <w:lang w:eastAsia="en-AU"/>
              </w:rPr>
            </w:pPr>
            <w:r w:rsidRPr="007639AB">
              <w:rPr>
                <w:bCs/>
              </w:rPr>
              <w:t>AO Head-</w:t>
            </w:r>
          </w:p>
          <w:p w14:paraId="32E8B277" w14:textId="77777777" w:rsidR="007D6662" w:rsidRPr="007639AB" w:rsidRDefault="007D6662" w:rsidP="00C05B3C">
            <w:pPr>
              <w:pStyle w:val="10Tabletext"/>
              <w:rPr>
                <w:lang w:eastAsia="en-AU"/>
              </w:rPr>
            </w:pPr>
          </w:p>
        </w:tc>
        <w:tc>
          <w:tcPr>
            <w:tcW w:w="3260" w:type="dxa"/>
            <w:gridSpan w:val="2"/>
            <w:tcBorders>
              <w:top w:val="single" w:sz="4" w:space="0" w:color="148A5D" w:themeColor="accent2"/>
              <w:bottom w:val="single" w:sz="4" w:space="0" w:color="148A5D" w:themeColor="accent2"/>
            </w:tcBorders>
          </w:tcPr>
          <w:p w14:paraId="24134FC8" w14:textId="2CA99195" w:rsidR="007D6662" w:rsidRPr="007639AB" w:rsidRDefault="007D6662" w:rsidP="00C05B3C">
            <w:pPr>
              <w:pStyle w:val="10Tabletext"/>
              <w:cnfStyle w:val="000000000000" w:firstRow="0" w:lastRow="0" w:firstColumn="0" w:lastColumn="0" w:oddVBand="0" w:evenVBand="0" w:oddHBand="0" w:evenHBand="0" w:firstRowFirstColumn="0" w:firstRowLastColumn="0" w:lastRowFirstColumn="0" w:lastRowLastColumn="0"/>
              <w:rPr>
                <w:lang w:eastAsia="en-AU"/>
              </w:rPr>
            </w:pPr>
            <w:r w:rsidRPr="007639AB">
              <w:t xml:space="preserve">Current band </w:t>
            </w:r>
            <w:r w:rsidR="00517E48">
              <w:t>($ p.a.)</w:t>
            </w:r>
            <w:r w:rsidRPr="007639AB">
              <w:t xml:space="preserve"> </w:t>
            </w:r>
          </w:p>
        </w:tc>
        <w:tc>
          <w:tcPr>
            <w:tcW w:w="1559" w:type="dxa"/>
            <w:tcBorders>
              <w:top w:val="single" w:sz="4" w:space="0" w:color="148A5D" w:themeColor="accent2"/>
              <w:bottom w:val="single" w:sz="4" w:space="0" w:color="148A5D" w:themeColor="accent2"/>
            </w:tcBorders>
          </w:tcPr>
          <w:p w14:paraId="13E86940" w14:textId="02F2FFF7" w:rsidR="007D6662" w:rsidRPr="007639AB" w:rsidRDefault="007D6662" w:rsidP="00C05B3C">
            <w:pPr>
              <w:pStyle w:val="10Tabletext"/>
              <w:jc w:val="right"/>
              <w:cnfStyle w:val="000000000000" w:firstRow="0" w:lastRow="0" w:firstColumn="0" w:lastColumn="0" w:oddVBand="0" w:evenVBand="0" w:oddHBand="0" w:evenHBand="0" w:firstRowFirstColumn="0" w:firstRowLastColumn="0" w:lastRowFirstColumn="0" w:lastRowLastColumn="0"/>
              <w:rPr>
                <w:lang w:eastAsia="en-AU"/>
              </w:rPr>
            </w:pPr>
            <w:r w:rsidRPr="007639AB">
              <w:t xml:space="preserve">279,239 </w:t>
            </w:r>
          </w:p>
        </w:tc>
        <w:tc>
          <w:tcPr>
            <w:tcW w:w="1559" w:type="dxa"/>
            <w:tcBorders>
              <w:top w:val="single" w:sz="4" w:space="0" w:color="148A5D" w:themeColor="accent2"/>
              <w:bottom w:val="single" w:sz="4" w:space="0" w:color="148A5D" w:themeColor="accent2"/>
              <w:right w:val="nil"/>
            </w:tcBorders>
          </w:tcPr>
          <w:p w14:paraId="561A7B90" w14:textId="231F1BA2" w:rsidR="007D6662" w:rsidRPr="007639AB" w:rsidRDefault="007D6662" w:rsidP="00C05B3C">
            <w:pPr>
              <w:pStyle w:val="10Tabletext"/>
              <w:jc w:val="right"/>
              <w:cnfStyle w:val="000000000000" w:firstRow="0" w:lastRow="0" w:firstColumn="0" w:lastColumn="0" w:oddVBand="0" w:evenVBand="0" w:oddHBand="0" w:evenHBand="0" w:firstRowFirstColumn="0" w:firstRowLastColumn="0" w:lastRowFirstColumn="0" w:lastRowLastColumn="0"/>
              <w:rPr>
                <w:lang w:eastAsia="en-AU"/>
              </w:rPr>
            </w:pPr>
            <w:r w:rsidRPr="007639AB">
              <w:t xml:space="preserve">401,017 </w:t>
            </w:r>
          </w:p>
        </w:tc>
      </w:tr>
      <w:tr w:rsidR="007D6662" w:rsidRPr="007639AB" w14:paraId="4D11C619" w14:textId="77777777" w:rsidTr="002A18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vMerge/>
            <w:tcBorders>
              <w:left w:val="nil"/>
            </w:tcBorders>
          </w:tcPr>
          <w:p w14:paraId="024DF2A4" w14:textId="77777777" w:rsidR="007D6662" w:rsidRPr="007639AB" w:rsidRDefault="007D6662" w:rsidP="00C05B3C">
            <w:pPr>
              <w:pStyle w:val="10Tabletext"/>
              <w:rPr>
                <w:lang w:eastAsia="en-AU"/>
              </w:rPr>
            </w:pPr>
          </w:p>
        </w:tc>
        <w:tc>
          <w:tcPr>
            <w:tcW w:w="3260" w:type="dxa"/>
            <w:gridSpan w:val="2"/>
          </w:tcPr>
          <w:p w14:paraId="03623A46" w14:textId="28BC8117" w:rsidR="007D6662" w:rsidRPr="007639AB" w:rsidRDefault="007D6662" w:rsidP="00C05B3C">
            <w:pPr>
              <w:pStyle w:val="10Tabletext"/>
              <w:cnfStyle w:val="000000100000" w:firstRow="0" w:lastRow="0" w:firstColumn="0" w:lastColumn="0" w:oddVBand="0" w:evenVBand="0" w:oddHBand="1" w:evenHBand="0" w:firstRowFirstColumn="0" w:firstRowLastColumn="0" w:lastRowFirstColumn="0" w:lastRowLastColumn="0"/>
              <w:rPr>
                <w:lang w:eastAsia="en-AU"/>
              </w:rPr>
            </w:pPr>
            <w:r w:rsidRPr="007639AB">
              <w:t xml:space="preserve">Tribunal’s decision </w:t>
            </w:r>
            <w:r w:rsidR="00517E48">
              <w:t>($ p.a.)</w:t>
            </w:r>
            <w:r w:rsidRPr="007639AB">
              <w:t xml:space="preserve"> </w:t>
            </w:r>
          </w:p>
        </w:tc>
        <w:tc>
          <w:tcPr>
            <w:tcW w:w="1559" w:type="dxa"/>
          </w:tcPr>
          <w:p w14:paraId="6A6247DA" w14:textId="5CAB9E5C" w:rsidR="007D6662" w:rsidRPr="007639AB" w:rsidRDefault="007D6662" w:rsidP="00C05B3C">
            <w:pPr>
              <w:pStyle w:val="10Tabletext"/>
              <w:jc w:val="right"/>
              <w:cnfStyle w:val="000000100000" w:firstRow="0" w:lastRow="0" w:firstColumn="0" w:lastColumn="0" w:oddVBand="0" w:evenVBand="0" w:oddHBand="1" w:evenHBand="0" w:firstRowFirstColumn="0" w:firstRowLastColumn="0" w:lastRowFirstColumn="0" w:lastRowLastColumn="0"/>
              <w:rPr>
                <w:lang w:eastAsia="en-AU"/>
              </w:rPr>
            </w:pPr>
            <w:r w:rsidRPr="007639AB">
              <w:t>290,601</w:t>
            </w:r>
          </w:p>
        </w:tc>
        <w:tc>
          <w:tcPr>
            <w:tcW w:w="1559" w:type="dxa"/>
            <w:tcBorders>
              <w:right w:val="nil"/>
            </w:tcBorders>
          </w:tcPr>
          <w:p w14:paraId="576B5E69" w14:textId="66E5A0F9" w:rsidR="007D6662" w:rsidRPr="007639AB" w:rsidRDefault="007D6662" w:rsidP="00C05B3C">
            <w:pPr>
              <w:pStyle w:val="10Tabletext"/>
              <w:jc w:val="right"/>
              <w:cnfStyle w:val="000000100000" w:firstRow="0" w:lastRow="0" w:firstColumn="0" w:lastColumn="0" w:oddVBand="0" w:evenVBand="0" w:oddHBand="1" w:evenHBand="0" w:firstRowFirstColumn="0" w:firstRowLastColumn="0" w:lastRowFirstColumn="0" w:lastRowLastColumn="0"/>
              <w:rPr>
                <w:lang w:eastAsia="en-AU"/>
              </w:rPr>
            </w:pPr>
            <w:r w:rsidRPr="007639AB">
              <w:t>419,000</w:t>
            </w:r>
          </w:p>
        </w:tc>
      </w:tr>
      <w:tr w:rsidR="007D6662" w:rsidRPr="007639AB" w14:paraId="2C0955AC" w14:textId="77777777" w:rsidTr="002A18A9">
        <w:tc>
          <w:tcPr>
            <w:cnfStyle w:val="001000000000" w:firstRow="0" w:lastRow="0" w:firstColumn="1" w:lastColumn="0" w:oddVBand="0" w:evenVBand="0" w:oddHBand="0" w:evenHBand="0" w:firstRowFirstColumn="0" w:firstRowLastColumn="0" w:lastRowFirstColumn="0" w:lastRowLastColumn="0"/>
            <w:tcW w:w="2127" w:type="dxa"/>
            <w:vMerge/>
            <w:tcBorders>
              <w:top w:val="single" w:sz="4" w:space="0" w:color="148A5D" w:themeColor="accent2"/>
              <w:left w:val="nil"/>
              <w:bottom w:val="single" w:sz="4" w:space="0" w:color="148A5D" w:themeColor="accent2"/>
            </w:tcBorders>
          </w:tcPr>
          <w:p w14:paraId="3DE992C3" w14:textId="77777777" w:rsidR="007D6662" w:rsidRPr="007639AB" w:rsidRDefault="007D6662" w:rsidP="00C05B3C">
            <w:pPr>
              <w:pStyle w:val="10Tabletext"/>
              <w:rPr>
                <w:lang w:eastAsia="en-AU"/>
              </w:rPr>
            </w:pPr>
          </w:p>
        </w:tc>
        <w:tc>
          <w:tcPr>
            <w:tcW w:w="3260" w:type="dxa"/>
            <w:gridSpan w:val="2"/>
            <w:tcBorders>
              <w:top w:val="single" w:sz="4" w:space="0" w:color="148A5D" w:themeColor="accent2"/>
              <w:bottom w:val="single" w:sz="4" w:space="0" w:color="148A5D" w:themeColor="accent2"/>
            </w:tcBorders>
          </w:tcPr>
          <w:p w14:paraId="44B008F9" w14:textId="5E53C9DB" w:rsidR="007D6662" w:rsidRPr="007639AB" w:rsidRDefault="00517E48" w:rsidP="00C05B3C">
            <w:pPr>
              <w:pStyle w:val="10Tabletext"/>
              <w:cnfStyle w:val="000000000000" w:firstRow="0" w:lastRow="0" w:firstColumn="0" w:lastColumn="0" w:oddVBand="0" w:evenVBand="0" w:oddHBand="0" w:evenHBand="0" w:firstRowFirstColumn="0" w:firstRowLastColumn="0" w:lastRowFirstColumn="0" w:lastRowLastColumn="0"/>
              <w:rPr>
                <w:i/>
                <w:iCs/>
                <w:lang w:eastAsia="en-AU"/>
              </w:rPr>
            </w:pPr>
            <w:r w:rsidRPr="007639AB">
              <w:rPr>
                <w:i/>
                <w:iCs/>
              </w:rPr>
              <w:t>C</w:t>
            </w:r>
            <w:r w:rsidR="007D6662" w:rsidRPr="007639AB">
              <w:rPr>
                <w:i/>
                <w:iCs/>
              </w:rPr>
              <w:t>hange</w:t>
            </w:r>
            <w:r w:rsidR="00213BE9">
              <w:rPr>
                <w:i/>
                <w:iCs/>
              </w:rPr>
              <w:t xml:space="preserve"> (%)</w:t>
            </w:r>
          </w:p>
        </w:tc>
        <w:tc>
          <w:tcPr>
            <w:tcW w:w="1559" w:type="dxa"/>
            <w:tcBorders>
              <w:top w:val="single" w:sz="4" w:space="0" w:color="148A5D" w:themeColor="accent2"/>
              <w:bottom w:val="single" w:sz="4" w:space="0" w:color="148A5D" w:themeColor="accent2"/>
            </w:tcBorders>
          </w:tcPr>
          <w:p w14:paraId="305512E6" w14:textId="20C6AB1C" w:rsidR="007D6662" w:rsidRPr="007639AB" w:rsidRDefault="00213BE9" w:rsidP="00C05B3C">
            <w:pPr>
              <w:pStyle w:val="10Tabletext"/>
              <w:jc w:val="right"/>
              <w:cnfStyle w:val="000000000000" w:firstRow="0" w:lastRow="0" w:firstColumn="0" w:lastColumn="0" w:oddVBand="0" w:evenVBand="0" w:oddHBand="0" w:evenHBand="0" w:firstRowFirstColumn="0" w:firstRowLastColumn="0" w:lastRowFirstColumn="0" w:lastRowLastColumn="0"/>
              <w:rPr>
                <w:i/>
                <w:iCs/>
                <w:lang w:eastAsia="en-AU"/>
              </w:rPr>
            </w:pPr>
            <w:r>
              <w:rPr>
                <w:i/>
                <w:iCs/>
              </w:rPr>
              <w:t>+</w:t>
            </w:r>
            <w:r w:rsidR="007D6662" w:rsidRPr="007639AB">
              <w:rPr>
                <w:i/>
                <w:iCs/>
              </w:rPr>
              <w:t>4.1</w:t>
            </w:r>
          </w:p>
        </w:tc>
        <w:tc>
          <w:tcPr>
            <w:tcW w:w="1559" w:type="dxa"/>
            <w:tcBorders>
              <w:top w:val="single" w:sz="4" w:space="0" w:color="148A5D" w:themeColor="accent2"/>
              <w:bottom w:val="single" w:sz="4" w:space="0" w:color="148A5D" w:themeColor="accent2"/>
              <w:right w:val="nil"/>
            </w:tcBorders>
          </w:tcPr>
          <w:p w14:paraId="4AC2BE3F" w14:textId="48D0D007" w:rsidR="007D6662" w:rsidRPr="007639AB" w:rsidRDefault="00213BE9" w:rsidP="00C05B3C">
            <w:pPr>
              <w:pStyle w:val="10Tabletext"/>
              <w:jc w:val="right"/>
              <w:cnfStyle w:val="000000000000" w:firstRow="0" w:lastRow="0" w:firstColumn="0" w:lastColumn="0" w:oddVBand="0" w:evenVBand="0" w:oddHBand="0" w:evenHBand="0" w:firstRowFirstColumn="0" w:firstRowLastColumn="0" w:lastRowFirstColumn="0" w:lastRowLastColumn="0"/>
              <w:rPr>
                <w:i/>
                <w:iCs/>
                <w:lang w:eastAsia="en-AU"/>
              </w:rPr>
            </w:pPr>
            <w:r>
              <w:rPr>
                <w:i/>
                <w:iCs/>
              </w:rPr>
              <w:t>+</w:t>
            </w:r>
            <w:r w:rsidR="007D6662" w:rsidRPr="007639AB">
              <w:rPr>
                <w:i/>
                <w:iCs/>
              </w:rPr>
              <w:t>4.5</w:t>
            </w:r>
          </w:p>
        </w:tc>
      </w:tr>
      <w:tr w:rsidR="007D6662" w:rsidRPr="007639AB" w14:paraId="719AE4E1" w14:textId="77777777" w:rsidTr="002A18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vMerge w:val="restart"/>
            <w:tcBorders>
              <w:left w:val="nil"/>
            </w:tcBorders>
          </w:tcPr>
          <w:p w14:paraId="7D2878B4" w14:textId="77777777" w:rsidR="007D6662" w:rsidRPr="007639AB" w:rsidRDefault="007D6662" w:rsidP="00C05B3C">
            <w:pPr>
              <w:pStyle w:val="10Tabletext"/>
              <w:rPr>
                <w:b w:val="0"/>
                <w:bCs/>
                <w:lang w:eastAsia="en-AU"/>
              </w:rPr>
            </w:pPr>
            <w:r w:rsidRPr="007639AB">
              <w:rPr>
                <w:bCs/>
              </w:rPr>
              <w:t xml:space="preserve">SES-3 / </w:t>
            </w:r>
          </w:p>
          <w:p w14:paraId="14AB8DB3" w14:textId="77777777" w:rsidR="007D6662" w:rsidRPr="007639AB" w:rsidRDefault="007D6662" w:rsidP="00C05B3C">
            <w:pPr>
              <w:pStyle w:val="10Tabletext"/>
              <w:rPr>
                <w:lang w:eastAsia="en-AU"/>
              </w:rPr>
            </w:pPr>
            <w:r w:rsidRPr="007639AB">
              <w:rPr>
                <w:bCs/>
              </w:rPr>
              <w:t>AO Head-3</w:t>
            </w:r>
          </w:p>
        </w:tc>
        <w:tc>
          <w:tcPr>
            <w:tcW w:w="3260" w:type="dxa"/>
            <w:gridSpan w:val="2"/>
          </w:tcPr>
          <w:p w14:paraId="1467CCB2" w14:textId="0FC53B1B" w:rsidR="007D6662" w:rsidRPr="007639AB" w:rsidRDefault="007D6662" w:rsidP="00C05B3C">
            <w:pPr>
              <w:pStyle w:val="10Tabletext"/>
              <w:cnfStyle w:val="000000100000" w:firstRow="0" w:lastRow="0" w:firstColumn="0" w:lastColumn="0" w:oddVBand="0" w:evenVBand="0" w:oddHBand="1" w:evenHBand="0" w:firstRowFirstColumn="0" w:firstRowLastColumn="0" w:lastRowFirstColumn="0" w:lastRowLastColumn="0"/>
              <w:rPr>
                <w:lang w:eastAsia="en-AU"/>
              </w:rPr>
            </w:pPr>
            <w:r w:rsidRPr="007639AB">
              <w:t xml:space="preserve">Current band </w:t>
            </w:r>
            <w:r w:rsidR="00517E48">
              <w:t>($ p.a.)</w:t>
            </w:r>
            <w:r w:rsidRPr="007639AB">
              <w:t xml:space="preserve"> </w:t>
            </w:r>
          </w:p>
        </w:tc>
        <w:tc>
          <w:tcPr>
            <w:tcW w:w="1559" w:type="dxa"/>
          </w:tcPr>
          <w:p w14:paraId="6D2472C5" w14:textId="66F5D649" w:rsidR="007D6662" w:rsidRPr="007639AB" w:rsidRDefault="007D6662" w:rsidP="00C05B3C">
            <w:pPr>
              <w:pStyle w:val="10Tabletext"/>
              <w:jc w:val="right"/>
              <w:cnfStyle w:val="000000100000" w:firstRow="0" w:lastRow="0" w:firstColumn="0" w:lastColumn="0" w:oddVBand="0" w:evenVBand="0" w:oddHBand="1" w:evenHBand="0" w:firstRowFirstColumn="0" w:firstRowLastColumn="0" w:lastRowFirstColumn="0" w:lastRowLastColumn="0"/>
              <w:rPr>
                <w:lang w:eastAsia="en-AU"/>
              </w:rPr>
            </w:pPr>
            <w:r w:rsidRPr="007639AB">
              <w:t>401,018</w:t>
            </w:r>
          </w:p>
        </w:tc>
        <w:tc>
          <w:tcPr>
            <w:tcW w:w="1559" w:type="dxa"/>
            <w:tcBorders>
              <w:right w:val="nil"/>
            </w:tcBorders>
          </w:tcPr>
          <w:p w14:paraId="2A53F2EB" w14:textId="671B3C67" w:rsidR="007D6662" w:rsidRPr="007639AB" w:rsidRDefault="007D6662" w:rsidP="00C05B3C">
            <w:pPr>
              <w:pStyle w:val="10Tabletext"/>
              <w:jc w:val="right"/>
              <w:cnfStyle w:val="000000100000" w:firstRow="0" w:lastRow="0" w:firstColumn="0" w:lastColumn="0" w:oddVBand="0" w:evenVBand="0" w:oddHBand="1" w:evenHBand="0" w:firstRowFirstColumn="0" w:firstRowLastColumn="0" w:lastRowFirstColumn="0" w:lastRowLastColumn="0"/>
              <w:rPr>
                <w:lang w:eastAsia="en-AU"/>
              </w:rPr>
            </w:pPr>
            <w:r w:rsidRPr="007639AB">
              <w:t>533,431</w:t>
            </w:r>
          </w:p>
        </w:tc>
      </w:tr>
      <w:tr w:rsidR="007D6662" w:rsidRPr="007639AB" w14:paraId="07FC4BE2" w14:textId="77777777" w:rsidTr="002A18A9">
        <w:trPr>
          <w:trHeight w:val="300"/>
        </w:trPr>
        <w:tc>
          <w:tcPr>
            <w:cnfStyle w:val="001000000000" w:firstRow="0" w:lastRow="0" w:firstColumn="1" w:lastColumn="0" w:oddVBand="0" w:evenVBand="0" w:oddHBand="0" w:evenHBand="0" w:firstRowFirstColumn="0" w:firstRowLastColumn="0" w:lastRowFirstColumn="0" w:lastRowLastColumn="0"/>
            <w:tcW w:w="2127" w:type="dxa"/>
            <w:vMerge/>
            <w:tcBorders>
              <w:top w:val="single" w:sz="4" w:space="0" w:color="148A5D" w:themeColor="accent2"/>
              <w:left w:val="nil"/>
              <w:bottom w:val="single" w:sz="4" w:space="0" w:color="148A5D" w:themeColor="accent2"/>
            </w:tcBorders>
          </w:tcPr>
          <w:p w14:paraId="5E4B7ED4" w14:textId="77777777" w:rsidR="007D6662" w:rsidRPr="007639AB" w:rsidRDefault="007D6662" w:rsidP="00C05B3C">
            <w:pPr>
              <w:pStyle w:val="10Tabletext"/>
              <w:rPr>
                <w:lang w:eastAsia="en-AU"/>
              </w:rPr>
            </w:pPr>
          </w:p>
        </w:tc>
        <w:tc>
          <w:tcPr>
            <w:tcW w:w="3260" w:type="dxa"/>
            <w:gridSpan w:val="2"/>
            <w:tcBorders>
              <w:top w:val="single" w:sz="4" w:space="0" w:color="148A5D" w:themeColor="accent2"/>
              <w:bottom w:val="single" w:sz="4" w:space="0" w:color="148A5D" w:themeColor="accent2"/>
            </w:tcBorders>
          </w:tcPr>
          <w:p w14:paraId="114D64DC" w14:textId="704C4D89" w:rsidR="007D6662" w:rsidRPr="007639AB" w:rsidRDefault="007D6662" w:rsidP="00C05B3C">
            <w:pPr>
              <w:pStyle w:val="10Tabletext"/>
              <w:cnfStyle w:val="000000000000" w:firstRow="0" w:lastRow="0" w:firstColumn="0" w:lastColumn="0" w:oddVBand="0" w:evenVBand="0" w:oddHBand="0" w:evenHBand="0" w:firstRowFirstColumn="0" w:firstRowLastColumn="0" w:lastRowFirstColumn="0" w:lastRowLastColumn="0"/>
              <w:rPr>
                <w:lang w:eastAsia="en-AU"/>
              </w:rPr>
            </w:pPr>
            <w:r w:rsidRPr="007639AB">
              <w:t xml:space="preserve">Tribunal’s decision </w:t>
            </w:r>
            <w:r w:rsidR="00517E48">
              <w:t>($ p.a.)</w:t>
            </w:r>
            <w:r w:rsidRPr="007639AB">
              <w:t xml:space="preserve"> </w:t>
            </w:r>
          </w:p>
        </w:tc>
        <w:tc>
          <w:tcPr>
            <w:tcW w:w="1559" w:type="dxa"/>
            <w:tcBorders>
              <w:top w:val="single" w:sz="4" w:space="0" w:color="148A5D" w:themeColor="accent2"/>
              <w:bottom w:val="single" w:sz="4" w:space="0" w:color="148A5D" w:themeColor="accent2"/>
            </w:tcBorders>
          </w:tcPr>
          <w:p w14:paraId="6122F73B" w14:textId="52E17274" w:rsidR="007D6662" w:rsidRPr="007639AB" w:rsidRDefault="007D6662" w:rsidP="00C05B3C">
            <w:pPr>
              <w:pStyle w:val="10Tabletext"/>
              <w:jc w:val="right"/>
              <w:cnfStyle w:val="000000000000" w:firstRow="0" w:lastRow="0" w:firstColumn="0" w:lastColumn="0" w:oddVBand="0" w:evenVBand="0" w:oddHBand="0" w:evenHBand="0" w:firstRowFirstColumn="0" w:firstRowLastColumn="0" w:lastRowFirstColumn="0" w:lastRowLastColumn="0"/>
              <w:rPr>
                <w:lang w:eastAsia="en-AU"/>
              </w:rPr>
            </w:pPr>
            <w:r w:rsidRPr="007639AB">
              <w:t>419,001</w:t>
            </w:r>
          </w:p>
        </w:tc>
        <w:tc>
          <w:tcPr>
            <w:tcW w:w="1559" w:type="dxa"/>
            <w:tcBorders>
              <w:top w:val="single" w:sz="4" w:space="0" w:color="148A5D" w:themeColor="accent2"/>
              <w:bottom w:val="single" w:sz="4" w:space="0" w:color="148A5D" w:themeColor="accent2"/>
              <w:right w:val="nil"/>
            </w:tcBorders>
          </w:tcPr>
          <w:p w14:paraId="15736BD3" w14:textId="40F1FF7F" w:rsidR="007D6662" w:rsidRPr="007639AB" w:rsidRDefault="007D6662" w:rsidP="00C05B3C">
            <w:pPr>
              <w:pStyle w:val="10Tabletext"/>
              <w:jc w:val="right"/>
              <w:cnfStyle w:val="000000000000" w:firstRow="0" w:lastRow="0" w:firstColumn="0" w:lastColumn="0" w:oddVBand="0" w:evenVBand="0" w:oddHBand="0" w:evenHBand="0" w:firstRowFirstColumn="0" w:firstRowLastColumn="0" w:lastRowFirstColumn="0" w:lastRowLastColumn="0"/>
              <w:rPr>
                <w:lang w:eastAsia="en-AU"/>
              </w:rPr>
            </w:pPr>
            <w:r w:rsidRPr="007639AB">
              <w:t>557,435</w:t>
            </w:r>
          </w:p>
        </w:tc>
      </w:tr>
      <w:tr w:rsidR="007D6662" w:rsidRPr="007639AB" w14:paraId="0E7FCDF0" w14:textId="77777777" w:rsidTr="002A18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vMerge/>
            <w:tcBorders>
              <w:left w:val="nil"/>
            </w:tcBorders>
          </w:tcPr>
          <w:p w14:paraId="74F7C27D" w14:textId="77777777" w:rsidR="007D6662" w:rsidRPr="007639AB" w:rsidRDefault="007D6662" w:rsidP="00C05B3C">
            <w:pPr>
              <w:pStyle w:val="10Tabletext"/>
              <w:rPr>
                <w:lang w:eastAsia="en-AU"/>
              </w:rPr>
            </w:pPr>
          </w:p>
        </w:tc>
        <w:tc>
          <w:tcPr>
            <w:tcW w:w="3260" w:type="dxa"/>
            <w:gridSpan w:val="2"/>
          </w:tcPr>
          <w:p w14:paraId="5FED27C0" w14:textId="025D6E91" w:rsidR="007D6662" w:rsidRPr="007639AB" w:rsidRDefault="00517E48" w:rsidP="00C05B3C">
            <w:pPr>
              <w:pStyle w:val="10Tabletext"/>
              <w:cnfStyle w:val="000000100000" w:firstRow="0" w:lastRow="0" w:firstColumn="0" w:lastColumn="0" w:oddVBand="0" w:evenVBand="0" w:oddHBand="1" w:evenHBand="0" w:firstRowFirstColumn="0" w:firstRowLastColumn="0" w:lastRowFirstColumn="0" w:lastRowLastColumn="0"/>
              <w:rPr>
                <w:i/>
                <w:iCs/>
                <w:lang w:eastAsia="en-AU"/>
              </w:rPr>
            </w:pPr>
            <w:r w:rsidRPr="007639AB">
              <w:rPr>
                <w:i/>
                <w:iCs/>
              </w:rPr>
              <w:t>C</w:t>
            </w:r>
            <w:r w:rsidR="007D6662" w:rsidRPr="007639AB">
              <w:rPr>
                <w:i/>
                <w:iCs/>
              </w:rPr>
              <w:t>hange</w:t>
            </w:r>
            <w:r w:rsidR="00213BE9">
              <w:rPr>
                <w:i/>
                <w:iCs/>
              </w:rPr>
              <w:t xml:space="preserve"> (%)</w:t>
            </w:r>
          </w:p>
        </w:tc>
        <w:tc>
          <w:tcPr>
            <w:tcW w:w="1559" w:type="dxa"/>
          </w:tcPr>
          <w:p w14:paraId="281AD1C9" w14:textId="16B394B7" w:rsidR="007D6662" w:rsidRPr="007639AB" w:rsidRDefault="00213BE9" w:rsidP="00C05B3C">
            <w:pPr>
              <w:pStyle w:val="10Tabletext"/>
              <w:jc w:val="right"/>
              <w:cnfStyle w:val="000000100000" w:firstRow="0" w:lastRow="0" w:firstColumn="0" w:lastColumn="0" w:oddVBand="0" w:evenVBand="0" w:oddHBand="1" w:evenHBand="0" w:firstRowFirstColumn="0" w:firstRowLastColumn="0" w:lastRowFirstColumn="0" w:lastRowLastColumn="0"/>
              <w:rPr>
                <w:i/>
                <w:iCs/>
                <w:lang w:eastAsia="en-AU"/>
              </w:rPr>
            </w:pPr>
            <w:r>
              <w:rPr>
                <w:i/>
                <w:iCs/>
              </w:rPr>
              <w:t>+</w:t>
            </w:r>
            <w:r w:rsidR="007D6662" w:rsidRPr="007639AB">
              <w:rPr>
                <w:i/>
                <w:iCs/>
              </w:rPr>
              <w:t>4.5</w:t>
            </w:r>
          </w:p>
        </w:tc>
        <w:tc>
          <w:tcPr>
            <w:tcW w:w="1559" w:type="dxa"/>
            <w:tcBorders>
              <w:right w:val="nil"/>
            </w:tcBorders>
          </w:tcPr>
          <w:p w14:paraId="27EEC81D" w14:textId="773A5376" w:rsidR="007D6662" w:rsidRPr="007639AB" w:rsidRDefault="00213BE9" w:rsidP="00C05B3C">
            <w:pPr>
              <w:pStyle w:val="10Tabletext"/>
              <w:jc w:val="right"/>
              <w:cnfStyle w:val="000000100000" w:firstRow="0" w:lastRow="0" w:firstColumn="0" w:lastColumn="0" w:oddVBand="0" w:evenVBand="0" w:oddHBand="1" w:evenHBand="0" w:firstRowFirstColumn="0" w:firstRowLastColumn="0" w:lastRowFirstColumn="0" w:lastRowLastColumn="0"/>
              <w:rPr>
                <w:i/>
                <w:iCs/>
                <w:lang w:eastAsia="en-AU"/>
              </w:rPr>
            </w:pPr>
            <w:r>
              <w:rPr>
                <w:i/>
                <w:iCs/>
              </w:rPr>
              <w:t>+</w:t>
            </w:r>
            <w:r w:rsidR="007D6662" w:rsidRPr="007639AB">
              <w:rPr>
                <w:i/>
                <w:iCs/>
              </w:rPr>
              <w:t>4.5</w:t>
            </w:r>
          </w:p>
        </w:tc>
      </w:tr>
      <w:tr w:rsidR="007D6662" w:rsidRPr="007639AB" w14:paraId="09083D6A" w14:textId="77777777" w:rsidTr="002A18A9">
        <w:trPr>
          <w:trHeight w:val="300"/>
        </w:trPr>
        <w:tc>
          <w:tcPr>
            <w:cnfStyle w:val="001000000000" w:firstRow="0" w:lastRow="0" w:firstColumn="1" w:lastColumn="0" w:oddVBand="0" w:evenVBand="0" w:oddHBand="0" w:evenHBand="0" w:firstRowFirstColumn="0" w:firstRowLastColumn="0" w:lastRowFirstColumn="0" w:lastRowLastColumn="0"/>
            <w:tcW w:w="2127" w:type="dxa"/>
            <w:vMerge w:val="restart"/>
            <w:tcBorders>
              <w:top w:val="single" w:sz="4" w:space="0" w:color="148A5D" w:themeColor="accent2"/>
              <w:left w:val="nil"/>
              <w:bottom w:val="single" w:sz="4" w:space="0" w:color="148A5D" w:themeColor="accent2"/>
            </w:tcBorders>
          </w:tcPr>
          <w:p w14:paraId="580C3C04" w14:textId="2E19949F" w:rsidR="007D6662" w:rsidRPr="007639AB" w:rsidRDefault="007D6662" w:rsidP="00C05B3C">
            <w:pPr>
              <w:pStyle w:val="10Tabletext"/>
              <w:rPr>
                <w:b w:val="0"/>
                <w:bCs/>
                <w:lang w:eastAsia="en-AU"/>
              </w:rPr>
            </w:pPr>
            <w:r w:rsidRPr="007639AB">
              <w:rPr>
                <w:bCs/>
                <w:lang w:eastAsia="en-AU"/>
              </w:rPr>
              <w:t xml:space="preserve">Department </w:t>
            </w:r>
            <w:r w:rsidR="00475608">
              <w:rPr>
                <w:bCs/>
                <w:lang w:eastAsia="en-AU"/>
              </w:rPr>
              <w:t>Secretary</w:t>
            </w:r>
            <w:r w:rsidRPr="007639AB">
              <w:rPr>
                <w:bCs/>
                <w:lang w:eastAsia="en-AU"/>
              </w:rPr>
              <w:t xml:space="preserve"> / Victorian Public Sector Commissioner</w:t>
            </w:r>
          </w:p>
        </w:tc>
        <w:tc>
          <w:tcPr>
            <w:tcW w:w="3260" w:type="dxa"/>
            <w:gridSpan w:val="2"/>
            <w:tcBorders>
              <w:top w:val="single" w:sz="4" w:space="0" w:color="148A5D" w:themeColor="accent2"/>
              <w:bottom w:val="single" w:sz="4" w:space="0" w:color="148A5D" w:themeColor="accent2"/>
            </w:tcBorders>
          </w:tcPr>
          <w:p w14:paraId="68673866" w14:textId="06FC06FE" w:rsidR="007D6662" w:rsidRPr="007639AB" w:rsidRDefault="007D6662" w:rsidP="00C05B3C">
            <w:pPr>
              <w:pStyle w:val="10Tabletext"/>
              <w:cnfStyle w:val="000000000000" w:firstRow="0" w:lastRow="0" w:firstColumn="0" w:lastColumn="0" w:oddVBand="0" w:evenVBand="0" w:oddHBand="0" w:evenHBand="0" w:firstRowFirstColumn="0" w:firstRowLastColumn="0" w:lastRowFirstColumn="0" w:lastRowLastColumn="0"/>
              <w:rPr>
                <w:lang w:eastAsia="en-AU"/>
              </w:rPr>
            </w:pPr>
            <w:r w:rsidRPr="007639AB">
              <w:t xml:space="preserve">Current band </w:t>
            </w:r>
            <w:r w:rsidR="00517E48">
              <w:t>($ p.a.)</w:t>
            </w:r>
            <w:r w:rsidRPr="007639AB">
              <w:t xml:space="preserve"> </w:t>
            </w:r>
          </w:p>
        </w:tc>
        <w:tc>
          <w:tcPr>
            <w:tcW w:w="1559" w:type="dxa"/>
            <w:tcBorders>
              <w:top w:val="single" w:sz="4" w:space="0" w:color="148A5D" w:themeColor="accent2"/>
              <w:bottom w:val="single" w:sz="4" w:space="0" w:color="148A5D" w:themeColor="accent2"/>
            </w:tcBorders>
          </w:tcPr>
          <w:p w14:paraId="5AEB7DD1" w14:textId="25462FE7" w:rsidR="007D6662" w:rsidRPr="007639AB" w:rsidRDefault="007D6662" w:rsidP="00C05B3C">
            <w:pPr>
              <w:pStyle w:val="10Tabletext"/>
              <w:jc w:val="right"/>
              <w:cnfStyle w:val="000000000000" w:firstRow="0" w:lastRow="0" w:firstColumn="0" w:lastColumn="0" w:oddVBand="0" w:evenVBand="0" w:oddHBand="0" w:evenHBand="0" w:firstRowFirstColumn="0" w:firstRowLastColumn="0" w:lastRowFirstColumn="0" w:lastRowLastColumn="0"/>
              <w:rPr>
                <w:lang w:eastAsia="en-AU"/>
              </w:rPr>
            </w:pPr>
            <w:r w:rsidRPr="007639AB">
              <w:t>577,716</w:t>
            </w:r>
          </w:p>
        </w:tc>
        <w:tc>
          <w:tcPr>
            <w:tcW w:w="1559" w:type="dxa"/>
            <w:tcBorders>
              <w:top w:val="single" w:sz="4" w:space="0" w:color="148A5D" w:themeColor="accent2"/>
              <w:bottom w:val="single" w:sz="4" w:space="0" w:color="148A5D" w:themeColor="accent2"/>
              <w:right w:val="nil"/>
            </w:tcBorders>
          </w:tcPr>
          <w:p w14:paraId="17468FD3" w14:textId="684340C6" w:rsidR="007D6662" w:rsidRPr="007639AB" w:rsidRDefault="007D6662" w:rsidP="00C05B3C">
            <w:pPr>
              <w:pStyle w:val="10Tabletext"/>
              <w:jc w:val="right"/>
              <w:cnfStyle w:val="000000000000" w:firstRow="0" w:lastRow="0" w:firstColumn="0" w:lastColumn="0" w:oddVBand="0" w:evenVBand="0" w:oddHBand="0" w:evenHBand="0" w:firstRowFirstColumn="0" w:firstRowLastColumn="0" w:lastRowFirstColumn="0" w:lastRowLastColumn="0"/>
              <w:rPr>
                <w:lang w:eastAsia="en-AU"/>
              </w:rPr>
            </w:pPr>
            <w:r w:rsidRPr="007639AB">
              <w:t>778,492</w:t>
            </w:r>
          </w:p>
        </w:tc>
      </w:tr>
      <w:tr w:rsidR="007D6662" w:rsidRPr="007639AB" w14:paraId="09114532" w14:textId="77777777" w:rsidTr="002A18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vMerge/>
            <w:tcBorders>
              <w:left w:val="nil"/>
            </w:tcBorders>
          </w:tcPr>
          <w:p w14:paraId="1C28C1FC" w14:textId="77777777" w:rsidR="007D6662" w:rsidRPr="007639AB" w:rsidRDefault="007D6662" w:rsidP="00C05B3C">
            <w:pPr>
              <w:pStyle w:val="10Tabletext"/>
              <w:rPr>
                <w:lang w:eastAsia="en-AU"/>
              </w:rPr>
            </w:pPr>
          </w:p>
        </w:tc>
        <w:tc>
          <w:tcPr>
            <w:tcW w:w="3260" w:type="dxa"/>
            <w:gridSpan w:val="2"/>
          </w:tcPr>
          <w:p w14:paraId="62A6960B" w14:textId="7894165F" w:rsidR="007D6662" w:rsidRPr="007639AB" w:rsidRDefault="007D6662" w:rsidP="00C05B3C">
            <w:pPr>
              <w:pStyle w:val="10Tabletext"/>
              <w:cnfStyle w:val="000000100000" w:firstRow="0" w:lastRow="0" w:firstColumn="0" w:lastColumn="0" w:oddVBand="0" w:evenVBand="0" w:oddHBand="1" w:evenHBand="0" w:firstRowFirstColumn="0" w:firstRowLastColumn="0" w:lastRowFirstColumn="0" w:lastRowLastColumn="0"/>
              <w:rPr>
                <w:lang w:eastAsia="en-AU"/>
              </w:rPr>
            </w:pPr>
            <w:r w:rsidRPr="007639AB">
              <w:t xml:space="preserve">Tribunal’s decision </w:t>
            </w:r>
            <w:r w:rsidR="00517E48">
              <w:t>($ p.a.)</w:t>
            </w:r>
            <w:r w:rsidRPr="007639AB">
              <w:t xml:space="preserve"> </w:t>
            </w:r>
          </w:p>
        </w:tc>
        <w:tc>
          <w:tcPr>
            <w:tcW w:w="1559" w:type="dxa"/>
          </w:tcPr>
          <w:p w14:paraId="2BD7185C" w14:textId="652359A0" w:rsidR="007D6662" w:rsidRPr="007639AB" w:rsidRDefault="007D6662" w:rsidP="00C05B3C">
            <w:pPr>
              <w:pStyle w:val="10Tabletext"/>
              <w:jc w:val="right"/>
              <w:cnfStyle w:val="000000100000" w:firstRow="0" w:lastRow="0" w:firstColumn="0" w:lastColumn="0" w:oddVBand="0" w:evenVBand="0" w:oddHBand="1" w:evenHBand="0" w:firstRowFirstColumn="0" w:firstRowLastColumn="0" w:lastRowFirstColumn="0" w:lastRowLastColumn="0"/>
              <w:rPr>
                <w:lang w:eastAsia="en-AU"/>
              </w:rPr>
            </w:pPr>
            <w:r w:rsidRPr="007639AB">
              <w:t>603,713</w:t>
            </w:r>
          </w:p>
        </w:tc>
        <w:tc>
          <w:tcPr>
            <w:tcW w:w="1559" w:type="dxa"/>
            <w:tcBorders>
              <w:right w:val="nil"/>
            </w:tcBorders>
          </w:tcPr>
          <w:p w14:paraId="75CE5EA1" w14:textId="12A2A74B" w:rsidR="007D6662" w:rsidRPr="007639AB" w:rsidRDefault="007D6662" w:rsidP="00C05B3C">
            <w:pPr>
              <w:pStyle w:val="10Tabletext"/>
              <w:jc w:val="right"/>
              <w:cnfStyle w:val="000000100000" w:firstRow="0" w:lastRow="0" w:firstColumn="0" w:lastColumn="0" w:oddVBand="0" w:evenVBand="0" w:oddHBand="1" w:evenHBand="0" w:firstRowFirstColumn="0" w:firstRowLastColumn="0" w:lastRowFirstColumn="0" w:lastRowLastColumn="0"/>
              <w:rPr>
                <w:lang w:eastAsia="en-AU"/>
              </w:rPr>
            </w:pPr>
            <w:r w:rsidRPr="007639AB">
              <w:t>813,524</w:t>
            </w:r>
          </w:p>
        </w:tc>
      </w:tr>
      <w:tr w:rsidR="007D6662" w:rsidRPr="007639AB" w14:paraId="2AC2D3E4" w14:textId="77777777" w:rsidTr="002A18A9">
        <w:tc>
          <w:tcPr>
            <w:cnfStyle w:val="001000000000" w:firstRow="0" w:lastRow="0" w:firstColumn="1" w:lastColumn="0" w:oddVBand="0" w:evenVBand="0" w:oddHBand="0" w:evenHBand="0" w:firstRowFirstColumn="0" w:firstRowLastColumn="0" w:lastRowFirstColumn="0" w:lastRowLastColumn="0"/>
            <w:tcW w:w="2127" w:type="dxa"/>
            <w:vMerge/>
            <w:tcBorders>
              <w:top w:val="single" w:sz="4" w:space="0" w:color="148A5D" w:themeColor="accent2"/>
              <w:left w:val="nil"/>
              <w:bottom w:val="single" w:sz="4" w:space="0" w:color="148A5D" w:themeColor="accent2"/>
            </w:tcBorders>
          </w:tcPr>
          <w:p w14:paraId="769848A2" w14:textId="77777777" w:rsidR="007D6662" w:rsidRPr="007639AB" w:rsidRDefault="007D6662" w:rsidP="00C05B3C">
            <w:pPr>
              <w:pStyle w:val="10Tabletext"/>
              <w:rPr>
                <w:lang w:eastAsia="en-AU"/>
              </w:rPr>
            </w:pPr>
          </w:p>
        </w:tc>
        <w:tc>
          <w:tcPr>
            <w:tcW w:w="3260" w:type="dxa"/>
            <w:gridSpan w:val="2"/>
            <w:tcBorders>
              <w:top w:val="single" w:sz="4" w:space="0" w:color="148A5D" w:themeColor="accent2"/>
              <w:bottom w:val="single" w:sz="4" w:space="0" w:color="148A5D" w:themeColor="accent2"/>
            </w:tcBorders>
          </w:tcPr>
          <w:p w14:paraId="4B2754E7" w14:textId="5B4BE0E8" w:rsidR="007D6662" w:rsidRPr="007639AB" w:rsidRDefault="00213BE9" w:rsidP="00C05B3C">
            <w:pPr>
              <w:pStyle w:val="10Tabletext"/>
              <w:cnfStyle w:val="000000000000" w:firstRow="0" w:lastRow="0" w:firstColumn="0" w:lastColumn="0" w:oddVBand="0" w:evenVBand="0" w:oddHBand="0" w:evenHBand="0" w:firstRowFirstColumn="0" w:firstRowLastColumn="0" w:lastRowFirstColumn="0" w:lastRowLastColumn="0"/>
              <w:rPr>
                <w:i/>
                <w:iCs/>
                <w:lang w:eastAsia="en-AU"/>
              </w:rPr>
            </w:pPr>
            <w:r w:rsidRPr="007639AB">
              <w:rPr>
                <w:i/>
                <w:iCs/>
              </w:rPr>
              <w:t>C</w:t>
            </w:r>
            <w:r w:rsidR="007D6662" w:rsidRPr="007639AB">
              <w:rPr>
                <w:i/>
                <w:iCs/>
              </w:rPr>
              <w:t>hange</w:t>
            </w:r>
            <w:r>
              <w:rPr>
                <w:i/>
                <w:iCs/>
              </w:rPr>
              <w:t xml:space="preserve"> (%)</w:t>
            </w:r>
          </w:p>
        </w:tc>
        <w:tc>
          <w:tcPr>
            <w:tcW w:w="1559" w:type="dxa"/>
            <w:tcBorders>
              <w:top w:val="single" w:sz="4" w:space="0" w:color="148A5D" w:themeColor="accent2"/>
              <w:bottom w:val="single" w:sz="4" w:space="0" w:color="148A5D" w:themeColor="accent2"/>
            </w:tcBorders>
          </w:tcPr>
          <w:p w14:paraId="3EF10B0B" w14:textId="3B0B5658" w:rsidR="007D6662" w:rsidRPr="007639AB" w:rsidRDefault="00213BE9" w:rsidP="00C05B3C">
            <w:pPr>
              <w:pStyle w:val="10Tabletext"/>
              <w:jc w:val="right"/>
              <w:cnfStyle w:val="000000000000" w:firstRow="0" w:lastRow="0" w:firstColumn="0" w:lastColumn="0" w:oddVBand="0" w:evenVBand="0" w:oddHBand="0" w:evenHBand="0" w:firstRowFirstColumn="0" w:firstRowLastColumn="0" w:lastRowFirstColumn="0" w:lastRowLastColumn="0"/>
              <w:rPr>
                <w:i/>
                <w:iCs/>
                <w:lang w:eastAsia="en-AU"/>
              </w:rPr>
            </w:pPr>
            <w:r>
              <w:rPr>
                <w:i/>
                <w:iCs/>
              </w:rPr>
              <w:t>+</w:t>
            </w:r>
            <w:r w:rsidR="007D6662" w:rsidRPr="007639AB">
              <w:rPr>
                <w:i/>
                <w:iCs/>
              </w:rPr>
              <w:t>4.5</w:t>
            </w:r>
          </w:p>
        </w:tc>
        <w:tc>
          <w:tcPr>
            <w:tcW w:w="1559" w:type="dxa"/>
            <w:tcBorders>
              <w:top w:val="single" w:sz="4" w:space="0" w:color="148A5D" w:themeColor="accent2"/>
              <w:bottom w:val="single" w:sz="4" w:space="0" w:color="148A5D" w:themeColor="accent2"/>
              <w:right w:val="nil"/>
            </w:tcBorders>
          </w:tcPr>
          <w:p w14:paraId="404178C4" w14:textId="02F377E5" w:rsidR="007D6662" w:rsidRPr="007639AB" w:rsidRDefault="00213BE9" w:rsidP="00C05B3C">
            <w:pPr>
              <w:pStyle w:val="10Tabletext"/>
              <w:jc w:val="right"/>
              <w:cnfStyle w:val="000000000000" w:firstRow="0" w:lastRow="0" w:firstColumn="0" w:lastColumn="0" w:oddVBand="0" w:evenVBand="0" w:oddHBand="0" w:evenHBand="0" w:firstRowFirstColumn="0" w:firstRowLastColumn="0" w:lastRowFirstColumn="0" w:lastRowLastColumn="0"/>
              <w:rPr>
                <w:i/>
                <w:iCs/>
                <w:lang w:eastAsia="en-AU"/>
              </w:rPr>
            </w:pPr>
            <w:r>
              <w:rPr>
                <w:i/>
                <w:iCs/>
              </w:rPr>
              <w:t>+</w:t>
            </w:r>
            <w:r w:rsidR="007D6662" w:rsidRPr="007639AB">
              <w:rPr>
                <w:i/>
                <w:iCs/>
              </w:rPr>
              <w:t>4.5</w:t>
            </w:r>
          </w:p>
        </w:tc>
      </w:tr>
    </w:tbl>
    <w:p w14:paraId="0F479FC2" w14:textId="77777777" w:rsidR="007D6662" w:rsidRPr="007639AB" w:rsidRDefault="007D6662" w:rsidP="006D1EBC">
      <w:pPr>
        <w:pStyle w:val="03VIRTHeading3"/>
      </w:pPr>
      <w:r w:rsidRPr="007639AB">
        <w:t>Other factors</w:t>
      </w:r>
    </w:p>
    <w:p w14:paraId="49C8855B" w14:textId="4E023822" w:rsidR="007D6662" w:rsidRPr="007639AB" w:rsidRDefault="007D6662" w:rsidP="006D1EBC">
      <w:pPr>
        <w:pStyle w:val="05Paragraph"/>
      </w:pPr>
      <w:r w:rsidRPr="007639AB">
        <w:t xml:space="preserve">A number of submissions received by the Tribunal raised issues relating to conditions of executive employment </w:t>
      </w:r>
      <w:r w:rsidR="00401EEC">
        <w:t>—</w:t>
      </w:r>
      <w:r w:rsidRPr="007639AB">
        <w:t xml:space="preserve"> including contract length, termination provisions and the ‘right of return’. Employment conditions are not within the scope of the Tribunal’s Determination. However, such conditions — together with the remuneration offered — affect the attraction and retention of executives and for this reason are relevant to the Tribunal’s considerations.</w:t>
      </w:r>
    </w:p>
    <w:p w14:paraId="2CB0D086" w14:textId="77777777" w:rsidR="007D6662" w:rsidRPr="007639AB" w:rsidRDefault="007D6662" w:rsidP="006D1EBC">
      <w:pPr>
        <w:pStyle w:val="05Paragraph"/>
      </w:pPr>
      <w:r w:rsidRPr="007639AB">
        <w:t xml:space="preserve">Attention is drawn in particular to the termination provisions of the employment contract. Under the current provisions, four months’ notice of termination is required to be given. This is significantly less than other Australian jurisdictions </w:t>
      </w:r>
      <w:r w:rsidRPr="00695E81">
        <w:t>considered by the Tribunal</w:t>
      </w:r>
      <w:r>
        <w:t>.</w:t>
      </w:r>
      <w:r w:rsidRPr="007639AB">
        <w:t xml:space="preserve"> It discourages potential candidates from seeking employment at the executive level in Victoria particularly in the light of the increased risk and reputational damage associated with executive employment referred to above. </w:t>
      </w:r>
    </w:p>
    <w:p w14:paraId="163C5DB4" w14:textId="3F886AD4" w:rsidR="007D6662" w:rsidRPr="007639AB" w:rsidRDefault="007D6662" w:rsidP="006D1EBC">
      <w:pPr>
        <w:pStyle w:val="05Paragraph"/>
      </w:pPr>
      <w:r w:rsidRPr="007639AB">
        <w:t xml:space="preserve">The Tribunal has been told that previous recommendations to extend the period of notice to nine months have not been actioned. The Tribunal recommends that the </w:t>
      </w:r>
      <w:r w:rsidR="00213BE9">
        <w:t>G</w:t>
      </w:r>
      <w:r w:rsidRPr="007639AB">
        <w:t>overnment give further consideration to this issue.</w:t>
      </w:r>
    </w:p>
    <w:p w14:paraId="4DFD3E47" w14:textId="77777777" w:rsidR="00E63D99" w:rsidRPr="00D236A6" w:rsidRDefault="00E63D99" w:rsidP="00D236A6"/>
    <w:p w14:paraId="60110910" w14:textId="0173AE95" w:rsidR="00671CB5" w:rsidRDefault="00671CB5">
      <w:pPr>
        <w:spacing w:before="0" w:after="80" w:line="240" w:lineRule="auto"/>
        <w:jc w:val="left"/>
        <w:rPr>
          <w:color w:val="auto"/>
        </w:rPr>
      </w:pPr>
      <w:r>
        <w:rPr>
          <w:color w:val="auto"/>
        </w:rPr>
        <w:br w:type="page"/>
      </w:r>
    </w:p>
    <w:p w14:paraId="63E471CC" w14:textId="022AFA1C" w:rsidR="005704EF" w:rsidRPr="006D54BA" w:rsidRDefault="00645B6E" w:rsidP="000F64FC">
      <w:pPr>
        <w:pStyle w:val="01Chapterheading"/>
      </w:pPr>
      <w:bookmarkStart w:id="20" w:name="_Toc33609441"/>
      <w:bookmarkStart w:id="21" w:name="_Toc35006355"/>
      <w:bookmarkStart w:id="22" w:name="_Toc45015310"/>
      <w:bookmarkStart w:id="23" w:name="_Toc59090121"/>
      <w:bookmarkStart w:id="24" w:name="_Toc97728587"/>
      <w:bookmarkStart w:id="25" w:name="_Toc169878462"/>
      <w:bookmarkStart w:id="26" w:name="_Toc170396205"/>
      <w:bookmarkStart w:id="27" w:name="_Hlk19784699"/>
      <w:r w:rsidRPr="000F64FC">
        <w:lastRenderedPageBreak/>
        <w:t>1</w:t>
      </w:r>
      <w:r w:rsidRPr="000F64FC">
        <w:tab/>
      </w:r>
      <w:r w:rsidR="005704EF" w:rsidRPr="000F64FC">
        <w:t>About this Determination</w:t>
      </w:r>
      <w:bookmarkEnd w:id="20"/>
      <w:bookmarkEnd w:id="21"/>
      <w:bookmarkEnd w:id="22"/>
      <w:bookmarkEnd w:id="23"/>
      <w:bookmarkEnd w:id="24"/>
      <w:r w:rsidR="00BD1707" w:rsidRPr="000F64FC">
        <w:br/>
      </w:r>
      <w:r w:rsidR="00BD1707" w:rsidRPr="00C02C39">
        <w:rPr>
          <w:noProof/>
        </w:rPr>
        <w:drawing>
          <wp:inline distT="0" distB="0" distL="0" distR="0" wp14:anchorId="2600BFBB" wp14:editId="05C8416E">
            <wp:extent cx="2222500" cy="253365"/>
            <wp:effectExtent l="0" t="0" r="6350" b="0"/>
            <wp:docPr id="193136058" name="Picture 19313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23">
                      <a:extLst>
                        <a:ext uri="{28A0092B-C50C-407E-A947-70E740481C1C}">
                          <a14:useLocalDpi xmlns:a14="http://schemas.microsoft.com/office/drawing/2010/main" val="0"/>
                        </a:ext>
                      </a:extLst>
                    </a:blip>
                    <a:stretch>
                      <a:fillRect/>
                    </a:stretch>
                  </pic:blipFill>
                  <pic:spPr>
                    <a:xfrm>
                      <a:off x="0" y="0"/>
                      <a:ext cx="2222500" cy="253365"/>
                    </a:xfrm>
                    <a:prstGeom prst="rect">
                      <a:avLst/>
                    </a:prstGeom>
                  </pic:spPr>
                </pic:pic>
              </a:graphicData>
            </a:graphic>
          </wp:inline>
        </w:drawing>
      </w:r>
      <w:bookmarkEnd w:id="25"/>
      <w:bookmarkEnd w:id="26"/>
    </w:p>
    <w:p w14:paraId="4DEE8EE7" w14:textId="77777777" w:rsidR="005704EF" w:rsidRPr="00A3323D" w:rsidRDefault="005704EF" w:rsidP="005704EF">
      <w:pPr>
        <w:pStyle w:val="05Paragraph"/>
        <w:rPr>
          <w:rFonts w:cs="Calibri Light"/>
        </w:rPr>
      </w:pPr>
      <w:bookmarkStart w:id="28" w:name="_Toc344541"/>
      <w:bookmarkStart w:id="29" w:name="_Toc5783357"/>
      <w:r w:rsidRPr="00A3323D">
        <w:rPr>
          <w:rFonts w:cs="Calibri Light"/>
        </w:rPr>
        <w:t>The Victorian Independent Remuneration Tribunal provides transparent, accountable and evidence-based decision-making about the remuneration of Members of the Parliament (MPs) of Victoria, public sector executives and elected local government officials.</w:t>
      </w:r>
    </w:p>
    <w:p w14:paraId="53ED0E0E" w14:textId="730F9FA5" w:rsidR="005704EF" w:rsidRPr="00A3323D" w:rsidRDefault="005704EF" w:rsidP="005704EF">
      <w:pPr>
        <w:pStyle w:val="05Paragraph"/>
        <w:rPr>
          <w:rFonts w:cs="Calibri Light"/>
        </w:rPr>
      </w:pPr>
      <w:r w:rsidRPr="00A3323D">
        <w:rPr>
          <w:rFonts w:cs="Calibri Light"/>
        </w:rPr>
        <w:t xml:space="preserve">The Tribunal </w:t>
      </w:r>
      <w:r>
        <w:rPr>
          <w:rFonts w:cs="Calibri Light"/>
        </w:rPr>
        <w:t>was</w:t>
      </w:r>
      <w:r w:rsidRPr="00A3323D">
        <w:rPr>
          <w:rFonts w:cs="Calibri Light"/>
        </w:rPr>
        <w:t xml:space="preserve"> established under the </w:t>
      </w:r>
      <w:r w:rsidRPr="00A3323D">
        <w:rPr>
          <w:rFonts w:cs="Calibri Light"/>
          <w:i/>
          <w:iCs/>
        </w:rPr>
        <w:t>Victorian Independent Remuneration Tribunal and Improving Parliamentary Standards Act 2019</w:t>
      </w:r>
      <w:r w:rsidRPr="00A3323D">
        <w:rPr>
          <w:rFonts w:cs="Calibri Light"/>
        </w:rPr>
        <w:t xml:space="preserve"> (Vic) (VIRTIPS Act). The VIRTIPS Act requires the Tribunal to inquire into and make Determinations in relation to the:</w:t>
      </w:r>
    </w:p>
    <w:p w14:paraId="48411CA2" w14:textId="77777777" w:rsidR="005704EF" w:rsidRPr="00A3323D" w:rsidRDefault="005704EF" w:rsidP="005704EF">
      <w:pPr>
        <w:pStyle w:val="06VIRTBulletpoints"/>
        <w:rPr>
          <w:rFonts w:cs="Calibri Light"/>
        </w:rPr>
      </w:pPr>
      <w:r w:rsidRPr="00A3323D">
        <w:rPr>
          <w:rFonts w:cs="Calibri Light"/>
        </w:rPr>
        <w:t>salaries and allowances for MPs</w:t>
      </w:r>
    </w:p>
    <w:p w14:paraId="04F43BC3" w14:textId="77777777" w:rsidR="005704EF" w:rsidRPr="00A3323D" w:rsidRDefault="005704EF" w:rsidP="005704EF">
      <w:pPr>
        <w:pStyle w:val="06VIRTBulletpoints"/>
        <w:rPr>
          <w:rFonts w:cs="Calibri Light"/>
        </w:rPr>
      </w:pPr>
      <w:r w:rsidRPr="00A3323D">
        <w:rPr>
          <w:rFonts w:cs="Calibri Light"/>
        </w:rPr>
        <w:t>remuneration bands for executives employed in public service bodies</w:t>
      </w:r>
    </w:p>
    <w:p w14:paraId="28A55134" w14:textId="77777777" w:rsidR="005704EF" w:rsidRPr="00A3323D" w:rsidRDefault="005704EF" w:rsidP="005704EF">
      <w:pPr>
        <w:pStyle w:val="06VIRTBulletpoints"/>
        <w:rPr>
          <w:rFonts w:cs="Calibri Light"/>
        </w:rPr>
      </w:pPr>
      <w:r w:rsidRPr="00A3323D">
        <w:rPr>
          <w:rFonts w:cs="Calibri Light"/>
        </w:rPr>
        <w:t>remuneration bands for executives employed in prescribed public entities</w:t>
      </w:r>
    </w:p>
    <w:p w14:paraId="6928F58E" w14:textId="591ECB45" w:rsidR="005704EF" w:rsidRPr="00A3323D" w:rsidRDefault="005704EF" w:rsidP="005704EF">
      <w:pPr>
        <w:pStyle w:val="06VIRTBulletpoints"/>
        <w:rPr>
          <w:rFonts w:cs="Calibri Light"/>
        </w:rPr>
      </w:pPr>
      <w:r w:rsidRPr="00A3323D">
        <w:rPr>
          <w:rFonts w:cs="Calibri Light"/>
        </w:rPr>
        <w:t xml:space="preserve">allowances provided to </w:t>
      </w:r>
      <w:r w:rsidR="00C97FD4">
        <w:rPr>
          <w:rFonts w:cs="Calibri Light"/>
        </w:rPr>
        <w:t>M</w:t>
      </w:r>
      <w:r w:rsidRPr="00A3323D">
        <w:rPr>
          <w:rFonts w:cs="Calibri Light"/>
        </w:rPr>
        <w:t xml:space="preserve">ayors, </w:t>
      </w:r>
      <w:r w:rsidR="00C97FD4">
        <w:rPr>
          <w:rFonts w:cs="Calibri Light"/>
        </w:rPr>
        <w:t>D</w:t>
      </w:r>
      <w:r w:rsidRPr="00A3323D">
        <w:rPr>
          <w:rFonts w:cs="Calibri Light"/>
        </w:rPr>
        <w:t xml:space="preserve">eputy </w:t>
      </w:r>
      <w:r w:rsidR="00C97FD4">
        <w:rPr>
          <w:rFonts w:cs="Calibri Light"/>
        </w:rPr>
        <w:t>M</w:t>
      </w:r>
      <w:r w:rsidRPr="00A3323D">
        <w:rPr>
          <w:rFonts w:cs="Calibri Light"/>
        </w:rPr>
        <w:t xml:space="preserve">ayors and </w:t>
      </w:r>
      <w:r w:rsidR="00C97FD4">
        <w:rPr>
          <w:rFonts w:cs="Calibri Light"/>
        </w:rPr>
        <w:t>C</w:t>
      </w:r>
      <w:r w:rsidRPr="00A3323D">
        <w:rPr>
          <w:rFonts w:cs="Calibri Light"/>
        </w:rPr>
        <w:t xml:space="preserve">ouncillors. </w:t>
      </w:r>
    </w:p>
    <w:p w14:paraId="6361353B" w14:textId="77777777" w:rsidR="005704EF" w:rsidRPr="00A3323D" w:rsidRDefault="005704EF" w:rsidP="005704EF">
      <w:pPr>
        <w:pStyle w:val="05Paragraph"/>
        <w:rPr>
          <w:rFonts w:cs="Calibri Light"/>
        </w:rPr>
      </w:pPr>
      <w:r w:rsidRPr="00A3323D">
        <w:rPr>
          <w:rFonts w:cs="Calibri Light"/>
        </w:rPr>
        <w:t>In performing its functions and exercising its powers, the Tribunal must act independently and impartially and is not subject to the control or direction of any person, including the Minister.</w:t>
      </w:r>
      <w:r w:rsidRPr="00A3323D">
        <w:rPr>
          <w:rStyle w:val="FootnoteReference"/>
          <w:rFonts w:cs="Calibri Light"/>
        </w:rPr>
        <w:footnoteReference w:id="2"/>
      </w:r>
    </w:p>
    <w:p w14:paraId="234400D0" w14:textId="6F89BFE9" w:rsidR="005704EF" w:rsidRPr="00A3323D" w:rsidRDefault="005704EF" w:rsidP="005704EF">
      <w:pPr>
        <w:pStyle w:val="05Paragraph"/>
        <w:rPr>
          <w:rFonts w:cs="Calibri Light"/>
        </w:rPr>
      </w:pPr>
      <w:r w:rsidRPr="00A3323D">
        <w:rPr>
          <w:rFonts w:cs="Calibri Light"/>
        </w:rPr>
        <w:t xml:space="preserve">The Tribunal made its first Determination of remuneration bands for </w:t>
      </w:r>
      <w:r>
        <w:rPr>
          <w:rFonts w:cs="Calibri Light"/>
        </w:rPr>
        <w:t>public service body Heads and other</w:t>
      </w:r>
      <w:r w:rsidRPr="00A3323D">
        <w:rPr>
          <w:rFonts w:cs="Calibri Light"/>
        </w:rPr>
        <w:t xml:space="preserve"> executives employed in </w:t>
      </w:r>
      <w:r>
        <w:rPr>
          <w:rFonts w:cs="Calibri Light"/>
        </w:rPr>
        <w:t xml:space="preserve">Victorian </w:t>
      </w:r>
      <w:r w:rsidR="00D35158">
        <w:rPr>
          <w:rFonts w:cs="Calibri Light"/>
        </w:rPr>
        <w:t>P</w:t>
      </w:r>
      <w:r w:rsidRPr="00A3323D">
        <w:rPr>
          <w:rFonts w:cs="Calibri Light"/>
        </w:rPr>
        <w:t xml:space="preserve">ublic </w:t>
      </w:r>
      <w:r w:rsidR="00D35158">
        <w:rPr>
          <w:rFonts w:cs="Calibri Light"/>
        </w:rPr>
        <w:t>S</w:t>
      </w:r>
      <w:r w:rsidRPr="00A3323D">
        <w:rPr>
          <w:rFonts w:cs="Calibri Light"/>
        </w:rPr>
        <w:t xml:space="preserve">ervice </w:t>
      </w:r>
      <w:r>
        <w:rPr>
          <w:rFonts w:cs="Calibri Light"/>
        </w:rPr>
        <w:t xml:space="preserve">(VPS) </w:t>
      </w:r>
      <w:r w:rsidRPr="00A3323D">
        <w:rPr>
          <w:rFonts w:cs="Calibri Light"/>
        </w:rPr>
        <w:t xml:space="preserve">bodies on 14 May 2020 — the </w:t>
      </w:r>
      <w:r w:rsidRPr="00A3323D">
        <w:rPr>
          <w:rFonts w:cs="Calibri Light"/>
          <w:i/>
          <w:iCs/>
        </w:rPr>
        <w:t>Remuneration bands for executives employed in public service bodies (Victoria) Determination No. 01/2020</w:t>
      </w:r>
      <w:r w:rsidRPr="00A3323D">
        <w:rPr>
          <w:rFonts w:cs="Calibri Light"/>
        </w:rPr>
        <w:t xml:space="preserve"> (2020 VPS Determination). In 2021, 2022 and 2023, the Tribunal made Determinations providing for an annual adjustment to the values of the remuneration bands set in the 2020 VPS Determination.</w:t>
      </w:r>
    </w:p>
    <w:p w14:paraId="02DFE004" w14:textId="3C971D8F" w:rsidR="005704EF" w:rsidRPr="00A3323D" w:rsidRDefault="005704EF" w:rsidP="005704EF">
      <w:pPr>
        <w:pStyle w:val="05Paragraph"/>
        <w:rPr>
          <w:rFonts w:cs="Calibri Light"/>
        </w:rPr>
      </w:pPr>
      <w:r w:rsidRPr="00A3323D">
        <w:rPr>
          <w:rFonts w:cs="Calibri Light"/>
        </w:rPr>
        <w:t xml:space="preserve">The Tribunal is required to make a new </w:t>
      </w:r>
      <w:r w:rsidR="00731D81">
        <w:rPr>
          <w:rFonts w:cs="Calibri Light"/>
        </w:rPr>
        <w:t>c</w:t>
      </w:r>
      <w:r w:rsidR="00153455">
        <w:rPr>
          <w:rFonts w:cs="Calibri Light"/>
        </w:rPr>
        <w:t xml:space="preserve">omprehensive </w:t>
      </w:r>
      <w:r w:rsidRPr="00A3323D">
        <w:rPr>
          <w:rFonts w:cs="Calibri Light"/>
        </w:rPr>
        <w:t xml:space="preserve">Determination </w:t>
      </w:r>
      <w:r>
        <w:rPr>
          <w:rFonts w:cs="Calibri Light"/>
        </w:rPr>
        <w:t>for executives</w:t>
      </w:r>
      <w:r w:rsidRPr="00A3323D">
        <w:rPr>
          <w:rFonts w:cs="Calibri Light"/>
        </w:rPr>
        <w:t xml:space="preserve"> at the end of the four-year period after the making of </w:t>
      </w:r>
      <w:r w:rsidR="00177903">
        <w:rPr>
          <w:rFonts w:cs="Calibri Light"/>
        </w:rPr>
        <w:t xml:space="preserve">the 2020 VPS </w:t>
      </w:r>
      <w:r w:rsidRPr="00A3323D">
        <w:rPr>
          <w:rFonts w:cs="Calibri Light"/>
        </w:rPr>
        <w:lastRenderedPageBreak/>
        <w:t>Determination.</w:t>
      </w:r>
      <w:r w:rsidRPr="00A3323D">
        <w:rPr>
          <w:rStyle w:val="FootnoteReference"/>
          <w:rFonts w:cs="Calibri Light"/>
        </w:rPr>
        <w:footnoteReference w:id="3"/>
      </w:r>
      <w:r w:rsidRPr="00A3323D">
        <w:rPr>
          <w:rFonts w:cs="Calibri Light"/>
        </w:rPr>
        <w:t xml:space="preserve"> </w:t>
      </w:r>
      <w:r>
        <w:rPr>
          <w:rFonts w:cs="Calibri Light"/>
        </w:rPr>
        <w:t xml:space="preserve">The Tribunal has flexibility to specify when a Determination takes effect and </w:t>
      </w:r>
      <w:r w:rsidRPr="00A3323D">
        <w:rPr>
          <w:rFonts w:cs="Calibri Light"/>
        </w:rPr>
        <w:t xml:space="preserve">has decided that the </w:t>
      </w:r>
      <w:r w:rsidR="00042138" w:rsidRPr="0084338E">
        <w:rPr>
          <w:rFonts w:cs="Calibri Light"/>
          <w:i/>
        </w:rPr>
        <w:t>Remuneration bands for executives employed in public service bodies (Victoria) Determination No. 01/2024</w:t>
      </w:r>
      <w:r w:rsidR="00042138" w:rsidRPr="00042138">
        <w:rPr>
          <w:rFonts w:cs="Calibri Light"/>
        </w:rPr>
        <w:t xml:space="preserve"> </w:t>
      </w:r>
      <w:r w:rsidR="00042138">
        <w:rPr>
          <w:rFonts w:cs="Calibri Light"/>
        </w:rPr>
        <w:t>(</w:t>
      </w:r>
      <w:r w:rsidR="0084338E">
        <w:rPr>
          <w:rFonts w:cs="Calibri Light"/>
        </w:rPr>
        <w:t xml:space="preserve">2024 VPS </w:t>
      </w:r>
      <w:r w:rsidRPr="00A3323D">
        <w:rPr>
          <w:rFonts w:cs="Calibri Light"/>
        </w:rPr>
        <w:t>Determination</w:t>
      </w:r>
      <w:r w:rsidR="0084338E">
        <w:rPr>
          <w:rFonts w:cs="Calibri Light"/>
        </w:rPr>
        <w:t>)</w:t>
      </w:r>
      <w:r w:rsidRPr="00A3323D">
        <w:rPr>
          <w:rFonts w:cs="Calibri Light"/>
        </w:rPr>
        <w:t xml:space="preserve"> will take effect on 1 July 2024.</w:t>
      </w:r>
      <w:r w:rsidRPr="00A3323D">
        <w:rPr>
          <w:rStyle w:val="FootnoteReference"/>
          <w:rFonts w:cs="Calibri Light"/>
        </w:rPr>
        <w:footnoteReference w:id="4"/>
      </w:r>
      <w:r w:rsidRPr="00A3323D">
        <w:rPr>
          <w:rFonts w:cs="Calibri Light"/>
        </w:rPr>
        <w:t xml:space="preserve"> </w:t>
      </w:r>
    </w:p>
    <w:p w14:paraId="61A1B29F" w14:textId="77777777" w:rsidR="005704EF" w:rsidRPr="0035042D" w:rsidRDefault="005704EF" w:rsidP="005704EF">
      <w:pPr>
        <w:pStyle w:val="05Paragraph"/>
        <w:rPr>
          <w:rFonts w:cs="Calibri Light"/>
        </w:rPr>
      </w:pPr>
      <w:r w:rsidRPr="0035042D">
        <w:rPr>
          <w:rFonts w:cs="Calibri Light"/>
        </w:rPr>
        <w:t>The Tribunal must include a Statement of Reasons in a Determination.</w:t>
      </w:r>
      <w:r w:rsidRPr="0035042D">
        <w:rPr>
          <w:rFonts w:cs="Calibri Light"/>
          <w:vertAlign w:val="superscript"/>
        </w:rPr>
        <w:footnoteReference w:id="5"/>
      </w:r>
      <w:r w:rsidRPr="0035042D">
        <w:rPr>
          <w:rFonts w:cs="Calibri Light"/>
        </w:rPr>
        <w:t xml:space="preserve"> </w:t>
      </w:r>
    </w:p>
    <w:p w14:paraId="134E6E4F" w14:textId="4A35A18E" w:rsidR="005704EF" w:rsidRPr="00CA6D0A" w:rsidRDefault="00AB7920" w:rsidP="00AB7920">
      <w:pPr>
        <w:pStyle w:val="02VIRTHeading2"/>
      </w:pPr>
      <w:bookmarkStart w:id="30" w:name="_Toc169878463"/>
      <w:bookmarkStart w:id="31" w:name="_Toc170396206"/>
      <w:r>
        <w:t>1.1</w:t>
      </w:r>
      <w:r>
        <w:tab/>
      </w:r>
      <w:r w:rsidR="005704EF">
        <w:t xml:space="preserve">The </w:t>
      </w:r>
      <w:r w:rsidR="005704EF" w:rsidRPr="009870B7">
        <w:t>Determination</w:t>
      </w:r>
      <w:r w:rsidR="005704EF">
        <w:t xml:space="preserve"> applies to executives in VPS bodies</w:t>
      </w:r>
      <w:bookmarkEnd w:id="30"/>
      <w:bookmarkEnd w:id="31"/>
    </w:p>
    <w:p w14:paraId="42EA906F" w14:textId="07A9B939" w:rsidR="005704EF" w:rsidRDefault="005704EF" w:rsidP="005704EF">
      <w:pPr>
        <w:pStyle w:val="05Paragraph"/>
        <w:rPr>
          <w:rFonts w:cs="Calibri Light"/>
        </w:rPr>
      </w:pPr>
      <w:bookmarkStart w:id="32" w:name="_Toc19554265"/>
      <w:r>
        <w:rPr>
          <w:rFonts w:cs="Calibri Light"/>
        </w:rPr>
        <w:t xml:space="preserve">The Tribunal’s Determination applies to remuneration bands for executives employed in public service bodies </w:t>
      </w:r>
      <w:r w:rsidR="00B72F80">
        <w:rPr>
          <w:rFonts w:cs="Calibri Light"/>
        </w:rPr>
        <w:t>—</w:t>
      </w:r>
      <w:r>
        <w:rPr>
          <w:rFonts w:cs="Calibri Light"/>
        </w:rPr>
        <w:t xml:space="preserve"> as defined under Part 3 of the </w:t>
      </w:r>
      <w:r w:rsidRPr="00CB553C">
        <w:rPr>
          <w:rFonts w:cs="Calibri Light"/>
          <w:i/>
          <w:iCs/>
        </w:rPr>
        <w:t>Public</w:t>
      </w:r>
      <w:r w:rsidR="00B174A7">
        <w:rPr>
          <w:rFonts w:cs="Calibri Light"/>
          <w:i/>
          <w:iCs/>
        </w:rPr>
        <w:t> </w:t>
      </w:r>
      <w:r w:rsidRPr="00CB553C">
        <w:rPr>
          <w:rFonts w:cs="Calibri Light"/>
          <w:i/>
          <w:iCs/>
        </w:rPr>
        <w:t xml:space="preserve">Administration Act 2004 </w:t>
      </w:r>
      <w:r>
        <w:rPr>
          <w:rFonts w:cs="Calibri Light"/>
        </w:rPr>
        <w:t xml:space="preserve">(Vic) (PAA). </w:t>
      </w:r>
    </w:p>
    <w:p w14:paraId="3BB3D3F5" w14:textId="14ED7A22" w:rsidR="005704EF" w:rsidRDefault="00E86C11" w:rsidP="005704EF">
      <w:pPr>
        <w:pStyle w:val="05Paragraph"/>
        <w:rPr>
          <w:rFonts w:cs="Calibri Light"/>
        </w:rPr>
      </w:pPr>
      <w:r>
        <w:rPr>
          <w:rFonts w:cs="Calibri Light"/>
        </w:rPr>
        <w:t>T</w:t>
      </w:r>
      <w:r w:rsidR="005704EF">
        <w:rPr>
          <w:rFonts w:cs="Calibri Light"/>
        </w:rPr>
        <w:t>he Tribunal distinguishes between two groups of VPS executives:</w:t>
      </w:r>
    </w:p>
    <w:p w14:paraId="7CD72B7A" w14:textId="3C9A6721" w:rsidR="005704EF" w:rsidRPr="00B51B94" w:rsidRDefault="005704EF" w:rsidP="005704EF">
      <w:pPr>
        <w:pStyle w:val="06VIRTBulletpoints"/>
        <w:rPr>
          <w:rFonts w:cs="Calibri Light"/>
        </w:rPr>
      </w:pPr>
      <w:r>
        <w:rPr>
          <w:rFonts w:cs="Calibri Light"/>
        </w:rPr>
        <w:t xml:space="preserve">public service body Heads: department Heads, </w:t>
      </w:r>
      <w:r w:rsidR="00897CF6">
        <w:rPr>
          <w:rFonts w:cs="Calibri Light"/>
        </w:rPr>
        <w:t>A</w:t>
      </w:r>
      <w:r w:rsidRPr="00D5449B">
        <w:rPr>
          <w:rFonts w:cs="Calibri Light"/>
        </w:rPr>
        <w:t>dministrative</w:t>
      </w:r>
      <w:r>
        <w:rPr>
          <w:rFonts w:cs="Calibri Light"/>
        </w:rPr>
        <w:t xml:space="preserve"> </w:t>
      </w:r>
      <w:r w:rsidR="00897CF6">
        <w:rPr>
          <w:rFonts w:cs="Calibri Light"/>
        </w:rPr>
        <w:t>O</w:t>
      </w:r>
      <w:r>
        <w:rPr>
          <w:rFonts w:cs="Calibri Light"/>
        </w:rPr>
        <w:t xml:space="preserve">ffice </w:t>
      </w:r>
      <w:r w:rsidR="00897CF6">
        <w:rPr>
          <w:rFonts w:cs="Calibri Light"/>
        </w:rPr>
        <w:t>(AO)</w:t>
      </w:r>
      <w:r>
        <w:rPr>
          <w:rFonts w:cs="Calibri Light"/>
        </w:rPr>
        <w:t xml:space="preserve"> Heads and </w:t>
      </w:r>
      <w:r w:rsidRPr="00B51B94">
        <w:rPr>
          <w:rFonts w:cs="Calibri Light"/>
        </w:rPr>
        <w:t xml:space="preserve">the Victorian Public Sector </w:t>
      </w:r>
      <w:r>
        <w:rPr>
          <w:rFonts w:cs="Calibri Light"/>
        </w:rPr>
        <w:t>Commissioner</w:t>
      </w:r>
    </w:p>
    <w:p w14:paraId="65ABE07A" w14:textId="265A879A" w:rsidR="005704EF" w:rsidRPr="004E4C7D" w:rsidRDefault="005704EF" w:rsidP="005704EF">
      <w:pPr>
        <w:pStyle w:val="06VIRTBulletpoints"/>
        <w:rPr>
          <w:rFonts w:cs="Calibri Light"/>
        </w:rPr>
      </w:pPr>
      <w:r>
        <w:rPr>
          <w:rFonts w:cs="Calibri Light"/>
        </w:rPr>
        <w:t xml:space="preserve">members of the </w:t>
      </w:r>
      <w:r w:rsidR="00F61C59">
        <w:rPr>
          <w:rFonts w:cs="Calibri Light"/>
        </w:rPr>
        <w:t>S</w:t>
      </w:r>
      <w:r>
        <w:rPr>
          <w:rFonts w:cs="Calibri Light"/>
        </w:rPr>
        <w:t xml:space="preserve">enior </w:t>
      </w:r>
      <w:r w:rsidR="00F61C59">
        <w:rPr>
          <w:rFonts w:cs="Calibri Light"/>
        </w:rPr>
        <w:t>E</w:t>
      </w:r>
      <w:r>
        <w:rPr>
          <w:rFonts w:cs="Calibri Light"/>
        </w:rPr>
        <w:t xml:space="preserve">xecutive </w:t>
      </w:r>
      <w:r w:rsidR="00F61C59">
        <w:rPr>
          <w:rFonts w:cs="Calibri Light"/>
        </w:rPr>
        <w:t>S</w:t>
      </w:r>
      <w:r>
        <w:rPr>
          <w:rFonts w:cs="Calibri Light"/>
        </w:rPr>
        <w:t>ervice (SES): executives employed by a public service body Head to perform a defined function.</w:t>
      </w:r>
    </w:p>
    <w:p w14:paraId="0DCF9D96" w14:textId="77777777" w:rsidR="005704EF" w:rsidRDefault="005704EF" w:rsidP="005704EF">
      <w:pPr>
        <w:pStyle w:val="05Paragraph"/>
        <w:rPr>
          <w:rFonts w:cs="Calibri Light"/>
        </w:rPr>
      </w:pPr>
      <w:bookmarkStart w:id="33" w:name="_Hlk33699776"/>
      <w:r w:rsidRPr="00B259F6">
        <w:rPr>
          <w:rFonts w:cs="Calibri Light"/>
        </w:rPr>
        <w:t xml:space="preserve">Employers of executives retain the power to set an individual executive’s remuneration within the </w:t>
      </w:r>
      <w:r w:rsidRPr="008024DB">
        <w:rPr>
          <w:rFonts w:cs="Calibri Light"/>
        </w:rPr>
        <w:t>relevant remuneration band in a Determination made by the Tribunal</w:t>
      </w:r>
      <w:r>
        <w:rPr>
          <w:rFonts w:cs="Calibri Light"/>
        </w:rPr>
        <w:t>.</w:t>
      </w:r>
      <w:r>
        <w:rPr>
          <w:rStyle w:val="FootnoteReference"/>
          <w:rFonts w:cs="Calibri Light"/>
        </w:rPr>
        <w:footnoteReference w:id="6"/>
      </w:r>
    </w:p>
    <w:p w14:paraId="70DD413B" w14:textId="77777777" w:rsidR="005704EF" w:rsidRPr="00E44D83" w:rsidRDefault="005704EF" w:rsidP="005704EF">
      <w:pPr>
        <w:pStyle w:val="06VIRTBulletpoints"/>
        <w:numPr>
          <w:ilvl w:val="0"/>
          <w:numId w:val="0"/>
        </w:numPr>
        <w:rPr>
          <w:rFonts w:cs="Calibri Light"/>
        </w:rPr>
      </w:pPr>
      <w:r>
        <w:rPr>
          <w:rFonts w:cs="Calibri Light"/>
        </w:rPr>
        <w:t>E</w:t>
      </w:r>
      <w:r w:rsidRPr="00B259F6">
        <w:rPr>
          <w:rFonts w:cs="Calibri Light"/>
        </w:rPr>
        <w:t>mployers proposing to pay an executive above the maximum of the relevant band must apply for and consider advice from the Tribunal.</w:t>
      </w:r>
      <w:r w:rsidRPr="00DC6983">
        <w:rPr>
          <w:vertAlign w:val="superscript"/>
        </w:rPr>
        <w:footnoteReference w:id="7"/>
      </w:r>
      <w:bookmarkEnd w:id="33"/>
    </w:p>
    <w:p w14:paraId="731C680C" w14:textId="0C6E59E5" w:rsidR="005704EF" w:rsidRDefault="005704EF" w:rsidP="005704EF">
      <w:pPr>
        <w:pStyle w:val="05Paragraph"/>
        <w:rPr>
          <w:rFonts w:cs="Calibri Light"/>
        </w:rPr>
      </w:pPr>
      <w:r w:rsidRPr="00613807">
        <w:rPr>
          <w:rFonts w:cs="Calibri Light"/>
        </w:rPr>
        <w:t xml:space="preserve">The </w:t>
      </w:r>
      <w:r w:rsidR="00DA1E78">
        <w:rPr>
          <w:rFonts w:cs="Calibri Light"/>
        </w:rPr>
        <w:t>standard</w:t>
      </w:r>
      <w:r w:rsidRPr="00613807">
        <w:rPr>
          <w:rFonts w:cs="Calibri Light"/>
        </w:rPr>
        <w:t xml:space="preserve"> terms and conditions of </w:t>
      </w:r>
      <w:r>
        <w:rPr>
          <w:rFonts w:cs="Calibri Light"/>
        </w:rPr>
        <w:t xml:space="preserve">an </w:t>
      </w:r>
      <w:r w:rsidRPr="00613807">
        <w:rPr>
          <w:rFonts w:cs="Calibri Light"/>
        </w:rPr>
        <w:t>executive</w:t>
      </w:r>
      <w:r>
        <w:rPr>
          <w:rFonts w:cs="Calibri Light"/>
        </w:rPr>
        <w:t>’</w:t>
      </w:r>
      <w:r w:rsidRPr="00613807">
        <w:rPr>
          <w:rFonts w:cs="Calibri Light"/>
        </w:rPr>
        <w:t>s employment</w:t>
      </w:r>
      <w:r>
        <w:rPr>
          <w:rFonts w:cs="Calibri Light"/>
        </w:rPr>
        <w:t xml:space="preserve">, including </w:t>
      </w:r>
      <w:r w:rsidRPr="00613807">
        <w:rPr>
          <w:rFonts w:cs="Calibri Light"/>
        </w:rPr>
        <w:t>contract length and termination provisions</w:t>
      </w:r>
      <w:r>
        <w:rPr>
          <w:rFonts w:cs="Calibri Light"/>
        </w:rPr>
        <w:t xml:space="preserve">, are set out in the PAA as well as in the </w:t>
      </w:r>
      <w:r w:rsidRPr="00605174">
        <w:rPr>
          <w:rFonts w:cs="Calibri Light"/>
          <w:i/>
          <w:iCs/>
        </w:rPr>
        <w:t xml:space="preserve">Victorian Public Service Executive </w:t>
      </w:r>
      <w:r w:rsidR="00DB457B">
        <w:rPr>
          <w:rFonts w:cs="Calibri Light"/>
          <w:i/>
          <w:iCs/>
        </w:rPr>
        <w:t xml:space="preserve">Employment </w:t>
      </w:r>
      <w:r w:rsidRPr="00605174">
        <w:rPr>
          <w:rFonts w:cs="Calibri Light"/>
          <w:i/>
          <w:iCs/>
        </w:rPr>
        <w:t>Handbook</w:t>
      </w:r>
      <w:r>
        <w:rPr>
          <w:rFonts w:cs="Calibri Light"/>
        </w:rPr>
        <w:t xml:space="preserve"> </w:t>
      </w:r>
      <w:r w:rsidR="00F764DB">
        <w:rPr>
          <w:rFonts w:cs="Calibri Light"/>
        </w:rPr>
        <w:t xml:space="preserve">(VPS Handbook) </w:t>
      </w:r>
      <w:r>
        <w:rPr>
          <w:rFonts w:cs="Calibri Light"/>
        </w:rPr>
        <w:t xml:space="preserve">and standard contract </w:t>
      </w:r>
      <w:r w:rsidR="00B72F80">
        <w:rPr>
          <w:rFonts w:cs="Calibri Light"/>
        </w:rPr>
        <w:t xml:space="preserve">template </w:t>
      </w:r>
      <w:r>
        <w:rPr>
          <w:rFonts w:cs="Calibri Light"/>
        </w:rPr>
        <w:t>for executives published by the Victorian Public Sector Commission (VPSC).</w:t>
      </w:r>
      <w:r>
        <w:rPr>
          <w:rStyle w:val="FootnoteReference"/>
          <w:rFonts w:cs="Calibri Light"/>
        </w:rPr>
        <w:footnoteReference w:id="8"/>
      </w:r>
      <w:r w:rsidRPr="00613807">
        <w:rPr>
          <w:rFonts w:cs="Calibri Light"/>
        </w:rPr>
        <w:t xml:space="preserve"> </w:t>
      </w:r>
      <w:r>
        <w:rPr>
          <w:rFonts w:cs="Calibri Light"/>
        </w:rPr>
        <w:t xml:space="preserve">While these matters </w:t>
      </w:r>
      <w:r w:rsidRPr="00613807">
        <w:rPr>
          <w:rFonts w:cs="Calibri Light"/>
        </w:rPr>
        <w:t xml:space="preserve">are not </w:t>
      </w:r>
      <w:r>
        <w:rPr>
          <w:rFonts w:cs="Calibri Light"/>
        </w:rPr>
        <w:t xml:space="preserve">formally </w:t>
      </w:r>
      <w:r w:rsidRPr="00613807">
        <w:rPr>
          <w:rFonts w:cs="Calibri Light"/>
        </w:rPr>
        <w:t>within the scope of the Determination</w:t>
      </w:r>
      <w:r>
        <w:rPr>
          <w:rFonts w:cs="Calibri Light"/>
        </w:rPr>
        <w:t xml:space="preserve">, they </w:t>
      </w:r>
      <w:r w:rsidRPr="00613807">
        <w:rPr>
          <w:rFonts w:cs="Calibri Light"/>
        </w:rPr>
        <w:t xml:space="preserve">are discussed </w:t>
      </w:r>
      <w:r>
        <w:rPr>
          <w:rFonts w:cs="Calibri Light"/>
        </w:rPr>
        <w:t xml:space="preserve">in </w:t>
      </w:r>
      <w:r w:rsidRPr="00613807">
        <w:rPr>
          <w:rFonts w:cs="Calibri Light"/>
        </w:rPr>
        <w:t>this Statement of Reasons</w:t>
      </w:r>
      <w:r>
        <w:rPr>
          <w:rFonts w:cs="Calibri Light"/>
        </w:rPr>
        <w:t xml:space="preserve"> where relevant</w:t>
      </w:r>
      <w:r w:rsidRPr="00613807">
        <w:rPr>
          <w:rFonts w:cs="Calibri Light"/>
        </w:rPr>
        <w:t>.</w:t>
      </w:r>
      <w:r>
        <w:rPr>
          <w:rFonts w:cs="Calibri Light"/>
        </w:rPr>
        <w:t xml:space="preserve"> </w:t>
      </w:r>
    </w:p>
    <w:p w14:paraId="0FB2DA2C" w14:textId="77777777" w:rsidR="005704EF" w:rsidRDefault="005704EF" w:rsidP="005704EF">
      <w:pPr>
        <w:pStyle w:val="03VIRTHeading3"/>
      </w:pPr>
      <w:r>
        <w:lastRenderedPageBreak/>
        <w:t>There are three types of public service bodies</w:t>
      </w:r>
    </w:p>
    <w:p w14:paraId="5B68827B" w14:textId="77777777" w:rsidR="005704EF" w:rsidRPr="004E4C7D" w:rsidRDefault="005704EF" w:rsidP="005704EF">
      <w:pPr>
        <w:spacing w:after="0"/>
        <w:rPr>
          <w:rFonts w:cs="Calibri Light"/>
          <w:color w:val="000000" w:themeColor="text1"/>
          <w:szCs w:val="20"/>
        </w:rPr>
      </w:pPr>
      <w:r>
        <w:rPr>
          <w:rFonts w:cs="Calibri Light"/>
          <w:color w:val="000000" w:themeColor="text1"/>
          <w:szCs w:val="20"/>
        </w:rPr>
        <w:t>Executives are employed in three types of p</w:t>
      </w:r>
      <w:r w:rsidRPr="004E4C7D">
        <w:rPr>
          <w:rFonts w:cs="Calibri Light"/>
          <w:color w:val="000000" w:themeColor="text1"/>
          <w:szCs w:val="20"/>
        </w:rPr>
        <w:t>ublic service bodies:</w:t>
      </w:r>
      <w:r w:rsidRPr="004E4C7D">
        <w:rPr>
          <w:rFonts w:cs="Calibri Light"/>
          <w:color w:val="000000" w:themeColor="text1"/>
          <w:szCs w:val="20"/>
          <w:vertAlign w:val="superscript"/>
        </w:rPr>
        <w:footnoteReference w:id="9"/>
      </w:r>
    </w:p>
    <w:p w14:paraId="536280E0" w14:textId="77777777" w:rsidR="005704EF" w:rsidRPr="004E4C7D" w:rsidRDefault="005704EF" w:rsidP="005704EF">
      <w:pPr>
        <w:pStyle w:val="06VIRTBulletpoints"/>
        <w:rPr>
          <w:rFonts w:cs="Calibri Light"/>
        </w:rPr>
      </w:pPr>
      <w:r w:rsidRPr="004E4C7D">
        <w:rPr>
          <w:rFonts w:cs="Calibri Light"/>
        </w:rPr>
        <w:t>departments</w:t>
      </w:r>
    </w:p>
    <w:p w14:paraId="04F6E333" w14:textId="4F18D471" w:rsidR="005704EF" w:rsidRPr="004E4C7D" w:rsidRDefault="005704EF" w:rsidP="005704EF">
      <w:pPr>
        <w:pStyle w:val="06VIRTBulletpoints"/>
        <w:rPr>
          <w:rFonts w:cs="Calibri Light"/>
        </w:rPr>
      </w:pPr>
      <w:r w:rsidRPr="004E4C7D">
        <w:rPr>
          <w:rFonts w:cs="Calibri Light"/>
        </w:rPr>
        <w:t>AOs</w:t>
      </w:r>
    </w:p>
    <w:p w14:paraId="0E76DC7E" w14:textId="77777777" w:rsidR="005704EF" w:rsidRPr="004E4C7D" w:rsidRDefault="005704EF" w:rsidP="005704EF">
      <w:pPr>
        <w:pStyle w:val="06VIRTBulletpoints"/>
        <w:rPr>
          <w:rFonts w:cs="Calibri Light"/>
        </w:rPr>
      </w:pPr>
      <w:r w:rsidRPr="004E4C7D">
        <w:rPr>
          <w:rFonts w:cs="Calibri Light"/>
        </w:rPr>
        <w:t>the VPSC.</w:t>
      </w:r>
    </w:p>
    <w:p w14:paraId="00F593C3" w14:textId="77777777" w:rsidR="005704EF" w:rsidRDefault="005704EF" w:rsidP="005704EF">
      <w:pPr>
        <w:pStyle w:val="04VIRTheading4"/>
      </w:pPr>
      <w:r>
        <w:t>Departments are the key portfolio advisers to government</w:t>
      </w:r>
    </w:p>
    <w:p w14:paraId="683245FA" w14:textId="77777777" w:rsidR="005704EF" w:rsidRPr="00F555E0" w:rsidRDefault="005704EF" w:rsidP="005704EF">
      <w:pPr>
        <w:spacing w:after="0"/>
        <w:rPr>
          <w:color w:val="000000" w:themeColor="text1"/>
        </w:rPr>
      </w:pPr>
      <w:r w:rsidRPr="00B259F6">
        <w:rPr>
          <w:color w:val="000000" w:themeColor="text1"/>
        </w:rPr>
        <w:t>Departments are established by the Governor in Council under section 10 of the PAA. Departments are the central portfolio advisers for ministers and government. They support ministers and the government to</w:t>
      </w:r>
      <w:r>
        <w:rPr>
          <w:color w:val="000000" w:themeColor="text1"/>
        </w:rPr>
        <w:t xml:space="preserve"> </w:t>
      </w:r>
      <w:r w:rsidRPr="00663C5B">
        <w:rPr>
          <w:color w:val="000000" w:themeColor="text1"/>
        </w:rPr>
        <w:t>create and implement policies and manage programs and services</w:t>
      </w:r>
      <w:r w:rsidRPr="00A31323">
        <w:rPr>
          <w:rFonts w:cs="Calibri Light"/>
        </w:rPr>
        <w:t>.</w:t>
      </w:r>
      <w:r w:rsidRPr="00663C5B">
        <w:rPr>
          <w:rFonts w:cs="Calibri Light"/>
          <w:vertAlign w:val="superscript"/>
        </w:rPr>
        <w:footnoteReference w:id="10"/>
      </w:r>
    </w:p>
    <w:p w14:paraId="6BB3731E" w14:textId="77777777" w:rsidR="005704EF" w:rsidRDefault="005704EF" w:rsidP="005704EF">
      <w:pPr>
        <w:spacing w:after="0"/>
        <w:rPr>
          <w:color w:val="000000" w:themeColor="text1"/>
        </w:rPr>
      </w:pPr>
      <w:r>
        <w:rPr>
          <w:color w:val="000000" w:themeColor="text1"/>
        </w:rPr>
        <w:t>At the time of making the Determination there were 10 departments with different purposes and functions (</w:t>
      </w:r>
      <w:r w:rsidRPr="005E777D">
        <w:rPr>
          <w:color w:val="000000" w:themeColor="text1"/>
        </w:rPr>
        <w:t>Table</w:t>
      </w:r>
      <w:r>
        <w:rPr>
          <w:color w:val="000000" w:themeColor="text1"/>
        </w:rPr>
        <w:t> </w:t>
      </w:r>
      <w:r w:rsidRPr="005E777D">
        <w:rPr>
          <w:color w:val="000000" w:themeColor="text1"/>
        </w:rPr>
        <w:t>1.</w:t>
      </w:r>
      <w:r>
        <w:rPr>
          <w:color w:val="000000" w:themeColor="text1"/>
        </w:rPr>
        <w:t>1).</w:t>
      </w:r>
      <w:r w:rsidRPr="005E777D" w:rsidDel="008551D1">
        <w:rPr>
          <w:color w:val="000000" w:themeColor="text1"/>
        </w:rPr>
        <w:t xml:space="preserve"> </w:t>
      </w:r>
    </w:p>
    <w:p w14:paraId="5E542F65" w14:textId="77777777" w:rsidR="005704EF" w:rsidRDefault="005704EF" w:rsidP="00144BE8">
      <w:pPr>
        <w:pStyle w:val="08Figuretableboxheading"/>
      </w:pPr>
      <w:bookmarkStart w:id="34" w:name="_Toc170393520"/>
      <w:r w:rsidRPr="007E03A0">
        <w:t xml:space="preserve">Table </w:t>
      </w:r>
      <w:r>
        <w:t>1.1</w:t>
      </w:r>
      <w:r w:rsidRPr="007E03A0">
        <w:t xml:space="preserve">: </w:t>
      </w:r>
      <w:r>
        <w:t>Summary of purpose and functions of VPS departments</w:t>
      </w:r>
      <w:bookmarkEnd w:id="34"/>
      <w:r>
        <w:t xml:space="preserve"> </w:t>
      </w:r>
    </w:p>
    <w:tbl>
      <w:tblPr>
        <w:tblStyle w:val="ListTable3-Accent21"/>
        <w:tblW w:w="8505" w:type="dxa"/>
        <w:tblLook w:val="04A0" w:firstRow="1" w:lastRow="0" w:firstColumn="1" w:lastColumn="0" w:noHBand="0" w:noVBand="1"/>
      </w:tblPr>
      <w:tblGrid>
        <w:gridCol w:w="2268"/>
        <w:gridCol w:w="6237"/>
      </w:tblGrid>
      <w:tr w:rsidR="005704EF" w14:paraId="1CB1FCAC" w14:textId="77777777" w:rsidTr="002A18A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dxa"/>
            <w:tcBorders>
              <w:bottom w:val="single" w:sz="4" w:space="0" w:color="148A5D" w:themeColor="accent2"/>
            </w:tcBorders>
          </w:tcPr>
          <w:p w14:paraId="5EAB2C4D" w14:textId="77777777" w:rsidR="005704EF" w:rsidRPr="006B084E" w:rsidRDefault="005704EF">
            <w:pPr>
              <w:pStyle w:val="Tabletext"/>
              <w:rPr>
                <w:color w:val="FFFFFF" w:themeColor="background1"/>
              </w:rPr>
            </w:pPr>
            <w:r>
              <w:rPr>
                <w:color w:val="FFFFFF" w:themeColor="background1"/>
              </w:rPr>
              <w:t>Department</w:t>
            </w:r>
            <w:r w:rsidRPr="006B084E">
              <w:rPr>
                <w:color w:val="FFFFFF" w:themeColor="background1"/>
              </w:rPr>
              <w:t xml:space="preserve"> </w:t>
            </w:r>
          </w:p>
        </w:tc>
        <w:tc>
          <w:tcPr>
            <w:tcW w:w="0" w:type="dxa"/>
            <w:tcBorders>
              <w:bottom w:val="single" w:sz="4" w:space="0" w:color="148A5D" w:themeColor="accent2"/>
            </w:tcBorders>
          </w:tcPr>
          <w:p w14:paraId="67CF746A" w14:textId="77777777" w:rsidR="005704EF" w:rsidRPr="006B084E" w:rsidRDefault="005704EF">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9D03CA">
              <w:rPr>
                <w:color w:val="FFFFFF" w:themeColor="background1"/>
              </w:rPr>
              <w:t xml:space="preserve">Summary of </w:t>
            </w:r>
            <w:r>
              <w:rPr>
                <w:color w:val="FFFFFF" w:themeColor="background1"/>
              </w:rPr>
              <w:t>purpose and functions</w:t>
            </w:r>
          </w:p>
        </w:tc>
      </w:tr>
      <w:tr w:rsidR="005704EF" w14:paraId="50F5920F" w14:textId="77777777" w:rsidTr="002A18A9">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2268" w:type="dxa"/>
            <w:tcBorders>
              <w:left w:val="nil"/>
            </w:tcBorders>
          </w:tcPr>
          <w:p w14:paraId="7337171E" w14:textId="77777777" w:rsidR="005704EF" w:rsidRPr="0034471C" w:rsidRDefault="005704EF">
            <w:pPr>
              <w:pStyle w:val="Tabletext"/>
            </w:pPr>
            <w:r>
              <w:t>Department of Education (DE)</w:t>
            </w:r>
          </w:p>
        </w:tc>
        <w:tc>
          <w:tcPr>
            <w:tcW w:w="6237" w:type="dxa"/>
            <w:tcBorders>
              <w:right w:val="nil"/>
            </w:tcBorders>
          </w:tcPr>
          <w:p w14:paraId="237EC26D" w14:textId="77777777" w:rsidR="005704EF" w:rsidRPr="006B084E" w:rsidRDefault="005704EF" w:rsidP="0035680C">
            <w:pPr>
              <w:pStyle w:val="11Bulletsinatable"/>
              <w:cnfStyle w:val="000000100000" w:firstRow="0" w:lastRow="0" w:firstColumn="0" w:lastColumn="0" w:oddVBand="0" w:evenVBand="0" w:oddHBand="1" w:evenHBand="0" w:firstRowFirstColumn="0" w:firstRowLastColumn="0" w:lastRowFirstColumn="0" w:lastRowLastColumn="0"/>
            </w:pPr>
            <w:r>
              <w:t>Focuses on achieving education outcomes for children and young people across Victoria by providing policy leadership, planning for the future of education in Victoria and leading on key cross-sector collaboration.</w:t>
            </w:r>
          </w:p>
        </w:tc>
      </w:tr>
      <w:tr w:rsidR="005704EF" w14:paraId="39A74B9A" w14:textId="77777777" w:rsidTr="002A18A9">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148A5D" w:themeColor="accent2"/>
              <w:left w:val="nil"/>
              <w:bottom w:val="single" w:sz="4" w:space="0" w:color="148A5D" w:themeColor="accent2"/>
            </w:tcBorders>
          </w:tcPr>
          <w:p w14:paraId="77F127B5" w14:textId="77777777" w:rsidR="005704EF" w:rsidRPr="006B084E" w:rsidRDefault="005704EF">
            <w:pPr>
              <w:pStyle w:val="Tabletext"/>
            </w:pPr>
            <w:r>
              <w:t>Department of Energy, Environment, and Climate Action (DEECA)</w:t>
            </w:r>
          </w:p>
        </w:tc>
        <w:tc>
          <w:tcPr>
            <w:tcW w:w="6237" w:type="dxa"/>
            <w:tcBorders>
              <w:top w:val="single" w:sz="4" w:space="0" w:color="148A5D" w:themeColor="accent2"/>
              <w:bottom w:val="single" w:sz="4" w:space="0" w:color="148A5D" w:themeColor="accent2"/>
              <w:right w:val="nil"/>
            </w:tcBorders>
          </w:tcPr>
          <w:p w14:paraId="798D37EC" w14:textId="77777777" w:rsidR="005704EF" w:rsidRPr="006B084E" w:rsidRDefault="005704EF" w:rsidP="0035680C">
            <w:pPr>
              <w:pStyle w:val="11Bulletsinatable"/>
              <w:cnfStyle w:val="000000000000" w:firstRow="0" w:lastRow="0" w:firstColumn="0" w:lastColumn="0" w:oddVBand="0" w:evenVBand="0" w:oddHBand="0" w:evenHBand="0" w:firstRowFirstColumn="0" w:firstRowLastColumn="0" w:lastRowFirstColumn="0" w:lastRowLastColumn="0"/>
            </w:pPr>
            <w:r>
              <w:t>Brings together Victoria’s energy, environment, water, agriculture, forestry, resources, climate action, and emergency management functions into a single department to maximise connections between the environment, community, industry and economy.</w:t>
            </w:r>
          </w:p>
        </w:tc>
      </w:tr>
      <w:tr w:rsidR="005704EF" w14:paraId="04330B29" w14:textId="77777777" w:rsidTr="002A1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il"/>
            </w:tcBorders>
          </w:tcPr>
          <w:p w14:paraId="620C17F4" w14:textId="77777777" w:rsidR="005704EF" w:rsidRPr="006B084E" w:rsidRDefault="005704EF">
            <w:pPr>
              <w:pStyle w:val="Tabletext"/>
            </w:pPr>
            <w:r>
              <w:t>Department of Families, Fairness and Housing (DFFH)</w:t>
            </w:r>
          </w:p>
        </w:tc>
        <w:tc>
          <w:tcPr>
            <w:tcW w:w="6237" w:type="dxa"/>
            <w:tcBorders>
              <w:right w:val="nil"/>
            </w:tcBorders>
          </w:tcPr>
          <w:p w14:paraId="64F41E15" w14:textId="175D98D9" w:rsidR="005704EF" w:rsidRPr="006B084E" w:rsidRDefault="00281CBD" w:rsidP="0035680C">
            <w:pPr>
              <w:pStyle w:val="11Bulletsinatable"/>
              <w:cnfStyle w:val="000000100000" w:firstRow="0" w:lastRow="0" w:firstColumn="0" w:lastColumn="0" w:oddVBand="0" w:evenVBand="0" w:oddHBand="1" w:evenHBand="0" w:firstRowFirstColumn="0" w:firstRowLastColumn="0" w:lastRowFirstColumn="0" w:lastRowLastColumn="0"/>
            </w:pPr>
            <w:r w:rsidRPr="00281CBD">
              <w:t xml:space="preserve">Responsible for child protection, prevention of family violence, housing, disability, LGBTIQA+ equality, veterans, and the </w:t>
            </w:r>
            <w:r w:rsidR="00B17BC0">
              <w:t>O</w:t>
            </w:r>
            <w:r w:rsidRPr="00281CBD">
              <w:t>ffices for Women and Youth.</w:t>
            </w:r>
          </w:p>
        </w:tc>
      </w:tr>
      <w:tr w:rsidR="005704EF" w14:paraId="6B4B0CEF" w14:textId="77777777" w:rsidTr="002A18A9">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148A5D" w:themeColor="accent2"/>
              <w:left w:val="nil"/>
              <w:bottom w:val="single" w:sz="4" w:space="0" w:color="148A5D" w:themeColor="accent2"/>
            </w:tcBorders>
          </w:tcPr>
          <w:p w14:paraId="353FDD37" w14:textId="77777777" w:rsidR="005704EF" w:rsidRDefault="005704EF">
            <w:pPr>
              <w:pStyle w:val="Tabletext"/>
            </w:pPr>
            <w:r w:rsidRPr="00F64BCA">
              <w:t>Department of Government Services</w:t>
            </w:r>
            <w:r>
              <w:t xml:space="preserve"> (DGS)</w:t>
            </w:r>
          </w:p>
        </w:tc>
        <w:tc>
          <w:tcPr>
            <w:tcW w:w="6237" w:type="dxa"/>
            <w:tcBorders>
              <w:top w:val="single" w:sz="4" w:space="0" w:color="148A5D" w:themeColor="accent2"/>
              <w:bottom w:val="single" w:sz="4" w:space="0" w:color="148A5D" w:themeColor="accent2"/>
              <w:right w:val="nil"/>
            </w:tcBorders>
          </w:tcPr>
          <w:p w14:paraId="6E165F18" w14:textId="77777777" w:rsidR="005704EF" w:rsidRPr="006B084E" w:rsidRDefault="005704EF" w:rsidP="0035680C">
            <w:pPr>
              <w:pStyle w:val="11Bulletsinatable"/>
              <w:cnfStyle w:val="000000000000" w:firstRow="0" w:lastRow="0" w:firstColumn="0" w:lastColumn="0" w:oddVBand="0" w:evenVBand="0" w:oddHBand="0" w:evenHBand="0" w:firstRowFirstColumn="0" w:firstRowLastColumn="0" w:lastRowFirstColumn="0" w:lastRowLastColumn="0"/>
            </w:pPr>
            <w:r>
              <w:t>Improve how Victorians and businesses engage with government and</w:t>
            </w:r>
            <w:r w:rsidDel="00B15051">
              <w:t xml:space="preserve"> </w:t>
            </w:r>
            <w:r>
              <w:t>accelerate digital transformation and corporate services reform across the VPS.</w:t>
            </w:r>
          </w:p>
        </w:tc>
      </w:tr>
      <w:tr w:rsidR="005704EF" w:rsidRPr="00D37E3F" w14:paraId="0AA3C86C" w14:textId="77777777" w:rsidTr="002A1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il"/>
            </w:tcBorders>
          </w:tcPr>
          <w:p w14:paraId="393C1859" w14:textId="77777777" w:rsidR="005704EF" w:rsidRPr="00F64BCA" w:rsidRDefault="005704EF">
            <w:pPr>
              <w:pStyle w:val="Tabletext"/>
            </w:pPr>
            <w:r>
              <w:t>Department of Health (DH)</w:t>
            </w:r>
          </w:p>
        </w:tc>
        <w:tc>
          <w:tcPr>
            <w:tcW w:w="6237" w:type="dxa"/>
            <w:tcBorders>
              <w:right w:val="nil"/>
            </w:tcBorders>
          </w:tcPr>
          <w:p w14:paraId="517EDAFC" w14:textId="77777777" w:rsidR="005704EF" w:rsidRPr="00B641B8" w:rsidRDefault="005704EF" w:rsidP="0035680C">
            <w:pPr>
              <w:pStyle w:val="11Bulletsinatable"/>
              <w:cnfStyle w:val="000000100000" w:firstRow="0" w:lastRow="0" w:firstColumn="0" w:lastColumn="0" w:oddVBand="0" w:evenVBand="0" w:oddHBand="1" w:evenHBand="0" w:firstRowFirstColumn="0" w:firstRowLastColumn="0" w:lastRowFirstColumn="0" w:lastRowLastColumn="0"/>
            </w:pPr>
            <w:r>
              <w:t>Focuses on delivering a world-class health system that focuses on improving patient outcomes and experience for all Victorians.</w:t>
            </w:r>
          </w:p>
        </w:tc>
      </w:tr>
      <w:tr w:rsidR="005704EF" w:rsidRPr="00D37E3F" w14:paraId="65457DAD" w14:textId="77777777" w:rsidTr="002A18A9">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148A5D" w:themeColor="accent2"/>
              <w:left w:val="nil"/>
              <w:bottom w:val="single" w:sz="4" w:space="0" w:color="148A5D" w:themeColor="accent2"/>
            </w:tcBorders>
          </w:tcPr>
          <w:p w14:paraId="484C86AA" w14:textId="77777777" w:rsidR="005704EF" w:rsidRDefault="005704EF">
            <w:pPr>
              <w:pStyle w:val="Tabletext"/>
            </w:pPr>
            <w:r w:rsidRPr="00F64BCA">
              <w:t>Department of Jobs, Skills, Industry and Regions</w:t>
            </w:r>
            <w:r>
              <w:t xml:space="preserve"> (DJSIR)</w:t>
            </w:r>
          </w:p>
        </w:tc>
        <w:tc>
          <w:tcPr>
            <w:tcW w:w="6237" w:type="dxa"/>
            <w:tcBorders>
              <w:top w:val="single" w:sz="4" w:space="0" w:color="148A5D" w:themeColor="accent2"/>
              <w:bottom w:val="single" w:sz="4" w:space="0" w:color="148A5D" w:themeColor="accent2"/>
              <w:right w:val="nil"/>
            </w:tcBorders>
          </w:tcPr>
          <w:p w14:paraId="3AD700C6" w14:textId="77777777" w:rsidR="005704EF" w:rsidRPr="00B641B8" w:rsidRDefault="005704EF" w:rsidP="0035680C">
            <w:pPr>
              <w:pStyle w:val="11Bulletsinatable"/>
              <w:cnfStyle w:val="000000000000" w:firstRow="0" w:lastRow="0" w:firstColumn="0" w:lastColumn="0" w:oddVBand="0" w:evenVBand="0" w:oddHBand="0" w:evenHBand="0" w:firstRowFirstColumn="0" w:firstRowLastColumn="0" w:lastRowFirstColumn="0" w:lastRowLastColumn="0"/>
            </w:pPr>
            <w:r>
              <w:t xml:space="preserve">Focuses on industry development, attracting investment, growing exports, creating jobs, administering the skills and training system and supporting our suburbs and regions. </w:t>
            </w:r>
          </w:p>
        </w:tc>
      </w:tr>
      <w:tr w:rsidR="005704EF" w:rsidRPr="00D37E3F" w14:paraId="3A37EA8D" w14:textId="77777777" w:rsidTr="002A1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il"/>
            </w:tcBorders>
          </w:tcPr>
          <w:p w14:paraId="35F33635" w14:textId="77777777" w:rsidR="005704EF" w:rsidRPr="00D37E3F" w:rsidRDefault="005704EF">
            <w:pPr>
              <w:pStyle w:val="Tabletext"/>
            </w:pPr>
            <w:r w:rsidRPr="00D37E3F">
              <w:lastRenderedPageBreak/>
              <w:t>Department of Justice and Community Safety</w:t>
            </w:r>
            <w:r>
              <w:t xml:space="preserve"> (DJCS)</w:t>
            </w:r>
          </w:p>
        </w:tc>
        <w:tc>
          <w:tcPr>
            <w:tcW w:w="6237" w:type="dxa"/>
            <w:tcBorders>
              <w:right w:val="nil"/>
            </w:tcBorders>
          </w:tcPr>
          <w:p w14:paraId="4E73595C" w14:textId="77777777" w:rsidR="005704EF" w:rsidRPr="00B641B8" w:rsidRDefault="005704EF" w:rsidP="0035680C">
            <w:pPr>
              <w:pStyle w:val="11Bulletsinatable"/>
              <w:cnfStyle w:val="000000100000" w:firstRow="0" w:lastRow="0" w:firstColumn="0" w:lastColumn="0" w:oddVBand="0" w:evenVBand="0" w:oddHBand="1" w:evenHBand="0" w:firstRowFirstColumn="0" w:firstRowLastColumn="0" w:lastRowFirstColumn="0" w:lastRowLastColumn="0"/>
            </w:pPr>
            <w:r>
              <w:t>Leads the delivery of justice and community safety services in Victoria by providing policy and operational management.</w:t>
            </w:r>
          </w:p>
        </w:tc>
      </w:tr>
      <w:tr w:rsidR="005704EF" w:rsidRPr="00D37E3F" w14:paraId="1AE517CE" w14:textId="77777777" w:rsidTr="002A18A9">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148A5D" w:themeColor="accent2"/>
              <w:left w:val="nil"/>
              <w:bottom w:val="single" w:sz="4" w:space="0" w:color="148A5D" w:themeColor="accent2"/>
            </w:tcBorders>
          </w:tcPr>
          <w:p w14:paraId="0E2DEBAF" w14:textId="77777777" w:rsidR="005704EF" w:rsidRPr="00D37E3F" w:rsidRDefault="005704EF">
            <w:pPr>
              <w:pStyle w:val="Tabletext"/>
            </w:pPr>
            <w:r w:rsidRPr="00D37E3F">
              <w:t>Department of Premier and Cabinet</w:t>
            </w:r>
            <w:r>
              <w:t xml:space="preserve"> (DPC)</w:t>
            </w:r>
          </w:p>
        </w:tc>
        <w:tc>
          <w:tcPr>
            <w:tcW w:w="6237" w:type="dxa"/>
            <w:tcBorders>
              <w:top w:val="single" w:sz="4" w:space="0" w:color="148A5D" w:themeColor="accent2"/>
              <w:bottom w:val="single" w:sz="4" w:space="0" w:color="148A5D" w:themeColor="accent2"/>
              <w:right w:val="nil"/>
            </w:tcBorders>
          </w:tcPr>
          <w:p w14:paraId="12B73E7E" w14:textId="6D2158BC" w:rsidR="005704EF" w:rsidRPr="00B641B8" w:rsidRDefault="005704EF" w:rsidP="0035680C">
            <w:pPr>
              <w:pStyle w:val="11Bulletsinatable"/>
              <w:cnfStyle w:val="000000000000" w:firstRow="0" w:lastRow="0" w:firstColumn="0" w:lastColumn="0" w:oddVBand="0" w:evenVBand="0" w:oddHBand="0" w:evenHBand="0" w:firstRowFirstColumn="0" w:firstRowLastColumn="0" w:lastRowFirstColumn="0" w:lastRowLastColumn="0"/>
            </w:pPr>
            <w:r>
              <w:t>Focuses on pursuing policy and service delivery excellence and reform, improving outcomes and services for First Peoples through prioritising actions to enable self</w:t>
            </w:r>
            <w:r w:rsidR="28F72750">
              <w:t>-</w:t>
            </w:r>
            <w:r>
              <w:t>determination and fostering and promoting a high-performing public service.</w:t>
            </w:r>
          </w:p>
        </w:tc>
      </w:tr>
      <w:tr w:rsidR="005704EF" w:rsidRPr="00D37E3F" w14:paraId="1A6F9AFA" w14:textId="77777777" w:rsidTr="002A1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il"/>
            </w:tcBorders>
          </w:tcPr>
          <w:p w14:paraId="61CEFDDE" w14:textId="77777777" w:rsidR="005704EF" w:rsidRPr="00D37E3F" w:rsidRDefault="005704EF">
            <w:pPr>
              <w:pStyle w:val="Tabletext"/>
            </w:pPr>
            <w:r w:rsidRPr="00D37E3F">
              <w:t>Department of Transport and Planning</w:t>
            </w:r>
            <w:r>
              <w:t xml:space="preserve"> (DTP)</w:t>
            </w:r>
          </w:p>
        </w:tc>
        <w:tc>
          <w:tcPr>
            <w:tcW w:w="6237" w:type="dxa"/>
            <w:tcBorders>
              <w:right w:val="nil"/>
            </w:tcBorders>
          </w:tcPr>
          <w:p w14:paraId="37FA5A86" w14:textId="48AB7C8E" w:rsidR="005704EF" w:rsidRPr="00B641B8" w:rsidRDefault="005704EF" w:rsidP="0035680C">
            <w:pPr>
              <w:pStyle w:val="11Bulletsinatable"/>
              <w:cnfStyle w:val="000000100000" w:firstRow="0" w:lastRow="0" w:firstColumn="0" w:lastColumn="0" w:oddVBand="0" w:evenVBand="0" w:oddHBand="1" w:evenHBand="0" w:firstRowFirstColumn="0" w:firstRowLastColumn="0" w:lastRowFirstColumn="0" w:lastRowLastColumn="0"/>
            </w:pPr>
            <w:r>
              <w:t>Focuses on ensuring Victoria’s transport network and land use is safe, sustainable, and integrated.</w:t>
            </w:r>
          </w:p>
        </w:tc>
      </w:tr>
      <w:tr w:rsidR="005704EF" w:rsidRPr="00D37E3F" w14:paraId="25531732" w14:textId="77777777" w:rsidTr="002A18A9">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148A5D" w:themeColor="accent2"/>
              <w:left w:val="nil"/>
              <w:bottom w:val="single" w:sz="4" w:space="0" w:color="148A5D" w:themeColor="accent2"/>
            </w:tcBorders>
          </w:tcPr>
          <w:p w14:paraId="4699298F" w14:textId="77777777" w:rsidR="005704EF" w:rsidRPr="00D37E3F" w:rsidRDefault="005704EF">
            <w:pPr>
              <w:pStyle w:val="Tabletext"/>
            </w:pPr>
            <w:r w:rsidRPr="00D37E3F">
              <w:t>Department of Treasury and Finance</w:t>
            </w:r>
            <w:r>
              <w:t xml:space="preserve"> (DTF)</w:t>
            </w:r>
          </w:p>
        </w:tc>
        <w:tc>
          <w:tcPr>
            <w:tcW w:w="6237" w:type="dxa"/>
            <w:tcBorders>
              <w:top w:val="single" w:sz="4" w:space="0" w:color="148A5D" w:themeColor="accent2"/>
              <w:bottom w:val="single" w:sz="4" w:space="0" w:color="148A5D" w:themeColor="accent2"/>
              <w:right w:val="nil"/>
            </w:tcBorders>
          </w:tcPr>
          <w:p w14:paraId="7CDC2A63" w14:textId="77777777" w:rsidR="005704EF" w:rsidRPr="00D37E3F" w:rsidRDefault="005704EF" w:rsidP="0035680C">
            <w:pPr>
              <w:pStyle w:val="11Bulletsinatable"/>
              <w:cnfStyle w:val="000000000000" w:firstRow="0" w:lastRow="0" w:firstColumn="0" w:lastColumn="0" w:oddVBand="0" w:evenVBand="0" w:oddHBand="0" w:evenHBand="0" w:firstRowFirstColumn="0" w:firstRowLastColumn="0" w:lastRowFirstColumn="0" w:lastRowLastColumn="0"/>
              <w:rPr>
                <w:bCs/>
              </w:rPr>
            </w:pPr>
            <w:r>
              <w:t xml:space="preserve">Provides economic, financial and resource management advice to help the Victorian Government deliver its priorities. </w:t>
            </w:r>
          </w:p>
        </w:tc>
      </w:tr>
    </w:tbl>
    <w:p w14:paraId="7FAD9D1F" w14:textId="4D7B8680" w:rsidR="005704EF" w:rsidRPr="00CE7FCA" w:rsidRDefault="005704EF" w:rsidP="00E91CBD">
      <w:pPr>
        <w:pStyle w:val="09Sourcesandnotesfortablesfiguresboxes"/>
      </w:pPr>
      <w:r w:rsidRPr="0087770C">
        <w:t>Sources: DE</w:t>
      </w:r>
      <w:r w:rsidR="007D1957" w:rsidRPr="0087770C">
        <w:t> </w:t>
      </w:r>
      <w:r w:rsidR="00320041" w:rsidRPr="0087770C">
        <w:t>(2023)</w:t>
      </w:r>
      <w:r w:rsidRPr="0087770C">
        <w:t>; DEECA</w:t>
      </w:r>
      <w:r w:rsidR="007D1957" w:rsidRPr="0087770C">
        <w:t> </w:t>
      </w:r>
      <w:r w:rsidR="005D25FA" w:rsidRPr="0087770C">
        <w:t>(2023)</w:t>
      </w:r>
      <w:r w:rsidRPr="0087770C">
        <w:t>; DFFH</w:t>
      </w:r>
      <w:r w:rsidR="007D1957" w:rsidRPr="0087770C">
        <w:t> </w:t>
      </w:r>
      <w:r w:rsidR="005D25FA" w:rsidRPr="0087770C">
        <w:t>(2023</w:t>
      </w:r>
      <w:r w:rsidR="00AB7333" w:rsidRPr="0087770C">
        <w:t>a</w:t>
      </w:r>
      <w:r w:rsidR="005D25FA" w:rsidRPr="0087770C">
        <w:t>)</w:t>
      </w:r>
      <w:r w:rsidRPr="0087770C">
        <w:t>; DGS</w:t>
      </w:r>
      <w:r w:rsidR="007D1957" w:rsidRPr="0087770C">
        <w:t> </w:t>
      </w:r>
      <w:r w:rsidR="005D25FA" w:rsidRPr="0087770C">
        <w:t>(2023)</w:t>
      </w:r>
      <w:r w:rsidRPr="0087770C">
        <w:t>; DH</w:t>
      </w:r>
      <w:r w:rsidR="007D1957" w:rsidRPr="0087770C">
        <w:t> </w:t>
      </w:r>
      <w:r w:rsidR="005D25FA" w:rsidRPr="0087770C">
        <w:t>(2023)</w:t>
      </w:r>
      <w:r w:rsidRPr="0087770C">
        <w:t xml:space="preserve">; </w:t>
      </w:r>
      <w:r w:rsidR="00EC1CB0" w:rsidRPr="0087770C">
        <w:t xml:space="preserve">DJCS (2023); </w:t>
      </w:r>
      <w:r w:rsidRPr="0087770C">
        <w:t>DJSIR</w:t>
      </w:r>
      <w:r w:rsidR="007D1957" w:rsidRPr="0087770C">
        <w:t> </w:t>
      </w:r>
      <w:r w:rsidR="005D25FA" w:rsidRPr="0087770C">
        <w:t>(2023</w:t>
      </w:r>
      <w:r w:rsidR="00B4196E" w:rsidRPr="0087770C">
        <w:t>a</w:t>
      </w:r>
      <w:r w:rsidR="005D25FA" w:rsidRPr="0087770C">
        <w:t>)</w:t>
      </w:r>
      <w:r w:rsidRPr="0087770C">
        <w:t>; DPC</w:t>
      </w:r>
      <w:r w:rsidR="007D1957" w:rsidRPr="0087770C">
        <w:t> </w:t>
      </w:r>
      <w:r w:rsidR="005D25FA" w:rsidRPr="0087770C">
        <w:t>(2023)</w:t>
      </w:r>
      <w:r w:rsidRPr="0087770C">
        <w:t xml:space="preserve">; </w:t>
      </w:r>
      <w:r w:rsidRPr="007175DE">
        <w:t>DTF</w:t>
      </w:r>
      <w:r w:rsidR="007D1957" w:rsidRPr="007175DE">
        <w:t> </w:t>
      </w:r>
      <w:r w:rsidR="005D25FA" w:rsidRPr="007175DE">
        <w:t>(2023</w:t>
      </w:r>
      <w:r w:rsidR="007F4D85" w:rsidRPr="007175DE">
        <w:t>a</w:t>
      </w:r>
      <w:r w:rsidR="005D25FA" w:rsidRPr="0087770C">
        <w:t>)</w:t>
      </w:r>
      <w:r w:rsidR="006E15C8">
        <w:t>;</w:t>
      </w:r>
      <w:r w:rsidR="00B4196E" w:rsidRPr="0087770C">
        <w:t xml:space="preserve"> DTP (2023)</w:t>
      </w:r>
      <w:r w:rsidRPr="0087770C">
        <w:t>.</w:t>
      </w:r>
      <w:r w:rsidRPr="00CE7FCA">
        <w:t xml:space="preserve"> </w:t>
      </w:r>
    </w:p>
    <w:p w14:paraId="4271A4CC" w14:textId="6D938186" w:rsidR="005704EF" w:rsidRDefault="005704EF" w:rsidP="005704EF">
      <w:pPr>
        <w:pStyle w:val="04VIRTheading4"/>
      </w:pPr>
      <w:r>
        <w:t>A</w:t>
      </w:r>
      <w:r w:rsidR="00897CF6">
        <w:t>Os</w:t>
      </w:r>
      <w:r>
        <w:t xml:space="preserve"> are established in relation to a department</w:t>
      </w:r>
    </w:p>
    <w:p w14:paraId="1CCC0DBD" w14:textId="77777777" w:rsidR="005704EF" w:rsidRDefault="005704EF" w:rsidP="005704EF">
      <w:pPr>
        <w:pStyle w:val="05Paragraph"/>
        <w:rPr>
          <w:rFonts w:cs="Calibri Light"/>
        </w:rPr>
      </w:pPr>
      <w:r w:rsidRPr="003A010C">
        <w:rPr>
          <w:rFonts w:cs="Calibri Light"/>
        </w:rPr>
        <w:t>AOs are public service bodies established by the Governor in Council under section</w:t>
      </w:r>
      <w:r>
        <w:rPr>
          <w:rFonts w:cs="Calibri Light"/>
        </w:rPr>
        <w:t> </w:t>
      </w:r>
      <w:r w:rsidRPr="003A010C">
        <w:rPr>
          <w:rFonts w:cs="Calibri Light"/>
        </w:rPr>
        <w:t>11 of the PAA. Under the PAA, AOs are established in relation to a department, are not incorporated and do not have a separate legal identity.</w:t>
      </w:r>
    </w:p>
    <w:p w14:paraId="5B37C727" w14:textId="5F90C008" w:rsidR="005704EF" w:rsidRDefault="005704EF" w:rsidP="005704EF">
      <w:pPr>
        <w:pStyle w:val="05Paragraph"/>
        <w:rPr>
          <w:rFonts w:cs="Calibri Light"/>
        </w:rPr>
      </w:pPr>
      <w:r>
        <w:rPr>
          <w:rFonts w:cs="Calibri Light"/>
        </w:rPr>
        <w:t xml:space="preserve">As at the time of making the Determination, there were </w:t>
      </w:r>
      <w:r w:rsidRPr="00AC2B14">
        <w:rPr>
          <w:rFonts w:cs="Calibri Light"/>
        </w:rPr>
        <w:t>14</w:t>
      </w:r>
      <w:r>
        <w:rPr>
          <w:rFonts w:cs="Calibri Light"/>
        </w:rPr>
        <w:t xml:space="preserve"> AOs. Table 1.2 summarises the purpose </w:t>
      </w:r>
      <w:r w:rsidR="003B115D">
        <w:rPr>
          <w:rFonts w:cs="Calibri Light"/>
        </w:rPr>
        <w:t xml:space="preserve">and </w:t>
      </w:r>
      <w:r>
        <w:rPr>
          <w:rFonts w:cs="Calibri Light"/>
        </w:rPr>
        <w:t xml:space="preserve">functions of each AO. </w:t>
      </w:r>
    </w:p>
    <w:p w14:paraId="05E0058D" w14:textId="5E496176" w:rsidR="005704EF" w:rsidRDefault="005704EF" w:rsidP="00144BE8">
      <w:pPr>
        <w:pStyle w:val="08Figuretableboxheading"/>
      </w:pPr>
      <w:bookmarkStart w:id="35" w:name="_Toc170393521"/>
      <w:r w:rsidRPr="007E03A0">
        <w:t xml:space="preserve">Table </w:t>
      </w:r>
      <w:r>
        <w:t>1.2</w:t>
      </w:r>
      <w:r w:rsidR="00177903">
        <w:t>:</w:t>
      </w:r>
      <w:r w:rsidRPr="007E03A0">
        <w:t xml:space="preserve"> </w:t>
      </w:r>
      <w:r>
        <w:t>Summary of purpose and functions of AOs</w:t>
      </w:r>
      <w:bookmarkEnd w:id="35"/>
    </w:p>
    <w:tbl>
      <w:tblPr>
        <w:tblStyle w:val="ListTable3-Accent21"/>
        <w:tblW w:w="8500" w:type="dxa"/>
        <w:tblLook w:val="04A0" w:firstRow="1" w:lastRow="0" w:firstColumn="1" w:lastColumn="0" w:noHBand="0" w:noVBand="1"/>
      </w:tblPr>
      <w:tblGrid>
        <w:gridCol w:w="2263"/>
        <w:gridCol w:w="6237"/>
      </w:tblGrid>
      <w:tr w:rsidR="005704EF" w14:paraId="09D873D5" w14:textId="77777777" w:rsidTr="002A18A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63" w:type="dxa"/>
            <w:tcBorders>
              <w:bottom w:val="single" w:sz="4" w:space="0" w:color="148A5D" w:themeColor="accent2"/>
            </w:tcBorders>
          </w:tcPr>
          <w:p w14:paraId="7E41B8A7" w14:textId="41F6B566" w:rsidR="005704EF" w:rsidRPr="006B084E" w:rsidRDefault="005704EF">
            <w:pPr>
              <w:pStyle w:val="Tabletext"/>
              <w:rPr>
                <w:color w:val="FFFFFF" w:themeColor="background1"/>
              </w:rPr>
            </w:pPr>
            <w:r>
              <w:rPr>
                <w:color w:val="FFFFFF" w:themeColor="background1"/>
              </w:rPr>
              <w:t xml:space="preserve">Administrative </w:t>
            </w:r>
            <w:r w:rsidR="00897CF6">
              <w:rPr>
                <w:color w:val="FFFFFF" w:themeColor="background1"/>
              </w:rPr>
              <w:t>O</w:t>
            </w:r>
            <w:r>
              <w:rPr>
                <w:color w:val="FFFFFF" w:themeColor="background1"/>
              </w:rPr>
              <w:t>ffice</w:t>
            </w:r>
          </w:p>
        </w:tc>
        <w:tc>
          <w:tcPr>
            <w:tcW w:w="6237" w:type="dxa"/>
            <w:tcBorders>
              <w:bottom w:val="single" w:sz="4" w:space="0" w:color="148A5D" w:themeColor="accent2"/>
            </w:tcBorders>
          </w:tcPr>
          <w:p w14:paraId="3A55D4FB" w14:textId="1025D74F" w:rsidR="005704EF" w:rsidRPr="006B084E" w:rsidRDefault="00177903">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Summary of p</w:t>
            </w:r>
            <w:r w:rsidR="005704EF">
              <w:rPr>
                <w:color w:val="FFFFFF" w:themeColor="background1"/>
              </w:rPr>
              <w:t>urpose and functions</w:t>
            </w:r>
          </w:p>
        </w:tc>
      </w:tr>
      <w:tr w:rsidR="005704EF" w14:paraId="18D83F41" w14:textId="77777777" w:rsidTr="002A18A9">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2263" w:type="dxa"/>
            <w:tcBorders>
              <w:left w:val="nil"/>
            </w:tcBorders>
          </w:tcPr>
          <w:p w14:paraId="4FE07344" w14:textId="77777777" w:rsidR="005704EF" w:rsidRPr="0034471C" w:rsidRDefault="005704EF" w:rsidP="00E91CBD">
            <w:pPr>
              <w:pStyle w:val="10Tabletext"/>
            </w:pPr>
            <w:r w:rsidRPr="007E03A0">
              <w:t>Invest Victoria</w:t>
            </w:r>
          </w:p>
        </w:tc>
        <w:tc>
          <w:tcPr>
            <w:tcW w:w="6237" w:type="dxa"/>
            <w:tcBorders>
              <w:right w:val="nil"/>
            </w:tcBorders>
          </w:tcPr>
          <w:p w14:paraId="70B2DD14" w14:textId="77777777" w:rsidR="005704EF" w:rsidRPr="006B084E" w:rsidRDefault="005704EF" w:rsidP="00E91CBD">
            <w:pPr>
              <w:pStyle w:val="11Bulletsinatable"/>
              <w:cnfStyle w:val="000000100000" w:firstRow="0" w:lastRow="0" w:firstColumn="0" w:lastColumn="0" w:oddVBand="0" w:evenVBand="0" w:oddHBand="1" w:evenHBand="0" w:firstRowFirstColumn="0" w:firstRowLastColumn="0" w:lastRowFirstColumn="0" w:lastRowLastColumn="0"/>
            </w:pPr>
            <w:r w:rsidRPr="007E03A0">
              <w:t>Foster long-term economic prosperity by enabling business opportunities and job creation for Victoria</w:t>
            </w:r>
            <w:r>
              <w:t>.</w:t>
            </w:r>
          </w:p>
        </w:tc>
      </w:tr>
      <w:tr w:rsidR="005704EF" w14:paraId="1041DD02" w14:textId="77777777" w:rsidTr="002A18A9">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148A5D" w:themeColor="accent2"/>
              <w:left w:val="nil"/>
              <w:bottom w:val="single" w:sz="4" w:space="0" w:color="148A5D" w:themeColor="accent2"/>
            </w:tcBorders>
          </w:tcPr>
          <w:p w14:paraId="3AFF652C" w14:textId="77777777" w:rsidR="005704EF" w:rsidRPr="006B084E" w:rsidRDefault="005704EF" w:rsidP="00E91CBD">
            <w:pPr>
              <w:pStyle w:val="10Tabletext"/>
            </w:pPr>
            <w:r w:rsidRPr="007E03A0">
              <w:t>Latrobe Valley Authority</w:t>
            </w:r>
          </w:p>
        </w:tc>
        <w:tc>
          <w:tcPr>
            <w:tcW w:w="6237" w:type="dxa"/>
            <w:tcBorders>
              <w:top w:val="single" w:sz="4" w:space="0" w:color="148A5D" w:themeColor="accent2"/>
              <w:bottom w:val="single" w:sz="4" w:space="0" w:color="148A5D" w:themeColor="accent2"/>
              <w:right w:val="nil"/>
            </w:tcBorders>
          </w:tcPr>
          <w:p w14:paraId="72D92A8A" w14:textId="77777777" w:rsidR="005704EF" w:rsidRPr="006B084E" w:rsidRDefault="005704EF" w:rsidP="00E91CBD">
            <w:pPr>
              <w:pStyle w:val="11Bulletsinatable"/>
              <w:cnfStyle w:val="000000000000" w:firstRow="0" w:lastRow="0" w:firstColumn="0" w:lastColumn="0" w:oddVBand="0" w:evenVBand="0" w:oddHBand="0" w:evenHBand="0" w:firstRowFirstColumn="0" w:firstRowLastColumn="0" w:lastRowFirstColumn="0" w:lastRowLastColumn="0"/>
            </w:pPr>
            <w:r w:rsidRPr="007E03A0">
              <w:t>Work with the local community and key stakeholders to help build regional capability and improve economic outcomes</w:t>
            </w:r>
            <w:r>
              <w:t>.</w:t>
            </w:r>
          </w:p>
        </w:tc>
      </w:tr>
      <w:tr w:rsidR="005704EF" w14:paraId="6579B2DB" w14:textId="77777777" w:rsidTr="002A1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left w:val="nil"/>
            </w:tcBorders>
          </w:tcPr>
          <w:p w14:paraId="49C8465B" w14:textId="77777777" w:rsidR="005704EF" w:rsidRPr="006B084E" w:rsidRDefault="005704EF" w:rsidP="00E91CBD">
            <w:pPr>
              <w:pStyle w:val="10Tabletext"/>
            </w:pPr>
            <w:r w:rsidRPr="007E03A0">
              <w:t>Local Government Inspectorate</w:t>
            </w:r>
          </w:p>
        </w:tc>
        <w:tc>
          <w:tcPr>
            <w:tcW w:w="6237" w:type="dxa"/>
            <w:tcBorders>
              <w:right w:val="nil"/>
            </w:tcBorders>
          </w:tcPr>
          <w:p w14:paraId="233FE67B" w14:textId="77777777" w:rsidR="005704EF" w:rsidRPr="006B084E" w:rsidRDefault="005704EF" w:rsidP="00E91CBD">
            <w:pPr>
              <w:pStyle w:val="11Bulletsinatable"/>
              <w:cnfStyle w:val="000000100000" w:firstRow="0" w:lastRow="0" w:firstColumn="0" w:lastColumn="0" w:oddVBand="0" w:evenVBand="0" w:oddHBand="1" w:evenHBand="0" w:firstRowFirstColumn="0" w:firstRowLastColumn="0" w:lastRowFirstColumn="0" w:lastRowLastColumn="0"/>
            </w:pPr>
            <w:r w:rsidRPr="007E03A0">
              <w:t>Dedicated integrity agency for local government</w:t>
            </w:r>
            <w:r>
              <w:t>.</w:t>
            </w:r>
          </w:p>
        </w:tc>
      </w:tr>
      <w:tr w:rsidR="005704EF" w:rsidRPr="00D37E3F" w14:paraId="77B3FBB3" w14:textId="77777777" w:rsidTr="002A18A9">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148A5D" w:themeColor="accent2"/>
              <w:left w:val="nil"/>
              <w:bottom w:val="single" w:sz="4" w:space="0" w:color="148A5D" w:themeColor="accent2"/>
            </w:tcBorders>
          </w:tcPr>
          <w:p w14:paraId="08CF61EA" w14:textId="77777777" w:rsidR="005704EF" w:rsidRPr="00F64BCA" w:rsidRDefault="005704EF" w:rsidP="00E91CBD">
            <w:pPr>
              <w:pStyle w:val="10Tabletext"/>
            </w:pPr>
            <w:r w:rsidRPr="007E03A0">
              <w:t>Office of Projects Victoria</w:t>
            </w:r>
            <w:r w:rsidRPr="00881901">
              <w:rPr>
                <w:vertAlign w:val="superscript"/>
              </w:rPr>
              <w:t>(</w:t>
            </w:r>
            <w:r>
              <w:rPr>
                <w:vertAlign w:val="superscript"/>
              </w:rPr>
              <w:t>a</w:t>
            </w:r>
            <w:r w:rsidRPr="00881901">
              <w:rPr>
                <w:vertAlign w:val="superscript"/>
              </w:rPr>
              <w:t>)</w:t>
            </w:r>
          </w:p>
        </w:tc>
        <w:tc>
          <w:tcPr>
            <w:tcW w:w="6237" w:type="dxa"/>
            <w:tcBorders>
              <w:top w:val="single" w:sz="4" w:space="0" w:color="148A5D" w:themeColor="accent2"/>
              <w:bottom w:val="single" w:sz="4" w:space="0" w:color="148A5D" w:themeColor="accent2"/>
              <w:right w:val="nil"/>
            </w:tcBorders>
          </w:tcPr>
          <w:p w14:paraId="16EC0622" w14:textId="77777777" w:rsidR="005704EF" w:rsidRPr="00B641B8" w:rsidRDefault="005704EF" w:rsidP="00E91CBD">
            <w:pPr>
              <w:pStyle w:val="11Bulletsinatable"/>
              <w:cnfStyle w:val="000000000000" w:firstRow="0" w:lastRow="0" w:firstColumn="0" w:lastColumn="0" w:oddVBand="0" w:evenVBand="0" w:oddHBand="0" w:evenHBand="0" w:firstRowFirstColumn="0" w:firstRowLastColumn="0" w:lastRowFirstColumn="0" w:lastRowLastColumn="0"/>
            </w:pPr>
            <w:r w:rsidRPr="007E03A0">
              <w:t>Lead and influence excellence in major infrastructure project delivery</w:t>
            </w:r>
            <w:r>
              <w:t>.</w:t>
            </w:r>
          </w:p>
        </w:tc>
      </w:tr>
      <w:tr w:rsidR="005704EF" w:rsidRPr="00D37E3F" w14:paraId="741171AE" w14:textId="77777777" w:rsidTr="002A1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left w:val="nil"/>
            </w:tcBorders>
          </w:tcPr>
          <w:p w14:paraId="4ECBE874" w14:textId="77777777" w:rsidR="005704EF" w:rsidRDefault="005704EF" w:rsidP="00E91CBD">
            <w:pPr>
              <w:pStyle w:val="10Tabletext"/>
            </w:pPr>
            <w:r w:rsidRPr="007E03A0">
              <w:t>Office of the Chief Parliamentary Counsel</w:t>
            </w:r>
          </w:p>
        </w:tc>
        <w:tc>
          <w:tcPr>
            <w:tcW w:w="6237" w:type="dxa"/>
            <w:tcBorders>
              <w:right w:val="nil"/>
            </w:tcBorders>
          </w:tcPr>
          <w:p w14:paraId="7FA18FAA" w14:textId="77777777" w:rsidR="005704EF" w:rsidRPr="00B641B8" w:rsidRDefault="005704EF" w:rsidP="00E91CBD">
            <w:pPr>
              <w:pStyle w:val="11Bulletsinatable"/>
              <w:cnfStyle w:val="000000100000" w:firstRow="0" w:lastRow="0" w:firstColumn="0" w:lastColumn="0" w:oddVBand="0" w:evenVBand="0" w:oddHBand="1" w:evenHBand="0" w:firstRowFirstColumn="0" w:firstRowLastColumn="0" w:lastRowFirstColumn="0" w:lastRowLastColumn="0"/>
            </w:pPr>
            <w:r w:rsidRPr="007E03A0">
              <w:t>Draft and publish legislation for the government and the Parliament of Victoria</w:t>
            </w:r>
            <w:r>
              <w:t>.</w:t>
            </w:r>
          </w:p>
        </w:tc>
      </w:tr>
      <w:tr w:rsidR="005704EF" w:rsidRPr="00D37E3F" w14:paraId="3ABDFCD5" w14:textId="77777777" w:rsidTr="002A18A9">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148A5D" w:themeColor="accent2"/>
              <w:left w:val="nil"/>
              <w:bottom w:val="single" w:sz="4" w:space="0" w:color="148A5D" w:themeColor="accent2"/>
            </w:tcBorders>
          </w:tcPr>
          <w:p w14:paraId="5C43030A" w14:textId="77777777" w:rsidR="005704EF" w:rsidRPr="00D37E3F" w:rsidRDefault="005704EF" w:rsidP="00E91CBD">
            <w:pPr>
              <w:pStyle w:val="10Tabletext"/>
            </w:pPr>
            <w:r w:rsidRPr="007E03A0">
              <w:t>Office of the Governor</w:t>
            </w:r>
          </w:p>
        </w:tc>
        <w:tc>
          <w:tcPr>
            <w:tcW w:w="6237" w:type="dxa"/>
            <w:tcBorders>
              <w:top w:val="single" w:sz="4" w:space="0" w:color="148A5D" w:themeColor="accent2"/>
              <w:bottom w:val="single" w:sz="4" w:space="0" w:color="148A5D" w:themeColor="accent2"/>
              <w:right w:val="nil"/>
            </w:tcBorders>
          </w:tcPr>
          <w:p w14:paraId="11D886F4" w14:textId="77777777" w:rsidR="005704EF" w:rsidRPr="00B641B8" w:rsidRDefault="005704EF" w:rsidP="00E91CBD">
            <w:pPr>
              <w:pStyle w:val="11Bulletsinatable"/>
              <w:cnfStyle w:val="000000000000" w:firstRow="0" w:lastRow="0" w:firstColumn="0" w:lastColumn="0" w:oddVBand="0" w:evenVBand="0" w:oddHBand="0" w:evenHBand="0" w:firstRowFirstColumn="0" w:firstRowLastColumn="0" w:lastRowFirstColumn="0" w:lastRowLastColumn="0"/>
            </w:pPr>
            <w:r w:rsidRPr="007E03A0">
              <w:t>Support the Governor in carrying out all aspects of their official duties for the benefit of the community</w:t>
            </w:r>
            <w:r>
              <w:t>.</w:t>
            </w:r>
          </w:p>
        </w:tc>
      </w:tr>
      <w:tr w:rsidR="005704EF" w:rsidRPr="00D37E3F" w14:paraId="2F65332F" w14:textId="77777777" w:rsidTr="002A1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left w:val="nil"/>
            </w:tcBorders>
          </w:tcPr>
          <w:p w14:paraId="25994814" w14:textId="77777777" w:rsidR="005704EF" w:rsidRPr="00D37E3F" w:rsidRDefault="005704EF" w:rsidP="00E91CBD">
            <w:pPr>
              <w:pStyle w:val="10Tabletext"/>
            </w:pPr>
            <w:r w:rsidRPr="007E03A0">
              <w:t>Office of the Victorian Government Architect</w:t>
            </w:r>
          </w:p>
        </w:tc>
        <w:tc>
          <w:tcPr>
            <w:tcW w:w="6237" w:type="dxa"/>
            <w:tcBorders>
              <w:right w:val="nil"/>
            </w:tcBorders>
          </w:tcPr>
          <w:p w14:paraId="046EF2CC" w14:textId="77777777" w:rsidR="005704EF" w:rsidRPr="00B641B8" w:rsidRDefault="005704EF" w:rsidP="00E91CBD">
            <w:pPr>
              <w:pStyle w:val="11Bulletsinatable"/>
              <w:cnfStyle w:val="000000100000" w:firstRow="0" w:lastRow="0" w:firstColumn="0" w:lastColumn="0" w:oddVBand="0" w:evenVBand="0" w:oddHBand="1" w:evenHBand="0" w:firstRowFirstColumn="0" w:firstRowLastColumn="0" w:lastRowFirstColumn="0" w:lastRowLastColumn="0"/>
            </w:pPr>
            <w:r w:rsidRPr="007E03A0">
              <w:t>Provid</w:t>
            </w:r>
            <w:r>
              <w:t>e</w:t>
            </w:r>
            <w:r w:rsidRPr="007E03A0">
              <w:t xml:space="preserve"> leadership and independent advice to the government about architecture and urban design</w:t>
            </w:r>
            <w:r>
              <w:t>.</w:t>
            </w:r>
          </w:p>
        </w:tc>
      </w:tr>
      <w:tr w:rsidR="005704EF" w:rsidRPr="00D37E3F" w14:paraId="2F456344" w14:textId="77777777" w:rsidTr="002A18A9">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148A5D" w:themeColor="accent2"/>
              <w:left w:val="nil"/>
              <w:bottom w:val="single" w:sz="4" w:space="0" w:color="148A5D" w:themeColor="accent2"/>
            </w:tcBorders>
          </w:tcPr>
          <w:p w14:paraId="586958F5" w14:textId="77777777" w:rsidR="005704EF" w:rsidRPr="00D37E3F" w:rsidRDefault="005704EF" w:rsidP="00E91CBD">
            <w:pPr>
              <w:pStyle w:val="10Tabletext"/>
            </w:pPr>
            <w:r w:rsidRPr="007E03A0">
              <w:t>Public Record Office Victoria</w:t>
            </w:r>
          </w:p>
        </w:tc>
        <w:tc>
          <w:tcPr>
            <w:tcW w:w="6237" w:type="dxa"/>
            <w:tcBorders>
              <w:top w:val="single" w:sz="4" w:space="0" w:color="148A5D" w:themeColor="accent2"/>
              <w:bottom w:val="single" w:sz="4" w:space="0" w:color="148A5D" w:themeColor="accent2"/>
              <w:right w:val="nil"/>
            </w:tcBorders>
          </w:tcPr>
          <w:p w14:paraId="5C868266" w14:textId="71E88D7D" w:rsidR="005704EF" w:rsidRPr="00B641B8" w:rsidRDefault="005704EF" w:rsidP="00E91CBD">
            <w:pPr>
              <w:pStyle w:val="11Bulletsinatable"/>
              <w:cnfStyle w:val="000000000000" w:firstRow="0" w:lastRow="0" w:firstColumn="0" w:lastColumn="0" w:oddVBand="0" w:evenVBand="0" w:oddHBand="0" w:evenHBand="0" w:firstRowFirstColumn="0" w:firstRowLastColumn="0" w:lastRowFirstColumn="0" w:lastRowLastColumn="0"/>
            </w:pPr>
            <w:r w:rsidRPr="007E03A0">
              <w:t>Maintain the archive of state and local governments in Victoria and manage these for use by the community</w:t>
            </w:r>
            <w:r>
              <w:t>.</w:t>
            </w:r>
          </w:p>
        </w:tc>
      </w:tr>
      <w:tr w:rsidR="005704EF" w:rsidRPr="00D37E3F" w14:paraId="5830954F" w14:textId="77777777" w:rsidTr="002A1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left w:val="nil"/>
            </w:tcBorders>
          </w:tcPr>
          <w:p w14:paraId="13FDE3E0" w14:textId="77777777" w:rsidR="005704EF" w:rsidRPr="00D37E3F" w:rsidRDefault="005704EF" w:rsidP="00E91CBD">
            <w:pPr>
              <w:pStyle w:val="10Tabletext"/>
            </w:pPr>
            <w:r w:rsidRPr="007E03A0">
              <w:t>Safer Care Victoria</w:t>
            </w:r>
          </w:p>
        </w:tc>
        <w:tc>
          <w:tcPr>
            <w:tcW w:w="6237" w:type="dxa"/>
            <w:tcBorders>
              <w:right w:val="nil"/>
            </w:tcBorders>
          </w:tcPr>
          <w:p w14:paraId="0E1BB662" w14:textId="77777777" w:rsidR="005704EF" w:rsidRPr="00470917" w:rsidRDefault="005704EF" w:rsidP="00E91CBD">
            <w:pPr>
              <w:pStyle w:val="11Bulletsinatable"/>
              <w:cnfStyle w:val="000000100000" w:firstRow="0" w:lastRow="0" w:firstColumn="0" w:lastColumn="0" w:oddVBand="0" w:evenVBand="0" w:oddHBand="1" w:evenHBand="0" w:firstRowFirstColumn="0" w:firstRowLastColumn="0" w:lastRowFirstColumn="0" w:lastRowLastColumn="0"/>
            </w:pPr>
            <w:r w:rsidRPr="007E03A0">
              <w:t>Work with clinicians and consumers to help health services deliver better, safer healthcare to Victorians</w:t>
            </w:r>
            <w:r>
              <w:t>.</w:t>
            </w:r>
          </w:p>
        </w:tc>
      </w:tr>
      <w:tr w:rsidR="005704EF" w:rsidRPr="00D37E3F" w14:paraId="41EFF7BD" w14:textId="77777777" w:rsidTr="002A18A9">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148A5D" w:themeColor="accent2"/>
              <w:left w:val="nil"/>
              <w:bottom w:val="single" w:sz="4" w:space="0" w:color="148A5D" w:themeColor="accent2"/>
            </w:tcBorders>
          </w:tcPr>
          <w:p w14:paraId="5ADCCB05" w14:textId="77777777" w:rsidR="005704EF" w:rsidRPr="007E03A0" w:rsidRDefault="005704EF" w:rsidP="00E91CBD">
            <w:pPr>
              <w:pStyle w:val="10Tabletext"/>
            </w:pPr>
            <w:r>
              <w:t>Service Victoria</w:t>
            </w:r>
          </w:p>
        </w:tc>
        <w:tc>
          <w:tcPr>
            <w:tcW w:w="6237" w:type="dxa"/>
            <w:tcBorders>
              <w:top w:val="single" w:sz="4" w:space="0" w:color="148A5D" w:themeColor="accent2"/>
              <w:bottom w:val="single" w:sz="4" w:space="0" w:color="148A5D" w:themeColor="accent2"/>
              <w:right w:val="nil"/>
            </w:tcBorders>
          </w:tcPr>
          <w:p w14:paraId="6365580E" w14:textId="77777777" w:rsidR="005704EF" w:rsidRPr="007E03A0" w:rsidRDefault="005704EF" w:rsidP="00E91CBD">
            <w:pPr>
              <w:pStyle w:val="11Bulletsinatable"/>
              <w:cnfStyle w:val="000000000000" w:firstRow="0" w:lastRow="0" w:firstColumn="0" w:lastColumn="0" w:oddVBand="0" w:evenVBand="0" w:oddHBand="0" w:evenHBand="0" w:firstRowFirstColumn="0" w:firstRowLastColumn="0" w:lastRowFirstColumn="0" w:lastRowLastColumn="0"/>
            </w:pPr>
            <w:r>
              <w:t>The Victorian Government’s dedicated customer service delivery agency.</w:t>
            </w:r>
          </w:p>
        </w:tc>
      </w:tr>
      <w:tr w:rsidR="005704EF" w:rsidRPr="00D37E3F" w14:paraId="00B68CE8" w14:textId="77777777" w:rsidTr="002A1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left w:val="nil"/>
            </w:tcBorders>
          </w:tcPr>
          <w:p w14:paraId="2DFFE1A8" w14:textId="77777777" w:rsidR="005704EF" w:rsidRPr="007E03A0" w:rsidRDefault="005704EF" w:rsidP="00E91CBD">
            <w:pPr>
              <w:pStyle w:val="10Tabletext"/>
            </w:pPr>
            <w:r>
              <w:lastRenderedPageBreak/>
              <w:t>VicGrid</w:t>
            </w:r>
          </w:p>
        </w:tc>
        <w:tc>
          <w:tcPr>
            <w:tcW w:w="6237" w:type="dxa"/>
            <w:tcBorders>
              <w:right w:val="nil"/>
            </w:tcBorders>
          </w:tcPr>
          <w:p w14:paraId="4C80B542" w14:textId="77777777" w:rsidR="005704EF" w:rsidRPr="007E03A0" w:rsidRDefault="005704EF" w:rsidP="00E91CBD">
            <w:pPr>
              <w:pStyle w:val="11Bulletsinatable"/>
              <w:cnfStyle w:val="000000100000" w:firstRow="0" w:lastRow="0" w:firstColumn="0" w:lastColumn="0" w:oddVBand="0" w:evenVBand="0" w:oddHBand="1" w:evenHBand="0" w:firstRowFirstColumn="0" w:firstRowLastColumn="0" w:lastRowFirstColumn="0" w:lastRowLastColumn="0"/>
            </w:pPr>
            <w:r>
              <w:t>Coordinate the planning and development of Victoria’s Renewable Energy Zones and transmission infrastructure to support the transition to renewable energy.</w:t>
            </w:r>
          </w:p>
        </w:tc>
      </w:tr>
      <w:tr w:rsidR="005704EF" w:rsidRPr="00D37E3F" w14:paraId="2B1EEF6B" w14:textId="77777777" w:rsidTr="002A18A9">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148A5D" w:themeColor="accent2"/>
              <w:left w:val="nil"/>
              <w:bottom w:val="single" w:sz="4" w:space="0" w:color="148A5D" w:themeColor="accent2"/>
            </w:tcBorders>
          </w:tcPr>
          <w:p w14:paraId="76485148" w14:textId="3418FE1D" w:rsidR="005704EF" w:rsidRPr="007E03A0" w:rsidRDefault="005704EF" w:rsidP="00E91CBD">
            <w:pPr>
              <w:pStyle w:val="10Tabletext"/>
            </w:pPr>
            <w:r>
              <w:t>Victorian Government Solicitor’s Office</w:t>
            </w:r>
          </w:p>
        </w:tc>
        <w:tc>
          <w:tcPr>
            <w:tcW w:w="6237" w:type="dxa"/>
            <w:tcBorders>
              <w:top w:val="single" w:sz="4" w:space="0" w:color="148A5D" w:themeColor="accent2"/>
              <w:bottom w:val="single" w:sz="4" w:space="0" w:color="148A5D" w:themeColor="accent2"/>
              <w:right w:val="nil"/>
            </w:tcBorders>
          </w:tcPr>
          <w:p w14:paraId="4F632F6B" w14:textId="7BDB03F3" w:rsidR="005704EF" w:rsidRPr="007E03A0" w:rsidRDefault="005704EF" w:rsidP="00E91CBD">
            <w:pPr>
              <w:pStyle w:val="11Bulletsinatable"/>
              <w:cnfStyle w:val="000000000000" w:firstRow="0" w:lastRow="0" w:firstColumn="0" w:lastColumn="0" w:oddVBand="0" w:evenVBand="0" w:oddHBand="0" w:evenHBand="0" w:firstRowFirstColumn="0" w:firstRowLastColumn="0" w:lastRowFirstColumn="0" w:lastRowLastColumn="0"/>
            </w:pPr>
            <w:r>
              <w:t>Provide legal advice and services for the Victorian Government and its statutory authorities</w:t>
            </w:r>
            <w:r w:rsidR="004B3FE6">
              <w:t>.</w:t>
            </w:r>
          </w:p>
        </w:tc>
      </w:tr>
      <w:tr w:rsidR="005704EF" w:rsidRPr="00D37E3F" w14:paraId="55B5E71F" w14:textId="77777777" w:rsidTr="002A1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left w:val="nil"/>
            </w:tcBorders>
          </w:tcPr>
          <w:p w14:paraId="5CD3A3A7" w14:textId="77777777" w:rsidR="005704EF" w:rsidRDefault="005704EF" w:rsidP="00E91CBD">
            <w:pPr>
              <w:pStyle w:val="10Tabletext"/>
            </w:pPr>
            <w:r>
              <w:t>Victorian Infrastructure Delivery</w:t>
            </w:r>
            <w:r w:rsidRPr="007E03A0">
              <w:t xml:space="preserve"> Authority</w:t>
            </w:r>
            <w:r w:rsidRPr="00CF555B">
              <w:rPr>
                <w:vertAlign w:val="superscript"/>
              </w:rPr>
              <w:t>(</w:t>
            </w:r>
            <w:r>
              <w:rPr>
                <w:vertAlign w:val="superscript"/>
              </w:rPr>
              <w:t>b</w:t>
            </w:r>
            <w:r w:rsidRPr="00CF555B">
              <w:rPr>
                <w:vertAlign w:val="superscript"/>
              </w:rPr>
              <w:t>)</w:t>
            </w:r>
          </w:p>
        </w:tc>
        <w:tc>
          <w:tcPr>
            <w:tcW w:w="6237" w:type="dxa"/>
            <w:tcBorders>
              <w:right w:val="nil"/>
            </w:tcBorders>
          </w:tcPr>
          <w:p w14:paraId="3E3A17F5" w14:textId="77777777" w:rsidR="005704EF" w:rsidRDefault="005704EF" w:rsidP="00E91CBD">
            <w:pPr>
              <w:pStyle w:val="11Bulletsinatable"/>
              <w:cnfStyle w:val="000000100000" w:firstRow="0" w:lastRow="0" w:firstColumn="0" w:lastColumn="0" w:oddVBand="0" w:evenVBand="0" w:oddHBand="1" w:evenHBand="0" w:firstRowFirstColumn="0" w:firstRowLastColumn="0" w:lastRowFirstColumn="0" w:lastRowLastColumn="0"/>
            </w:pPr>
            <w:r>
              <w:t>Deliver the state’s</w:t>
            </w:r>
            <w:r w:rsidRPr="007E03A0">
              <w:t xml:space="preserve"> transport </w:t>
            </w:r>
            <w:r>
              <w:t xml:space="preserve">and health infrastructure </w:t>
            </w:r>
            <w:r w:rsidRPr="007E03A0">
              <w:t>pro</w:t>
            </w:r>
            <w:r>
              <w:t>grams.</w:t>
            </w:r>
          </w:p>
        </w:tc>
      </w:tr>
      <w:tr w:rsidR="005704EF" w:rsidRPr="00D37E3F" w14:paraId="563BDA0B" w14:textId="77777777" w:rsidTr="002A18A9">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148A5D" w:themeColor="accent2"/>
              <w:left w:val="nil"/>
              <w:bottom w:val="single" w:sz="4" w:space="0" w:color="148A5D" w:themeColor="accent2"/>
            </w:tcBorders>
          </w:tcPr>
          <w:p w14:paraId="3E70774A" w14:textId="77777777" w:rsidR="005704EF" w:rsidRPr="007E03A0" w:rsidRDefault="005704EF" w:rsidP="00E91CBD">
            <w:pPr>
              <w:pStyle w:val="10Tabletext"/>
            </w:pPr>
            <w:r>
              <w:t>Victorian Skills Authority</w:t>
            </w:r>
          </w:p>
        </w:tc>
        <w:tc>
          <w:tcPr>
            <w:tcW w:w="6237" w:type="dxa"/>
            <w:tcBorders>
              <w:top w:val="single" w:sz="4" w:space="0" w:color="148A5D" w:themeColor="accent2"/>
              <w:bottom w:val="single" w:sz="4" w:space="0" w:color="148A5D" w:themeColor="accent2"/>
              <w:right w:val="nil"/>
            </w:tcBorders>
          </w:tcPr>
          <w:p w14:paraId="7B9D225A" w14:textId="77777777" w:rsidR="005704EF" w:rsidRPr="007E03A0" w:rsidRDefault="005704EF" w:rsidP="00E91CBD">
            <w:pPr>
              <w:pStyle w:val="11Bulletsinatable"/>
              <w:cnfStyle w:val="000000000000" w:firstRow="0" w:lastRow="0" w:firstColumn="0" w:lastColumn="0" w:oddVBand="0" w:evenVBand="0" w:oddHBand="0" w:evenHBand="0" w:firstRowFirstColumn="0" w:firstRowLastColumn="0" w:lastRowFirstColumn="0" w:lastRowLastColumn="0"/>
            </w:pPr>
            <w:r>
              <w:t>Provide evidence-based planning and solutions to meet current and future skills needs in Victoria.</w:t>
            </w:r>
          </w:p>
        </w:tc>
      </w:tr>
    </w:tbl>
    <w:p w14:paraId="5128C1DE" w14:textId="1E41756A" w:rsidR="005704EF" w:rsidRPr="00292016" w:rsidRDefault="005704EF" w:rsidP="00E91CBD">
      <w:pPr>
        <w:pStyle w:val="09Sourcesandnotesfortablesfiguresboxes"/>
      </w:pPr>
      <w:r>
        <w:t xml:space="preserve">Notes: (a) </w:t>
      </w:r>
      <w:r w:rsidRPr="00CF36E7">
        <w:t>The Office of Projects Victoria has merged with the Department of Treasury and Finance to form part of a new Infrastructure Division within the Department.</w:t>
      </w:r>
      <w:r w:rsidDel="00C4457A">
        <w:t xml:space="preserve"> (</w:t>
      </w:r>
      <w:r>
        <w:t>b</w:t>
      </w:r>
      <w:r w:rsidDel="00C4457A">
        <w:t xml:space="preserve">) </w:t>
      </w:r>
      <w:r>
        <w:t xml:space="preserve">The Victorian </w:t>
      </w:r>
      <w:r w:rsidRPr="00881901">
        <w:t>Infrastructure Delivery Authority</w:t>
      </w:r>
      <w:r>
        <w:t xml:space="preserve"> was formed in </w:t>
      </w:r>
      <w:r w:rsidRPr="00292016">
        <w:t xml:space="preserve">April 2024 by the merger of the Major Transport Infrastructure Authority and the Victorian Health Building Authority. </w:t>
      </w:r>
    </w:p>
    <w:p w14:paraId="23A254BE" w14:textId="7DBEDABF" w:rsidR="005704EF" w:rsidRPr="002A18A9" w:rsidRDefault="005704EF" w:rsidP="00DD1AE2">
      <w:pPr>
        <w:pStyle w:val="09Sourcesandnotesfortablesfiguresboxes"/>
        <w:rPr>
          <w:spacing w:val="-2"/>
        </w:rPr>
      </w:pPr>
      <w:r w:rsidRPr="002A18A9">
        <w:rPr>
          <w:spacing w:val="-2"/>
        </w:rPr>
        <w:t xml:space="preserve">Sources: </w:t>
      </w:r>
      <w:r w:rsidR="00962706" w:rsidRPr="002A18A9">
        <w:rPr>
          <w:spacing w:val="-2"/>
        </w:rPr>
        <w:t>DEECA</w:t>
      </w:r>
      <w:r w:rsidR="00E73BC2" w:rsidRPr="002A18A9">
        <w:rPr>
          <w:spacing w:val="-2"/>
        </w:rPr>
        <w:t> </w:t>
      </w:r>
      <w:r w:rsidR="00962706" w:rsidRPr="002A18A9">
        <w:rPr>
          <w:spacing w:val="-2"/>
        </w:rPr>
        <w:t>(2024</w:t>
      </w:r>
      <w:r w:rsidR="001D58C8" w:rsidRPr="002A18A9">
        <w:rPr>
          <w:spacing w:val="-2"/>
        </w:rPr>
        <w:t>a</w:t>
      </w:r>
      <w:r w:rsidR="00962706" w:rsidRPr="002A18A9">
        <w:rPr>
          <w:spacing w:val="-2"/>
        </w:rPr>
        <w:t>);</w:t>
      </w:r>
      <w:r w:rsidR="00E73BC2" w:rsidRPr="002A18A9">
        <w:rPr>
          <w:spacing w:val="-2"/>
        </w:rPr>
        <w:t xml:space="preserve"> DGS </w:t>
      </w:r>
      <w:r w:rsidR="00962706" w:rsidRPr="002A18A9">
        <w:rPr>
          <w:spacing w:val="-2"/>
        </w:rPr>
        <w:t>(2024</w:t>
      </w:r>
      <w:r w:rsidR="001D58C8" w:rsidRPr="002A18A9">
        <w:rPr>
          <w:spacing w:val="-2"/>
        </w:rPr>
        <w:t>d</w:t>
      </w:r>
      <w:r w:rsidR="00962706" w:rsidRPr="002A18A9">
        <w:rPr>
          <w:spacing w:val="-2"/>
        </w:rPr>
        <w:t>)</w:t>
      </w:r>
      <w:r w:rsidR="00E73BC2" w:rsidRPr="002A18A9">
        <w:rPr>
          <w:spacing w:val="-2"/>
        </w:rPr>
        <w:t xml:space="preserve">; </w:t>
      </w:r>
      <w:r w:rsidR="00962706" w:rsidRPr="002A18A9">
        <w:rPr>
          <w:spacing w:val="-2"/>
        </w:rPr>
        <w:t>Governor of Victoria (2024)</w:t>
      </w:r>
      <w:r w:rsidR="001D58C8" w:rsidRPr="002A18A9">
        <w:rPr>
          <w:spacing w:val="-2"/>
        </w:rPr>
        <w:t>;</w:t>
      </w:r>
      <w:r w:rsidR="00FA54F9" w:rsidRPr="002A18A9">
        <w:rPr>
          <w:spacing w:val="-2"/>
        </w:rPr>
        <w:t xml:space="preserve"> </w:t>
      </w:r>
      <w:r w:rsidR="00186070" w:rsidRPr="002A18A9">
        <w:rPr>
          <w:spacing w:val="-2"/>
        </w:rPr>
        <w:t>Invest Victoria (2024</w:t>
      </w:r>
      <w:r w:rsidR="00FA54F9" w:rsidRPr="002A18A9">
        <w:rPr>
          <w:spacing w:val="-2"/>
        </w:rPr>
        <w:t>a</w:t>
      </w:r>
      <w:r w:rsidR="00186070" w:rsidRPr="002A18A9">
        <w:rPr>
          <w:spacing w:val="-2"/>
        </w:rPr>
        <w:t>)</w:t>
      </w:r>
      <w:r w:rsidR="00E73BC2" w:rsidRPr="002A18A9">
        <w:rPr>
          <w:spacing w:val="-2"/>
        </w:rPr>
        <w:t xml:space="preserve">; </w:t>
      </w:r>
      <w:r w:rsidR="00186070" w:rsidRPr="002A18A9">
        <w:rPr>
          <w:spacing w:val="-2"/>
        </w:rPr>
        <w:t>Latrobe Valley Authority</w:t>
      </w:r>
      <w:r w:rsidR="006C30E9" w:rsidRPr="002A18A9">
        <w:rPr>
          <w:spacing w:val="-2"/>
        </w:rPr>
        <w:t> </w:t>
      </w:r>
      <w:r w:rsidR="00186070" w:rsidRPr="002A18A9">
        <w:rPr>
          <w:spacing w:val="-2"/>
        </w:rPr>
        <w:t>(</w:t>
      </w:r>
      <w:r w:rsidR="006C30E9" w:rsidRPr="002A18A9">
        <w:rPr>
          <w:spacing w:val="-2"/>
        </w:rPr>
        <w:t>n.d.</w:t>
      </w:r>
      <w:r w:rsidR="00186070" w:rsidRPr="002A18A9">
        <w:rPr>
          <w:spacing w:val="-2"/>
        </w:rPr>
        <w:t>)</w:t>
      </w:r>
      <w:r w:rsidR="00E73BC2" w:rsidRPr="002A18A9">
        <w:rPr>
          <w:spacing w:val="-2"/>
        </w:rPr>
        <w:t xml:space="preserve">; </w:t>
      </w:r>
      <w:r w:rsidR="00186070" w:rsidRPr="002A18A9">
        <w:rPr>
          <w:spacing w:val="-2"/>
        </w:rPr>
        <w:t>L</w:t>
      </w:r>
      <w:r w:rsidR="00FA54F9" w:rsidRPr="002A18A9">
        <w:rPr>
          <w:spacing w:val="-2"/>
        </w:rPr>
        <w:t>GI</w:t>
      </w:r>
      <w:r w:rsidR="006C30E9" w:rsidRPr="002A18A9">
        <w:rPr>
          <w:spacing w:val="-2"/>
        </w:rPr>
        <w:t xml:space="preserve"> </w:t>
      </w:r>
      <w:r w:rsidR="00186070" w:rsidRPr="002A18A9">
        <w:rPr>
          <w:spacing w:val="-2"/>
        </w:rPr>
        <w:t>(2023</w:t>
      </w:r>
      <w:r w:rsidR="00820123" w:rsidRPr="002A18A9">
        <w:rPr>
          <w:spacing w:val="-2"/>
        </w:rPr>
        <w:t>a</w:t>
      </w:r>
      <w:r w:rsidR="00186070" w:rsidRPr="002A18A9">
        <w:rPr>
          <w:spacing w:val="-2"/>
        </w:rPr>
        <w:t>), p. 6</w:t>
      </w:r>
      <w:r w:rsidR="00E73BC2" w:rsidRPr="002A18A9">
        <w:rPr>
          <w:spacing w:val="-2"/>
        </w:rPr>
        <w:t>;</w:t>
      </w:r>
      <w:r w:rsidRPr="002A18A9">
        <w:rPr>
          <w:spacing w:val="-2"/>
        </w:rPr>
        <w:t xml:space="preserve"> </w:t>
      </w:r>
      <w:r w:rsidR="00292016" w:rsidRPr="002A18A9">
        <w:rPr>
          <w:spacing w:val="-2"/>
        </w:rPr>
        <w:t xml:space="preserve">Office of </w:t>
      </w:r>
      <w:r w:rsidR="00672E91" w:rsidRPr="002A18A9">
        <w:rPr>
          <w:spacing w:val="-2"/>
        </w:rPr>
        <w:t xml:space="preserve">the </w:t>
      </w:r>
      <w:r w:rsidR="00292016" w:rsidRPr="002A18A9">
        <w:rPr>
          <w:spacing w:val="-2"/>
        </w:rPr>
        <w:t>Chief Parliamentary Counsel (2023)</w:t>
      </w:r>
      <w:r w:rsidR="00672E91" w:rsidRPr="002A18A9">
        <w:rPr>
          <w:spacing w:val="-2"/>
        </w:rPr>
        <w:t>;</w:t>
      </w:r>
      <w:r w:rsidR="00360C88" w:rsidRPr="002A18A9">
        <w:rPr>
          <w:spacing w:val="-2"/>
        </w:rPr>
        <w:t xml:space="preserve"> Office of the Victorian Government Architect (2023);</w:t>
      </w:r>
      <w:r w:rsidR="00672E91" w:rsidRPr="002A18A9">
        <w:rPr>
          <w:spacing w:val="-2"/>
        </w:rPr>
        <w:t xml:space="preserve"> OPV (2024)</w:t>
      </w:r>
      <w:r w:rsidR="0087730F" w:rsidRPr="002A18A9">
        <w:rPr>
          <w:spacing w:val="-2"/>
        </w:rPr>
        <w:t>;</w:t>
      </w:r>
      <w:r w:rsidR="00672E91" w:rsidRPr="002A18A9">
        <w:rPr>
          <w:spacing w:val="-2"/>
        </w:rPr>
        <w:t xml:space="preserve"> </w:t>
      </w:r>
      <w:r w:rsidR="001C63A7" w:rsidRPr="002A18A9">
        <w:rPr>
          <w:spacing w:val="-2"/>
        </w:rPr>
        <w:t>Public Record Office Victoria</w:t>
      </w:r>
      <w:r w:rsidR="00E73BC2" w:rsidRPr="002A18A9">
        <w:rPr>
          <w:spacing w:val="-2"/>
        </w:rPr>
        <w:t xml:space="preserve"> </w:t>
      </w:r>
      <w:r w:rsidR="001C63A7" w:rsidRPr="002A18A9">
        <w:rPr>
          <w:spacing w:val="-2"/>
        </w:rPr>
        <w:t>(2023)</w:t>
      </w:r>
      <w:r w:rsidR="00E73BC2" w:rsidRPr="002A18A9">
        <w:rPr>
          <w:spacing w:val="-2"/>
        </w:rPr>
        <w:t xml:space="preserve">; </w:t>
      </w:r>
      <w:r w:rsidR="001C63A7" w:rsidRPr="002A18A9">
        <w:rPr>
          <w:spacing w:val="-2"/>
        </w:rPr>
        <w:t>Safer Care Victoria (</w:t>
      </w:r>
      <w:r w:rsidR="004C6108" w:rsidRPr="002A18A9">
        <w:rPr>
          <w:spacing w:val="-2"/>
        </w:rPr>
        <w:t>n.d.</w:t>
      </w:r>
      <w:r w:rsidR="001C63A7" w:rsidRPr="002A18A9">
        <w:rPr>
          <w:spacing w:val="-2"/>
        </w:rPr>
        <w:t>)</w:t>
      </w:r>
      <w:r w:rsidR="00E73BC2" w:rsidRPr="002A18A9">
        <w:rPr>
          <w:spacing w:val="-2"/>
        </w:rPr>
        <w:t xml:space="preserve">; </w:t>
      </w:r>
      <w:r w:rsidR="00BE1D8A" w:rsidRPr="002A18A9">
        <w:rPr>
          <w:spacing w:val="-2"/>
        </w:rPr>
        <w:t>Victorian Government Solicitor's Office</w:t>
      </w:r>
      <w:r w:rsidR="00120DFA" w:rsidRPr="002A18A9">
        <w:rPr>
          <w:spacing w:val="-2"/>
        </w:rPr>
        <w:t xml:space="preserve"> (2021)</w:t>
      </w:r>
      <w:r w:rsidR="0087730F" w:rsidRPr="002A18A9">
        <w:rPr>
          <w:spacing w:val="-2"/>
        </w:rPr>
        <w:t>;</w:t>
      </w:r>
      <w:r w:rsidR="004D7DE3">
        <w:rPr>
          <w:spacing w:val="-2"/>
        </w:rPr>
        <w:t xml:space="preserve"> </w:t>
      </w:r>
      <w:r w:rsidR="00BE1D8A" w:rsidRPr="004D7DE3">
        <w:rPr>
          <w:spacing w:val="-2"/>
        </w:rPr>
        <w:t>Victorian Infrastructure Delivery Authority</w:t>
      </w:r>
      <w:r w:rsidR="00E73BC2" w:rsidRPr="004D7DE3">
        <w:rPr>
          <w:spacing w:val="-2"/>
        </w:rPr>
        <w:t xml:space="preserve"> (2024</w:t>
      </w:r>
      <w:r w:rsidR="004D7DE3" w:rsidRPr="004D7DE3">
        <w:rPr>
          <w:spacing w:val="-2"/>
        </w:rPr>
        <w:t>)</w:t>
      </w:r>
      <w:r w:rsidR="00C728BA" w:rsidRPr="002A18A9">
        <w:rPr>
          <w:spacing w:val="-2"/>
        </w:rPr>
        <w:t>;</w:t>
      </w:r>
      <w:r w:rsidR="00E73BC2" w:rsidRPr="002A18A9">
        <w:rPr>
          <w:spacing w:val="-2"/>
        </w:rPr>
        <w:t xml:space="preserve"> </w:t>
      </w:r>
      <w:r w:rsidR="00962706" w:rsidRPr="002A18A9">
        <w:rPr>
          <w:spacing w:val="-2"/>
        </w:rPr>
        <w:t>VPSC (2024</w:t>
      </w:r>
      <w:r w:rsidR="00D71495" w:rsidRPr="002A18A9">
        <w:rPr>
          <w:spacing w:val="-2"/>
        </w:rPr>
        <w:t>b</w:t>
      </w:r>
      <w:r w:rsidR="00962706" w:rsidRPr="002A18A9">
        <w:rPr>
          <w:spacing w:val="-2"/>
        </w:rPr>
        <w:t>)</w:t>
      </w:r>
      <w:r w:rsidR="00DD1AE2" w:rsidRPr="002A18A9">
        <w:rPr>
          <w:spacing w:val="-2"/>
        </w:rPr>
        <w:t xml:space="preserve">; </w:t>
      </w:r>
      <w:r w:rsidR="00BE1D8A" w:rsidRPr="002A18A9">
        <w:rPr>
          <w:spacing w:val="-2"/>
        </w:rPr>
        <w:t>Victorian Skills Authority (2024).</w:t>
      </w:r>
    </w:p>
    <w:p w14:paraId="2599B080" w14:textId="2A6F60C2" w:rsidR="005704EF" w:rsidRDefault="005704EF" w:rsidP="005704EF">
      <w:pPr>
        <w:pStyle w:val="04VIRTheading4"/>
      </w:pPr>
      <w:r>
        <w:t xml:space="preserve">The </w:t>
      </w:r>
      <w:r w:rsidR="0091610E">
        <w:t>VPSC</w:t>
      </w:r>
      <w:r>
        <w:t xml:space="preserve"> works to improve the performance of the public sector </w:t>
      </w:r>
    </w:p>
    <w:p w14:paraId="1414F02D" w14:textId="3C1189A5" w:rsidR="005704EF" w:rsidRDefault="005704EF" w:rsidP="005704EF">
      <w:pPr>
        <w:pStyle w:val="05Paragraph"/>
        <w:rPr>
          <w:rFonts w:cs="Calibri Light"/>
        </w:rPr>
      </w:pPr>
      <w:r>
        <w:rPr>
          <w:rFonts w:cs="Calibri Light"/>
        </w:rPr>
        <w:t>The VPSC is a statutory body established under section 37 of the PAA</w:t>
      </w:r>
      <w:r w:rsidR="00503E5D">
        <w:rPr>
          <w:rFonts w:cs="Calibri Light"/>
        </w:rPr>
        <w:t xml:space="preserve"> to </w:t>
      </w:r>
      <w:r w:rsidR="0045308C" w:rsidRPr="003E635C">
        <w:rPr>
          <w:rFonts w:cs="Calibri Light"/>
        </w:rPr>
        <w:t>strengthen the efficiency, effectiveness and capability of the public sector</w:t>
      </w:r>
      <w:r w:rsidR="0045308C">
        <w:rPr>
          <w:rFonts w:cs="Calibri Light"/>
        </w:rPr>
        <w:t xml:space="preserve"> and to promote </w:t>
      </w:r>
      <w:r w:rsidR="0045308C" w:rsidRPr="003E635C">
        <w:rPr>
          <w:rFonts w:cs="Calibri Light"/>
        </w:rPr>
        <w:t>public sector professionalism and integrity</w:t>
      </w:r>
      <w:r w:rsidR="00935463">
        <w:rPr>
          <w:rFonts w:cs="Calibri Light"/>
        </w:rPr>
        <w:t>.</w:t>
      </w:r>
      <w:r>
        <w:rPr>
          <w:rStyle w:val="FootnoteReference"/>
          <w:rFonts w:cs="Calibri Light"/>
        </w:rPr>
        <w:footnoteReference w:id="11"/>
      </w:r>
    </w:p>
    <w:p w14:paraId="78D0E732" w14:textId="5B0EFB8A" w:rsidR="005704EF" w:rsidRPr="00CA6D0A" w:rsidRDefault="00AB7920" w:rsidP="00AB7920">
      <w:pPr>
        <w:pStyle w:val="02VIRTHeading2"/>
      </w:pPr>
      <w:bookmarkStart w:id="36" w:name="_Toc169878464"/>
      <w:bookmarkStart w:id="37" w:name="_Toc170396207"/>
      <w:r>
        <w:t>1.2</w:t>
      </w:r>
      <w:r>
        <w:tab/>
      </w:r>
      <w:r w:rsidR="005704EF" w:rsidRPr="00CA6D0A">
        <w:t>The Tribunal</w:t>
      </w:r>
      <w:r w:rsidR="005704EF">
        <w:t xml:space="preserve"> considered legislative requirements</w:t>
      </w:r>
      <w:bookmarkEnd w:id="36"/>
      <w:bookmarkEnd w:id="37"/>
    </w:p>
    <w:p w14:paraId="01427283" w14:textId="77777777" w:rsidR="005704EF" w:rsidRPr="00B259F6" w:rsidRDefault="005704EF" w:rsidP="005704EF">
      <w:pPr>
        <w:pStyle w:val="05Paragraph"/>
        <w:rPr>
          <w:rFonts w:cs="Calibri Light"/>
        </w:rPr>
      </w:pPr>
      <w:r w:rsidRPr="00B259F6">
        <w:rPr>
          <w:rFonts w:cs="Calibri Light"/>
        </w:rPr>
        <w:t>The Tribunal is required to take the following matters into account in making its Determination:</w:t>
      </w:r>
      <w:r w:rsidRPr="00B259F6">
        <w:rPr>
          <w:rStyle w:val="FootnoteReference"/>
          <w:rFonts w:cs="Calibri Light"/>
        </w:rPr>
        <w:footnoteReference w:id="12"/>
      </w:r>
      <w:r w:rsidRPr="00B259F6">
        <w:rPr>
          <w:rFonts w:cs="Calibri Light"/>
        </w:rPr>
        <w:t> </w:t>
      </w:r>
    </w:p>
    <w:p w14:paraId="6D2FBD1D" w14:textId="77777777" w:rsidR="005704EF" w:rsidRPr="00B259F6" w:rsidRDefault="005704EF" w:rsidP="005704EF">
      <w:pPr>
        <w:pStyle w:val="06VIRTBulletpoints"/>
        <w:rPr>
          <w:rFonts w:cs="Calibri Light"/>
        </w:rPr>
      </w:pPr>
      <w:r w:rsidRPr="00B259F6">
        <w:rPr>
          <w:rFonts w:cs="Calibri Light"/>
        </w:rPr>
        <w:t>the roles of executives and the existing remuneration provided to executives</w:t>
      </w:r>
    </w:p>
    <w:p w14:paraId="5B770436" w14:textId="76933E22" w:rsidR="005704EF" w:rsidRPr="00B259F6" w:rsidRDefault="005704EF" w:rsidP="005704EF">
      <w:pPr>
        <w:pStyle w:val="06VIRTBulletpoints"/>
        <w:rPr>
          <w:rFonts w:cs="Calibri Light"/>
        </w:rPr>
      </w:pPr>
      <w:r w:rsidRPr="00B259F6">
        <w:rPr>
          <w:rFonts w:cs="Calibri Light"/>
        </w:rPr>
        <w:t xml:space="preserve">any statement or policy issued by the Government of Victoria which is in force with respect to its </w:t>
      </w:r>
      <w:r w:rsidR="00044ABE">
        <w:rPr>
          <w:rFonts w:cs="Calibri Light"/>
        </w:rPr>
        <w:t>w</w:t>
      </w:r>
      <w:r w:rsidRPr="00B259F6">
        <w:rPr>
          <w:rFonts w:cs="Calibri Light"/>
        </w:rPr>
        <w:t xml:space="preserve">ages </w:t>
      </w:r>
      <w:r w:rsidR="00044ABE">
        <w:rPr>
          <w:rFonts w:cs="Calibri Light"/>
        </w:rPr>
        <w:t>p</w:t>
      </w:r>
      <w:r w:rsidRPr="00B259F6">
        <w:rPr>
          <w:rFonts w:cs="Calibri Light"/>
        </w:rPr>
        <w:t>olicy (or equivalent) and the remuneration and allowances of any specified occupational group</w:t>
      </w:r>
    </w:p>
    <w:p w14:paraId="7FE9689A" w14:textId="77777777" w:rsidR="005704EF" w:rsidRPr="00B259F6" w:rsidRDefault="005704EF" w:rsidP="005704EF">
      <w:pPr>
        <w:pStyle w:val="06VIRTBulletpoints"/>
        <w:rPr>
          <w:rFonts w:cs="Calibri Light"/>
        </w:rPr>
      </w:pPr>
      <w:r w:rsidRPr="00B259F6">
        <w:rPr>
          <w:rFonts w:cs="Calibri Light"/>
        </w:rPr>
        <w:t>the financial position and fiscal strategy of the State of Victoria</w:t>
      </w:r>
    </w:p>
    <w:p w14:paraId="385EC5BF" w14:textId="77777777" w:rsidR="005704EF" w:rsidRPr="00B259F6" w:rsidRDefault="005704EF" w:rsidP="005704EF">
      <w:pPr>
        <w:pStyle w:val="06VIRTBulletpoints"/>
        <w:rPr>
          <w:rFonts w:cs="Calibri Light"/>
        </w:rPr>
      </w:pPr>
      <w:r w:rsidRPr="00B259F6">
        <w:rPr>
          <w:rFonts w:cs="Calibri Light"/>
        </w:rPr>
        <w:t xml:space="preserve">current and projected economic conditions and trends </w:t>
      </w:r>
    </w:p>
    <w:p w14:paraId="26D4F626" w14:textId="77777777" w:rsidR="005704EF" w:rsidRPr="00B259F6" w:rsidRDefault="005704EF" w:rsidP="005704EF">
      <w:pPr>
        <w:pStyle w:val="06VIRTBulletpoints"/>
        <w:rPr>
          <w:rFonts w:cs="Calibri Light"/>
        </w:rPr>
      </w:pPr>
      <w:r w:rsidRPr="00B259F6">
        <w:rPr>
          <w:rFonts w:cs="Calibri Light"/>
        </w:rPr>
        <w:t>submissions received in relation to the proposed Determination.</w:t>
      </w:r>
    </w:p>
    <w:p w14:paraId="52F3C767" w14:textId="77777777" w:rsidR="005704EF" w:rsidRPr="00B259F6" w:rsidRDefault="005704EF" w:rsidP="005704EF">
      <w:pPr>
        <w:pStyle w:val="05Paragraph"/>
        <w:rPr>
          <w:rFonts w:cs="Calibri Light"/>
        </w:rPr>
      </w:pPr>
      <w:r w:rsidRPr="00B259F6">
        <w:rPr>
          <w:rFonts w:cs="Calibri Light"/>
        </w:rPr>
        <w:t>The Tribunal may also provide for any other matter it considers relevant.</w:t>
      </w:r>
      <w:r w:rsidRPr="00B259F6">
        <w:rPr>
          <w:rStyle w:val="FootnoteReference"/>
          <w:rFonts w:cs="Calibri Light"/>
        </w:rPr>
        <w:footnoteReference w:id="13"/>
      </w:r>
      <w:r w:rsidRPr="00B259F6">
        <w:rPr>
          <w:rFonts w:cs="Calibri Light"/>
        </w:rPr>
        <w:t xml:space="preserve"> </w:t>
      </w:r>
    </w:p>
    <w:p w14:paraId="6D358BB6" w14:textId="102BA2E3" w:rsidR="005704EF" w:rsidRDefault="00AB7920" w:rsidP="00AB7920">
      <w:pPr>
        <w:pStyle w:val="02VIRTHeading2"/>
      </w:pPr>
      <w:bookmarkStart w:id="38" w:name="_Toc169878465"/>
      <w:bookmarkStart w:id="39" w:name="_Toc170396208"/>
      <w:r>
        <w:lastRenderedPageBreak/>
        <w:t>1.3</w:t>
      </w:r>
      <w:r>
        <w:tab/>
      </w:r>
      <w:r w:rsidR="005704EF">
        <w:t>The Tribunal updated its Guidelines for placement of executives within the bands</w:t>
      </w:r>
      <w:bookmarkEnd w:id="38"/>
      <w:bookmarkEnd w:id="39"/>
    </w:p>
    <w:p w14:paraId="3A3DC864" w14:textId="77777777" w:rsidR="005704EF" w:rsidRDefault="005704EF" w:rsidP="005704EF">
      <w:pPr>
        <w:pStyle w:val="05Paragraph"/>
        <w:rPr>
          <w:rFonts w:cs="Calibri Light"/>
        </w:rPr>
      </w:pPr>
      <w:r w:rsidRPr="00B259F6">
        <w:rPr>
          <w:rFonts w:cs="Calibri Light"/>
        </w:rPr>
        <w:t>In addition to being required to make Determinations of remuneration bands for executives, the Tribunal may also make guidelines for or with respect to the placement of executives within the remuneration bands set by a Determination.</w:t>
      </w:r>
      <w:r w:rsidRPr="00B259F6">
        <w:rPr>
          <w:rStyle w:val="FootnoteReference"/>
          <w:rFonts w:cs="Calibri Light"/>
        </w:rPr>
        <w:footnoteReference w:id="14"/>
      </w:r>
    </w:p>
    <w:p w14:paraId="6F3D8728" w14:textId="0FE7EBD2" w:rsidR="005704EF" w:rsidRDefault="005704EF" w:rsidP="005704EF">
      <w:pPr>
        <w:pStyle w:val="05Paragraph"/>
        <w:rPr>
          <w:rFonts w:cs="Calibri Light"/>
        </w:rPr>
      </w:pPr>
      <w:r>
        <w:rPr>
          <w:rFonts w:cs="Calibri Light"/>
        </w:rPr>
        <w:t xml:space="preserve">The Tribunal’s original guidelines were made in May 2020, and the Tribunal has issued updated guidelines – the </w:t>
      </w:r>
      <w:r w:rsidRPr="000B1905">
        <w:rPr>
          <w:rFonts w:cs="Calibri Light"/>
          <w:i/>
          <w:iCs/>
        </w:rPr>
        <w:t>Victorian Public Service Executive Remuneration Guidelines</w:t>
      </w:r>
      <w:r>
        <w:rPr>
          <w:rFonts w:cs="Calibri Light"/>
        </w:rPr>
        <w:t xml:space="preserve"> (VPS Guidelines). </w:t>
      </w:r>
    </w:p>
    <w:p w14:paraId="2676F9C7" w14:textId="2F2D41FF" w:rsidR="005704EF" w:rsidRPr="00B259F6" w:rsidRDefault="005704EF" w:rsidP="005704EF">
      <w:pPr>
        <w:pStyle w:val="05Paragraph"/>
        <w:rPr>
          <w:rFonts w:cs="Calibri Light"/>
        </w:rPr>
      </w:pPr>
      <w:r>
        <w:rPr>
          <w:rFonts w:cs="Calibri Light"/>
        </w:rPr>
        <w:t>The VPS Guidelines complement th</w:t>
      </w:r>
      <w:r w:rsidR="00177903">
        <w:rPr>
          <w:rFonts w:cs="Calibri Light"/>
        </w:rPr>
        <w:t>is</w:t>
      </w:r>
      <w:r>
        <w:rPr>
          <w:rFonts w:cs="Calibri Light"/>
        </w:rPr>
        <w:t xml:space="preserve"> Determination by assisting public service employers to identify and consider relevant factors when setting and reviewing the remuneration for an executive position.</w:t>
      </w:r>
    </w:p>
    <w:p w14:paraId="3D58FEAA" w14:textId="2198F89D" w:rsidR="005704EF" w:rsidRPr="000E1117" w:rsidRDefault="00AB7920" w:rsidP="00AB7920">
      <w:pPr>
        <w:pStyle w:val="02VIRTHeading2"/>
      </w:pPr>
      <w:bookmarkStart w:id="40" w:name="_Toc169878466"/>
      <w:bookmarkStart w:id="41" w:name="_Toc170396209"/>
      <w:r>
        <w:t>1.4</w:t>
      </w:r>
      <w:r>
        <w:tab/>
      </w:r>
      <w:r w:rsidR="005704EF">
        <w:t>The Tribunal undertook extensive consultation</w:t>
      </w:r>
      <w:bookmarkEnd w:id="40"/>
      <w:bookmarkEnd w:id="41"/>
    </w:p>
    <w:p w14:paraId="1A2EA284" w14:textId="77777777" w:rsidR="005704EF" w:rsidRPr="00B259F6" w:rsidRDefault="005704EF" w:rsidP="005704EF">
      <w:pPr>
        <w:pStyle w:val="05Paragraph"/>
        <w:rPr>
          <w:rFonts w:cs="Calibri Light"/>
        </w:rPr>
      </w:pPr>
      <w:r w:rsidRPr="00B259F6">
        <w:rPr>
          <w:rFonts w:cs="Calibri Light"/>
        </w:rPr>
        <w:t>Pursuant to section 24(1) of the VIRTIPS Act, and before making the Determination, the Tribunal:</w:t>
      </w:r>
    </w:p>
    <w:p w14:paraId="0A1D64DE" w14:textId="77777777" w:rsidR="005704EF" w:rsidRPr="00B259F6" w:rsidRDefault="005704EF" w:rsidP="005704EF">
      <w:pPr>
        <w:pStyle w:val="06VIRTBulletpoints"/>
        <w:rPr>
          <w:rFonts w:cs="Calibri Light"/>
        </w:rPr>
      </w:pPr>
      <w:r w:rsidRPr="00B259F6">
        <w:rPr>
          <w:rFonts w:cs="Calibri Light"/>
        </w:rPr>
        <w:t>published a notice of its intention to make a Determination on its website on 1</w:t>
      </w:r>
      <w:r>
        <w:rPr>
          <w:rFonts w:cs="Calibri Light"/>
        </w:rPr>
        <w:t> </w:t>
      </w:r>
      <w:r w:rsidRPr="00B259F6">
        <w:rPr>
          <w:rFonts w:cs="Calibri Light"/>
        </w:rPr>
        <w:t>December 2023, including details about the proposed Determination</w:t>
      </w:r>
    </w:p>
    <w:p w14:paraId="24B353FE" w14:textId="77777777" w:rsidR="005704EF" w:rsidRDefault="005704EF" w:rsidP="005704EF">
      <w:pPr>
        <w:pStyle w:val="06VIRTBulletpoints"/>
        <w:rPr>
          <w:rFonts w:cs="Calibri Light"/>
        </w:rPr>
      </w:pPr>
      <w:r w:rsidRPr="00B259F6">
        <w:rPr>
          <w:rFonts w:cs="Calibri Light"/>
        </w:rPr>
        <w:t xml:space="preserve">gave any affected person or a class of affected persons a reasonable opportunity to make a submission in relation to the proposed Determination. </w:t>
      </w:r>
    </w:p>
    <w:p w14:paraId="0EAA0BB9" w14:textId="77777777" w:rsidR="005704EF" w:rsidRPr="00B259F6" w:rsidRDefault="005704EF" w:rsidP="009C112A">
      <w:pPr>
        <w:pStyle w:val="05Paragraph"/>
      </w:pPr>
      <w:r w:rsidRPr="00A827D4">
        <w:t>The Tribunal has carefully considered the submissions it received in making its Determination and expresses its appreciation to those who made submissions and otherwise contributed to the Tribunal’s work.</w:t>
      </w:r>
    </w:p>
    <w:p w14:paraId="2C906085" w14:textId="77777777" w:rsidR="005704EF" w:rsidRDefault="005704EF" w:rsidP="005704EF">
      <w:pPr>
        <w:pStyle w:val="03VIRTHeading3"/>
      </w:pPr>
      <w:r>
        <w:t>The Tribunal’s notice of intention invited stakeholder views</w:t>
      </w:r>
    </w:p>
    <w:p w14:paraId="39D39D84" w14:textId="77777777" w:rsidR="005704EF" w:rsidRPr="00B259F6" w:rsidRDefault="005704EF" w:rsidP="005704EF">
      <w:pPr>
        <w:pStyle w:val="05Paragraph"/>
        <w:keepNext/>
        <w:rPr>
          <w:rFonts w:cs="Calibri Light"/>
        </w:rPr>
      </w:pPr>
      <w:r w:rsidRPr="00B259F6">
        <w:rPr>
          <w:rFonts w:cs="Calibri Light"/>
        </w:rPr>
        <w:t>The notice of intention invited stakeholder views about:</w:t>
      </w:r>
    </w:p>
    <w:p w14:paraId="064EAA92" w14:textId="77777777" w:rsidR="005704EF" w:rsidRPr="00B259F6" w:rsidRDefault="005704EF" w:rsidP="005704EF">
      <w:pPr>
        <w:pStyle w:val="06VIRTBulletpoints"/>
        <w:rPr>
          <w:rFonts w:cs="Calibri Light"/>
        </w:rPr>
      </w:pPr>
      <w:r w:rsidRPr="00B259F6">
        <w:rPr>
          <w:rFonts w:cs="Calibri Light"/>
        </w:rPr>
        <w:t>how the role of the VPS, and of executives, has changed since 2020</w:t>
      </w:r>
    </w:p>
    <w:p w14:paraId="12F25FCF" w14:textId="77777777" w:rsidR="005704EF" w:rsidRPr="00B259F6" w:rsidRDefault="005704EF" w:rsidP="005704EF">
      <w:pPr>
        <w:pStyle w:val="06VIRTBulletpoints"/>
        <w:rPr>
          <w:rFonts w:cs="Calibri Light"/>
        </w:rPr>
      </w:pPr>
      <w:r w:rsidRPr="00B259F6">
        <w:rPr>
          <w:rFonts w:cs="Calibri Light"/>
        </w:rPr>
        <w:lastRenderedPageBreak/>
        <w:t>whether the values of the existing remuneration bands are competitive in terms of attracting and retaining executive talent</w:t>
      </w:r>
    </w:p>
    <w:p w14:paraId="77524796" w14:textId="77777777" w:rsidR="005704EF" w:rsidRPr="00B259F6" w:rsidRDefault="005704EF" w:rsidP="005704EF">
      <w:pPr>
        <w:pStyle w:val="06VIRTBulletpoints"/>
        <w:rPr>
          <w:rFonts w:cs="Calibri Light"/>
        </w:rPr>
      </w:pPr>
      <w:r w:rsidRPr="00B259F6">
        <w:rPr>
          <w:rFonts w:cs="Calibri Light"/>
        </w:rPr>
        <w:t>whether the values of the existing remuneration bands are fair and equitable for employers and executives</w:t>
      </w:r>
    </w:p>
    <w:p w14:paraId="2A9138F5" w14:textId="77777777" w:rsidR="005704EF" w:rsidRPr="00B259F6" w:rsidRDefault="005704EF" w:rsidP="005704EF">
      <w:pPr>
        <w:pStyle w:val="06VIRTBulletpoints"/>
        <w:rPr>
          <w:rFonts w:cs="Calibri Light"/>
        </w:rPr>
      </w:pPr>
      <w:r w:rsidRPr="00B259F6">
        <w:rPr>
          <w:rFonts w:cs="Calibri Light"/>
        </w:rPr>
        <w:t>an appropriate market positioning for executives against the broader market</w:t>
      </w:r>
    </w:p>
    <w:p w14:paraId="2042E566" w14:textId="77777777" w:rsidR="005704EF" w:rsidRPr="00B259F6" w:rsidRDefault="005704EF" w:rsidP="005704EF">
      <w:pPr>
        <w:pStyle w:val="06VIRTBulletpoints"/>
        <w:rPr>
          <w:rFonts w:cs="Calibri Light"/>
        </w:rPr>
      </w:pPr>
      <w:r w:rsidRPr="00B259F6">
        <w:rPr>
          <w:rFonts w:cs="Calibri Light"/>
        </w:rPr>
        <w:t>whether the difference in remuneration levels for non-executives and executives is appropriate</w:t>
      </w:r>
    </w:p>
    <w:p w14:paraId="41673E17" w14:textId="77777777" w:rsidR="005704EF" w:rsidRPr="00FA6969" w:rsidRDefault="005704EF" w:rsidP="005704EF">
      <w:pPr>
        <w:pStyle w:val="06VIRTBulletpoints"/>
        <w:rPr>
          <w:rFonts w:cs="Calibri Light"/>
          <w:spacing w:val="-4"/>
        </w:rPr>
      </w:pPr>
      <w:r w:rsidRPr="00FA6969">
        <w:rPr>
          <w:rFonts w:cs="Calibri Light"/>
          <w:spacing w:val="-4"/>
        </w:rPr>
        <w:t>whether the values of the existing remuneration bands aligned with government policies in relation to gender equality and broader diversity objectives</w:t>
      </w:r>
    </w:p>
    <w:p w14:paraId="30C5CF80" w14:textId="77777777" w:rsidR="005704EF" w:rsidRPr="00B259F6" w:rsidRDefault="005704EF" w:rsidP="005704EF">
      <w:pPr>
        <w:pStyle w:val="06VIRTBulletpoints"/>
        <w:rPr>
          <w:rFonts w:cs="Calibri Light"/>
        </w:rPr>
      </w:pPr>
      <w:r w:rsidRPr="00B259F6">
        <w:rPr>
          <w:rFonts w:cs="Calibri Light"/>
        </w:rPr>
        <w:t>the non-financial aspects of working as an executive in the VPS, that is, the employee value proposition</w:t>
      </w:r>
    </w:p>
    <w:p w14:paraId="2FB61E7E" w14:textId="77777777" w:rsidR="005704EF" w:rsidRPr="00B259F6" w:rsidRDefault="005704EF" w:rsidP="005704EF">
      <w:pPr>
        <w:pStyle w:val="06VIRTBulletpoints"/>
        <w:rPr>
          <w:rFonts w:cs="Calibri Light"/>
        </w:rPr>
      </w:pPr>
      <w:r w:rsidRPr="00B259F6">
        <w:rPr>
          <w:rFonts w:cs="Calibri Light"/>
        </w:rPr>
        <w:t xml:space="preserve">whether the Tribunal’s guidelines for placement of executives within the relevant remuneration band are fit-for-purpose </w:t>
      </w:r>
    </w:p>
    <w:p w14:paraId="78BC9C11" w14:textId="77777777" w:rsidR="005704EF" w:rsidRPr="00B259F6" w:rsidRDefault="005704EF" w:rsidP="005704EF">
      <w:pPr>
        <w:pStyle w:val="06VIRTBulletpoints"/>
        <w:rPr>
          <w:rFonts w:cs="Calibri Light"/>
        </w:rPr>
      </w:pPr>
      <w:r w:rsidRPr="00B259F6">
        <w:rPr>
          <w:rFonts w:cs="Calibri Light"/>
        </w:rPr>
        <w:t>any other matters the Tribunal should consider as part of its deliberations.</w:t>
      </w:r>
    </w:p>
    <w:p w14:paraId="2A08BE3C" w14:textId="6EC11AE5" w:rsidR="005704EF" w:rsidRDefault="005704EF" w:rsidP="005704EF">
      <w:pPr>
        <w:pStyle w:val="05Paragraph"/>
        <w:rPr>
          <w:rFonts w:cs="Calibri Light"/>
        </w:rPr>
      </w:pPr>
      <w:r w:rsidRPr="00B259F6">
        <w:rPr>
          <w:rFonts w:cs="Calibri Light"/>
        </w:rPr>
        <w:t xml:space="preserve">Written submissions closed on 1 March 2024. </w:t>
      </w:r>
      <w:r>
        <w:rPr>
          <w:rFonts w:cs="Calibri Light"/>
        </w:rPr>
        <w:t>The Tribunal received submissions from the</w:t>
      </w:r>
      <w:r w:rsidRPr="00A14544">
        <w:rPr>
          <w:rFonts w:cs="Calibri Light"/>
        </w:rPr>
        <w:t xml:space="preserve"> Commission for Gender Equality in the Public Sector</w:t>
      </w:r>
      <w:r>
        <w:rPr>
          <w:rStyle w:val="normaltextrun"/>
          <w:rFonts w:cs="Calibri Light"/>
          <w:color w:val="000000"/>
          <w:szCs w:val="26"/>
        </w:rPr>
        <w:t xml:space="preserve">, the Victorian Secretaries Board </w:t>
      </w:r>
      <w:r w:rsidR="00045E33">
        <w:rPr>
          <w:rStyle w:val="normaltextrun"/>
          <w:rFonts w:cs="Calibri Light"/>
          <w:color w:val="000000"/>
          <w:szCs w:val="26"/>
        </w:rPr>
        <w:t xml:space="preserve">(VSB) </w:t>
      </w:r>
      <w:r>
        <w:rPr>
          <w:rStyle w:val="normaltextrun"/>
          <w:rFonts w:cs="Calibri Light"/>
          <w:color w:val="000000"/>
          <w:szCs w:val="26"/>
        </w:rPr>
        <w:t xml:space="preserve">and </w:t>
      </w:r>
      <w:r>
        <w:rPr>
          <w:rFonts w:cs="Calibri Light"/>
        </w:rPr>
        <w:t>t</w:t>
      </w:r>
      <w:r w:rsidRPr="007822D9">
        <w:rPr>
          <w:rFonts w:cs="Calibri Light"/>
        </w:rPr>
        <w:t>he</w:t>
      </w:r>
      <w:r w:rsidRPr="00A14544">
        <w:t xml:space="preserve"> </w:t>
      </w:r>
      <w:r w:rsidRPr="00A14544">
        <w:rPr>
          <w:rFonts w:cs="Calibri Light"/>
        </w:rPr>
        <w:t>V</w:t>
      </w:r>
      <w:r w:rsidR="00213C2F">
        <w:rPr>
          <w:rFonts w:cs="Calibri Light"/>
        </w:rPr>
        <w:t>PSC</w:t>
      </w:r>
      <w:r>
        <w:rPr>
          <w:rFonts w:cs="Calibri Light"/>
        </w:rPr>
        <w:t>.</w:t>
      </w:r>
      <w:r w:rsidR="00F85871">
        <w:rPr>
          <w:rFonts w:cs="Calibri Light"/>
        </w:rPr>
        <w:t xml:space="preserve"> Where permission has been given by the submitter, a submission is published on the Tribunal’s website.</w:t>
      </w:r>
    </w:p>
    <w:p w14:paraId="2C76DCBD" w14:textId="77777777" w:rsidR="005704EF" w:rsidRPr="003444E2" w:rsidRDefault="005704EF" w:rsidP="005704EF">
      <w:pPr>
        <w:pStyle w:val="03VIRTHeading3"/>
        <w:rPr>
          <w:spacing w:val="-8"/>
        </w:rPr>
      </w:pPr>
      <w:r w:rsidRPr="003444E2">
        <w:rPr>
          <w:spacing w:val="-8"/>
        </w:rPr>
        <w:t>The Tribunal invited executives to participate via a questionnaire</w:t>
      </w:r>
    </w:p>
    <w:p w14:paraId="66FF0970" w14:textId="77777777" w:rsidR="005704EF" w:rsidRDefault="005704EF" w:rsidP="005704EF">
      <w:pPr>
        <w:pStyle w:val="05Paragraph"/>
        <w:rPr>
          <w:rFonts w:cs="Calibri Light"/>
        </w:rPr>
      </w:pPr>
      <w:r w:rsidRPr="00B259F6">
        <w:rPr>
          <w:rFonts w:cs="Calibri Light"/>
        </w:rPr>
        <w:t xml:space="preserve">The Tribunal also invited 1,665 executives employed in public service bodies to make a submission via an online questionnaire. The questionnaire helped the Tribunal to better understand the roles and responsibilities of executives, their career intentions and their views on the level and structure of the remuneration bands. The Tribunal received 628 responses to the questionnaire, representing approximately 38 per cent of all executives within the scope of the Determination. A summary of the responses to the executive questionnaire is </w:t>
      </w:r>
      <w:r w:rsidRPr="00EB45AB">
        <w:rPr>
          <w:rFonts w:cs="Calibri Light"/>
        </w:rPr>
        <w:t>at Appendix A.</w:t>
      </w:r>
    </w:p>
    <w:p w14:paraId="5B94188E" w14:textId="08D6D23C" w:rsidR="000B5528" w:rsidRPr="000B5528" w:rsidRDefault="001D278B" w:rsidP="005E2B43">
      <w:pPr>
        <w:pStyle w:val="02VIRTHeading2"/>
      </w:pPr>
      <w:bookmarkStart w:id="42" w:name="_Toc169878467"/>
      <w:bookmarkStart w:id="43" w:name="_Toc170396210"/>
      <w:r>
        <w:t>1.5</w:t>
      </w:r>
      <w:r>
        <w:tab/>
      </w:r>
      <w:r w:rsidR="000B5528">
        <w:t>Acknowledgement</w:t>
      </w:r>
      <w:bookmarkEnd w:id="42"/>
      <w:bookmarkEnd w:id="43"/>
    </w:p>
    <w:p w14:paraId="1A0C100B" w14:textId="0F767246" w:rsidR="00B1165D" w:rsidRDefault="000B5528" w:rsidP="008478FE">
      <w:pPr>
        <w:pStyle w:val="05Paragraph"/>
      </w:pPr>
      <w:r w:rsidRPr="000B5528">
        <w:rPr>
          <w:rFonts w:cs="Calibri Light"/>
        </w:rPr>
        <w:t>The Tribunal would like to express its appreciation to the Honourable</w:t>
      </w:r>
      <w:r w:rsidR="00EC012E">
        <w:rPr>
          <w:rFonts w:cs="Calibri Light"/>
        </w:rPr>
        <w:t> </w:t>
      </w:r>
      <w:r w:rsidRPr="000B5528">
        <w:rPr>
          <w:rFonts w:cs="Calibri Light"/>
        </w:rPr>
        <w:t>Jennifer</w:t>
      </w:r>
      <w:r w:rsidR="00EC012E">
        <w:rPr>
          <w:rFonts w:cs="Calibri Light"/>
        </w:rPr>
        <w:t> </w:t>
      </w:r>
      <w:r w:rsidRPr="000B5528">
        <w:rPr>
          <w:rFonts w:cs="Calibri Light"/>
        </w:rPr>
        <w:t xml:space="preserve">Acton who </w:t>
      </w:r>
      <w:r w:rsidR="005D329E">
        <w:rPr>
          <w:rFonts w:cs="Calibri Light"/>
        </w:rPr>
        <w:t>served</w:t>
      </w:r>
      <w:r w:rsidRPr="000B5528">
        <w:rPr>
          <w:rFonts w:cs="Calibri Light"/>
        </w:rPr>
        <w:t xml:space="preserve"> as </w:t>
      </w:r>
      <w:r w:rsidR="005D329E">
        <w:rPr>
          <w:rFonts w:cs="Calibri Light"/>
        </w:rPr>
        <w:t xml:space="preserve">a </w:t>
      </w:r>
      <w:r w:rsidRPr="000B5528">
        <w:rPr>
          <w:rFonts w:cs="Calibri Light"/>
        </w:rPr>
        <w:t xml:space="preserve">Tribunal Member </w:t>
      </w:r>
      <w:r w:rsidR="005D329E">
        <w:rPr>
          <w:rFonts w:cs="Calibri Light"/>
        </w:rPr>
        <w:t>until 3</w:t>
      </w:r>
      <w:r w:rsidRPr="000B5528">
        <w:rPr>
          <w:rFonts w:cs="Calibri Light"/>
        </w:rPr>
        <w:t xml:space="preserve"> June 2024. Jennifer was an inaugural member of the Tribunal, having been appointed to the role </w:t>
      </w:r>
      <w:r w:rsidR="00AA0AE5">
        <w:rPr>
          <w:rFonts w:cs="Calibri Light"/>
        </w:rPr>
        <w:t>on 4</w:t>
      </w:r>
      <w:r w:rsidR="000F5AD5">
        <w:rPr>
          <w:rFonts w:cs="Calibri Light"/>
        </w:rPr>
        <w:t> </w:t>
      </w:r>
      <w:r w:rsidRPr="000B5528">
        <w:rPr>
          <w:rFonts w:cs="Calibri Light"/>
        </w:rPr>
        <w:t>June</w:t>
      </w:r>
      <w:r w:rsidR="000F5AD5">
        <w:rPr>
          <w:rFonts w:cs="Calibri Light"/>
        </w:rPr>
        <w:t> </w:t>
      </w:r>
      <w:r w:rsidRPr="000B5528">
        <w:rPr>
          <w:rFonts w:cs="Calibri Light"/>
        </w:rPr>
        <w:t>2019. The Tribunal thanks Jennifer for her many contributions as a Tribunal Member, including to this Determination, and wishes her all the best in her future endeavours.</w:t>
      </w:r>
      <w:bookmarkEnd w:id="27"/>
      <w:bookmarkEnd w:id="28"/>
      <w:bookmarkEnd w:id="29"/>
      <w:bookmarkEnd w:id="32"/>
      <w:r w:rsidR="003444E2">
        <w:rPr>
          <w:rFonts w:cs="Calibri Light"/>
        </w:rPr>
        <w:t xml:space="preserve"> </w:t>
      </w:r>
      <w:r w:rsidR="00B1165D">
        <w:br w:type="page"/>
      </w:r>
    </w:p>
    <w:p w14:paraId="24EEC14B" w14:textId="493CF8F8" w:rsidR="00B1165D" w:rsidRPr="00912DEC" w:rsidRDefault="00B1165D" w:rsidP="00F33ED6">
      <w:pPr>
        <w:pStyle w:val="01Chapterheading"/>
      </w:pPr>
      <w:bookmarkStart w:id="44" w:name="_Toc169878468"/>
      <w:bookmarkStart w:id="45" w:name="_Toc170396211"/>
      <w:r w:rsidRPr="00B1165D">
        <w:lastRenderedPageBreak/>
        <w:t>2</w:t>
      </w:r>
      <w:r w:rsidR="00912DEC">
        <w:tab/>
      </w:r>
      <w:r w:rsidRPr="00B1165D">
        <w:t>Roles of VPS executives</w:t>
      </w:r>
      <w:r w:rsidR="00912DEC" w:rsidRPr="006154BC">
        <w:br/>
      </w:r>
      <w:r w:rsidR="00912DEC" w:rsidRPr="00C02C39">
        <w:rPr>
          <w:noProof/>
        </w:rPr>
        <w:drawing>
          <wp:inline distT="0" distB="0" distL="0" distR="0" wp14:anchorId="4C6537FA" wp14:editId="62214A29">
            <wp:extent cx="2222500" cy="253365"/>
            <wp:effectExtent l="0" t="0" r="6350" b="0"/>
            <wp:docPr id="94055383" name="Picture 9405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23">
                      <a:extLst>
                        <a:ext uri="{28A0092B-C50C-407E-A947-70E740481C1C}">
                          <a14:useLocalDpi xmlns:a14="http://schemas.microsoft.com/office/drawing/2010/main" val="0"/>
                        </a:ext>
                      </a:extLst>
                    </a:blip>
                    <a:stretch>
                      <a:fillRect/>
                    </a:stretch>
                  </pic:blipFill>
                  <pic:spPr>
                    <a:xfrm>
                      <a:off x="0" y="0"/>
                      <a:ext cx="2222500" cy="253365"/>
                    </a:xfrm>
                    <a:prstGeom prst="rect">
                      <a:avLst/>
                    </a:prstGeom>
                  </pic:spPr>
                </pic:pic>
              </a:graphicData>
            </a:graphic>
          </wp:inline>
        </w:drawing>
      </w:r>
      <w:bookmarkEnd w:id="44"/>
      <w:bookmarkEnd w:id="45"/>
    </w:p>
    <w:p w14:paraId="767A3355" w14:textId="77777777" w:rsidR="00B1165D" w:rsidRPr="00B1165D" w:rsidRDefault="00B1165D" w:rsidP="006B3C23">
      <w:pPr>
        <w:pStyle w:val="05Paragraph"/>
        <w:rPr>
          <w:rFonts w:eastAsia="Calibri" w:cs="Calibri Light"/>
          <w:noProof/>
          <w:color w:val="000000"/>
          <w:szCs w:val="26"/>
        </w:rPr>
      </w:pPr>
      <w:r w:rsidRPr="006B3C23">
        <w:t>In making this Determination, the Tribunal considered the role of executives employed in public service bodies and how those roles have changed since its 2020 VPS Determination.</w:t>
      </w:r>
      <w:r w:rsidRPr="00B1165D">
        <w:rPr>
          <w:rFonts w:eastAsia="Calibri" w:cs="Calibri Light"/>
          <w:noProof/>
          <w:color w:val="000000"/>
          <w:szCs w:val="26"/>
          <w:vertAlign w:val="superscript"/>
        </w:rPr>
        <w:footnoteReference w:id="15"/>
      </w:r>
    </w:p>
    <w:p w14:paraId="491042F5" w14:textId="77777777" w:rsidR="00B1165D" w:rsidRPr="00B1165D" w:rsidRDefault="00B1165D" w:rsidP="00B1165D">
      <w:pPr>
        <w:spacing w:after="0"/>
        <w:rPr>
          <w:rFonts w:eastAsia="Calibri" w:cs="Calibri Light"/>
          <w:noProof/>
          <w:color w:val="000000"/>
          <w:szCs w:val="26"/>
        </w:rPr>
      </w:pPr>
      <w:r w:rsidRPr="00B1165D">
        <w:rPr>
          <w:rFonts w:eastAsia="Calibri" w:cs="Calibri Light"/>
          <w:noProof/>
          <w:color w:val="000000"/>
          <w:szCs w:val="26"/>
        </w:rPr>
        <w:t>Briefly stated, the role of the VPS is to support the government of the day to deliver its agenda.</w:t>
      </w:r>
      <w:r w:rsidRPr="00B1165D">
        <w:rPr>
          <w:rFonts w:eastAsia="Calibri" w:cs="Calibri Light"/>
          <w:noProof/>
          <w:color w:val="000000"/>
          <w:szCs w:val="26"/>
          <w:vertAlign w:val="superscript"/>
        </w:rPr>
        <w:footnoteReference w:id="16"/>
      </w:r>
      <w:r w:rsidRPr="00B1165D">
        <w:rPr>
          <w:rFonts w:eastAsia="Calibri" w:cs="Calibri Light"/>
          <w:noProof/>
          <w:color w:val="000000"/>
          <w:szCs w:val="26"/>
        </w:rPr>
        <w:t xml:space="preserve"> In accordance with the PAA and the Code of Conduct for Victorian Public Sector Employees, the VPS:</w:t>
      </w:r>
    </w:p>
    <w:p w14:paraId="0FE58D3E" w14:textId="77777777" w:rsidR="00B1165D" w:rsidRPr="00B1165D" w:rsidRDefault="00B1165D" w:rsidP="004770E0">
      <w:pPr>
        <w:pStyle w:val="06VIRTBulletpoints"/>
        <w:rPr>
          <w:noProof/>
        </w:rPr>
      </w:pPr>
      <w:r w:rsidRPr="00B1165D">
        <w:rPr>
          <w:noProof/>
        </w:rPr>
        <w:t>is professional and apolitical</w:t>
      </w:r>
    </w:p>
    <w:p w14:paraId="74684E00" w14:textId="77777777" w:rsidR="00B1165D" w:rsidRPr="00B1165D" w:rsidRDefault="00B1165D" w:rsidP="004770E0">
      <w:pPr>
        <w:pStyle w:val="06VIRTBulletpoints"/>
        <w:rPr>
          <w:noProof/>
        </w:rPr>
      </w:pPr>
      <w:r w:rsidRPr="00B1165D">
        <w:rPr>
          <w:noProof/>
        </w:rPr>
        <w:t>provides frank and impartial advice to support government decision-making</w:t>
      </w:r>
    </w:p>
    <w:p w14:paraId="608544F8" w14:textId="77777777" w:rsidR="00B1165D" w:rsidRPr="00B1165D" w:rsidRDefault="00B1165D" w:rsidP="004770E0">
      <w:pPr>
        <w:pStyle w:val="06VIRTBulletpoints"/>
        <w:rPr>
          <w:noProof/>
        </w:rPr>
      </w:pPr>
      <w:r w:rsidRPr="00B1165D">
        <w:rPr>
          <w:noProof/>
        </w:rPr>
        <w:t>implements government decisions.</w:t>
      </w:r>
    </w:p>
    <w:p w14:paraId="73B3B861" w14:textId="77777777" w:rsidR="00B1165D" w:rsidRPr="00B1165D" w:rsidRDefault="00B1165D" w:rsidP="00545069">
      <w:pPr>
        <w:pStyle w:val="05Paragraph"/>
        <w:rPr>
          <w:noProof/>
        </w:rPr>
      </w:pPr>
      <w:r w:rsidRPr="00B1165D">
        <w:rPr>
          <w:noProof/>
        </w:rPr>
        <w:t>VPS executives — public service body Heads and the SES — are responsible for the leadership and stewardship of the public service.</w:t>
      </w:r>
      <w:r w:rsidRPr="00B1165D">
        <w:rPr>
          <w:noProof/>
          <w:vertAlign w:val="superscript"/>
        </w:rPr>
        <w:footnoteReference w:id="17"/>
      </w:r>
    </w:p>
    <w:p w14:paraId="50B55CB8" w14:textId="27C2CD60" w:rsidR="00B1165D" w:rsidRPr="00B1165D" w:rsidRDefault="009B2230" w:rsidP="00545069">
      <w:pPr>
        <w:pStyle w:val="02VIRTHeading2"/>
      </w:pPr>
      <w:bookmarkStart w:id="46" w:name="_Toc169878469"/>
      <w:bookmarkStart w:id="47" w:name="_Toc170396212"/>
      <w:r>
        <w:t>2.1</w:t>
      </w:r>
      <w:r>
        <w:tab/>
      </w:r>
      <w:r w:rsidR="00B1165D" w:rsidRPr="00B1165D">
        <w:t>Public service body Heads have specific obligations and responsibilities</w:t>
      </w:r>
      <w:bookmarkEnd w:id="46"/>
      <w:bookmarkEnd w:id="47"/>
    </w:p>
    <w:p w14:paraId="58B2E5DE" w14:textId="77777777" w:rsidR="00B1165D" w:rsidRPr="00B1165D" w:rsidRDefault="00B1165D" w:rsidP="00705EAC">
      <w:pPr>
        <w:pStyle w:val="05Paragraph"/>
        <w:rPr>
          <w:noProof/>
        </w:rPr>
      </w:pPr>
      <w:r w:rsidRPr="00B1165D">
        <w:rPr>
          <w:noProof/>
        </w:rPr>
        <w:t>A public service body Head can be the head of:</w:t>
      </w:r>
      <w:r w:rsidRPr="00B1165D">
        <w:rPr>
          <w:noProof/>
          <w:vertAlign w:val="superscript"/>
        </w:rPr>
        <w:footnoteReference w:id="18"/>
      </w:r>
    </w:p>
    <w:p w14:paraId="62296C7C" w14:textId="77777777" w:rsidR="00B1165D" w:rsidRPr="00B1165D" w:rsidRDefault="00B1165D" w:rsidP="004770E0">
      <w:pPr>
        <w:pStyle w:val="06VIRTBulletpoints"/>
        <w:rPr>
          <w:noProof/>
        </w:rPr>
      </w:pPr>
      <w:r w:rsidRPr="00B1165D">
        <w:rPr>
          <w:noProof/>
        </w:rPr>
        <w:t>a department</w:t>
      </w:r>
    </w:p>
    <w:p w14:paraId="6A33AE08" w14:textId="77777777" w:rsidR="00B1165D" w:rsidRPr="00B1165D" w:rsidRDefault="00B1165D" w:rsidP="004770E0">
      <w:pPr>
        <w:pStyle w:val="06VIRTBulletpoints"/>
        <w:rPr>
          <w:noProof/>
        </w:rPr>
      </w:pPr>
      <w:r w:rsidRPr="00B1165D">
        <w:rPr>
          <w:noProof/>
        </w:rPr>
        <w:t>an AO</w:t>
      </w:r>
    </w:p>
    <w:p w14:paraId="5BA852B4" w14:textId="77777777" w:rsidR="00B1165D" w:rsidRPr="00B1165D" w:rsidRDefault="00B1165D" w:rsidP="004770E0">
      <w:pPr>
        <w:pStyle w:val="06VIRTBulletpoints"/>
        <w:rPr>
          <w:noProof/>
        </w:rPr>
      </w:pPr>
      <w:r w:rsidRPr="00B1165D">
        <w:rPr>
          <w:noProof/>
        </w:rPr>
        <w:t>the VPSC.</w:t>
      </w:r>
    </w:p>
    <w:p w14:paraId="6379AF83" w14:textId="3671DE24" w:rsidR="00B1165D" w:rsidRPr="00B1165D" w:rsidRDefault="00B1165D" w:rsidP="00705EAC">
      <w:pPr>
        <w:pStyle w:val="05Paragraph"/>
        <w:rPr>
          <w:noProof/>
        </w:rPr>
      </w:pPr>
      <w:r w:rsidRPr="00B1165D">
        <w:rPr>
          <w:noProof/>
        </w:rPr>
        <w:t xml:space="preserve">Department and AO Heads are appointed by the Premier, while the </w:t>
      </w:r>
      <w:r w:rsidR="00B23A8E">
        <w:rPr>
          <w:noProof/>
        </w:rPr>
        <w:t xml:space="preserve">Victorian Public Sector </w:t>
      </w:r>
      <w:r w:rsidRPr="00B1165D">
        <w:rPr>
          <w:noProof/>
        </w:rPr>
        <w:t>Commissioner is appointed by the Governor in Council on the recommendation of the Premier.</w:t>
      </w:r>
      <w:r w:rsidRPr="00B1165D">
        <w:rPr>
          <w:noProof/>
          <w:vertAlign w:val="superscript"/>
        </w:rPr>
        <w:footnoteReference w:id="19"/>
      </w:r>
    </w:p>
    <w:p w14:paraId="4E4F128D" w14:textId="77777777" w:rsidR="00B1165D" w:rsidRPr="00B1165D" w:rsidRDefault="00B1165D" w:rsidP="00705EAC">
      <w:pPr>
        <w:pStyle w:val="03VIRTHeading3"/>
        <w:rPr>
          <w:rFonts w:eastAsia="Calibri"/>
          <w:color w:val="0F6745"/>
        </w:rPr>
      </w:pPr>
      <w:r w:rsidRPr="00B1165D">
        <w:lastRenderedPageBreak/>
        <w:t>Secretaries lead departments, support portfolio entities, and serve as public sector leaders</w:t>
      </w:r>
    </w:p>
    <w:p w14:paraId="4A877C85" w14:textId="77777777" w:rsidR="00B1165D" w:rsidRPr="00B1165D" w:rsidRDefault="00B1165D" w:rsidP="00705EAC">
      <w:pPr>
        <w:pStyle w:val="05Paragraph"/>
        <w:rPr>
          <w:noProof/>
        </w:rPr>
      </w:pPr>
      <w:r w:rsidRPr="00B1165D">
        <w:rPr>
          <w:noProof/>
        </w:rPr>
        <w:t>In a department, the public service body Head is referred to as a Secretary. Each Secretary reports to specific ministers and is employed on the same standard contract as other executives.</w:t>
      </w:r>
    </w:p>
    <w:p w14:paraId="4AC0D73A" w14:textId="77777777" w:rsidR="00B1165D" w:rsidRPr="00B1165D" w:rsidRDefault="00B1165D" w:rsidP="00705EAC">
      <w:pPr>
        <w:pStyle w:val="05Paragraph"/>
        <w:rPr>
          <w:noProof/>
        </w:rPr>
      </w:pPr>
      <w:r w:rsidRPr="00B1165D">
        <w:rPr>
          <w:noProof/>
        </w:rPr>
        <w:t>Secretaries:</w:t>
      </w:r>
      <w:r w:rsidRPr="00B1165D">
        <w:rPr>
          <w:noProof/>
          <w:vertAlign w:val="superscript"/>
        </w:rPr>
        <w:footnoteReference w:id="20"/>
      </w:r>
    </w:p>
    <w:p w14:paraId="630DAEE6" w14:textId="77777777" w:rsidR="00B1165D" w:rsidRPr="00B1165D" w:rsidRDefault="00B1165D" w:rsidP="004770E0">
      <w:pPr>
        <w:pStyle w:val="06VIRTBulletpoints"/>
        <w:rPr>
          <w:noProof/>
        </w:rPr>
      </w:pPr>
      <w:r w:rsidRPr="00B1165D">
        <w:rPr>
          <w:noProof/>
        </w:rPr>
        <w:t>manage their department</w:t>
      </w:r>
    </w:p>
    <w:p w14:paraId="1EFB9DCD" w14:textId="77777777" w:rsidR="00B1165D" w:rsidRPr="00B1165D" w:rsidRDefault="00B1165D" w:rsidP="004770E0">
      <w:pPr>
        <w:pStyle w:val="06VIRTBulletpoints"/>
        <w:rPr>
          <w:noProof/>
        </w:rPr>
      </w:pPr>
      <w:r w:rsidRPr="00B1165D">
        <w:rPr>
          <w:noProof/>
        </w:rPr>
        <w:t>advise ministers in all matters relating to their department and</w:t>
      </w:r>
      <w:r w:rsidRPr="00B1165D" w:rsidDel="00706017">
        <w:rPr>
          <w:noProof/>
        </w:rPr>
        <w:t xml:space="preserve"> </w:t>
      </w:r>
      <w:r w:rsidRPr="00B1165D">
        <w:rPr>
          <w:noProof/>
        </w:rPr>
        <w:t>AOs</w:t>
      </w:r>
    </w:p>
    <w:p w14:paraId="35E178B2" w14:textId="77777777" w:rsidR="00B1165D" w:rsidRPr="00B1165D" w:rsidRDefault="00B1165D" w:rsidP="004770E0">
      <w:pPr>
        <w:pStyle w:val="06VIRTBulletpoints"/>
        <w:rPr>
          <w:noProof/>
        </w:rPr>
      </w:pPr>
      <w:r w:rsidRPr="00B1165D">
        <w:rPr>
          <w:noProof/>
        </w:rPr>
        <w:t>advise ministers on public entities in their portfolio</w:t>
      </w:r>
    </w:p>
    <w:p w14:paraId="25E0197C" w14:textId="77777777" w:rsidR="00B1165D" w:rsidRPr="00B1165D" w:rsidRDefault="00B1165D" w:rsidP="004770E0">
      <w:pPr>
        <w:pStyle w:val="06VIRTBulletpoints"/>
        <w:rPr>
          <w:noProof/>
        </w:rPr>
      </w:pPr>
      <w:r w:rsidRPr="00B1165D">
        <w:rPr>
          <w:noProof/>
        </w:rPr>
        <w:t>work with public entities on public administration and governance</w:t>
      </w:r>
    </w:p>
    <w:p w14:paraId="213E7534" w14:textId="77777777" w:rsidR="00B1165D" w:rsidRPr="00B1165D" w:rsidRDefault="00B1165D" w:rsidP="004770E0">
      <w:pPr>
        <w:pStyle w:val="06VIRTBulletpoints"/>
        <w:rPr>
          <w:noProof/>
        </w:rPr>
      </w:pPr>
      <w:r w:rsidRPr="00B1165D">
        <w:rPr>
          <w:noProof/>
        </w:rPr>
        <w:t>promote the VPS values and serve as public sector leaders.</w:t>
      </w:r>
    </w:p>
    <w:p w14:paraId="7423067B" w14:textId="77777777" w:rsidR="00B1165D" w:rsidRPr="006B3C23" w:rsidRDefault="00B1165D" w:rsidP="00F85871">
      <w:pPr>
        <w:pStyle w:val="04VIRTheading4"/>
      </w:pPr>
      <w:r w:rsidRPr="00F85871">
        <w:t xml:space="preserve">Secretaries are responsible for the </w:t>
      </w:r>
      <w:r w:rsidRPr="006B3C23">
        <w:t>management of their department</w:t>
      </w:r>
    </w:p>
    <w:p w14:paraId="7EBC9E88" w14:textId="77777777" w:rsidR="00B1165D" w:rsidRPr="00B1165D" w:rsidRDefault="00B1165D" w:rsidP="00705EAC">
      <w:pPr>
        <w:pStyle w:val="05Paragraph"/>
        <w:rPr>
          <w:noProof/>
        </w:rPr>
      </w:pPr>
      <w:r w:rsidRPr="00B1165D">
        <w:rPr>
          <w:noProof/>
        </w:rPr>
        <w:t>A Secretary is responsible to a Minister or Ministers for the general conduct and the effective, efficient</w:t>
      </w:r>
      <w:r w:rsidRPr="00B1165D">
        <w:t>,</w:t>
      </w:r>
      <w:r w:rsidRPr="00B1165D">
        <w:rPr>
          <w:noProof/>
        </w:rPr>
        <w:t xml:space="preserve"> and economical management of the functions and activities of the department.</w:t>
      </w:r>
      <w:r w:rsidRPr="00B1165D">
        <w:rPr>
          <w:noProof/>
          <w:vertAlign w:val="superscript"/>
        </w:rPr>
        <w:footnoteReference w:id="21"/>
      </w:r>
      <w:r w:rsidRPr="00B1165D">
        <w:rPr>
          <w:noProof/>
        </w:rPr>
        <w:t xml:space="preserve"> Secretaries, on behalf of the Crown, are responsible for exercising employment powers in relation to their department.</w:t>
      </w:r>
      <w:r w:rsidRPr="00B1165D">
        <w:rPr>
          <w:noProof/>
          <w:vertAlign w:val="superscript"/>
        </w:rPr>
        <w:footnoteReference w:id="22"/>
      </w:r>
    </w:p>
    <w:p w14:paraId="251ABF5E" w14:textId="75B5090F" w:rsidR="00B1165D" w:rsidRPr="00B1165D" w:rsidRDefault="00B1165D" w:rsidP="00705EAC">
      <w:pPr>
        <w:pStyle w:val="05Paragraph"/>
        <w:rPr>
          <w:noProof/>
        </w:rPr>
      </w:pPr>
      <w:r w:rsidRPr="00B1165D">
        <w:rPr>
          <w:noProof/>
        </w:rPr>
        <w:t xml:space="preserve">Under the </w:t>
      </w:r>
      <w:r w:rsidRPr="00B1165D">
        <w:rPr>
          <w:i/>
          <w:iCs/>
          <w:noProof/>
        </w:rPr>
        <w:t>Financial Management Act 1994</w:t>
      </w:r>
      <w:r w:rsidRPr="00B1165D">
        <w:rPr>
          <w:noProof/>
        </w:rPr>
        <w:t xml:space="preserve"> (Vic) (FMA), the Secretary of a department is the ‘accountable officer’, whose obligations include preparing and submitting financial statements of the department for the financial year.</w:t>
      </w:r>
      <w:r w:rsidRPr="00B1165D">
        <w:rPr>
          <w:noProof/>
          <w:vertAlign w:val="superscript"/>
        </w:rPr>
        <w:footnoteReference w:id="23"/>
      </w:r>
    </w:p>
    <w:p w14:paraId="0E2C4BA6" w14:textId="77777777" w:rsidR="00B1165D" w:rsidRPr="00B1165D" w:rsidRDefault="00B1165D" w:rsidP="00705EAC">
      <w:pPr>
        <w:pStyle w:val="05Paragraph"/>
        <w:rPr>
          <w:noProof/>
        </w:rPr>
      </w:pPr>
      <w:r w:rsidRPr="00B1165D">
        <w:rPr>
          <w:noProof/>
        </w:rPr>
        <w:t>This means that as well as the day-to-day management of their department, the Secretary is the official principal policy adviser to the minister on all matters related to their department and portfolio entities.</w:t>
      </w:r>
      <w:r w:rsidRPr="00B1165D">
        <w:rPr>
          <w:noProof/>
          <w:vertAlign w:val="superscript"/>
        </w:rPr>
        <w:footnoteReference w:id="24"/>
      </w:r>
    </w:p>
    <w:p w14:paraId="545ED241" w14:textId="77777777" w:rsidR="00B1165D" w:rsidRPr="00B1165D" w:rsidRDefault="00B1165D" w:rsidP="00705EAC">
      <w:pPr>
        <w:pStyle w:val="05Paragraph"/>
        <w:rPr>
          <w:noProof/>
        </w:rPr>
      </w:pPr>
      <w:r w:rsidRPr="00B1165D">
        <w:rPr>
          <w:noProof/>
        </w:rPr>
        <w:t>Some Secretaries have statutory policy and program responsibilities conferred on them under various Acts with a concomitant level of personal responsibility as the decision-maker. For example, the Secretary of DFFH has a legal responsibility to assist children who have suffered abuse and neglect.</w:t>
      </w:r>
      <w:r w:rsidRPr="00B1165D">
        <w:rPr>
          <w:noProof/>
          <w:vertAlign w:val="superscript"/>
        </w:rPr>
        <w:footnoteReference w:id="25"/>
      </w:r>
      <w:r w:rsidRPr="00B1165D">
        <w:rPr>
          <w:noProof/>
        </w:rPr>
        <w:t xml:space="preserve"> This may result in the </w:t>
      </w:r>
      <w:r w:rsidRPr="00B1165D">
        <w:rPr>
          <w:noProof/>
        </w:rPr>
        <w:lastRenderedPageBreak/>
        <w:t>Secretary of DFFH directly assuming sole parental responsibility for a child, including placing the child in an out of home care service.</w:t>
      </w:r>
      <w:r w:rsidRPr="00B1165D">
        <w:rPr>
          <w:noProof/>
          <w:vertAlign w:val="superscript"/>
        </w:rPr>
        <w:footnoteReference w:id="26"/>
      </w:r>
    </w:p>
    <w:p w14:paraId="54B4F53C" w14:textId="77777777" w:rsidR="00B1165D" w:rsidRPr="00B1165D" w:rsidRDefault="00B1165D" w:rsidP="00412DFB">
      <w:pPr>
        <w:pStyle w:val="04VIRTheading4"/>
        <w:rPr>
          <w:rFonts w:eastAsia="Calibri"/>
          <w:b w:val="0"/>
          <w:color w:val="148A5D"/>
        </w:rPr>
      </w:pPr>
      <w:r w:rsidRPr="00B1165D">
        <w:t>Secretaries are responsible for supporting related AOs and portfolio entities</w:t>
      </w:r>
    </w:p>
    <w:p w14:paraId="3D30CEAC" w14:textId="77777777" w:rsidR="00B1165D" w:rsidRPr="00B1165D" w:rsidRDefault="00B1165D" w:rsidP="00412DFB">
      <w:pPr>
        <w:pStyle w:val="05Paragraph"/>
        <w:rPr>
          <w:noProof/>
        </w:rPr>
      </w:pPr>
      <w:r w:rsidRPr="00B1165D">
        <w:rPr>
          <w:noProof/>
        </w:rPr>
        <w:t>Secretaries are responsible to the Minister for the effective, efficient</w:t>
      </w:r>
      <w:r w:rsidRPr="00B1165D">
        <w:t>,</w:t>
      </w:r>
      <w:r w:rsidRPr="00B1165D">
        <w:rPr>
          <w:noProof/>
        </w:rPr>
        <w:t xml:space="preserve"> and economical management of AOs established in relation to the department.</w:t>
      </w:r>
      <w:r w:rsidRPr="00B1165D">
        <w:rPr>
          <w:noProof/>
          <w:vertAlign w:val="superscript"/>
        </w:rPr>
        <w:footnoteReference w:id="27"/>
      </w:r>
    </w:p>
    <w:p w14:paraId="14756817" w14:textId="77777777" w:rsidR="00B1165D" w:rsidRPr="00B1165D" w:rsidRDefault="00B1165D" w:rsidP="00412DFB">
      <w:pPr>
        <w:pStyle w:val="05Paragraph"/>
        <w:rPr>
          <w:noProof/>
        </w:rPr>
      </w:pPr>
      <w:r w:rsidRPr="00B1165D">
        <w:rPr>
          <w:noProof/>
        </w:rPr>
        <w:t>In addition, Secretaries have obligations under the PAA in relation to public entities where the Minister responsible for the public entity is also the Minister who has responsibility for the department.</w:t>
      </w:r>
      <w:r w:rsidRPr="00B1165D">
        <w:rPr>
          <w:noProof/>
          <w:vertAlign w:val="superscript"/>
        </w:rPr>
        <w:footnoteReference w:id="28"/>
      </w:r>
    </w:p>
    <w:p w14:paraId="7726F865" w14:textId="77777777" w:rsidR="00B1165D" w:rsidRPr="00B1165D" w:rsidRDefault="00B1165D" w:rsidP="00412DFB">
      <w:pPr>
        <w:pStyle w:val="05Paragraph"/>
        <w:rPr>
          <w:noProof/>
        </w:rPr>
      </w:pPr>
      <w:r w:rsidRPr="00B1165D">
        <w:rPr>
          <w:noProof/>
        </w:rPr>
        <w:t>Such obligations include:</w:t>
      </w:r>
      <w:r w:rsidRPr="00B1165D">
        <w:rPr>
          <w:noProof/>
          <w:vertAlign w:val="superscript"/>
        </w:rPr>
        <w:footnoteReference w:id="29"/>
      </w:r>
    </w:p>
    <w:p w14:paraId="2D1423D1" w14:textId="77777777" w:rsidR="00B1165D" w:rsidRPr="00B1165D" w:rsidRDefault="00B1165D" w:rsidP="004770E0">
      <w:pPr>
        <w:pStyle w:val="06VIRTBulletpoints"/>
        <w:rPr>
          <w:noProof/>
        </w:rPr>
      </w:pPr>
      <w:r w:rsidRPr="00B1165D">
        <w:rPr>
          <w:noProof/>
        </w:rPr>
        <w:t>advising the Minister on matters relating to the public entity including the discharge by the public entity of its responsibilities</w:t>
      </w:r>
    </w:p>
    <w:p w14:paraId="78AEDCC4" w14:textId="77777777" w:rsidR="00B1165D" w:rsidRPr="00B1165D" w:rsidRDefault="00B1165D" w:rsidP="004770E0">
      <w:pPr>
        <w:pStyle w:val="06VIRTBulletpoints"/>
        <w:rPr>
          <w:noProof/>
        </w:rPr>
      </w:pPr>
      <w:r w:rsidRPr="00B1165D">
        <w:rPr>
          <w:noProof/>
        </w:rPr>
        <w:t>working with, and providing guidance to, public entities on matters relating to public administration and governance.</w:t>
      </w:r>
    </w:p>
    <w:p w14:paraId="67585538" w14:textId="77777777" w:rsidR="00B1165D" w:rsidRPr="00B1165D" w:rsidRDefault="00B1165D" w:rsidP="00412DFB">
      <w:pPr>
        <w:pStyle w:val="05Paragraph"/>
        <w:rPr>
          <w:noProof/>
        </w:rPr>
      </w:pPr>
      <w:r w:rsidRPr="00B1165D">
        <w:rPr>
          <w:noProof/>
        </w:rPr>
        <w:t>As the accountable officer under the FMA, a Secretary must also:</w:t>
      </w:r>
      <w:r w:rsidRPr="00B1165D">
        <w:rPr>
          <w:noProof/>
          <w:vertAlign w:val="superscript"/>
        </w:rPr>
        <w:footnoteReference w:id="30"/>
      </w:r>
    </w:p>
    <w:p w14:paraId="42CA35A9" w14:textId="77777777" w:rsidR="00B1165D" w:rsidRPr="00B1165D" w:rsidRDefault="00B1165D" w:rsidP="004770E0">
      <w:pPr>
        <w:pStyle w:val="06VIRTBulletpoints"/>
        <w:rPr>
          <w:noProof/>
        </w:rPr>
      </w:pPr>
      <w:r w:rsidRPr="00B1165D">
        <w:rPr>
          <w:noProof/>
        </w:rPr>
        <w:t>provide advice and support to the department’s portfolio agencies in relation to financial management, performance and sustainability</w:t>
      </w:r>
    </w:p>
    <w:p w14:paraId="627978F2" w14:textId="125444A9" w:rsidR="00B1165D" w:rsidRPr="00B1165D" w:rsidRDefault="00B1165D" w:rsidP="004770E0">
      <w:pPr>
        <w:pStyle w:val="06VIRTBulletpoints"/>
        <w:rPr>
          <w:noProof/>
        </w:rPr>
      </w:pPr>
      <w:r w:rsidRPr="00B1165D">
        <w:rPr>
          <w:noProof/>
        </w:rPr>
        <w:t>support the Minister in the oversight of portfolio agencies in</w:t>
      </w:r>
      <w:r w:rsidR="00F85871">
        <w:rPr>
          <w:noProof/>
        </w:rPr>
        <w:t xml:space="preserve"> </w:t>
      </w:r>
      <w:r w:rsidRPr="00B1165D">
        <w:rPr>
          <w:noProof/>
        </w:rPr>
        <w:t>the Minister’s portfolio, including providing information on agencies’ financial management, performance and sustainability</w:t>
      </w:r>
    </w:p>
    <w:p w14:paraId="6921D2F9" w14:textId="77777777" w:rsidR="00B1165D" w:rsidRPr="00B1165D" w:rsidRDefault="00B1165D" w:rsidP="004770E0">
      <w:pPr>
        <w:pStyle w:val="06VIRTBulletpoints"/>
        <w:rPr>
          <w:noProof/>
        </w:rPr>
      </w:pPr>
      <w:r w:rsidRPr="00B1165D">
        <w:rPr>
          <w:noProof/>
        </w:rPr>
        <w:t xml:space="preserve">provide information to DTF to support </w:t>
      </w:r>
      <w:r w:rsidRPr="00B1165D" w:rsidDel="000D55C3">
        <w:rPr>
          <w:noProof/>
        </w:rPr>
        <w:t xml:space="preserve">the government’s delivery of </w:t>
      </w:r>
      <w:r w:rsidRPr="00B1165D">
        <w:rPr>
          <w:noProof/>
        </w:rPr>
        <w:t>sound financial management.</w:t>
      </w:r>
    </w:p>
    <w:p w14:paraId="51A78C59" w14:textId="77777777" w:rsidR="00B1165D" w:rsidRPr="00B1165D" w:rsidRDefault="00B1165D" w:rsidP="00412DFB">
      <w:pPr>
        <w:pStyle w:val="05Paragraph"/>
        <w:rPr>
          <w:noProof/>
        </w:rPr>
      </w:pPr>
      <w:r w:rsidRPr="00B1165D">
        <w:rPr>
          <w:noProof/>
        </w:rPr>
        <w:t>Table 2.1 displays for each Secretary:</w:t>
      </w:r>
    </w:p>
    <w:p w14:paraId="23C00FC5" w14:textId="77777777" w:rsidR="00B1165D" w:rsidRPr="00B1165D" w:rsidRDefault="00B1165D" w:rsidP="004770E0">
      <w:pPr>
        <w:pStyle w:val="06VIRTBulletpoints"/>
        <w:rPr>
          <w:noProof/>
        </w:rPr>
      </w:pPr>
      <w:r w:rsidRPr="00B1165D">
        <w:rPr>
          <w:noProof/>
        </w:rPr>
        <w:t>the number of departmental employees</w:t>
      </w:r>
    </w:p>
    <w:p w14:paraId="1A29BF74" w14:textId="77777777" w:rsidR="00B1165D" w:rsidRPr="00B1165D" w:rsidRDefault="00B1165D" w:rsidP="004770E0">
      <w:pPr>
        <w:pStyle w:val="06VIRTBulletpoints"/>
        <w:rPr>
          <w:noProof/>
        </w:rPr>
      </w:pPr>
      <w:r w:rsidRPr="00B1165D">
        <w:rPr>
          <w:noProof/>
        </w:rPr>
        <w:t>the number of direct reports</w:t>
      </w:r>
    </w:p>
    <w:p w14:paraId="4EA2722C" w14:textId="77777777" w:rsidR="00B1165D" w:rsidRPr="00B1165D" w:rsidRDefault="00B1165D" w:rsidP="004770E0">
      <w:pPr>
        <w:pStyle w:val="06VIRTBulletpoints"/>
        <w:rPr>
          <w:noProof/>
        </w:rPr>
      </w:pPr>
      <w:r w:rsidRPr="00B1165D">
        <w:rPr>
          <w:noProof/>
        </w:rPr>
        <w:t>the departmental budget allocation.</w:t>
      </w:r>
    </w:p>
    <w:p w14:paraId="4902E231" w14:textId="77777777" w:rsidR="00B1165D" w:rsidRPr="00B1165D" w:rsidRDefault="00B1165D" w:rsidP="00144BE8">
      <w:pPr>
        <w:pStyle w:val="08Figuretableboxheading"/>
        <w:rPr>
          <w:rFonts w:eastAsia="Calibri"/>
          <w:color w:val="4D4D4D"/>
        </w:rPr>
      </w:pPr>
      <w:bookmarkStart w:id="48" w:name="_Toc170393522"/>
      <w:r w:rsidRPr="00B1165D">
        <w:lastRenderedPageBreak/>
        <w:t>Table 2.1: Summary of Secretaries’ span of responsibilities</w:t>
      </w:r>
      <w:bookmarkEnd w:id="48"/>
    </w:p>
    <w:tbl>
      <w:tblPr>
        <w:tblStyle w:val="ListTable3-Accent21"/>
        <w:tblW w:w="8642" w:type="dxa"/>
        <w:tblBorders>
          <w:left w:val="none" w:sz="0" w:space="0" w:color="auto"/>
          <w:right w:val="none" w:sz="0" w:space="0" w:color="auto"/>
          <w:insideH w:val="single" w:sz="4" w:space="0" w:color="148A5D" w:themeColor="accent2"/>
        </w:tblBorders>
        <w:tblLayout w:type="fixed"/>
        <w:tblLook w:val="04A0" w:firstRow="1" w:lastRow="0" w:firstColumn="1" w:lastColumn="0" w:noHBand="0" w:noVBand="1"/>
      </w:tblPr>
      <w:tblGrid>
        <w:gridCol w:w="1555"/>
        <w:gridCol w:w="1901"/>
        <w:gridCol w:w="1729"/>
        <w:gridCol w:w="1728"/>
        <w:gridCol w:w="1729"/>
      </w:tblGrid>
      <w:tr w:rsidR="00B1165D" w:rsidRPr="00545069" w14:paraId="528458F0" w14:textId="77777777" w:rsidTr="004D7D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5" w:type="dxa"/>
          </w:tcPr>
          <w:p w14:paraId="0EAC5456" w14:textId="77777777" w:rsidR="00B1165D" w:rsidRPr="00412DFB" w:rsidRDefault="00B1165D" w:rsidP="00B1165D">
            <w:pPr>
              <w:keepNext/>
              <w:spacing w:before="0" w:after="0" w:line="240" w:lineRule="auto"/>
              <w:jc w:val="left"/>
              <w:rPr>
                <w:rFonts w:eastAsia="Calibri" w:cs="Calibri Light"/>
                <w:color w:val="FFFFFF"/>
                <w:sz w:val="22"/>
              </w:rPr>
            </w:pPr>
            <w:r w:rsidRPr="00412DFB">
              <w:rPr>
                <w:rFonts w:eastAsia="Calibri" w:cs="Calibri Light"/>
                <w:color w:val="FFFFFF"/>
                <w:sz w:val="22"/>
              </w:rPr>
              <w:t>Department</w:t>
            </w:r>
          </w:p>
          <w:p w14:paraId="042C1541" w14:textId="77777777" w:rsidR="00B1165D" w:rsidRPr="00412DFB" w:rsidRDefault="00B1165D" w:rsidP="00B1165D">
            <w:pPr>
              <w:keepNext/>
              <w:spacing w:before="0" w:after="0" w:line="240" w:lineRule="auto"/>
              <w:jc w:val="left"/>
              <w:rPr>
                <w:rFonts w:eastAsia="Calibri" w:cs="Calibri Light"/>
                <w:color w:val="FFFFFF"/>
                <w:sz w:val="22"/>
              </w:rPr>
            </w:pPr>
            <w:r w:rsidRPr="00412DFB">
              <w:rPr>
                <w:rFonts w:eastAsia="Calibri" w:cs="Calibri Light"/>
                <w:color w:val="FFFFFF"/>
                <w:sz w:val="22"/>
              </w:rPr>
              <w:t>Secretary</w:t>
            </w:r>
          </w:p>
        </w:tc>
        <w:tc>
          <w:tcPr>
            <w:tcW w:w="1901" w:type="dxa"/>
          </w:tcPr>
          <w:p w14:paraId="2A37FFF5" w14:textId="77777777" w:rsidR="00B1165D" w:rsidRPr="00412DFB" w:rsidRDefault="00B1165D" w:rsidP="00B1165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Calibri" w:cs="Calibri Light"/>
                <w:color w:val="FFFFFF"/>
                <w:sz w:val="22"/>
              </w:rPr>
            </w:pPr>
            <w:r w:rsidRPr="00412DFB">
              <w:rPr>
                <w:rFonts w:eastAsia="Calibri" w:cs="Calibri Light"/>
                <w:color w:val="FFFFFF"/>
                <w:sz w:val="22"/>
              </w:rPr>
              <w:t xml:space="preserve">Headcount </w:t>
            </w:r>
            <w:r w:rsidRPr="00412DFB">
              <w:rPr>
                <w:rFonts w:eastAsia="Calibri" w:cs="Calibri Light"/>
                <w:color w:val="FFFFFF"/>
                <w:sz w:val="22"/>
              </w:rPr>
              <w:br/>
              <w:t>(non-executive)</w:t>
            </w:r>
            <w:r w:rsidRPr="00412DFB">
              <w:rPr>
                <w:rFonts w:eastAsia="Calibri" w:cs="Calibri Light"/>
                <w:color w:val="FFFFFF"/>
                <w:sz w:val="22"/>
                <w:vertAlign w:val="superscript"/>
              </w:rPr>
              <w:t>(a)</w:t>
            </w:r>
          </w:p>
        </w:tc>
        <w:tc>
          <w:tcPr>
            <w:tcW w:w="1729" w:type="dxa"/>
          </w:tcPr>
          <w:p w14:paraId="41632D53" w14:textId="1F149985" w:rsidR="00B1165D" w:rsidRPr="00412DFB" w:rsidRDefault="00B1165D" w:rsidP="00B1165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Calibri" w:cs="Calibri Light"/>
                <w:color w:val="FFFFFF"/>
                <w:sz w:val="22"/>
              </w:rPr>
            </w:pPr>
            <w:r w:rsidRPr="00412DFB">
              <w:rPr>
                <w:rFonts w:eastAsia="Calibri" w:cs="Calibri Light"/>
                <w:color w:val="FFFFFF"/>
                <w:sz w:val="22"/>
              </w:rPr>
              <w:t>Headcount (executive)</w:t>
            </w:r>
            <w:r w:rsidRPr="00412DFB">
              <w:rPr>
                <w:rFonts w:eastAsia="Calibri" w:cs="Calibri Light"/>
                <w:color w:val="FFFFFF"/>
                <w:sz w:val="22"/>
                <w:vertAlign w:val="superscript"/>
              </w:rPr>
              <w:t>(a)</w:t>
            </w:r>
            <w:r w:rsidR="00F02A46">
              <w:rPr>
                <w:rFonts w:eastAsia="Calibri" w:cs="Calibri Light"/>
                <w:color w:val="FFFFFF"/>
                <w:sz w:val="22"/>
                <w:vertAlign w:val="superscript"/>
              </w:rPr>
              <w:t>(b</w:t>
            </w:r>
            <w:r w:rsidRPr="00412DFB">
              <w:rPr>
                <w:rFonts w:eastAsia="Calibri" w:cs="Calibri Light"/>
                <w:color w:val="FFFFFF"/>
                <w:sz w:val="22"/>
                <w:vertAlign w:val="superscript"/>
              </w:rPr>
              <w:t>)</w:t>
            </w:r>
          </w:p>
        </w:tc>
        <w:tc>
          <w:tcPr>
            <w:tcW w:w="1728" w:type="dxa"/>
          </w:tcPr>
          <w:p w14:paraId="14CEA265" w14:textId="6D0E2744" w:rsidR="00B1165D" w:rsidRPr="00412DFB" w:rsidRDefault="00B1165D" w:rsidP="00B1165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Calibri" w:cs="Calibri Light"/>
                <w:color w:val="FFFFFF"/>
                <w:sz w:val="22"/>
              </w:rPr>
            </w:pPr>
            <w:r w:rsidRPr="00412DFB">
              <w:rPr>
                <w:rFonts w:eastAsia="Calibri" w:cs="Calibri Light"/>
                <w:color w:val="FFFFFF"/>
                <w:sz w:val="22"/>
              </w:rPr>
              <w:t>No. direct reports</w:t>
            </w:r>
            <w:r w:rsidRPr="00412DFB">
              <w:rPr>
                <w:rFonts w:eastAsia="Calibri" w:cs="Calibri Light"/>
                <w:color w:val="FFFFFF"/>
                <w:sz w:val="22"/>
                <w:vertAlign w:val="superscript"/>
              </w:rPr>
              <w:t>(</w:t>
            </w:r>
            <w:r w:rsidR="00F02A46">
              <w:rPr>
                <w:rFonts w:eastAsia="Calibri" w:cs="Calibri Light"/>
                <w:color w:val="FFFFFF"/>
                <w:sz w:val="22"/>
                <w:vertAlign w:val="superscript"/>
              </w:rPr>
              <w:t>c</w:t>
            </w:r>
            <w:r w:rsidRPr="00412DFB">
              <w:rPr>
                <w:rFonts w:eastAsia="Calibri" w:cs="Calibri Light"/>
                <w:color w:val="FFFFFF"/>
                <w:sz w:val="22"/>
                <w:vertAlign w:val="superscript"/>
              </w:rPr>
              <w:t>)</w:t>
            </w:r>
          </w:p>
        </w:tc>
        <w:tc>
          <w:tcPr>
            <w:tcW w:w="1729" w:type="dxa"/>
          </w:tcPr>
          <w:p w14:paraId="5638BCFB" w14:textId="4AA60339" w:rsidR="00B1165D" w:rsidRPr="00412DFB" w:rsidRDefault="00B1165D" w:rsidP="00B1165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Calibri" w:cs="Calibri Light"/>
                <w:color w:val="FFFFFF"/>
                <w:sz w:val="22"/>
              </w:rPr>
            </w:pPr>
            <w:r w:rsidRPr="00412DFB">
              <w:rPr>
                <w:rFonts w:eastAsia="Calibri" w:cs="Calibri Light"/>
                <w:color w:val="FFFFFF"/>
                <w:sz w:val="22"/>
              </w:rPr>
              <w:t xml:space="preserve">2024–25 </w:t>
            </w:r>
            <w:r w:rsidR="006E2D91" w:rsidRPr="00412DFB">
              <w:rPr>
                <w:rFonts w:eastAsia="Calibri" w:cs="Calibri Light"/>
                <w:color w:val="FFFFFF"/>
                <w:sz w:val="22"/>
              </w:rPr>
              <w:t>Budget</w:t>
            </w:r>
            <w:r w:rsidRPr="00412DFB">
              <w:rPr>
                <w:rFonts w:eastAsia="Calibri" w:cs="Calibri Light"/>
                <w:color w:val="FFFFFF"/>
                <w:sz w:val="22"/>
              </w:rPr>
              <w:t xml:space="preserve"> </w:t>
            </w:r>
          </w:p>
          <w:p w14:paraId="59B6BD2D" w14:textId="7E273776" w:rsidR="00B1165D" w:rsidRPr="00412DFB" w:rsidRDefault="00B1165D" w:rsidP="00B1165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Calibri" w:cs="Calibri Light"/>
                <w:color w:val="FFFFFF"/>
                <w:sz w:val="22"/>
              </w:rPr>
            </w:pPr>
            <w:r w:rsidRPr="00412DFB">
              <w:rPr>
                <w:rFonts w:eastAsia="Calibri" w:cs="Calibri Light"/>
                <w:color w:val="FFFFFF"/>
                <w:sz w:val="22"/>
              </w:rPr>
              <w:t>($ million)</w:t>
            </w:r>
            <w:r w:rsidRPr="00412DFB">
              <w:rPr>
                <w:rFonts w:eastAsia="Calibri" w:cs="Calibri Light"/>
                <w:color w:val="FFFFFF"/>
                <w:sz w:val="22"/>
                <w:vertAlign w:val="superscript"/>
              </w:rPr>
              <w:t>(</w:t>
            </w:r>
            <w:r w:rsidR="00F02A46">
              <w:rPr>
                <w:rFonts w:eastAsia="Calibri" w:cs="Calibri Light"/>
                <w:color w:val="FFFFFF"/>
                <w:sz w:val="22"/>
                <w:vertAlign w:val="superscript"/>
              </w:rPr>
              <w:t>d</w:t>
            </w:r>
            <w:r w:rsidRPr="00412DFB">
              <w:rPr>
                <w:rFonts w:eastAsia="Calibri" w:cs="Calibri Light"/>
                <w:color w:val="FFFFFF"/>
                <w:sz w:val="22"/>
                <w:vertAlign w:val="superscript"/>
              </w:rPr>
              <w:t>)</w:t>
            </w:r>
          </w:p>
        </w:tc>
      </w:tr>
      <w:tr w:rsidR="00B1165D" w:rsidRPr="00B1165D" w14:paraId="365656E6" w14:textId="77777777" w:rsidTr="004D7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A54D71D" w14:textId="77777777" w:rsidR="00B1165D" w:rsidRPr="00B1165D" w:rsidRDefault="00B1165D" w:rsidP="00412DFB">
            <w:pPr>
              <w:pStyle w:val="10Tabletext"/>
              <w:rPr>
                <w:rFonts w:ascii="Calibri" w:eastAsia="Calibri" w:hAnsi="Calibri" w:cs="Arial"/>
                <w:color w:val="4D4D4D"/>
              </w:rPr>
            </w:pPr>
            <w:r w:rsidRPr="00B1165D">
              <w:t>DE</w:t>
            </w:r>
          </w:p>
        </w:tc>
        <w:tc>
          <w:tcPr>
            <w:tcW w:w="1901" w:type="dxa"/>
          </w:tcPr>
          <w:p w14:paraId="63CD4AE6" w14:textId="77777777" w:rsidR="00B1165D" w:rsidRPr="00B1165D" w:rsidRDefault="00B1165D" w:rsidP="00412DFB">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highlight w:val="yellow"/>
              </w:rPr>
            </w:pPr>
            <w:r w:rsidRPr="00B1165D">
              <w:t>4,584</w:t>
            </w:r>
          </w:p>
        </w:tc>
        <w:tc>
          <w:tcPr>
            <w:tcW w:w="1729" w:type="dxa"/>
          </w:tcPr>
          <w:p w14:paraId="55BF51D0" w14:textId="77777777" w:rsidR="00B1165D" w:rsidRPr="00B1165D" w:rsidRDefault="00B1165D" w:rsidP="00412DFB">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t>97</w:t>
            </w:r>
          </w:p>
        </w:tc>
        <w:tc>
          <w:tcPr>
            <w:tcW w:w="1728" w:type="dxa"/>
          </w:tcPr>
          <w:p w14:paraId="27B286DC" w14:textId="77777777" w:rsidR="00B1165D" w:rsidRPr="00B1165D" w:rsidRDefault="00B1165D" w:rsidP="00412DFB">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t>10</w:t>
            </w:r>
          </w:p>
        </w:tc>
        <w:tc>
          <w:tcPr>
            <w:tcW w:w="1729" w:type="dxa"/>
          </w:tcPr>
          <w:p w14:paraId="06EC67CA" w14:textId="77777777" w:rsidR="00B1165D" w:rsidRPr="00B1165D" w:rsidRDefault="00B1165D" w:rsidP="00412DFB">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t>17 359</w:t>
            </w:r>
          </w:p>
        </w:tc>
      </w:tr>
      <w:tr w:rsidR="00B1165D" w:rsidRPr="00B1165D" w14:paraId="2FABAE03" w14:textId="77777777" w:rsidTr="004D7DE3">
        <w:tc>
          <w:tcPr>
            <w:cnfStyle w:val="001000000000" w:firstRow="0" w:lastRow="0" w:firstColumn="1" w:lastColumn="0" w:oddVBand="0" w:evenVBand="0" w:oddHBand="0" w:evenHBand="0" w:firstRowFirstColumn="0" w:firstRowLastColumn="0" w:lastRowFirstColumn="0" w:lastRowLastColumn="0"/>
            <w:tcW w:w="1555" w:type="dxa"/>
          </w:tcPr>
          <w:p w14:paraId="295076F8" w14:textId="64859D2B" w:rsidR="00B1165D" w:rsidRPr="00B1165D" w:rsidRDefault="00B1165D" w:rsidP="00412DFB">
            <w:pPr>
              <w:pStyle w:val="10Tabletext"/>
              <w:rPr>
                <w:rFonts w:ascii="Calibri" w:eastAsia="Calibri" w:hAnsi="Calibri" w:cs="Arial"/>
                <w:color w:val="4D4D4D"/>
              </w:rPr>
            </w:pPr>
            <w:r w:rsidRPr="00B1165D">
              <w:t>DEECA</w:t>
            </w:r>
            <w:r w:rsidRPr="00B1165D">
              <w:rPr>
                <w:rFonts w:ascii="Calibri" w:eastAsia="Calibri" w:hAnsi="Calibri" w:cs="Arial"/>
                <w:color w:val="4D4D4D"/>
                <w:vertAlign w:val="superscript"/>
              </w:rPr>
              <w:t>(</w:t>
            </w:r>
            <w:r w:rsidR="00900144">
              <w:rPr>
                <w:rFonts w:ascii="Calibri" w:eastAsia="Calibri" w:hAnsi="Calibri" w:cs="Arial"/>
                <w:color w:val="4D4D4D"/>
                <w:vertAlign w:val="superscript"/>
              </w:rPr>
              <w:t>e</w:t>
            </w:r>
            <w:r w:rsidRPr="00B1165D">
              <w:rPr>
                <w:rFonts w:ascii="Calibri" w:eastAsia="Calibri" w:hAnsi="Calibri" w:cs="Arial"/>
                <w:color w:val="4D4D4D"/>
                <w:vertAlign w:val="superscript"/>
              </w:rPr>
              <w:t>)</w:t>
            </w:r>
          </w:p>
        </w:tc>
        <w:tc>
          <w:tcPr>
            <w:tcW w:w="1901" w:type="dxa"/>
          </w:tcPr>
          <w:p w14:paraId="0EF0D187" w14:textId="77777777" w:rsidR="00B1165D" w:rsidRPr="00B1165D" w:rsidRDefault="00B1165D" w:rsidP="00412DFB">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highlight w:val="yellow"/>
              </w:rPr>
            </w:pPr>
            <w:r w:rsidRPr="00B1165D">
              <w:t>5,892</w:t>
            </w:r>
          </w:p>
        </w:tc>
        <w:tc>
          <w:tcPr>
            <w:tcW w:w="1729" w:type="dxa"/>
          </w:tcPr>
          <w:p w14:paraId="47A2DBD1" w14:textId="77777777" w:rsidR="00B1165D" w:rsidRPr="00B1165D" w:rsidRDefault="00B1165D" w:rsidP="00412DFB">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t>201</w:t>
            </w:r>
          </w:p>
        </w:tc>
        <w:tc>
          <w:tcPr>
            <w:tcW w:w="1728" w:type="dxa"/>
          </w:tcPr>
          <w:p w14:paraId="4DD7CE78" w14:textId="77777777" w:rsidR="00B1165D" w:rsidRPr="00B1165D" w:rsidRDefault="00B1165D" w:rsidP="00412DFB">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t>12</w:t>
            </w:r>
          </w:p>
        </w:tc>
        <w:tc>
          <w:tcPr>
            <w:tcW w:w="1729" w:type="dxa"/>
          </w:tcPr>
          <w:p w14:paraId="6B18C0DC" w14:textId="77777777" w:rsidR="00B1165D" w:rsidRPr="00B1165D" w:rsidRDefault="00B1165D" w:rsidP="00412DFB">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t>2 676</w:t>
            </w:r>
          </w:p>
        </w:tc>
      </w:tr>
      <w:tr w:rsidR="00B1165D" w:rsidRPr="00B1165D" w14:paraId="19E0AE86" w14:textId="77777777" w:rsidTr="004D7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83F66C1" w14:textId="77777777" w:rsidR="00B1165D" w:rsidRPr="00B1165D" w:rsidRDefault="00B1165D" w:rsidP="00412DFB">
            <w:pPr>
              <w:pStyle w:val="10Tabletext"/>
              <w:rPr>
                <w:rFonts w:ascii="Calibri" w:eastAsia="Calibri" w:hAnsi="Calibri" w:cs="Arial"/>
                <w:color w:val="4D4D4D"/>
              </w:rPr>
            </w:pPr>
            <w:r w:rsidRPr="00B1165D">
              <w:t>DFFH</w:t>
            </w:r>
          </w:p>
        </w:tc>
        <w:tc>
          <w:tcPr>
            <w:tcW w:w="1901" w:type="dxa"/>
          </w:tcPr>
          <w:p w14:paraId="6355E6C2" w14:textId="77777777" w:rsidR="00B1165D" w:rsidRPr="00B1165D" w:rsidRDefault="00B1165D" w:rsidP="00412DFB">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highlight w:val="yellow"/>
              </w:rPr>
            </w:pPr>
            <w:r w:rsidRPr="00B1165D">
              <w:t>6,882</w:t>
            </w:r>
          </w:p>
        </w:tc>
        <w:tc>
          <w:tcPr>
            <w:tcW w:w="1729" w:type="dxa"/>
          </w:tcPr>
          <w:p w14:paraId="718288D9" w14:textId="77777777" w:rsidR="00B1165D" w:rsidRPr="00B1165D" w:rsidRDefault="00B1165D" w:rsidP="00412DFB">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t>204</w:t>
            </w:r>
          </w:p>
        </w:tc>
        <w:tc>
          <w:tcPr>
            <w:tcW w:w="1728" w:type="dxa"/>
          </w:tcPr>
          <w:p w14:paraId="37C8EE02" w14:textId="77777777" w:rsidR="00B1165D" w:rsidRPr="00B1165D" w:rsidRDefault="00B1165D" w:rsidP="00412DFB">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t>10</w:t>
            </w:r>
          </w:p>
        </w:tc>
        <w:tc>
          <w:tcPr>
            <w:tcW w:w="1729" w:type="dxa"/>
          </w:tcPr>
          <w:p w14:paraId="325FA243" w14:textId="77777777" w:rsidR="00B1165D" w:rsidRPr="00B1165D" w:rsidRDefault="00B1165D" w:rsidP="00412DFB">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t>5 189</w:t>
            </w:r>
          </w:p>
        </w:tc>
      </w:tr>
      <w:tr w:rsidR="00B1165D" w:rsidRPr="00B1165D" w14:paraId="47401A88" w14:textId="77777777" w:rsidTr="004D7DE3">
        <w:tc>
          <w:tcPr>
            <w:cnfStyle w:val="001000000000" w:firstRow="0" w:lastRow="0" w:firstColumn="1" w:lastColumn="0" w:oddVBand="0" w:evenVBand="0" w:oddHBand="0" w:evenHBand="0" w:firstRowFirstColumn="0" w:firstRowLastColumn="0" w:lastRowFirstColumn="0" w:lastRowLastColumn="0"/>
            <w:tcW w:w="1555" w:type="dxa"/>
          </w:tcPr>
          <w:p w14:paraId="5B93F769" w14:textId="77777777" w:rsidR="00B1165D" w:rsidRPr="00B1165D" w:rsidRDefault="00B1165D" w:rsidP="00412DFB">
            <w:pPr>
              <w:pStyle w:val="10Tabletext"/>
              <w:rPr>
                <w:rFonts w:ascii="Calibri" w:eastAsia="Calibri" w:hAnsi="Calibri" w:cs="Arial"/>
                <w:color w:val="4D4D4D"/>
              </w:rPr>
            </w:pPr>
            <w:r w:rsidRPr="00B1165D">
              <w:t>DGS</w:t>
            </w:r>
          </w:p>
        </w:tc>
        <w:tc>
          <w:tcPr>
            <w:tcW w:w="1901" w:type="dxa"/>
          </w:tcPr>
          <w:p w14:paraId="568761D7" w14:textId="77777777" w:rsidR="00B1165D" w:rsidRPr="00B1165D" w:rsidRDefault="00B1165D" w:rsidP="00412DFB">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highlight w:val="yellow"/>
              </w:rPr>
            </w:pPr>
            <w:r w:rsidRPr="00B1165D">
              <w:t>1,551</w:t>
            </w:r>
          </w:p>
        </w:tc>
        <w:tc>
          <w:tcPr>
            <w:tcW w:w="1729" w:type="dxa"/>
          </w:tcPr>
          <w:p w14:paraId="22C1681F" w14:textId="77777777" w:rsidR="00B1165D" w:rsidRPr="00B1165D" w:rsidRDefault="00B1165D" w:rsidP="00412DFB">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t>66</w:t>
            </w:r>
          </w:p>
        </w:tc>
        <w:tc>
          <w:tcPr>
            <w:tcW w:w="1728" w:type="dxa"/>
          </w:tcPr>
          <w:p w14:paraId="70C44021" w14:textId="77777777" w:rsidR="00B1165D" w:rsidRPr="00B1165D" w:rsidRDefault="00B1165D" w:rsidP="00412DFB">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t>5</w:t>
            </w:r>
          </w:p>
        </w:tc>
        <w:tc>
          <w:tcPr>
            <w:tcW w:w="1729" w:type="dxa"/>
          </w:tcPr>
          <w:p w14:paraId="33DD2E25" w14:textId="77777777" w:rsidR="00B1165D" w:rsidRPr="00B1165D" w:rsidRDefault="00B1165D" w:rsidP="00412DFB">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t>832</w:t>
            </w:r>
          </w:p>
        </w:tc>
      </w:tr>
      <w:tr w:rsidR="00B1165D" w:rsidRPr="00B1165D" w14:paraId="14112EF4" w14:textId="77777777" w:rsidTr="004D7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146AC20" w14:textId="77777777" w:rsidR="00B1165D" w:rsidRPr="00B1165D" w:rsidRDefault="00B1165D" w:rsidP="00412DFB">
            <w:pPr>
              <w:pStyle w:val="10Tabletext"/>
              <w:rPr>
                <w:rFonts w:ascii="Calibri" w:eastAsia="Calibri" w:hAnsi="Calibri" w:cs="Arial"/>
                <w:color w:val="4D4D4D"/>
              </w:rPr>
            </w:pPr>
            <w:r w:rsidRPr="00B1165D">
              <w:t>DH</w:t>
            </w:r>
          </w:p>
        </w:tc>
        <w:tc>
          <w:tcPr>
            <w:tcW w:w="1901" w:type="dxa"/>
          </w:tcPr>
          <w:p w14:paraId="0F45FD80" w14:textId="77777777" w:rsidR="00B1165D" w:rsidRPr="00B1165D" w:rsidRDefault="00B1165D" w:rsidP="00412DFB">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highlight w:val="yellow"/>
              </w:rPr>
            </w:pPr>
            <w:r w:rsidRPr="00B1165D">
              <w:t>3,099</w:t>
            </w:r>
          </w:p>
        </w:tc>
        <w:tc>
          <w:tcPr>
            <w:tcW w:w="1729" w:type="dxa"/>
          </w:tcPr>
          <w:p w14:paraId="0B1AE1FC" w14:textId="77777777" w:rsidR="00B1165D" w:rsidRPr="00B1165D" w:rsidRDefault="00B1165D" w:rsidP="00412DFB">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t>209</w:t>
            </w:r>
          </w:p>
        </w:tc>
        <w:tc>
          <w:tcPr>
            <w:tcW w:w="1728" w:type="dxa"/>
          </w:tcPr>
          <w:p w14:paraId="215C2E4B" w14:textId="629626E8" w:rsidR="00B1165D" w:rsidRPr="00B1165D" w:rsidRDefault="001D50E4" w:rsidP="00412DFB">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t>10</w:t>
            </w:r>
          </w:p>
        </w:tc>
        <w:tc>
          <w:tcPr>
            <w:tcW w:w="1729" w:type="dxa"/>
          </w:tcPr>
          <w:p w14:paraId="6868B5BE" w14:textId="77777777" w:rsidR="00B1165D" w:rsidRPr="00B1165D" w:rsidRDefault="00B1165D" w:rsidP="00412DFB">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t>28 120</w:t>
            </w:r>
          </w:p>
        </w:tc>
      </w:tr>
      <w:tr w:rsidR="00B1165D" w:rsidRPr="00B1165D" w14:paraId="64BF5251" w14:textId="77777777" w:rsidTr="004D7DE3">
        <w:tc>
          <w:tcPr>
            <w:cnfStyle w:val="001000000000" w:firstRow="0" w:lastRow="0" w:firstColumn="1" w:lastColumn="0" w:oddVBand="0" w:evenVBand="0" w:oddHBand="0" w:evenHBand="0" w:firstRowFirstColumn="0" w:firstRowLastColumn="0" w:lastRowFirstColumn="0" w:lastRowLastColumn="0"/>
            <w:tcW w:w="1555" w:type="dxa"/>
          </w:tcPr>
          <w:p w14:paraId="7242F83E" w14:textId="77777777" w:rsidR="00B1165D" w:rsidRPr="00B1165D" w:rsidRDefault="00B1165D" w:rsidP="00412DFB">
            <w:pPr>
              <w:pStyle w:val="10Tabletext"/>
              <w:rPr>
                <w:rFonts w:ascii="Calibri" w:eastAsia="Calibri" w:hAnsi="Calibri" w:cs="Arial"/>
                <w:color w:val="4D4D4D"/>
              </w:rPr>
            </w:pPr>
            <w:r w:rsidRPr="00B1165D">
              <w:t>DJSIR</w:t>
            </w:r>
          </w:p>
        </w:tc>
        <w:tc>
          <w:tcPr>
            <w:tcW w:w="1901" w:type="dxa"/>
          </w:tcPr>
          <w:p w14:paraId="0E3A45CF" w14:textId="77777777" w:rsidR="00B1165D" w:rsidRPr="00B1165D" w:rsidRDefault="00B1165D" w:rsidP="00412DFB">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highlight w:val="yellow"/>
              </w:rPr>
            </w:pPr>
            <w:r w:rsidRPr="00B1165D">
              <w:t>1,888</w:t>
            </w:r>
          </w:p>
        </w:tc>
        <w:tc>
          <w:tcPr>
            <w:tcW w:w="1729" w:type="dxa"/>
          </w:tcPr>
          <w:p w14:paraId="6C94BD3C" w14:textId="77777777" w:rsidR="00B1165D" w:rsidRPr="00B1165D" w:rsidRDefault="00B1165D" w:rsidP="00412DFB">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t>142</w:t>
            </w:r>
          </w:p>
        </w:tc>
        <w:tc>
          <w:tcPr>
            <w:tcW w:w="1728" w:type="dxa"/>
          </w:tcPr>
          <w:p w14:paraId="212C98FD" w14:textId="77777777" w:rsidR="00B1165D" w:rsidRPr="00B1165D" w:rsidRDefault="00B1165D" w:rsidP="00412DFB">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t>6</w:t>
            </w:r>
          </w:p>
        </w:tc>
        <w:tc>
          <w:tcPr>
            <w:tcW w:w="1729" w:type="dxa"/>
          </w:tcPr>
          <w:p w14:paraId="46F5F4DB" w14:textId="77777777" w:rsidR="00B1165D" w:rsidRPr="00B1165D" w:rsidRDefault="00B1165D" w:rsidP="00412DFB">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t>4 358</w:t>
            </w:r>
          </w:p>
        </w:tc>
      </w:tr>
      <w:tr w:rsidR="00B1165D" w:rsidRPr="00B1165D" w14:paraId="3B31AEF9" w14:textId="77777777" w:rsidTr="004D7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AC5E8AF" w14:textId="6D274680" w:rsidR="00B1165D" w:rsidRPr="00B1165D" w:rsidRDefault="00B1165D" w:rsidP="00412DFB">
            <w:pPr>
              <w:pStyle w:val="10Tabletext"/>
              <w:rPr>
                <w:rFonts w:ascii="Calibri" w:eastAsia="Calibri" w:hAnsi="Calibri" w:cs="Arial"/>
                <w:color w:val="4D4D4D"/>
              </w:rPr>
            </w:pPr>
            <w:r w:rsidRPr="00B1165D">
              <w:t>DJCS</w:t>
            </w:r>
            <w:r w:rsidRPr="00B1165D">
              <w:rPr>
                <w:rFonts w:ascii="Calibri" w:eastAsia="Calibri" w:hAnsi="Calibri" w:cs="Arial"/>
                <w:color w:val="4D4D4D"/>
                <w:vertAlign w:val="superscript"/>
              </w:rPr>
              <w:t>(</w:t>
            </w:r>
            <w:r w:rsidR="00900144">
              <w:rPr>
                <w:rFonts w:ascii="Calibri" w:eastAsia="Calibri" w:hAnsi="Calibri" w:cs="Arial"/>
                <w:color w:val="4D4D4D"/>
                <w:vertAlign w:val="superscript"/>
              </w:rPr>
              <w:t>f</w:t>
            </w:r>
            <w:r w:rsidRPr="00B1165D">
              <w:rPr>
                <w:rFonts w:ascii="Calibri" w:eastAsia="Calibri" w:hAnsi="Calibri" w:cs="Arial"/>
                <w:color w:val="4D4D4D"/>
                <w:vertAlign w:val="superscript"/>
              </w:rPr>
              <w:t>)</w:t>
            </w:r>
          </w:p>
        </w:tc>
        <w:tc>
          <w:tcPr>
            <w:tcW w:w="1901" w:type="dxa"/>
          </w:tcPr>
          <w:p w14:paraId="357C53B2" w14:textId="77777777" w:rsidR="00B1165D" w:rsidRPr="00B1165D" w:rsidRDefault="00B1165D" w:rsidP="00412DFB">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highlight w:val="yellow"/>
              </w:rPr>
            </w:pPr>
            <w:r w:rsidRPr="00B1165D">
              <w:t>9,573</w:t>
            </w:r>
          </w:p>
        </w:tc>
        <w:tc>
          <w:tcPr>
            <w:tcW w:w="1729" w:type="dxa"/>
          </w:tcPr>
          <w:p w14:paraId="7DA3B07F" w14:textId="77777777" w:rsidR="00B1165D" w:rsidRPr="00B1165D" w:rsidRDefault="00B1165D" w:rsidP="00412DFB">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t>155</w:t>
            </w:r>
          </w:p>
        </w:tc>
        <w:tc>
          <w:tcPr>
            <w:tcW w:w="1728" w:type="dxa"/>
          </w:tcPr>
          <w:p w14:paraId="0BB6FA5E" w14:textId="51E605B3" w:rsidR="00B1165D" w:rsidRPr="00B1165D" w:rsidRDefault="00B1165D" w:rsidP="00412DFB">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t>1</w:t>
            </w:r>
            <w:r w:rsidR="00947ACE">
              <w:t>0</w:t>
            </w:r>
          </w:p>
        </w:tc>
        <w:tc>
          <w:tcPr>
            <w:tcW w:w="1729" w:type="dxa"/>
          </w:tcPr>
          <w:p w14:paraId="05AF8FF0" w14:textId="77777777" w:rsidR="00B1165D" w:rsidRPr="00B1165D" w:rsidRDefault="00B1165D" w:rsidP="00412DFB">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t>9 637</w:t>
            </w:r>
          </w:p>
        </w:tc>
      </w:tr>
      <w:tr w:rsidR="00B1165D" w:rsidRPr="00B1165D" w14:paraId="34D0F187" w14:textId="77777777" w:rsidTr="004D7DE3">
        <w:tc>
          <w:tcPr>
            <w:cnfStyle w:val="001000000000" w:firstRow="0" w:lastRow="0" w:firstColumn="1" w:lastColumn="0" w:oddVBand="0" w:evenVBand="0" w:oddHBand="0" w:evenHBand="0" w:firstRowFirstColumn="0" w:firstRowLastColumn="0" w:lastRowFirstColumn="0" w:lastRowLastColumn="0"/>
            <w:tcW w:w="1555" w:type="dxa"/>
          </w:tcPr>
          <w:p w14:paraId="7C12568D" w14:textId="77777777" w:rsidR="00B1165D" w:rsidRPr="00B1165D" w:rsidRDefault="00B1165D" w:rsidP="00412DFB">
            <w:pPr>
              <w:pStyle w:val="10Tabletext"/>
              <w:rPr>
                <w:rFonts w:ascii="Calibri" w:eastAsia="Calibri" w:hAnsi="Calibri" w:cs="Arial"/>
                <w:color w:val="4D4D4D"/>
              </w:rPr>
            </w:pPr>
            <w:r w:rsidRPr="00B1165D">
              <w:t>DPC</w:t>
            </w:r>
          </w:p>
        </w:tc>
        <w:tc>
          <w:tcPr>
            <w:tcW w:w="1901" w:type="dxa"/>
          </w:tcPr>
          <w:p w14:paraId="668F6617" w14:textId="77777777" w:rsidR="00B1165D" w:rsidRPr="00B1165D" w:rsidRDefault="00B1165D" w:rsidP="00412DFB">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highlight w:val="yellow"/>
              </w:rPr>
            </w:pPr>
            <w:r w:rsidRPr="00B1165D">
              <w:t>533</w:t>
            </w:r>
          </w:p>
        </w:tc>
        <w:tc>
          <w:tcPr>
            <w:tcW w:w="1729" w:type="dxa"/>
          </w:tcPr>
          <w:p w14:paraId="264C7EC3" w14:textId="77777777" w:rsidR="00B1165D" w:rsidRPr="00B1165D" w:rsidRDefault="00B1165D" w:rsidP="00412DFB">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t>60</w:t>
            </w:r>
          </w:p>
        </w:tc>
        <w:tc>
          <w:tcPr>
            <w:tcW w:w="1728" w:type="dxa"/>
          </w:tcPr>
          <w:p w14:paraId="5FA7C2B9" w14:textId="531C6FBC" w:rsidR="00B1165D" w:rsidRPr="00B1165D" w:rsidRDefault="00A962AF" w:rsidP="00412DFB">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t>6</w:t>
            </w:r>
          </w:p>
        </w:tc>
        <w:tc>
          <w:tcPr>
            <w:tcW w:w="1729" w:type="dxa"/>
          </w:tcPr>
          <w:p w14:paraId="41E622C7" w14:textId="77777777" w:rsidR="00B1165D" w:rsidRPr="00B1165D" w:rsidRDefault="00B1165D" w:rsidP="00412DFB">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t>537</w:t>
            </w:r>
          </w:p>
        </w:tc>
      </w:tr>
      <w:tr w:rsidR="00B1165D" w:rsidRPr="00B1165D" w14:paraId="3997D717" w14:textId="77777777" w:rsidTr="004D7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ECE9B96" w14:textId="77777777" w:rsidR="00B1165D" w:rsidRPr="00B1165D" w:rsidRDefault="00B1165D" w:rsidP="00412DFB">
            <w:pPr>
              <w:pStyle w:val="10Tabletext"/>
              <w:rPr>
                <w:rFonts w:ascii="Calibri" w:eastAsia="Calibri" w:hAnsi="Calibri" w:cs="Arial"/>
                <w:color w:val="4D4D4D"/>
              </w:rPr>
            </w:pPr>
            <w:r w:rsidRPr="00B1165D">
              <w:t>DTP</w:t>
            </w:r>
          </w:p>
        </w:tc>
        <w:tc>
          <w:tcPr>
            <w:tcW w:w="1901" w:type="dxa"/>
          </w:tcPr>
          <w:p w14:paraId="6733B7A2" w14:textId="77777777" w:rsidR="00B1165D" w:rsidRPr="00B1165D" w:rsidRDefault="00B1165D" w:rsidP="00412DFB">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highlight w:val="yellow"/>
              </w:rPr>
            </w:pPr>
            <w:r w:rsidRPr="00B1165D">
              <w:t>4,625</w:t>
            </w:r>
          </w:p>
        </w:tc>
        <w:tc>
          <w:tcPr>
            <w:tcW w:w="1729" w:type="dxa"/>
          </w:tcPr>
          <w:p w14:paraId="4618C281" w14:textId="77777777" w:rsidR="00B1165D" w:rsidRPr="00B1165D" w:rsidRDefault="00B1165D" w:rsidP="00412DFB">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t>191</w:t>
            </w:r>
          </w:p>
        </w:tc>
        <w:tc>
          <w:tcPr>
            <w:tcW w:w="1728" w:type="dxa"/>
          </w:tcPr>
          <w:p w14:paraId="3EEAA3FB" w14:textId="77777777" w:rsidR="00B1165D" w:rsidRPr="00B1165D" w:rsidRDefault="00B1165D" w:rsidP="00412DFB">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t>9</w:t>
            </w:r>
          </w:p>
        </w:tc>
        <w:tc>
          <w:tcPr>
            <w:tcW w:w="1729" w:type="dxa"/>
          </w:tcPr>
          <w:p w14:paraId="4AA1BB36" w14:textId="77777777" w:rsidR="00B1165D" w:rsidRPr="00B1165D" w:rsidRDefault="00B1165D" w:rsidP="00412DFB">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t>7 985</w:t>
            </w:r>
          </w:p>
        </w:tc>
      </w:tr>
      <w:tr w:rsidR="00B1165D" w:rsidRPr="00B1165D" w14:paraId="71B3F01A" w14:textId="77777777" w:rsidTr="004D7DE3">
        <w:tc>
          <w:tcPr>
            <w:cnfStyle w:val="001000000000" w:firstRow="0" w:lastRow="0" w:firstColumn="1" w:lastColumn="0" w:oddVBand="0" w:evenVBand="0" w:oddHBand="0" w:evenHBand="0" w:firstRowFirstColumn="0" w:firstRowLastColumn="0" w:lastRowFirstColumn="0" w:lastRowLastColumn="0"/>
            <w:tcW w:w="1555" w:type="dxa"/>
          </w:tcPr>
          <w:p w14:paraId="11236A58" w14:textId="69650212" w:rsidR="00B1165D" w:rsidRPr="00B1165D" w:rsidRDefault="00B1165D" w:rsidP="00412DFB">
            <w:pPr>
              <w:pStyle w:val="10Tabletext"/>
              <w:rPr>
                <w:rFonts w:ascii="Calibri" w:eastAsia="Calibri" w:hAnsi="Calibri" w:cs="Arial"/>
                <w:color w:val="4D4D4D"/>
              </w:rPr>
            </w:pPr>
            <w:r w:rsidRPr="00B1165D">
              <w:t>DTF</w:t>
            </w:r>
            <w:r w:rsidRPr="00B1165D">
              <w:rPr>
                <w:rFonts w:ascii="Calibri" w:eastAsia="Calibri" w:hAnsi="Calibri" w:cs="Arial"/>
                <w:color w:val="4D4D4D"/>
                <w:vertAlign w:val="superscript"/>
              </w:rPr>
              <w:t>(</w:t>
            </w:r>
            <w:r w:rsidR="00900144">
              <w:rPr>
                <w:rFonts w:ascii="Calibri" w:eastAsia="Calibri" w:hAnsi="Calibri" w:cs="Arial"/>
                <w:color w:val="4D4D4D"/>
                <w:vertAlign w:val="superscript"/>
              </w:rPr>
              <w:t>g</w:t>
            </w:r>
            <w:r w:rsidRPr="00B1165D">
              <w:rPr>
                <w:rFonts w:ascii="Calibri" w:eastAsia="Calibri" w:hAnsi="Calibri" w:cs="Arial"/>
                <w:color w:val="4D4D4D"/>
                <w:vertAlign w:val="superscript"/>
              </w:rPr>
              <w:t>)</w:t>
            </w:r>
          </w:p>
        </w:tc>
        <w:tc>
          <w:tcPr>
            <w:tcW w:w="1901" w:type="dxa"/>
          </w:tcPr>
          <w:p w14:paraId="16B37568" w14:textId="77777777" w:rsidR="00B1165D" w:rsidRPr="00B1165D" w:rsidRDefault="00B1165D" w:rsidP="00412DFB">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highlight w:val="yellow"/>
              </w:rPr>
            </w:pPr>
            <w:r w:rsidRPr="00B1165D">
              <w:t>1,256</w:t>
            </w:r>
          </w:p>
        </w:tc>
        <w:tc>
          <w:tcPr>
            <w:tcW w:w="1729" w:type="dxa"/>
          </w:tcPr>
          <w:p w14:paraId="7DABDC89" w14:textId="77777777" w:rsidR="00B1165D" w:rsidRPr="00B1165D" w:rsidRDefault="00B1165D" w:rsidP="00412DFB">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t>70</w:t>
            </w:r>
          </w:p>
        </w:tc>
        <w:tc>
          <w:tcPr>
            <w:tcW w:w="1728" w:type="dxa"/>
          </w:tcPr>
          <w:p w14:paraId="45387818" w14:textId="77777777" w:rsidR="00B1165D" w:rsidRPr="00B1165D" w:rsidRDefault="00B1165D" w:rsidP="00412DFB">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t>6</w:t>
            </w:r>
          </w:p>
        </w:tc>
        <w:tc>
          <w:tcPr>
            <w:tcW w:w="1729" w:type="dxa"/>
          </w:tcPr>
          <w:p w14:paraId="2264022B" w14:textId="77777777" w:rsidR="00B1165D" w:rsidRPr="00B1165D" w:rsidRDefault="00B1165D" w:rsidP="00412DFB">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t>452</w:t>
            </w:r>
          </w:p>
        </w:tc>
      </w:tr>
    </w:tbl>
    <w:p w14:paraId="1F0F1666" w14:textId="44489CDF" w:rsidR="00B1165D" w:rsidRPr="00B1165D" w:rsidRDefault="00B1165D" w:rsidP="00B03B80">
      <w:pPr>
        <w:pStyle w:val="09Sourcesandnotesfortablesfiguresboxes"/>
      </w:pPr>
      <w:r w:rsidRPr="00B1165D">
        <w:t>Notes: (a) As of last pay period in June 2023</w:t>
      </w:r>
      <w:r w:rsidR="000D60F1">
        <w:t>.</w:t>
      </w:r>
      <w:r w:rsidR="00F02A46">
        <w:t xml:space="preserve"> (b)</w:t>
      </w:r>
      <w:r w:rsidRPr="00B1165D">
        <w:t xml:space="preserve"> ‘</w:t>
      </w:r>
      <w:r w:rsidR="00D434E5">
        <w:t>E</w:t>
      </w:r>
      <w:r w:rsidRPr="00B1165D">
        <w:t>xecutive’ defined as SES-1, SES-2, and SES-3 only. (</w:t>
      </w:r>
      <w:r w:rsidR="00D434E5">
        <w:t>c</w:t>
      </w:r>
      <w:r w:rsidRPr="00B1165D">
        <w:t xml:space="preserve">) As of </w:t>
      </w:r>
      <w:r w:rsidR="00C60D0D">
        <w:t>June</w:t>
      </w:r>
      <w:r w:rsidRPr="00B1165D">
        <w:t xml:space="preserve"> 2024. (</w:t>
      </w:r>
      <w:r w:rsidR="00D434E5">
        <w:t>d</w:t>
      </w:r>
      <w:r w:rsidRPr="00B1165D">
        <w:t xml:space="preserve">) Total revenue and income from transactions as listed in </w:t>
      </w:r>
      <w:r w:rsidR="006E2D91" w:rsidRPr="005A4CDA">
        <w:rPr>
          <w:i/>
          <w:iCs/>
        </w:rPr>
        <w:t xml:space="preserve">Victorian </w:t>
      </w:r>
      <w:r w:rsidRPr="005A4CDA">
        <w:rPr>
          <w:i/>
        </w:rPr>
        <w:t xml:space="preserve">Budget </w:t>
      </w:r>
      <w:r w:rsidR="006E2D91" w:rsidRPr="005A4CDA">
        <w:rPr>
          <w:i/>
          <w:iCs/>
        </w:rPr>
        <w:t>2024-25</w:t>
      </w:r>
      <w:r w:rsidR="005A4CDA" w:rsidRPr="005A4CDA">
        <w:rPr>
          <w:i/>
          <w:iCs/>
        </w:rPr>
        <w:t xml:space="preserve"> </w:t>
      </w:r>
      <w:r w:rsidR="00AE7B90">
        <w:rPr>
          <w:i/>
          <w:iCs/>
        </w:rPr>
        <w:t>—</w:t>
      </w:r>
      <w:r w:rsidR="005A4CDA" w:rsidRPr="005A4CDA">
        <w:rPr>
          <w:i/>
          <w:iCs/>
        </w:rPr>
        <w:t xml:space="preserve"> </w:t>
      </w:r>
      <w:r w:rsidRPr="005A4CDA">
        <w:rPr>
          <w:i/>
          <w:iCs/>
        </w:rPr>
        <w:t>Budget Paper No.</w:t>
      </w:r>
      <w:r w:rsidRPr="005A4CDA">
        <w:rPr>
          <w:i/>
        </w:rPr>
        <w:t xml:space="preserve"> 5: Statement of Finances</w:t>
      </w:r>
      <w:r w:rsidRPr="00B1165D">
        <w:t>. (</w:t>
      </w:r>
      <w:r w:rsidR="00D434E5">
        <w:t>e</w:t>
      </w:r>
      <w:r w:rsidRPr="00B1165D">
        <w:t>) DEECA non-executive headcount includes Sustainability Victoria. (</w:t>
      </w:r>
      <w:r w:rsidR="00D434E5">
        <w:t>f</w:t>
      </w:r>
      <w:r w:rsidRPr="00B1165D">
        <w:t>) DJCS non-executive headcount includes service delivery personnel such as custodial officers and sheriffs. (</w:t>
      </w:r>
      <w:r w:rsidR="00D434E5">
        <w:t>g</w:t>
      </w:r>
      <w:r w:rsidRPr="00B1165D">
        <w:t>) DTF non-executive headcount includes State Revenue Office.</w:t>
      </w:r>
    </w:p>
    <w:p w14:paraId="20DB11C3" w14:textId="3C3552E5" w:rsidR="00B1165D" w:rsidRPr="00B1165D" w:rsidRDefault="00B1165D" w:rsidP="00B03B80">
      <w:pPr>
        <w:pStyle w:val="09Sourcesandnotesfortablesfiguresboxes"/>
      </w:pPr>
      <w:r w:rsidRPr="0084141C">
        <w:t>Sources: DE</w:t>
      </w:r>
      <w:r w:rsidR="00823873" w:rsidRPr="0084141C">
        <w:t xml:space="preserve"> (2024)</w:t>
      </w:r>
      <w:r w:rsidRPr="0084141C">
        <w:t>; DEECA</w:t>
      </w:r>
      <w:r w:rsidR="00823873" w:rsidRPr="0084141C">
        <w:t xml:space="preserve"> (2024</w:t>
      </w:r>
      <w:r w:rsidR="00146EE1" w:rsidRPr="0084141C">
        <w:t>b</w:t>
      </w:r>
      <w:r w:rsidR="00823873" w:rsidRPr="0084141C">
        <w:t>)</w:t>
      </w:r>
      <w:r w:rsidRPr="0084141C">
        <w:t>; DFFH</w:t>
      </w:r>
      <w:r w:rsidR="00823873" w:rsidRPr="0084141C">
        <w:t xml:space="preserve"> (2024</w:t>
      </w:r>
      <w:r w:rsidR="007C696F" w:rsidRPr="0084141C">
        <w:t>b</w:t>
      </w:r>
      <w:r w:rsidR="00823873" w:rsidRPr="0084141C">
        <w:t>)</w:t>
      </w:r>
      <w:r w:rsidRPr="0084141C">
        <w:t>; DGS</w:t>
      </w:r>
      <w:r w:rsidR="00823873" w:rsidRPr="0084141C">
        <w:t xml:space="preserve"> (2024</w:t>
      </w:r>
      <w:r w:rsidR="007C696F" w:rsidRPr="0084141C">
        <w:t>c</w:t>
      </w:r>
      <w:r w:rsidR="00823873" w:rsidRPr="0084141C">
        <w:t>)</w:t>
      </w:r>
      <w:r w:rsidRPr="0084141C">
        <w:t>; DH</w:t>
      </w:r>
      <w:r w:rsidR="00823873" w:rsidRPr="0084141C">
        <w:t xml:space="preserve"> (2024</w:t>
      </w:r>
      <w:r w:rsidR="00A357AA" w:rsidRPr="0084141C">
        <w:t>c</w:t>
      </w:r>
      <w:r w:rsidR="00823873" w:rsidRPr="0084141C">
        <w:t>)</w:t>
      </w:r>
      <w:r w:rsidRPr="0084141C">
        <w:t xml:space="preserve">; </w:t>
      </w:r>
      <w:r w:rsidR="00A357AA" w:rsidRPr="0084141C">
        <w:t xml:space="preserve">DJCS (2024); </w:t>
      </w:r>
      <w:r w:rsidRPr="0084141C">
        <w:t>DJSIR</w:t>
      </w:r>
      <w:r w:rsidR="00823873" w:rsidRPr="0084141C">
        <w:t xml:space="preserve"> (202</w:t>
      </w:r>
      <w:r w:rsidR="00947ACE" w:rsidRPr="0084141C">
        <w:t>4</w:t>
      </w:r>
      <w:r w:rsidR="00823873" w:rsidRPr="0084141C">
        <w:t>)</w:t>
      </w:r>
      <w:r w:rsidRPr="0084141C">
        <w:t>; DPC</w:t>
      </w:r>
      <w:r w:rsidR="00823873" w:rsidRPr="0084141C">
        <w:t xml:space="preserve"> (2024</w:t>
      </w:r>
      <w:r w:rsidR="00A357AA" w:rsidRPr="0084141C">
        <w:t>a</w:t>
      </w:r>
      <w:r w:rsidR="00823873" w:rsidRPr="0084141C">
        <w:t>)</w:t>
      </w:r>
      <w:r w:rsidR="00BE3045" w:rsidRPr="0084141C">
        <w:t xml:space="preserve">; </w:t>
      </w:r>
      <w:r w:rsidR="000C55C5" w:rsidRPr="007175DE">
        <w:t>DTF</w:t>
      </w:r>
      <w:r w:rsidR="00823873" w:rsidRPr="007175DE">
        <w:t xml:space="preserve"> (2024</w:t>
      </w:r>
      <w:r w:rsidR="00BA7660">
        <w:t>b</w:t>
      </w:r>
      <w:r w:rsidR="00823873" w:rsidRPr="00206BF3">
        <w:t>)</w:t>
      </w:r>
      <w:r w:rsidRPr="00206BF3">
        <w:t>; DTF</w:t>
      </w:r>
      <w:r w:rsidR="00823873" w:rsidRPr="00206BF3">
        <w:t xml:space="preserve"> (2024</w:t>
      </w:r>
      <w:r w:rsidR="00F71345">
        <w:t>g</w:t>
      </w:r>
      <w:r w:rsidR="00823873" w:rsidRPr="00206BF3">
        <w:t>)</w:t>
      </w:r>
      <w:r w:rsidR="00D776E0" w:rsidRPr="00206BF3">
        <w:t>;</w:t>
      </w:r>
      <w:r w:rsidRPr="00206BF3">
        <w:t xml:space="preserve"> </w:t>
      </w:r>
      <w:r w:rsidR="0084141C" w:rsidRPr="006B5789">
        <w:t>DTP (2024</w:t>
      </w:r>
      <w:r w:rsidR="009B1905">
        <w:t>b</w:t>
      </w:r>
      <w:r w:rsidR="0084141C" w:rsidRPr="006B5789">
        <w:t xml:space="preserve">); </w:t>
      </w:r>
      <w:r w:rsidR="00BD35C8" w:rsidRPr="00BD35C8">
        <w:t xml:space="preserve">Tribunal analysis of </w:t>
      </w:r>
      <w:r w:rsidRPr="00BD35C8">
        <w:t>VPSC data</w:t>
      </w:r>
      <w:r w:rsidR="00BD35C8" w:rsidRPr="00BD35C8">
        <w:t>.</w:t>
      </w:r>
    </w:p>
    <w:p w14:paraId="0F451CFE" w14:textId="5157ACFB" w:rsidR="00B1165D" w:rsidRPr="00B1165D" w:rsidRDefault="00B1165D" w:rsidP="00B03B80">
      <w:pPr>
        <w:pStyle w:val="05Paragraph"/>
        <w:rPr>
          <w:noProof/>
        </w:rPr>
      </w:pPr>
      <w:r w:rsidRPr="00B1165D">
        <w:rPr>
          <w:noProof/>
        </w:rPr>
        <w:t>The broad range of portfolios supported by departments means that executives, particularly Secretaries and SES-3s, must be familiar with a wider variety of initiatives and subjects</w:t>
      </w:r>
      <w:r w:rsidR="00B34F3B">
        <w:rPr>
          <w:noProof/>
        </w:rPr>
        <w:t>,</w:t>
      </w:r>
      <w:r w:rsidRPr="00B1165D">
        <w:rPr>
          <w:noProof/>
        </w:rPr>
        <w:t xml:space="preserve"> and manage relationships with multiple Ministers. This is complicated by the scale of change over the past four years (see section 2.3). The portfolios and Ministers supported by each department have undergone multiple changes since the 2020 VPS Determination.</w:t>
      </w:r>
    </w:p>
    <w:p w14:paraId="6975E3C2" w14:textId="77777777" w:rsidR="00B1165D" w:rsidRPr="00B1165D" w:rsidRDefault="00B1165D" w:rsidP="00B03B80">
      <w:pPr>
        <w:pStyle w:val="05Paragraph"/>
        <w:rPr>
          <w:noProof/>
        </w:rPr>
      </w:pPr>
      <w:r w:rsidRPr="00B1165D">
        <w:rPr>
          <w:noProof/>
        </w:rPr>
        <w:t>Table 2.2 displays for each department:</w:t>
      </w:r>
    </w:p>
    <w:p w14:paraId="6AAF7F1D" w14:textId="77777777" w:rsidR="00B1165D" w:rsidRPr="00B1165D" w:rsidRDefault="00B1165D" w:rsidP="004770E0">
      <w:pPr>
        <w:pStyle w:val="06VIRTBulletpoints"/>
        <w:rPr>
          <w:noProof/>
        </w:rPr>
      </w:pPr>
      <w:r w:rsidRPr="00B1165D">
        <w:rPr>
          <w:noProof/>
        </w:rPr>
        <w:t>the number of Ministers serviced</w:t>
      </w:r>
    </w:p>
    <w:p w14:paraId="69AC5C1E" w14:textId="77777777" w:rsidR="00B1165D" w:rsidRPr="00B1165D" w:rsidRDefault="00B1165D" w:rsidP="004770E0">
      <w:pPr>
        <w:pStyle w:val="06VIRTBulletpoints"/>
        <w:rPr>
          <w:noProof/>
        </w:rPr>
      </w:pPr>
      <w:r w:rsidRPr="00B1165D">
        <w:rPr>
          <w:noProof/>
        </w:rPr>
        <w:t>the number of portfolios supported.</w:t>
      </w:r>
    </w:p>
    <w:p w14:paraId="1456C9E9" w14:textId="77777777" w:rsidR="00B1165D" w:rsidRPr="00B1165D" w:rsidRDefault="00B1165D" w:rsidP="00144BE8">
      <w:pPr>
        <w:pStyle w:val="08Figuretableboxheading"/>
        <w:rPr>
          <w:rFonts w:eastAsia="Calibri"/>
          <w:color w:val="4D4D4D"/>
        </w:rPr>
      </w:pPr>
      <w:bookmarkStart w:id="49" w:name="_Toc170393523"/>
      <w:r w:rsidRPr="00B1165D">
        <w:t>Table 2.2: Number of ministers and portfolios per department, as of June 2024</w:t>
      </w:r>
      <w:bookmarkEnd w:id="49"/>
    </w:p>
    <w:tbl>
      <w:tblPr>
        <w:tblStyle w:val="ListTable3-Accent21"/>
        <w:tblW w:w="8647" w:type="dxa"/>
        <w:tblBorders>
          <w:left w:val="none" w:sz="0" w:space="0" w:color="auto"/>
          <w:right w:val="none" w:sz="0" w:space="0" w:color="auto"/>
          <w:insideH w:val="single" w:sz="4" w:space="0" w:color="148A5D" w:themeColor="accent2"/>
        </w:tblBorders>
        <w:tblLayout w:type="fixed"/>
        <w:tblLook w:val="04A0" w:firstRow="1" w:lastRow="0" w:firstColumn="1" w:lastColumn="0" w:noHBand="0" w:noVBand="1"/>
      </w:tblPr>
      <w:tblGrid>
        <w:gridCol w:w="2882"/>
        <w:gridCol w:w="2882"/>
        <w:gridCol w:w="2883"/>
      </w:tblGrid>
      <w:tr w:rsidR="00B1165D" w:rsidRPr="00B1165D" w14:paraId="1BCD0476" w14:textId="77777777" w:rsidTr="004D7DE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dxa"/>
          </w:tcPr>
          <w:p w14:paraId="608CAF68" w14:textId="77777777" w:rsidR="00B1165D" w:rsidRPr="00B03B80" w:rsidRDefault="00B1165D" w:rsidP="00E32CB5">
            <w:pPr>
              <w:keepNext/>
              <w:spacing w:before="0" w:after="0" w:line="240" w:lineRule="auto"/>
              <w:jc w:val="left"/>
              <w:rPr>
                <w:rFonts w:eastAsia="Calibri" w:cs="Calibri Light"/>
                <w:color w:val="FFFFFF"/>
                <w:sz w:val="22"/>
              </w:rPr>
            </w:pPr>
            <w:r w:rsidRPr="00B03B80">
              <w:rPr>
                <w:rFonts w:eastAsia="Calibri" w:cs="Calibri Light"/>
                <w:color w:val="FFFFFF"/>
                <w:sz w:val="22"/>
              </w:rPr>
              <w:t>Department</w:t>
            </w:r>
          </w:p>
        </w:tc>
        <w:tc>
          <w:tcPr>
            <w:tcW w:w="0" w:type="dxa"/>
          </w:tcPr>
          <w:p w14:paraId="103218BA" w14:textId="77777777" w:rsidR="00B1165D" w:rsidRPr="00B03B80" w:rsidRDefault="00B1165D" w:rsidP="00E32CB5">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Calibri" w:cs="Calibri Light"/>
                <w:color w:val="FFFFFF"/>
                <w:sz w:val="22"/>
              </w:rPr>
            </w:pPr>
            <w:r w:rsidRPr="00B03B80">
              <w:rPr>
                <w:rFonts w:eastAsia="Calibri" w:cs="Calibri Light"/>
                <w:color w:val="FFFFFF"/>
                <w:sz w:val="22"/>
              </w:rPr>
              <w:t>No. ministers</w:t>
            </w:r>
          </w:p>
        </w:tc>
        <w:tc>
          <w:tcPr>
            <w:tcW w:w="0" w:type="dxa"/>
          </w:tcPr>
          <w:p w14:paraId="6CEB5948" w14:textId="77777777" w:rsidR="00B1165D" w:rsidRPr="00B03B80" w:rsidRDefault="00B1165D" w:rsidP="00E32CB5">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Calibri" w:cs="Calibri Light"/>
                <w:color w:val="FFFFFF"/>
                <w:sz w:val="22"/>
              </w:rPr>
            </w:pPr>
            <w:r w:rsidRPr="00B03B80">
              <w:rPr>
                <w:rFonts w:eastAsia="Calibri" w:cs="Calibri Light"/>
                <w:color w:val="FFFFFF"/>
                <w:sz w:val="22"/>
              </w:rPr>
              <w:t>No. portfolios</w:t>
            </w:r>
          </w:p>
        </w:tc>
      </w:tr>
      <w:tr w:rsidR="00B1165D" w:rsidRPr="00B1165D" w14:paraId="485AE756" w14:textId="77777777" w:rsidTr="004D7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2" w:type="dxa"/>
          </w:tcPr>
          <w:p w14:paraId="2330EC86" w14:textId="77777777" w:rsidR="00B1165D" w:rsidRPr="00B1165D" w:rsidRDefault="00B1165D" w:rsidP="00B03B80">
            <w:pPr>
              <w:pStyle w:val="10Tabletext"/>
              <w:rPr>
                <w:rFonts w:ascii="Calibri" w:eastAsia="Calibri" w:hAnsi="Calibri" w:cs="Arial"/>
                <w:color w:val="4D4D4D"/>
              </w:rPr>
            </w:pPr>
            <w:r w:rsidRPr="00B1165D">
              <w:rPr>
                <w:color w:val="4D4D4D"/>
              </w:rPr>
              <w:t>DE</w:t>
            </w:r>
          </w:p>
        </w:tc>
        <w:tc>
          <w:tcPr>
            <w:tcW w:w="2882" w:type="dxa"/>
          </w:tcPr>
          <w:p w14:paraId="26EE995D" w14:textId="77777777" w:rsidR="00B1165D" w:rsidRPr="00B1165D" w:rsidRDefault="00B1165D" w:rsidP="00B03B80">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rPr>
                <w:color w:val="4D4D4D"/>
              </w:rPr>
              <w:t>2</w:t>
            </w:r>
          </w:p>
        </w:tc>
        <w:tc>
          <w:tcPr>
            <w:tcW w:w="2883" w:type="dxa"/>
          </w:tcPr>
          <w:p w14:paraId="2A7E3F9B" w14:textId="77777777" w:rsidR="00B1165D" w:rsidRPr="00B1165D" w:rsidRDefault="00B1165D" w:rsidP="00B03B80">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rPr>
                <w:color w:val="4D4D4D"/>
              </w:rPr>
              <w:t>2</w:t>
            </w:r>
          </w:p>
        </w:tc>
      </w:tr>
      <w:tr w:rsidR="00B1165D" w:rsidRPr="00B1165D" w14:paraId="5D36DBDD" w14:textId="77777777" w:rsidTr="004D7DE3">
        <w:tc>
          <w:tcPr>
            <w:cnfStyle w:val="001000000000" w:firstRow="0" w:lastRow="0" w:firstColumn="1" w:lastColumn="0" w:oddVBand="0" w:evenVBand="0" w:oddHBand="0" w:evenHBand="0" w:firstRowFirstColumn="0" w:firstRowLastColumn="0" w:lastRowFirstColumn="0" w:lastRowLastColumn="0"/>
            <w:tcW w:w="2882" w:type="dxa"/>
          </w:tcPr>
          <w:p w14:paraId="6269B9C3" w14:textId="77777777" w:rsidR="00B1165D" w:rsidRPr="00B1165D" w:rsidRDefault="00B1165D" w:rsidP="00B03B80">
            <w:pPr>
              <w:pStyle w:val="10Tabletext"/>
              <w:rPr>
                <w:rFonts w:ascii="Calibri" w:eastAsia="Calibri" w:hAnsi="Calibri" w:cs="Arial"/>
                <w:color w:val="4D4D4D"/>
              </w:rPr>
            </w:pPr>
            <w:r w:rsidRPr="00B1165D">
              <w:rPr>
                <w:color w:val="4D4D4D"/>
              </w:rPr>
              <w:t>DEECA</w:t>
            </w:r>
          </w:p>
        </w:tc>
        <w:tc>
          <w:tcPr>
            <w:tcW w:w="2882" w:type="dxa"/>
          </w:tcPr>
          <w:p w14:paraId="0D0860C9" w14:textId="77777777" w:rsidR="00B1165D" w:rsidRPr="00B1165D" w:rsidRDefault="00B1165D" w:rsidP="00B03B80">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rPr>
                <w:color w:val="4D4D4D"/>
              </w:rPr>
              <w:t>4</w:t>
            </w:r>
          </w:p>
        </w:tc>
        <w:tc>
          <w:tcPr>
            <w:tcW w:w="2883" w:type="dxa"/>
          </w:tcPr>
          <w:p w14:paraId="1575A490" w14:textId="77777777" w:rsidR="00B1165D" w:rsidRPr="00B1165D" w:rsidRDefault="00B1165D" w:rsidP="00B03B80">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rPr>
                <w:color w:val="4D4D4D"/>
              </w:rPr>
              <w:t>6</w:t>
            </w:r>
          </w:p>
        </w:tc>
      </w:tr>
      <w:tr w:rsidR="00B1165D" w:rsidRPr="00B1165D" w14:paraId="216CDBFC" w14:textId="77777777" w:rsidTr="004D7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2" w:type="dxa"/>
          </w:tcPr>
          <w:p w14:paraId="1C9D85EE" w14:textId="77777777" w:rsidR="00B1165D" w:rsidRPr="00B1165D" w:rsidRDefault="00B1165D" w:rsidP="00B03B80">
            <w:pPr>
              <w:pStyle w:val="10Tabletext"/>
              <w:rPr>
                <w:rFonts w:ascii="Calibri" w:eastAsia="Calibri" w:hAnsi="Calibri" w:cs="Arial"/>
                <w:color w:val="4D4D4D"/>
              </w:rPr>
            </w:pPr>
            <w:r w:rsidRPr="00B1165D">
              <w:rPr>
                <w:color w:val="4D4D4D"/>
              </w:rPr>
              <w:t>DFFH</w:t>
            </w:r>
          </w:p>
        </w:tc>
        <w:tc>
          <w:tcPr>
            <w:tcW w:w="2882" w:type="dxa"/>
          </w:tcPr>
          <w:p w14:paraId="6227AA5D" w14:textId="77777777" w:rsidR="00B1165D" w:rsidRPr="00B1165D" w:rsidRDefault="00B1165D" w:rsidP="00B03B80">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rPr>
                <w:color w:val="4D4D4D"/>
              </w:rPr>
              <w:t>7</w:t>
            </w:r>
          </w:p>
        </w:tc>
        <w:tc>
          <w:tcPr>
            <w:tcW w:w="2883" w:type="dxa"/>
          </w:tcPr>
          <w:p w14:paraId="26BFA6C0" w14:textId="77777777" w:rsidR="00B1165D" w:rsidRPr="00B1165D" w:rsidRDefault="00B1165D" w:rsidP="00B03B80">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rPr>
                <w:color w:val="4D4D4D"/>
              </w:rPr>
              <w:t>10</w:t>
            </w:r>
          </w:p>
        </w:tc>
      </w:tr>
      <w:tr w:rsidR="00B1165D" w:rsidRPr="00B1165D" w14:paraId="4E945456" w14:textId="77777777" w:rsidTr="004D7DE3">
        <w:tc>
          <w:tcPr>
            <w:cnfStyle w:val="001000000000" w:firstRow="0" w:lastRow="0" w:firstColumn="1" w:lastColumn="0" w:oddVBand="0" w:evenVBand="0" w:oddHBand="0" w:evenHBand="0" w:firstRowFirstColumn="0" w:firstRowLastColumn="0" w:lastRowFirstColumn="0" w:lastRowLastColumn="0"/>
            <w:tcW w:w="2882" w:type="dxa"/>
          </w:tcPr>
          <w:p w14:paraId="684009EB" w14:textId="77777777" w:rsidR="00B1165D" w:rsidRPr="00B1165D" w:rsidRDefault="00B1165D" w:rsidP="00B03B80">
            <w:pPr>
              <w:pStyle w:val="10Tabletext"/>
              <w:rPr>
                <w:rFonts w:ascii="Calibri" w:eastAsia="Calibri" w:hAnsi="Calibri" w:cs="Arial"/>
                <w:color w:val="4D4D4D"/>
              </w:rPr>
            </w:pPr>
            <w:r w:rsidRPr="00B1165D">
              <w:rPr>
                <w:color w:val="4D4D4D"/>
              </w:rPr>
              <w:t>DGS</w:t>
            </w:r>
          </w:p>
        </w:tc>
        <w:tc>
          <w:tcPr>
            <w:tcW w:w="2882" w:type="dxa"/>
          </w:tcPr>
          <w:p w14:paraId="7BC95F20" w14:textId="77777777" w:rsidR="00B1165D" w:rsidRPr="00B1165D" w:rsidRDefault="00B1165D" w:rsidP="00B03B80">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rPr>
                <w:color w:val="4D4D4D"/>
              </w:rPr>
              <w:t>2</w:t>
            </w:r>
          </w:p>
        </w:tc>
        <w:tc>
          <w:tcPr>
            <w:tcW w:w="2883" w:type="dxa"/>
          </w:tcPr>
          <w:p w14:paraId="775337E5" w14:textId="77777777" w:rsidR="00B1165D" w:rsidRPr="00B1165D" w:rsidRDefault="00B1165D" w:rsidP="00B03B80">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rPr>
                <w:color w:val="4D4D4D"/>
              </w:rPr>
              <w:t>3</w:t>
            </w:r>
          </w:p>
        </w:tc>
      </w:tr>
      <w:tr w:rsidR="00B1165D" w:rsidRPr="00B1165D" w14:paraId="6B28CD78" w14:textId="77777777" w:rsidTr="004D7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2" w:type="dxa"/>
          </w:tcPr>
          <w:p w14:paraId="2B7442BB" w14:textId="77777777" w:rsidR="00B1165D" w:rsidRPr="00B1165D" w:rsidRDefault="00B1165D" w:rsidP="00B03B80">
            <w:pPr>
              <w:pStyle w:val="10Tabletext"/>
              <w:rPr>
                <w:rFonts w:ascii="Calibri" w:eastAsia="Calibri" w:hAnsi="Calibri" w:cs="Arial"/>
                <w:color w:val="4D4D4D"/>
              </w:rPr>
            </w:pPr>
            <w:r w:rsidRPr="00B1165D">
              <w:rPr>
                <w:color w:val="4D4D4D"/>
              </w:rPr>
              <w:t>DH</w:t>
            </w:r>
          </w:p>
        </w:tc>
        <w:tc>
          <w:tcPr>
            <w:tcW w:w="2882" w:type="dxa"/>
          </w:tcPr>
          <w:p w14:paraId="2630D175" w14:textId="77777777" w:rsidR="00B1165D" w:rsidRPr="00B1165D" w:rsidRDefault="00B1165D" w:rsidP="00B03B80">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rPr>
                <w:color w:val="4D4D4D"/>
              </w:rPr>
              <w:t>3</w:t>
            </w:r>
          </w:p>
        </w:tc>
        <w:tc>
          <w:tcPr>
            <w:tcW w:w="2883" w:type="dxa"/>
          </w:tcPr>
          <w:p w14:paraId="39E040F5" w14:textId="77777777" w:rsidR="00B1165D" w:rsidRPr="00B1165D" w:rsidRDefault="00B1165D" w:rsidP="00B03B80">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rPr>
                <w:color w:val="4D4D4D"/>
              </w:rPr>
              <w:t>6</w:t>
            </w:r>
          </w:p>
        </w:tc>
      </w:tr>
      <w:tr w:rsidR="00B1165D" w:rsidRPr="00B1165D" w14:paraId="13AE4555" w14:textId="77777777" w:rsidTr="004D7DE3">
        <w:tc>
          <w:tcPr>
            <w:cnfStyle w:val="001000000000" w:firstRow="0" w:lastRow="0" w:firstColumn="1" w:lastColumn="0" w:oddVBand="0" w:evenVBand="0" w:oddHBand="0" w:evenHBand="0" w:firstRowFirstColumn="0" w:firstRowLastColumn="0" w:lastRowFirstColumn="0" w:lastRowLastColumn="0"/>
            <w:tcW w:w="2882" w:type="dxa"/>
          </w:tcPr>
          <w:p w14:paraId="175F65F7" w14:textId="77777777" w:rsidR="00B1165D" w:rsidRPr="00B1165D" w:rsidRDefault="00B1165D" w:rsidP="00B03B80">
            <w:pPr>
              <w:pStyle w:val="10Tabletext"/>
              <w:rPr>
                <w:rFonts w:ascii="Calibri" w:eastAsia="Calibri" w:hAnsi="Calibri" w:cs="Arial"/>
                <w:color w:val="4D4D4D"/>
              </w:rPr>
            </w:pPr>
            <w:r w:rsidRPr="00B1165D">
              <w:rPr>
                <w:color w:val="4D4D4D"/>
              </w:rPr>
              <w:t>DJSIR</w:t>
            </w:r>
          </w:p>
        </w:tc>
        <w:tc>
          <w:tcPr>
            <w:tcW w:w="2882" w:type="dxa"/>
          </w:tcPr>
          <w:p w14:paraId="41D76176" w14:textId="77777777" w:rsidR="00B1165D" w:rsidRPr="00B1165D" w:rsidRDefault="00B1165D" w:rsidP="00B03B80">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rPr>
                <w:color w:val="4D4D4D"/>
              </w:rPr>
              <w:t>9</w:t>
            </w:r>
          </w:p>
        </w:tc>
        <w:tc>
          <w:tcPr>
            <w:tcW w:w="2883" w:type="dxa"/>
          </w:tcPr>
          <w:p w14:paraId="7EC2D690" w14:textId="77777777" w:rsidR="00B1165D" w:rsidRPr="00B1165D" w:rsidRDefault="00B1165D" w:rsidP="00B03B80">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rPr>
                <w:color w:val="4D4D4D"/>
              </w:rPr>
              <w:t>11</w:t>
            </w:r>
          </w:p>
        </w:tc>
      </w:tr>
      <w:tr w:rsidR="00B1165D" w:rsidRPr="00B1165D" w14:paraId="3C1107B9" w14:textId="77777777" w:rsidTr="004D7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2" w:type="dxa"/>
          </w:tcPr>
          <w:p w14:paraId="1FA67A77" w14:textId="77777777" w:rsidR="00B1165D" w:rsidRPr="00B1165D" w:rsidRDefault="00B1165D" w:rsidP="00B03B80">
            <w:pPr>
              <w:pStyle w:val="10Tabletext"/>
              <w:rPr>
                <w:rFonts w:ascii="Calibri" w:eastAsia="Calibri" w:hAnsi="Calibri" w:cs="Arial"/>
                <w:color w:val="4D4D4D"/>
              </w:rPr>
            </w:pPr>
            <w:r w:rsidRPr="00B1165D">
              <w:rPr>
                <w:color w:val="4D4D4D"/>
              </w:rPr>
              <w:t>DJCS</w:t>
            </w:r>
          </w:p>
        </w:tc>
        <w:tc>
          <w:tcPr>
            <w:tcW w:w="2882" w:type="dxa"/>
          </w:tcPr>
          <w:p w14:paraId="50B4DDA1" w14:textId="77777777" w:rsidR="00B1165D" w:rsidRPr="00B1165D" w:rsidRDefault="00B1165D" w:rsidP="00B03B80">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rPr>
                <w:color w:val="4D4D4D"/>
              </w:rPr>
              <w:t>4</w:t>
            </w:r>
          </w:p>
        </w:tc>
        <w:tc>
          <w:tcPr>
            <w:tcW w:w="2883" w:type="dxa"/>
          </w:tcPr>
          <w:p w14:paraId="45A73E62" w14:textId="77777777" w:rsidR="00B1165D" w:rsidRPr="00B1165D" w:rsidRDefault="00B1165D" w:rsidP="00B03B80">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rPr>
                <w:color w:val="4D4D4D"/>
              </w:rPr>
              <w:t>9</w:t>
            </w:r>
          </w:p>
        </w:tc>
      </w:tr>
      <w:tr w:rsidR="00B1165D" w:rsidRPr="00B1165D" w14:paraId="1B6779C4" w14:textId="77777777" w:rsidTr="004D7DE3">
        <w:tc>
          <w:tcPr>
            <w:cnfStyle w:val="001000000000" w:firstRow="0" w:lastRow="0" w:firstColumn="1" w:lastColumn="0" w:oddVBand="0" w:evenVBand="0" w:oddHBand="0" w:evenHBand="0" w:firstRowFirstColumn="0" w:firstRowLastColumn="0" w:lastRowFirstColumn="0" w:lastRowLastColumn="0"/>
            <w:tcW w:w="2882" w:type="dxa"/>
          </w:tcPr>
          <w:p w14:paraId="7462210A" w14:textId="77777777" w:rsidR="00B1165D" w:rsidRPr="00B1165D" w:rsidRDefault="00B1165D" w:rsidP="00B03B80">
            <w:pPr>
              <w:pStyle w:val="10Tabletext"/>
              <w:rPr>
                <w:rFonts w:ascii="Calibri" w:eastAsia="Calibri" w:hAnsi="Calibri" w:cs="Arial"/>
                <w:color w:val="4D4D4D"/>
              </w:rPr>
            </w:pPr>
            <w:r w:rsidRPr="00B1165D">
              <w:rPr>
                <w:color w:val="4D4D4D"/>
              </w:rPr>
              <w:t>DPC</w:t>
            </w:r>
          </w:p>
        </w:tc>
        <w:tc>
          <w:tcPr>
            <w:tcW w:w="2882" w:type="dxa"/>
          </w:tcPr>
          <w:p w14:paraId="739A7EDB" w14:textId="77777777" w:rsidR="00B1165D" w:rsidRPr="00B1165D" w:rsidRDefault="00B1165D" w:rsidP="00B03B80">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rPr>
                <w:color w:val="4D4D4D"/>
              </w:rPr>
              <w:t>4</w:t>
            </w:r>
          </w:p>
        </w:tc>
        <w:tc>
          <w:tcPr>
            <w:tcW w:w="2883" w:type="dxa"/>
          </w:tcPr>
          <w:p w14:paraId="09018C13" w14:textId="77777777" w:rsidR="00B1165D" w:rsidRPr="00B1165D" w:rsidRDefault="00B1165D" w:rsidP="00B03B80">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rPr>
                <w:color w:val="4D4D4D"/>
              </w:rPr>
              <w:t>4</w:t>
            </w:r>
          </w:p>
        </w:tc>
      </w:tr>
      <w:tr w:rsidR="00B1165D" w:rsidRPr="00B1165D" w14:paraId="71259A5D" w14:textId="77777777" w:rsidTr="004D7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2" w:type="dxa"/>
          </w:tcPr>
          <w:p w14:paraId="6BB704E7" w14:textId="77777777" w:rsidR="00B1165D" w:rsidRPr="00B1165D" w:rsidRDefault="00B1165D" w:rsidP="00B03B80">
            <w:pPr>
              <w:pStyle w:val="10Tabletext"/>
              <w:rPr>
                <w:rFonts w:ascii="Calibri" w:eastAsia="Calibri" w:hAnsi="Calibri" w:cs="Arial"/>
                <w:color w:val="4D4D4D"/>
              </w:rPr>
            </w:pPr>
            <w:r w:rsidRPr="00B1165D">
              <w:rPr>
                <w:color w:val="4D4D4D"/>
              </w:rPr>
              <w:t>DTP</w:t>
            </w:r>
          </w:p>
        </w:tc>
        <w:tc>
          <w:tcPr>
            <w:tcW w:w="2882" w:type="dxa"/>
          </w:tcPr>
          <w:p w14:paraId="674414AA" w14:textId="77777777" w:rsidR="00B1165D" w:rsidRPr="00B1165D" w:rsidRDefault="00B1165D" w:rsidP="00B03B80">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rPr>
                <w:color w:val="4D4D4D"/>
              </w:rPr>
              <w:t>5</w:t>
            </w:r>
          </w:p>
        </w:tc>
        <w:tc>
          <w:tcPr>
            <w:tcW w:w="2883" w:type="dxa"/>
          </w:tcPr>
          <w:p w14:paraId="39D9BC9D" w14:textId="77777777" w:rsidR="00B1165D" w:rsidRPr="00B1165D" w:rsidRDefault="00B1165D" w:rsidP="00B03B80">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rPr>
                <w:color w:val="4D4D4D"/>
              </w:rPr>
              <w:t>8</w:t>
            </w:r>
          </w:p>
        </w:tc>
      </w:tr>
      <w:tr w:rsidR="00B1165D" w:rsidRPr="00B1165D" w14:paraId="3DBB2F79" w14:textId="77777777" w:rsidTr="004D7DE3">
        <w:tc>
          <w:tcPr>
            <w:cnfStyle w:val="001000000000" w:firstRow="0" w:lastRow="0" w:firstColumn="1" w:lastColumn="0" w:oddVBand="0" w:evenVBand="0" w:oddHBand="0" w:evenHBand="0" w:firstRowFirstColumn="0" w:firstRowLastColumn="0" w:lastRowFirstColumn="0" w:lastRowLastColumn="0"/>
            <w:tcW w:w="2882" w:type="dxa"/>
          </w:tcPr>
          <w:p w14:paraId="4A9FDEFD" w14:textId="77777777" w:rsidR="00B1165D" w:rsidRPr="00B1165D" w:rsidRDefault="00B1165D" w:rsidP="00B03B80">
            <w:pPr>
              <w:pStyle w:val="10Tabletext"/>
              <w:rPr>
                <w:rFonts w:ascii="Calibri" w:eastAsia="Calibri" w:hAnsi="Calibri" w:cs="Arial"/>
                <w:color w:val="4D4D4D"/>
              </w:rPr>
            </w:pPr>
            <w:r w:rsidRPr="00B1165D">
              <w:rPr>
                <w:color w:val="4D4D4D"/>
              </w:rPr>
              <w:t>DTF</w:t>
            </w:r>
          </w:p>
        </w:tc>
        <w:tc>
          <w:tcPr>
            <w:tcW w:w="2882" w:type="dxa"/>
          </w:tcPr>
          <w:p w14:paraId="723A7DD4" w14:textId="77777777" w:rsidR="00B1165D" w:rsidRPr="00B1165D" w:rsidRDefault="00B1165D" w:rsidP="00B03B80">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rPr>
                <w:color w:val="4D4D4D"/>
              </w:rPr>
              <w:t>2</w:t>
            </w:r>
          </w:p>
        </w:tc>
        <w:tc>
          <w:tcPr>
            <w:tcW w:w="2883" w:type="dxa"/>
          </w:tcPr>
          <w:p w14:paraId="48FA19C3" w14:textId="77777777" w:rsidR="00B1165D" w:rsidRPr="00B1165D" w:rsidRDefault="00B1165D" w:rsidP="00B03B80">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rPr>
                <w:color w:val="4D4D4D"/>
              </w:rPr>
              <w:t>4</w:t>
            </w:r>
          </w:p>
        </w:tc>
      </w:tr>
    </w:tbl>
    <w:p w14:paraId="5119026F" w14:textId="191FCF3B" w:rsidR="00B1165D" w:rsidRPr="00B1165D" w:rsidRDefault="00B1165D" w:rsidP="00B03B80">
      <w:pPr>
        <w:pStyle w:val="09Sourcesandnotesfortablesfiguresboxes"/>
      </w:pPr>
      <w:r w:rsidRPr="00863109">
        <w:t>Sources: DE</w:t>
      </w:r>
      <w:r w:rsidR="000A01F9" w:rsidRPr="00863109">
        <w:t xml:space="preserve"> (2024x)</w:t>
      </w:r>
      <w:r w:rsidRPr="00863109">
        <w:t>; DEECA</w:t>
      </w:r>
      <w:r w:rsidR="007900FA" w:rsidRPr="00863109">
        <w:t xml:space="preserve"> (2024</w:t>
      </w:r>
      <w:r w:rsidR="00BF6B0F" w:rsidRPr="00863109">
        <w:t>c</w:t>
      </w:r>
      <w:r w:rsidR="007900FA" w:rsidRPr="00863109">
        <w:t>)</w:t>
      </w:r>
      <w:r w:rsidRPr="00863109">
        <w:t>; DFFH</w:t>
      </w:r>
      <w:r w:rsidR="00EF496B" w:rsidRPr="00863109">
        <w:t xml:space="preserve"> (n.d.)</w:t>
      </w:r>
      <w:r w:rsidRPr="00863109">
        <w:t>; DGS</w:t>
      </w:r>
      <w:r w:rsidR="007900FA" w:rsidRPr="00863109">
        <w:t xml:space="preserve"> (2024</w:t>
      </w:r>
      <w:r w:rsidR="00FB7BD0" w:rsidRPr="00863109">
        <w:t>b</w:t>
      </w:r>
      <w:r w:rsidR="007900FA" w:rsidRPr="00863109">
        <w:t>)</w:t>
      </w:r>
      <w:r w:rsidRPr="00863109">
        <w:t>; DH</w:t>
      </w:r>
      <w:r w:rsidR="007900FA" w:rsidRPr="00863109">
        <w:t xml:space="preserve"> (2024</w:t>
      </w:r>
      <w:r w:rsidR="00FB7BD0" w:rsidRPr="00863109">
        <w:t>b</w:t>
      </w:r>
      <w:r w:rsidR="007900FA" w:rsidRPr="00863109">
        <w:t>)</w:t>
      </w:r>
      <w:r w:rsidRPr="00863109">
        <w:t xml:space="preserve">; </w:t>
      </w:r>
      <w:r w:rsidR="00FB7BD0" w:rsidRPr="00863109">
        <w:t xml:space="preserve">DJCS (2024); </w:t>
      </w:r>
      <w:r w:rsidRPr="00863109">
        <w:t>DJSIR</w:t>
      </w:r>
      <w:r w:rsidR="007900FA" w:rsidRPr="00863109">
        <w:t xml:space="preserve"> (202</w:t>
      </w:r>
      <w:r w:rsidR="00223088" w:rsidRPr="00863109">
        <w:t>3</w:t>
      </w:r>
      <w:r w:rsidR="00FB7BD0" w:rsidRPr="00863109">
        <w:t>b</w:t>
      </w:r>
      <w:r w:rsidR="007900FA" w:rsidRPr="00863109">
        <w:t>)</w:t>
      </w:r>
      <w:r w:rsidR="00FB7BD0" w:rsidRPr="00863109">
        <w:t xml:space="preserve">; </w:t>
      </w:r>
      <w:r w:rsidRPr="00863109">
        <w:t>DPC</w:t>
      </w:r>
      <w:r w:rsidR="007900FA" w:rsidRPr="00863109">
        <w:t xml:space="preserve"> (2024</w:t>
      </w:r>
      <w:r w:rsidR="00FB7BD0" w:rsidRPr="00863109">
        <w:t>b</w:t>
      </w:r>
      <w:r w:rsidR="007900FA" w:rsidRPr="00863109">
        <w:t>)</w:t>
      </w:r>
      <w:r w:rsidR="004E17A8" w:rsidRPr="00863109">
        <w:t>;</w:t>
      </w:r>
      <w:r w:rsidRPr="00863109">
        <w:t xml:space="preserve"> </w:t>
      </w:r>
      <w:r w:rsidRPr="007E3605">
        <w:t>DTF</w:t>
      </w:r>
      <w:r w:rsidR="007900FA" w:rsidRPr="007E3605">
        <w:t xml:space="preserve"> (202</w:t>
      </w:r>
      <w:r w:rsidR="003C092A" w:rsidRPr="007E3605">
        <w:t>4a</w:t>
      </w:r>
      <w:r w:rsidR="007900FA" w:rsidRPr="007E3605">
        <w:t>)</w:t>
      </w:r>
      <w:r w:rsidR="00A62F35" w:rsidRPr="007E3605">
        <w:t>;</w:t>
      </w:r>
      <w:r w:rsidRPr="007E3605">
        <w:t xml:space="preserve"> DTF</w:t>
      </w:r>
      <w:r w:rsidR="00EF496B" w:rsidRPr="007E3605">
        <w:t xml:space="preserve"> (202</w:t>
      </w:r>
      <w:r w:rsidR="00A62F35" w:rsidRPr="007E3605">
        <w:t>4</w:t>
      </w:r>
      <w:r w:rsidR="00863109" w:rsidRPr="007E3605">
        <w:t>e</w:t>
      </w:r>
      <w:r w:rsidR="00EF496B" w:rsidRPr="007E3605">
        <w:t>)</w:t>
      </w:r>
      <w:r w:rsidRPr="007E3605">
        <w:t xml:space="preserve">; </w:t>
      </w:r>
      <w:r w:rsidR="004E17A8" w:rsidRPr="00863109">
        <w:t>DTP (2024</w:t>
      </w:r>
      <w:r w:rsidR="009B1905" w:rsidRPr="00863109">
        <w:t>a</w:t>
      </w:r>
      <w:r w:rsidR="004E17A8" w:rsidRPr="00863109">
        <w:t>)</w:t>
      </w:r>
      <w:r w:rsidRPr="00784686">
        <w:t>.</w:t>
      </w:r>
    </w:p>
    <w:p w14:paraId="477F2F1F" w14:textId="77777777" w:rsidR="00B1165D" w:rsidRPr="00B1165D" w:rsidRDefault="00B1165D" w:rsidP="00B03B80">
      <w:pPr>
        <w:pStyle w:val="05Paragraph"/>
        <w:rPr>
          <w:noProof/>
        </w:rPr>
      </w:pPr>
      <w:r w:rsidRPr="00B1165D">
        <w:rPr>
          <w:noProof/>
        </w:rPr>
        <w:lastRenderedPageBreak/>
        <w:t>Tables 2.1 and 2.2 do not suggest a hierarchy of Secretary roles. Various factors, other than the size of the budget and the number of ministers, need to be taken into account to determine the work value attached to each role. For example, central agencies have whole-of-government coordination and leadership responsibilities that are not present to the same degree in portfolio agencies.</w:t>
      </w:r>
    </w:p>
    <w:p w14:paraId="753F8715" w14:textId="77777777" w:rsidR="00B1165D" w:rsidRPr="00B1165D" w:rsidRDefault="00B1165D" w:rsidP="00B03B80">
      <w:pPr>
        <w:pStyle w:val="04VIRTheading4"/>
        <w:rPr>
          <w:rFonts w:eastAsia="Calibri"/>
          <w:b w:val="0"/>
          <w:color w:val="148A5D"/>
        </w:rPr>
      </w:pPr>
      <w:r w:rsidRPr="00B1165D">
        <w:t>Secretaries serve as public sector leaders</w:t>
      </w:r>
    </w:p>
    <w:p w14:paraId="212E3421" w14:textId="77777777" w:rsidR="00B1165D" w:rsidRPr="00B1165D" w:rsidRDefault="00B1165D" w:rsidP="00B03B80">
      <w:pPr>
        <w:pStyle w:val="05Paragraph"/>
        <w:rPr>
          <w:noProof/>
        </w:rPr>
      </w:pPr>
      <w:r w:rsidRPr="00B1165D">
        <w:rPr>
          <w:noProof/>
        </w:rPr>
        <w:t>Secretaries must promote the Victorian public sector values as set out in the PAA.</w:t>
      </w:r>
      <w:r w:rsidRPr="00B1165D">
        <w:rPr>
          <w:noProof/>
          <w:vertAlign w:val="superscript"/>
        </w:rPr>
        <w:footnoteReference w:id="31"/>
      </w:r>
    </w:p>
    <w:p w14:paraId="0492A770" w14:textId="11DF54D6" w:rsidR="00B1165D" w:rsidRPr="00B1165D" w:rsidRDefault="00B1165D" w:rsidP="00B03B80">
      <w:pPr>
        <w:pStyle w:val="05Paragraph"/>
        <w:rPr>
          <w:noProof/>
        </w:rPr>
      </w:pPr>
      <w:r w:rsidRPr="00B1165D">
        <w:rPr>
          <w:noProof/>
        </w:rPr>
        <w:t>As members of the VSB, Secretaries play a central role in promoting leadership and coordinating initiatives across the public sector.</w:t>
      </w:r>
      <w:r w:rsidRPr="00B1165D">
        <w:rPr>
          <w:noProof/>
          <w:vertAlign w:val="superscript"/>
        </w:rPr>
        <w:footnoteReference w:id="32"/>
      </w:r>
    </w:p>
    <w:p w14:paraId="092E382D" w14:textId="77777777" w:rsidR="00B1165D" w:rsidRPr="00B1165D" w:rsidRDefault="00B1165D" w:rsidP="00B03B80">
      <w:pPr>
        <w:pStyle w:val="03VIRTHeading3"/>
        <w:rPr>
          <w:rFonts w:eastAsia="Calibri"/>
          <w:color w:val="0F6745"/>
        </w:rPr>
      </w:pPr>
      <w:r w:rsidRPr="00B1165D">
        <w:t>AO Heads are responsible for the management of their agency</w:t>
      </w:r>
    </w:p>
    <w:p w14:paraId="4D2DCA92" w14:textId="77777777" w:rsidR="00B1165D" w:rsidRPr="00B1165D" w:rsidRDefault="00B1165D" w:rsidP="00B03B80">
      <w:pPr>
        <w:pStyle w:val="05Paragraph"/>
        <w:rPr>
          <w:noProof/>
        </w:rPr>
      </w:pPr>
      <w:r w:rsidRPr="00B1165D">
        <w:rPr>
          <w:noProof/>
        </w:rPr>
        <w:t>In an AO, the public service body Head is often titled Chief Executive Officer, but some have more specific titles relevant to their position.</w:t>
      </w:r>
      <w:r w:rsidRPr="00B1165D">
        <w:rPr>
          <w:noProof/>
          <w:vertAlign w:val="superscript"/>
        </w:rPr>
        <w:footnoteReference w:id="33"/>
      </w:r>
      <w:r w:rsidRPr="00B1165D">
        <w:rPr>
          <w:noProof/>
        </w:rPr>
        <w:t xml:space="preserve"> For the purposes of this Determination, this group of public service body Heads will be referred to as AO Heads.</w:t>
      </w:r>
    </w:p>
    <w:p w14:paraId="70C13407" w14:textId="77777777" w:rsidR="00B1165D" w:rsidRPr="00B1165D" w:rsidRDefault="00B1165D" w:rsidP="00B03B80">
      <w:pPr>
        <w:pStyle w:val="05Paragraph"/>
        <w:rPr>
          <w:noProof/>
        </w:rPr>
      </w:pPr>
      <w:r w:rsidRPr="00B1165D">
        <w:rPr>
          <w:noProof/>
        </w:rPr>
        <w:t>The PAA confers on the AO Head the same functions as a Secretary in relation to a department.</w:t>
      </w:r>
      <w:r w:rsidRPr="00B1165D">
        <w:rPr>
          <w:noProof/>
          <w:vertAlign w:val="superscript"/>
        </w:rPr>
        <w:footnoteReference w:id="34"/>
      </w:r>
      <w:r w:rsidRPr="00B1165D">
        <w:rPr>
          <w:noProof/>
        </w:rPr>
        <w:t xml:space="preserve"> AO Heads employ people under Part 3 of the PAA and perform activities under the direction of Ministers.</w:t>
      </w:r>
      <w:r w:rsidRPr="00B1165D">
        <w:rPr>
          <w:noProof/>
          <w:vertAlign w:val="superscript"/>
        </w:rPr>
        <w:footnoteReference w:id="35"/>
      </w:r>
      <w:r w:rsidRPr="00B1165D">
        <w:rPr>
          <w:noProof/>
        </w:rPr>
        <w:t xml:space="preserve"> AO Heads are employed by the Premier using the same standard contract as other executives.</w:t>
      </w:r>
    </w:p>
    <w:p w14:paraId="3EF5ED73" w14:textId="0C76ED76" w:rsidR="00B1165D" w:rsidRPr="00B1165D" w:rsidRDefault="00B1165D" w:rsidP="00B03B80">
      <w:pPr>
        <w:pStyle w:val="05Paragraph"/>
        <w:rPr>
          <w:noProof/>
        </w:rPr>
      </w:pPr>
      <w:r w:rsidRPr="00B1165D">
        <w:rPr>
          <w:noProof/>
        </w:rPr>
        <w:t>AO Heads are responsible to the relevant Secretary for the management of the functions and activities of the AO – except where functions are conferred on the AO Head under another Act.</w:t>
      </w:r>
      <w:r w:rsidRPr="00B1165D">
        <w:rPr>
          <w:noProof/>
          <w:vertAlign w:val="superscript"/>
        </w:rPr>
        <w:footnoteReference w:id="36"/>
      </w:r>
      <w:r w:rsidRPr="00B1165D">
        <w:rPr>
          <w:noProof/>
        </w:rPr>
        <w:t xml:space="preserve"> For example, the Chief Municipal Inspector </w:t>
      </w:r>
      <w:r w:rsidR="00CA1506">
        <w:rPr>
          <w:noProof/>
        </w:rPr>
        <w:t xml:space="preserve">— the </w:t>
      </w:r>
      <w:r w:rsidR="00F85871">
        <w:rPr>
          <w:noProof/>
        </w:rPr>
        <w:t>head of the Local Go</w:t>
      </w:r>
      <w:r w:rsidR="00CA1506">
        <w:rPr>
          <w:noProof/>
        </w:rPr>
        <w:t>ernment</w:t>
      </w:r>
      <w:r w:rsidR="00F85871">
        <w:rPr>
          <w:noProof/>
        </w:rPr>
        <w:t xml:space="preserve"> Inspectorate </w:t>
      </w:r>
      <w:r w:rsidR="00CA1506">
        <w:rPr>
          <w:noProof/>
        </w:rPr>
        <w:t>—</w:t>
      </w:r>
      <w:r w:rsidR="00F85871">
        <w:rPr>
          <w:noProof/>
        </w:rPr>
        <w:t xml:space="preserve"> </w:t>
      </w:r>
      <w:r w:rsidRPr="00B1165D">
        <w:rPr>
          <w:noProof/>
        </w:rPr>
        <w:t xml:space="preserve">reports to the Attorney-General with respect to powers derived from the </w:t>
      </w:r>
      <w:r w:rsidRPr="00B1165D">
        <w:rPr>
          <w:i/>
          <w:noProof/>
        </w:rPr>
        <w:t>Local Government Act 2020</w:t>
      </w:r>
      <w:r w:rsidRPr="00B1165D">
        <w:rPr>
          <w:noProof/>
        </w:rPr>
        <w:t xml:space="preserve"> (Vic).</w:t>
      </w:r>
      <w:r w:rsidRPr="00B1165D">
        <w:rPr>
          <w:noProof/>
          <w:vertAlign w:val="superscript"/>
        </w:rPr>
        <w:footnoteReference w:id="37"/>
      </w:r>
      <w:r w:rsidRPr="00B1165D">
        <w:rPr>
          <w:noProof/>
        </w:rPr>
        <w:t xml:space="preserve"> </w:t>
      </w:r>
    </w:p>
    <w:p w14:paraId="7BA326D2" w14:textId="77777777" w:rsidR="00B1165D" w:rsidRPr="00B1165D" w:rsidRDefault="00B1165D" w:rsidP="00B03B80">
      <w:pPr>
        <w:pStyle w:val="05Paragraph"/>
        <w:rPr>
          <w:noProof/>
        </w:rPr>
      </w:pPr>
      <w:r w:rsidRPr="00B1165D">
        <w:rPr>
          <w:noProof/>
        </w:rPr>
        <w:t>The size of the workforce for each AO varies considerably (Table 2.</w:t>
      </w:r>
      <w:r w:rsidRPr="00B1165D" w:rsidDel="00C41BAE">
        <w:rPr>
          <w:noProof/>
        </w:rPr>
        <w:t>3</w:t>
      </w:r>
      <w:r w:rsidRPr="00B1165D">
        <w:rPr>
          <w:noProof/>
        </w:rPr>
        <w:t>).</w:t>
      </w:r>
    </w:p>
    <w:p w14:paraId="3D154285" w14:textId="77777777" w:rsidR="00B1165D" w:rsidRPr="006524A0" w:rsidRDefault="00B1165D" w:rsidP="00144BE8">
      <w:pPr>
        <w:pStyle w:val="08Figuretableboxheading"/>
      </w:pPr>
      <w:bookmarkStart w:id="50" w:name="_Toc170393524"/>
      <w:r w:rsidRPr="00D94C7C">
        <w:lastRenderedPageBreak/>
        <w:t>Table 2.</w:t>
      </w:r>
      <w:r w:rsidRPr="006524A0" w:rsidDel="00C41BAE">
        <w:t>3</w:t>
      </w:r>
      <w:r w:rsidRPr="006524A0">
        <w:t>: Summary of workforce data for AOs, June 2023</w:t>
      </w:r>
      <w:r w:rsidRPr="006524A0">
        <w:rPr>
          <w:vertAlign w:val="superscript"/>
        </w:rPr>
        <w:t>(a)</w:t>
      </w:r>
      <w:bookmarkEnd w:id="50"/>
    </w:p>
    <w:tbl>
      <w:tblPr>
        <w:tblStyle w:val="ListTable3-Accent21"/>
        <w:tblW w:w="8647" w:type="dxa"/>
        <w:tblBorders>
          <w:left w:val="none" w:sz="0" w:space="0" w:color="auto"/>
          <w:right w:val="none" w:sz="0" w:space="0" w:color="auto"/>
          <w:insideH w:val="single" w:sz="4" w:space="0" w:color="148A5D" w:themeColor="accent2"/>
        </w:tblBorders>
        <w:tblLook w:val="04A0" w:firstRow="1" w:lastRow="0" w:firstColumn="1" w:lastColumn="0" w:noHBand="0" w:noVBand="1"/>
      </w:tblPr>
      <w:tblGrid>
        <w:gridCol w:w="4395"/>
        <w:gridCol w:w="2126"/>
        <w:gridCol w:w="2126"/>
      </w:tblGrid>
      <w:tr w:rsidR="00B1165D" w:rsidRPr="00B1165D" w14:paraId="14215728" w14:textId="77777777" w:rsidTr="004D7D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95" w:type="dxa"/>
          </w:tcPr>
          <w:p w14:paraId="73A5C872" w14:textId="11925CAE" w:rsidR="00B1165D" w:rsidRPr="006524A0" w:rsidRDefault="00B1165D" w:rsidP="006524A0">
            <w:pPr>
              <w:pStyle w:val="10Tabletext"/>
            </w:pPr>
            <w:r w:rsidRPr="006524A0">
              <w:t xml:space="preserve">Administrative </w:t>
            </w:r>
            <w:r w:rsidR="00897CF6">
              <w:rPr>
                <w:bCs/>
              </w:rPr>
              <w:t>O</w:t>
            </w:r>
            <w:r w:rsidRPr="006524A0">
              <w:rPr>
                <w:bCs/>
              </w:rPr>
              <w:t>ffice</w:t>
            </w:r>
          </w:p>
        </w:tc>
        <w:tc>
          <w:tcPr>
            <w:tcW w:w="2126" w:type="dxa"/>
          </w:tcPr>
          <w:p w14:paraId="3A07BF57" w14:textId="77777777" w:rsidR="00B1165D" w:rsidRPr="006524A0" w:rsidRDefault="00B1165D" w:rsidP="006524A0">
            <w:pPr>
              <w:pStyle w:val="10Tabletext"/>
              <w:jc w:val="right"/>
              <w:cnfStyle w:val="100000000000" w:firstRow="1" w:lastRow="0" w:firstColumn="0" w:lastColumn="0" w:oddVBand="0" w:evenVBand="0" w:oddHBand="0" w:evenHBand="0" w:firstRowFirstColumn="0" w:firstRowLastColumn="0" w:lastRowFirstColumn="0" w:lastRowLastColumn="0"/>
            </w:pPr>
            <w:r w:rsidRPr="006524A0">
              <w:t>Headcount (non</w:t>
            </w:r>
            <w:r w:rsidRPr="006524A0">
              <w:noBreakHyphen/>
              <w:t>executive)</w:t>
            </w:r>
          </w:p>
        </w:tc>
        <w:tc>
          <w:tcPr>
            <w:tcW w:w="2126" w:type="dxa"/>
          </w:tcPr>
          <w:p w14:paraId="5644453F" w14:textId="77777777" w:rsidR="00B1165D" w:rsidRPr="006524A0" w:rsidRDefault="00B1165D" w:rsidP="006524A0">
            <w:pPr>
              <w:pStyle w:val="10Tabletext"/>
              <w:jc w:val="right"/>
              <w:cnfStyle w:val="100000000000" w:firstRow="1" w:lastRow="0" w:firstColumn="0" w:lastColumn="0" w:oddVBand="0" w:evenVBand="0" w:oddHBand="0" w:evenHBand="0" w:firstRowFirstColumn="0" w:firstRowLastColumn="0" w:lastRowFirstColumn="0" w:lastRowLastColumn="0"/>
            </w:pPr>
            <w:r w:rsidRPr="006524A0">
              <w:t>Headcount (executive)</w:t>
            </w:r>
            <w:r w:rsidRPr="006524A0">
              <w:rPr>
                <w:vertAlign w:val="superscript"/>
              </w:rPr>
              <w:t>(b)</w:t>
            </w:r>
          </w:p>
        </w:tc>
      </w:tr>
      <w:tr w:rsidR="00B1165D" w:rsidRPr="00B1165D" w14:paraId="2B64B60B" w14:textId="77777777" w:rsidTr="004D7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5E196821" w14:textId="77777777" w:rsidR="00B1165D" w:rsidRPr="006524A0" w:rsidRDefault="00B1165D" w:rsidP="007D6C35">
            <w:pPr>
              <w:pStyle w:val="10Tabletext"/>
            </w:pPr>
            <w:r w:rsidRPr="007D6C35">
              <w:t>Major Transport Infrastructure Authority</w:t>
            </w:r>
            <w:r w:rsidRPr="006524A0">
              <w:rPr>
                <w:vertAlign w:val="superscript"/>
              </w:rPr>
              <w:t>(c)</w:t>
            </w:r>
          </w:p>
        </w:tc>
        <w:tc>
          <w:tcPr>
            <w:tcW w:w="2126" w:type="dxa"/>
          </w:tcPr>
          <w:p w14:paraId="0FBCA896" w14:textId="77777777" w:rsidR="00B1165D" w:rsidRPr="00B1165D" w:rsidRDefault="00B1165D" w:rsidP="00B03B80">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t>2,575</w:t>
            </w:r>
          </w:p>
        </w:tc>
        <w:tc>
          <w:tcPr>
            <w:tcW w:w="2126" w:type="dxa"/>
          </w:tcPr>
          <w:p w14:paraId="539C39DD" w14:textId="77777777" w:rsidR="00B1165D" w:rsidRPr="00B1165D" w:rsidRDefault="00B1165D" w:rsidP="00B03B80">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t>176</w:t>
            </w:r>
          </w:p>
        </w:tc>
      </w:tr>
      <w:tr w:rsidR="00B1165D" w:rsidRPr="00B1165D" w14:paraId="57F1A2BB" w14:textId="77777777" w:rsidTr="004D7DE3">
        <w:tc>
          <w:tcPr>
            <w:cnfStyle w:val="001000000000" w:firstRow="0" w:lastRow="0" w:firstColumn="1" w:lastColumn="0" w:oddVBand="0" w:evenVBand="0" w:oddHBand="0" w:evenHBand="0" w:firstRowFirstColumn="0" w:firstRowLastColumn="0" w:lastRowFirstColumn="0" w:lastRowLastColumn="0"/>
            <w:tcW w:w="4395" w:type="dxa"/>
          </w:tcPr>
          <w:p w14:paraId="51A886E8" w14:textId="77777777" w:rsidR="00B1165D" w:rsidRPr="006524A0" w:rsidRDefault="00B1165D" w:rsidP="007D6C35">
            <w:pPr>
              <w:pStyle w:val="10Tabletext"/>
            </w:pPr>
            <w:r w:rsidRPr="007D6C35">
              <w:t>Victorian Government Solicitor’s Office</w:t>
            </w:r>
          </w:p>
        </w:tc>
        <w:tc>
          <w:tcPr>
            <w:tcW w:w="2126" w:type="dxa"/>
          </w:tcPr>
          <w:p w14:paraId="494C53FD" w14:textId="77777777" w:rsidR="00B1165D" w:rsidRPr="00B1165D" w:rsidRDefault="00B1165D" w:rsidP="00674261">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t>343</w:t>
            </w:r>
          </w:p>
        </w:tc>
        <w:tc>
          <w:tcPr>
            <w:tcW w:w="2126" w:type="dxa"/>
          </w:tcPr>
          <w:p w14:paraId="103EE55C" w14:textId="77777777" w:rsidR="00B1165D" w:rsidRPr="00B1165D" w:rsidRDefault="00B1165D" w:rsidP="00674261">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t>7</w:t>
            </w:r>
          </w:p>
        </w:tc>
      </w:tr>
      <w:tr w:rsidR="00B1165D" w:rsidRPr="00B1165D" w14:paraId="0DBD777F" w14:textId="77777777" w:rsidTr="004D7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6BFCD57E" w14:textId="77777777" w:rsidR="00B1165D" w:rsidRPr="006524A0" w:rsidRDefault="00B1165D" w:rsidP="007D6C35">
            <w:pPr>
              <w:pStyle w:val="10Tabletext"/>
            </w:pPr>
            <w:r w:rsidRPr="007D6C35">
              <w:t>Service Victoria</w:t>
            </w:r>
          </w:p>
        </w:tc>
        <w:tc>
          <w:tcPr>
            <w:tcW w:w="2126" w:type="dxa"/>
          </w:tcPr>
          <w:p w14:paraId="5D9742C0" w14:textId="77777777" w:rsidR="00B1165D" w:rsidRPr="00B1165D" w:rsidRDefault="00B1165D" w:rsidP="00674261">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t>212</w:t>
            </w:r>
          </w:p>
        </w:tc>
        <w:tc>
          <w:tcPr>
            <w:tcW w:w="2126" w:type="dxa"/>
          </w:tcPr>
          <w:p w14:paraId="0EE8A2E2" w14:textId="77777777" w:rsidR="00B1165D" w:rsidRPr="00B1165D" w:rsidRDefault="00B1165D" w:rsidP="00674261">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t>5</w:t>
            </w:r>
          </w:p>
        </w:tc>
      </w:tr>
      <w:tr w:rsidR="00B1165D" w:rsidRPr="00B1165D" w14:paraId="48A77232" w14:textId="77777777" w:rsidTr="004D7DE3">
        <w:tc>
          <w:tcPr>
            <w:cnfStyle w:val="001000000000" w:firstRow="0" w:lastRow="0" w:firstColumn="1" w:lastColumn="0" w:oddVBand="0" w:evenVBand="0" w:oddHBand="0" w:evenHBand="0" w:firstRowFirstColumn="0" w:firstRowLastColumn="0" w:lastRowFirstColumn="0" w:lastRowLastColumn="0"/>
            <w:tcW w:w="4395" w:type="dxa"/>
          </w:tcPr>
          <w:p w14:paraId="389DE9E0" w14:textId="77777777" w:rsidR="00B1165D" w:rsidRPr="006524A0" w:rsidRDefault="00B1165D" w:rsidP="007D6C35">
            <w:pPr>
              <w:pStyle w:val="10Tabletext"/>
            </w:pPr>
            <w:r w:rsidRPr="007D6C35">
              <w:t>Safer Care Victoria</w:t>
            </w:r>
          </w:p>
        </w:tc>
        <w:tc>
          <w:tcPr>
            <w:tcW w:w="2126" w:type="dxa"/>
          </w:tcPr>
          <w:p w14:paraId="1D220CB2" w14:textId="77777777" w:rsidR="00B1165D" w:rsidRPr="00B1165D" w:rsidRDefault="00B1165D" w:rsidP="00674261">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t>186</w:t>
            </w:r>
          </w:p>
        </w:tc>
        <w:tc>
          <w:tcPr>
            <w:tcW w:w="2126" w:type="dxa"/>
          </w:tcPr>
          <w:p w14:paraId="3E4DC5BB" w14:textId="77777777" w:rsidR="00B1165D" w:rsidRPr="00B1165D" w:rsidRDefault="00B1165D" w:rsidP="00674261">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t>11</w:t>
            </w:r>
          </w:p>
        </w:tc>
      </w:tr>
      <w:tr w:rsidR="00B1165D" w:rsidRPr="00B1165D" w14:paraId="5917065B" w14:textId="77777777" w:rsidTr="004D7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5AD4CB25" w14:textId="77777777" w:rsidR="00B1165D" w:rsidRPr="006524A0" w:rsidRDefault="00B1165D" w:rsidP="007D6C35">
            <w:pPr>
              <w:pStyle w:val="10Tabletext"/>
            </w:pPr>
            <w:r w:rsidRPr="007D6C35">
              <w:t>Invest Victoria</w:t>
            </w:r>
          </w:p>
        </w:tc>
        <w:tc>
          <w:tcPr>
            <w:tcW w:w="2126" w:type="dxa"/>
          </w:tcPr>
          <w:p w14:paraId="30822242" w14:textId="77777777" w:rsidR="00B1165D" w:rsidRPr="00B1165D" w:rsidRDefault="00B1165D" w:rsidP="00674261">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t>92</w:t>
            </w:r>
          </w:p>
        </w:tc>
        <w:tc>
          <w:tcPr>
            <w:tcW w:w="2126" w:type="dxa"/>
          </w:tcPr>
          <w:p w14:paraId="0B691353" w14:textId="77777777" w:rsidR="00B1165D" w:rsidRPr="00B1165D" w:rsidRDefault="00B1165D" w:rsidP="00674261">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t>13</w:t>
            </w:r>
          </w:p>
        </w:tc>
      </w:tr>
      <w:tr w:rsidR="00B1165D" w:rsidRPr="00B1165D" w14:paraId="643ACF1B" w14:textId="77777777" w:rsidTr="004D7DE3">
        <w:tc>
          <w:tcPr>
            <w:cnfStyle w:val="001000000000" w:firstRow="0" w:lastRow="0" w:firstColumn="1" w:lastColumn="0" w:oddVBand="0" w:evenVBand="0" w:oddHBand="0" w:evenHBand="0" w:firstRowFirstColumn="0" w:firstRowLastColumn="0" w:lastRowFirstColumn="0" w:lastRowLastColumn="0"/>
            <w:tcW w:w="4395" w:type="dxa"/>
          </w:tcPr>
          <w:p w14:paraId="635BBB88" w14:textId="77777777" w:rsidR="00B1165D" w:rsidRPr="006524A0" w:rsidRDefault="00B1165D" w:rsidP="007D6C35">
            <w:pPr>
              <w:pStyle w:val="10Tabletext"/>
            </w:pPr>
            <w:r w:rsidRPr="007D6C35">
              <w:t>Victorian Skills Authority</w:t>
            </w:r>
          </w:p>
        </w:tc>
        <w:tc>
          <w:tcPr>
            <w:tcW w:w="2126" w:type="dxa"/>
          </w:tcPr>
          <w:p w14:paraId="51362E84" w14:textId="77777777" w:rsidR="00B1165D" w:rsidRPr="00B1165D" w:rsidRDefault="00B1165D" w:rsidP="00674261">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t>73</w:t>
            </w:r>
          </w:p>
        </w:tc>
        <w:tc>
          <w:tcPr>
            <w:tcW w:w="2126" w:type="dxa"/>
          </w:tcPr>
          <w:p w14:paraId="26A35D30" w14:textId="77777777" w:rsidR="00B1165D" w:rsidRPr="00B1165D" w:rsidRDefault="00B1165D" w:rsidP="00674261">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t>4</w:t>
            </w:r>
          </w:p>
        </w:tc>
      </w:tr>
      <w:tr w:rsidR="00B1165D" w:rsidRPr="00B1165D" w14:paraId="2ACA2135" w14:textId="77777777" w:rsidTr="004D7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3F282263" w14:textId="77777777" w:rsidR="00B1165D" w:rsidRPr="006524A0" w:rsidRDefault="00B1165D" w:rsidP="007D6C35">
            <w:pPr>
              <w:pStyle w:val="10Tabletext"/>
            </w:pPr>
            <w:r w:rsidRPr="007D6C35">
              <w:t>Public Record Office Victoria</w:t>
            </w:r>
          </w:p>
        </w:tc>
        <w:tc>
          <w:tcPr>
            <w:tcW w:w="2126" w:type="dxa"/>
          </w:tcPr>
          <w:p w14:paraId="01BC192B" w14:textId="77777777" w:rsidR="00B1165D" w:rsidRPr="00B1165D" w:rsidRDefault="00B1165D" w:rsidP="00674261">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t>70</w:t>
            </w:r>
          </w:p>
        </w:tc>
        <w:tc>
          <w:tcPr>
            <w:tcW w:w="2126" w:type="dxa"/>
          </w:tcPr>
          <w:p w14:paraId="281E3AFF" w14:textId="77777777" w:rsidR="00B1165D" w:rsidRPr="00B1165D" w:rsidRDefault="00B1165D" w:rsidP="00674261">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t>1</w:t>
            </w:r>
          </w:p>
        </w:tc>
      </w:tr>
      <w:tr w:rsidR="00B1165D" w:rsidRPr="00B1165D" w14:paraId="634F6B6C" w14:textId="77777777" w:rsidTr="004D7DE3">
        <w:tc>
          <w:tcPr>
            <w:cnfStyle w:val="001000000000" w:firstRow="0" w:lastRow="0" w:firstColumn="1" w:lastColumn="0" w:oddVBand="0" w:evenVBand="0" w:oddHBand="0" w:evenHBand="0" w:firstRowFirstColumn="0" w:firstRowLastColumn="0" w:lastRowFirstColumn="0" w:lastRowLastColumn="0"/>
            <w:tcW w:w="4395" w:type="dxa"/>
          </w:tcPr>
          <w:p w14:paraId="2768AD32" w14:textId="77777777" w:rsidR="00B1165D" w:rsidRPr="006524A0" w:rsidRDefault="00B1165D" w:rsidP="007D6C35">
            <w:pPr>
              <w:pStyle w:val="10Tabletext"/>
            </w:pPr>
            <w:r w:rsidRPr="007D6C35">
              <w:t>Office of the Governor</w:t>
            </w:r>
          </w:p>
        </w:tc>
        <w:tc>
          <w:tcPr>
            <w:tcW w:w="2126" w:type="dxa"/>
          </w:tcPr>
          <w:p w14:paraId="75C920D1" w14:textId="77777777" w:rsidR="00B1165D" w:rsidRPr="00B1165D" w:rsidRDefault="00B1165D" w:rsidP="00674261">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t>52</w:t>
            </w:r>
          </w:p>
        </w:tc>
        <w:tc>
          <w:tcPr>
            <w:tcW w:w="2126" w:type="dxa"/>
          </w:tcPr>
          <w:p w14:paraId="3FFCE0F8" w14:textId="77777777" w:rsidR="00B1165D" w:rsidRPr="00B1165D" w:rsidRDefault="00B1165D" w:rsidP="00674261">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t>3</w:t>
            </w:r>
          </w:p>
        </w:tc>
      </w:tr>
      <w:tr w:rsidR="00B1165D" w:rsidRPr="00B1165D" w14:paraId="19910E98" w14:textId="77777777" w:rsidTr="004D7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78D90C8F" w14:textId="77777777" w:rsidR="00B1165D" w:rsidRPr="006524A0" w:rsidRDefault="00B1165D" w:rsidP="007D6C35">
            <w:pPr>
              <w:pStyle w:val="10Tabletext"/>
            </w:pPr>
            <w:r w:rsidRPr="007D6C35">
              <w:t>Office of the Chief Parliamentary Counsel</w:t>
            </w:r>
          </w:p>
        </w:tc>
        <w:tc>
          <w:tcPr>
            <w:tcW w:w="2126" w:type="dxa"/>
          </w:tcPr>
          <w:p w14:paraId="39C3D398" w14:textId="77777777" w:rsidR="00B1165D" w:rsidRPr="00B1165D" w:rsidRDefault="00B1165D" w:rsidP="00674261">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t>39</w:t>
            </w:r>
          </w:p>
        </w:tc>
        <w:tc>
          <w:tcPr>
            <w:tcW w:w="2126" w:type="dxa"/>
          </w:tcPr>
          <w:p w14:paraId="28993B9F" w14:textId="77777777" w:rsidR="00B1165D" w:rsidRPr="00B1165D" w:rsidRDefault="00B1165D" w:rsidP="00674261">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t>4</w:t>
            </w:r>
          </w:p>
        </w:tc>
      </w:tr>
      <w:tr w:rsidR="00B1165D" w:rsidRPr="00B1165D" w14:paraId="5B170C2A" w14:textId="77777777" w:rsidTr="004D7DE3">
        <w:tc>
          <w:tcPr>
            <w:cnfStyle w:val="001000000000" w:firstRow="0" w:lastRow="0" w:firstColumn="1" w:lastColumn="0" w:oddVBand="0" w:evenVBand="0" w:oddHBand="0" w:evenHBand="0" w:firstRowFirstColumn="0" w:firstRowLastColumn="0" w:lastRowFirstColumn="0" w:lastRowLastColumn="0"/>
            <w:tcW w:w="4395" w:type="dxa"/>
          </w:tcPr>
          <w:p w14:paraId="6CE989CC" w14:textId="77777777" w:rsidR="00B1165D" w:rsidRPr="006524A0" w:rsidRDefault="00B1165D" w:rsidP="007D6C35">
            <w:pPr>
              <w:pStyle w:val="10Tabletext"/>
            </w:pPr>
            <w:r w:rsidRPr="007D6C35">
              <w:t>Office of Projects Victoria</w:t>
            </w:r>
          </w:p>
        </w:tc>
        <w:tc>
          <w:tcPr>
            <w:tcW w:w="2126" w:type="dxa"/>
          </w:tcPr>
          <w:p w14:paraId="56585A3C" w14:textId="77777777" w:rsidR="00B1165D" w:rsidRPr="00B1165D" w:rsidRDefault="00B1165D" w:rsidP="00674261">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t>38</w:t>
            </w:r>
          </w:p>
        </w:tc>
        <w:tc>
          <w:tcPr>
            <w:tcW w:w="2126" w:type="dxa"/>
          </w:tcPr>
          <w:p w14:paraId="168A84D8" w14:textId="77777777" w:rsidR="00B1165D" w:rsidRPr="00B1165D" w:rsidRDefault="00B1165D" w:rsidP="00674261">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t>12</w:t>
            </w:r>
          </w:p>
        </w:tc>
      </w:tr>
      <w:tr w:rsidR="00B1165D" w:rsidRPr="00B1165D" w14:paraId="4EEA5AE5" w14:textId="77777777" w:rsidTr="004D7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1E3A7BDB" w14:textId="77777777" w:rsidR="00B1165D" w:rsidRPr="006524A0" w:rsidRDefault="00B1165D" w:rsidP="007D6C35">
            <w:pPr>
              <w:pStyle w:val="10Tabletext"/>
            </w:pPr>
            <w:r w:rsidRPr="007D6C35">
              <w:t>Latrobe Valley Authority</w:t>
            </w:r>
          </w:p>
        </w:tc>
        <w:tc>
          <w:tcPr>
            <w:tcW w:w="2126" w:type="dxa"/>
          </w:tcPr>
          <w:p w14:paraId="44AE36CF" w14:textId="77777777" w:rsidR="00B1165D" w:rsidRPr="00B1165D" w:rsidRDefault="00B1165D" w:rsidP="00674261">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t>27</w:t>
            </w:r>
          </w:p>
        </w:tc>
        <w:tc>
          <w:tcPr>
            <w:tcW w:w="2126" w:type="dxa"/>
          </w:tcPr>
          <w:p w14:paraId="6A796A27" w14:textId="77777777" w:rsidR="00B1165D" w:rsidRPr="00B1165D" w:rsidRDefault="00B1165D" w:rsidP="00674261">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t>4</w:t>
            </w:r>
          </w:p>
        </w:tc>
      </w:tr>
      <w:tr w:rsidR="00B1165D" w:rsidRPr="00B1165D" w14:paraId="69CA32D6" w14:textId="77777777" w:rsidTr="004D7DE3">
        <w:tc>
          <w:tcPr>
            <w:cnfStyle w:val="001000000000" w:firstRow="0" w:lastRow="0" w:firstColumn="1" w:lastColumn="0" w:oddVBand="0" w:evenVBand="0" w:oddHBand="0" w:evenHBand="0" w:firstRowFirstColumn="0" w:firstRowLastColumn="0" w:lastRowFirstColumn="0" w:lastRowLastColumn="0"/>
            <w:tcW w:w="4395" w:type="dxa"/>
          </w:tcPr>
          <w:p w14:paraId="0FADDF48" w14:textId="77777777" w:rsidR="00B1165D" w:rsidRPr="006524A0" w:rsidRDefault="00B1165D" w:rsidP="007D6C35">
            <w:pPr>
              <w:pStyle w:val="10Tabletext"/>
            </w:pPr>
            <w:r w:rsidRPr="007D6C35">
              <w:t xml:space="preserve">Office of the </w:t>
            </w:r>
            <w:r w:rsidRPr="006524A0">
              <w:t>Victorian Government Architect</w:t>
            </w:r>
          </w:p>
        </w:tc>
        <w:tc>
          <w:tcPr>
            <w:tcW w:w="2126" w:type="dxa"/>
          </w:tcPr>
          <w:p w14:paraId="1C5B89B3" w14:textId="77777777" w:rsidR="00B1165D" w:rsidRPr="00B1165D" w:rsidRDefault="00B1165D" w:rsidP="00674261">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t>15</w:t>
            </w:r>
          </w:p>
        </w:tc>
        <w:tc>
          <w:tcPr>
            <w:tcW w:w="2126" w:type="dxa"/>
          </w:tcPr>
          <w:p w14:paraId="7EBE68DF" w14:textId="77777777" w:rsidR="00B1165D" w:rsidRPr="00B1165D" w:rsidRDefault="00B1165D" w:rsidP="00674261">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t>1</w:t>
            </w:r>
          </w:p>
        </w:tc>
      </w:tr>
      <w:tr w:rsidR="00B1165D" w:rsidRPr="00B1165D" w14:paraId="68D7AB29" w14:textId="77777777" w:rsidTr="004D7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0D0D3774" w14:textId="77777777" w:rsidR="00B1165D" w:rsidRPr="006524A0" w:rsidRDefault="00B1165D" w:rsidP="007D6C35">
            <w:pPr>
              <w:pStyle w:val="10Tabletext"/>
            </w:pPr>
            <w:r w:rsidRPr="007D6C35">
              <w:t>Local Government Inspectorate</w:t>
            </w:r>
          </w:p>
        </w:tc>
        <w:tc>
          <w:tcPr>
            <w:tcW w:w="2126" w:type="dxa"/>
          </w:tcPr>
          <w:p w14:paraId="4F150C58" w14:textId="77777777" w:rsidR="00B1165D" w:rsidRPr="00B1165D" w:rsidRDefault="00B1165D" w:rsidP="00674261">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t>10</w:t>
            </w:r>
          </w:p>
        </w:tc>
        <w:tc>
          <w:tcPr>
            <w:tcW w:w="2126" w:type="dxa"/>
          </w:tcPr>
          <w:p w14:paraId="75877670" w14:textId="77777777" w:rsidR="00B1165D" w:rsidRPr="00B1165D" w:rsidRDefault="00B1165D" w:rsidP="00674261">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t>1</w:t>
            </w:r>
          </w:p>
        </w:tc>
      </w:tr>
    </w:tbl>
    <w:p w14:paraId="34CE2321" w14:textId="3BA5C779" w:rsidR="00B1165D" w:rsidRPr="004770E0" w:rsidRDefault="00B1165D" w:rsidP="00674261">
      <w:pPr>
        <w:pStyle w:val="09Sourcesandnotesfortablesfiguresboxes"/>
      </w:pPr>
      <w:r w:rsidRPr="004770E0">
        <w:t xml:space="preserve">Notes: (a) Vic Grid was established as an AO in March 2024. (b) ‘Executive’ defined as SES-1, SES-2, SES-3, AO Head-1, AO Head-2 and AO Head-3. (c) The Victorian Infrastructure Delivery Authority </w:t>
      </w:r>
      <w:r w:rsidR="00BF07CD">
        <w:t xml:space="preserve">was established </w:t>
      </w:r>
      <w:r w:rsidRPr="004770E0">
        <w:t>in April 2024</w:t>
      </w:r>
      <w:r w:rsidR="00BF07CD">
        <w:t>, inc</w:t>
      </w:r>
      <w:r w:rsidR="00AC7385">
        <w:t>orporating the functions of the Major Transport Infrastructure Authority</w:t>
      </w:r>
      <w:r w:rsidR="0008797B">
        <w:t xml:space="preserve"> and the Victorian Health Building Authority.</w:t>
      </w:r>
    </w:p>
    <w:p w14:paraId="63267DA8" w14:textId="4A0813B2" w:rsidR="00B1165D" w:rsidRPr="004770E0" w:rsidRDefault="00B1165D" w:rsidP="00674261">
      <w:pPr>
        <w:pStyle w:val="09Sourcesandnotesfortablesfiguresboxes"/>
      </w:pPr>
      <w:r w:rsidRPr="0010203C">
        <w:t xml:space="preserve">Source: </w:t>
      </w:r>
      <w:r w:rsidR="00BD35C8" w:rsidRPr="00BD35C8">
        <w:t>Tribunal analysis of VPSC data.</w:t>
      </w:r>
    </w:p>
    <w:p w14:paraId="56AF799C" w14:textId="77777777" w:rsidR="00B1165D" w:rsidRPr="00B1165D" w:rsidRDefault="00B1165D" w:rsidP="00674261">
      <w:pPr>
        <w:pStyle w:val="03VIRTHeading3"/>
        <w:rPr>
          <w:rFonts w:eastAsia="Calibri"/>
          <w:color w:val="0F6745"/>
        </w:rPr>
      </w:pPr>
      <w:r w:rsidRPr="00B1165D">
        <w:t xml:space="preserve">The Victorian Public Sector </w:t>
      </w:r>
      <w:r w:rsidRPr="00B1165D">
        <w:rPr>
          <w:rFonts w:eastAsia="Calibri"/>
          <w:color w:val="0F6745"/>
        </w:rPr>
        <w:t>Commissioner oversees the VPSC’s functions to strengthen public sector performance</w:t>
      </w:r>
    </w:p>
    <w:p w14:paraId="090EF77A" w14:textId="1037CD37" w:rsidR="001374B1" w:rsidRDefault="00B1165D" w:rsidP="00E32CB5">
      <w:pPr>
        <w:pStyle w:val="05Paragraph"/>
        <w:rPr>
          <w:noProof/>
        </w:rPr>
      </w:pPr>
      <w:r w:rsidRPr="00B1165D">
        <w:rPr>
          <w:noProof/>
        </w:rPr>
        <w:t>The VPSC is led by a Commissioner who oversees</w:t>
      </w:r>
      <w:r w:rsidR="002874DA">
        <w:rPr>
          <w:noProof/>
        </w:rPr>
        <w:t xml:space="preserve"> </w:t>
      </w:r>
      <w:r w:rsidR="00F61EFA">
        <w:rPr>
          <w:noProof/>
        </w:rPr>
        <w:t>its’ objectives to:</w:t>
      </w:r>
      <w:r w:rsidR="00F61EFA">
        <w:rPr>
          <w:rStyle w:val="FootnoteReference"/>
          <w:noProof/>
        </w:rPr>
        <w:footnoteReference w:id="38"/>
      </w:r>
    </w:p>
    <w:p w14:paraId="3CD65D5D" w14:textId="77777777" w:rsidR="001374B1" w:rsidRPr="003E635C" w:rsidRDefault="001374B1" w:rsidP="001374B1">
      <w:pPr>
        <w:pStyle w:val="06VIRTBulletpoints"/>
        <w:rPr>
          <w:rFonts w:cs="Calibri Light"/>
        </w:rPr>
      </w:pPr>
      <w:r w:rsidRPr="003E635C">
        <w:rPr>
          <w:rFonts w:cs="Calibri Light"/>
        </w:rPr>
        <w:t>strengthen the efficiency, effectiveness and capability of the public sector to meet existing and emerging needs and deliver high quality services</w:t>
      </w:r>
    </w:p>
    <w:p w14:paraId="06C89B9F" w14:textId="77777777" w:rsidR="001374B1" w:rsidRPr="003E635C" w:rsidRDefault="001374B1" w:rsidP="001374B1">
      <w:pPr>
        <w:pStyle w:val="06VIRTBulletpoints"/>
        <w:rPr>
          <w:rFonts w:cs="Calibri Light"/>
        </w:rPr>
      </w:pPr>
      <w:r w:rsidRPr="003E635C">
        <w:rPr>
          <w:rFonts w:cs="Calibri Light"/>
        </w:rPr>
        <w:t>maintain, and advocate for, public sector professionalism and integrity.</w:t>
      </w:r>
    </w:p>
    <w:p w14:paraId="24D93EE0" w14:textId="7DE10303" w:rsidR="00B1165D" w:rsidRPr="00B1165D" w:rsidRDefault="001374B1" w:rsidP="00674261">
      <w:pPr>
        <w:pStyle w:val="05Paragraph"/>
        <w:rPr>
          <w:noProof/>
        </w:rPr>
      </w:pPr>
      <w:r>
        <w:rPr>
          <w:noProof/>
        </w:rPr>
        <w:t xml:space="preserve">To give effect to these objectives, the VPSC </w:t>
      </w:r>
      <w:r w:rsidR="002874DA">
        <w:rPr>
          <w:noProof/>
        </w:rPr>
        <w:t xml:space="preserve">has the following </w:t>
      </w:r>
      <w:r w:rsidR="00B1165D" w:rsidRPr="00B1165D">
        <w:rPr>
          <w:noProof/>
        </w:rPr>
        <w:t>functions:</w:t>
      </w:r>
      <w:r w:rsidR="00B1165D" w:rsidRPr="00B1165D">
        <w:rPr>
          <w:noProof/>
          <w:vertAlign w:val="superscript"/>
        </w:rPr>
        <w:footnoteReference w:id="39"/>
      </w:r>
    </w:p>
    <w:p w14:paraId="3D4DCBC0" w14:textId="77777777" w:rsidR="00B1165D" w:rsidRPr="00B1165D" w:rsidRDefault="00B1165D" w:rsidP="00384E76">
      <w:pPr>
        <w:pStyle w:val="06VIRTBulletpoints"/>
        <w:rPr>
          <w:noProof/>
        </w:rPr>
      </w:pPr>
      <w:r w:rsidRPr="00B1165D">
        <w:rPr>
          <w:noProof/>
        </w:rPr>
        <w:t>provide advice and support on issues relevant to public sector administration, governance, service delivery and workforce management and development</w:t>
      </w:r>
    </w:p>
    <w:p w14:paraId="6C8E5D50" w14:textId="77777777" w:rsidR="00B1165D" w:rsidRPr="00B1165D" w:rsidRDefault="00B1165D" w:rsidP="00384E76">
      <w:pPr>
        <w:pStyle w:val="06VIRTBulletpoints"/>
        <w:rPr>
          <w:noProof/>
        </w:rPr>
      </w:pPr>
      <w:r w:rsidRPr="00B1165D">
        <w:rPr>
          <w:noProof/>
        </w:rPr>
        <w:t>conduct research and disseminate best practice in relation to public sector administration, governance, service delivery and workforce management and development</w:t>
      </w:r>
    </w:p>
    <w:p w14:paraId="2C9EBABA" w14:textId="77777777" w:rsidR="00B1165D" w:rsidRPr="00B1165D" w:rsidRDefault="00B1165D" w:rsidP="00384E76">
      <w:pPr>
        <w:pStyle w:val="06VIRTBulletpoints"/>
        <w:rPr>
          <w:noProof/>
        </w:rPr>
      </w:pPr>
      <w:r w:rsidRPr="00B1165D">
        <w:rPr>
          <w:noProof/>
        </w:rPr>
        <w:t>collect, analyse, and report on whole-of-government data</w:t>
      </w:r>
    </w:p>
    <w:p w14:paraId="606E445D" w14:textId="77777777" w:rsidR="00B1165D" w:rsidRPr="00B1165D" w:rsidRDefault="00B1165D" w:rsidP="00384E76">
      <w:pPr>
        <w:pStyle w:val="06VIRTBulletpoints"/>
        <w:rPr>
          <w:noProof/>
        </w:rPr>
      </w:pPr>
      <w:r w:rsidRPr="00B1165D">
        <w:rPr>
          <w:noProof/>
        </w:rPr>
        <w:t>conduct enquiries as directed by the Premier.</w:t>
      </w:r>
      <w:r w:rsidRPr="00B1165D">
        <w:rPr>
          <w:noProof/>
          <w:vertAlign w:val="superscript"/>
        </w:rPr>
        <w:t xml:space="preserve"> </w:t>
      </w:r>
    </w:p>
    <w:p w14:paraId="014198FA" w14:textId="11DA2D3C" w:rsidR="00B1165D" w:rsidRPr="00B1165D" w:rsidRDefault="00B1165D" w:rsidP="003D1FA1">
      <w:pPr>
        <w:pStyle w:val="05Paragraph"/>
        <w:rPr>
          <w:noProof/>
        </w:rPr>
      </w:pPr>
      <w:r w:rsidRPr="00B1165D">
        <w:rPr>
          <w:noProof/>
        </w:rPr>
        <w:t xml:space="preserve">According to the VPSC’s </w:t>
      </w:r>
      <w:r w:rsidRPr="00B1165D">
        <w:rPr>
          <w:i/>
          <w:iCs/>
          <w:noProof/>
        </w:rPr>
        <w:t>Strategic plan 2023–26</w:t>
      </w:r>
      <w:r w:rsidRPr="00B1165D">
        <w:rPr>
          <w:noProof/>
        </w:rPr>
        <w:t xml:space="preserve">, the </w:t>
      </w:r>
      <w:r w:rsidR="00B23A8E">
        <w:rPr>
          <w:noProof/>
        </w:rPr>
        <w:t>Victorian Public Sector</w:t>
      </w:r>
      <w:r w:rsidRPr="00B1165D">
        <w:rPr>
          <w:noProof/>
        </w:rPr>
        <w:t xml:space="preserve"> Commissioner acts as an independent steward of the public sector, providing </w:t>
      </w:r>
      <w:r w:rsidRPr="00B1165D">
        <w:rPr>
          <w:noProof/>
        </w:rPr>
        <w:lastRenderedPageBreak/>
        <w:t xml:space="preserve">counsel on difficult ethical and integrity issues to leaders. The </w:t>
      </w:r>
      <w:r w:rsidR="00BC4061">
        <w:rPr>
          <w:noProof/>
        </w:rPr>
        <w:t>Victorian Public Sector</w:t>
      </w:r>
      <w:r w:rsidRPr="00B1165D">
        <w:rPr>
          <w:noProof/>
        </w:rPr>
        <w:t xml:space="preserve"> Commissioner has the power to issue binding codes of conduct and employment standards to the sector, and to make recommendations to agencies about adherence to them.</w:t>
      </w:r>
      <w:r w:rsidRPr="00B1165D">
        <w:rPr>
          <w:noProof/>
          <w:vertAlign w:val="superscript"/>
        </w:rPr>
        <w:footnoteReference w:id="40"/>
      </w:r>
    </w:p>
    <w:p w14:paraId="4C966598" w14:textId="00C25BEF" w:rsidR="00B1165D" w:rsidRPr="00B1165D" w:rsidRDefault="009B2230" w:rsidP="003D1FA1">
      <w:pPr>
        <w:pStyle w:val="02VIRTHeading2"/>
      </w:pPr>
      <w:bookmarkStart w:id="51" w:name="_Toc169878470"/>
      <w:bookmarkStart w:id="52" w:name="_Toc170396213"/>
      <w:r>
        <w:t>2.2</w:t>
      </w:r>
      <w:r>
        <w:tab/>
      </w:r>
      <w:r w:rsidR="00B1165D" w:rsidRPr="00B1165D">
        <w:t>The executive classification framework sets out expectations for the SES</w:t>
      </w:r>
      <w:bookmarkEnd w:id="51"/>
      <w:bookmarkEnd w:id="52"/>
    </w:p>
    <w:p w14:paraId="40C44998" w14:textId="25DE7E1F" w:rsidR="00B1165D" w:rsidRPr="00B1165D" w:rsidRDefault="00B1165D" w:rsidP="003D1FA1">
      <w:pPr>
        <w:pStyle w:val="05Paragraph"/>
        <w:rPr>
          <w:noProof/>
        </w:rPr>
      </w:pPr>
      <w:r w:rsidRPr="00B1165D">
        <w:rPr>
          <w:noProof/>
        </w:rPr>
        <w:t xml:space="preserve">Public service body Heads employ executives (the SES) to </w:t>
      </w:r>
      <w:r w:rsidRPr="00B1165D">
        <w:t>help</w:t>
      </w:r>
      <w:r w:rsidRPr="00B1165D">
        <w:rPr>
          <w:noProof/>
        </w:rPr>
        <w:t xml:space="preserve"> in the delivery of the government’s objectives.</w:t>
      </w:r>
      <w:r w:rsidRPr="00B1165D">
        <w:t xml:space="preserve"> </w:t>
      </w:r>
      <w:r w:rsidRPr="00B1165D">
        <w:rPr>
          <w:noProof/>
        </w:rPr>
        <w:t xml:space="preserve">The </w:t>
      </w:r>
      <w:r w:rsidRPr="00B1165D">
        <w:rPr>
          <w:i/>
          <w:noProof/>
        </w:rPr>
        <w:t>Victorian Public Service Executive Classification Framework</w:t>
      </w:r>
      <w:r w:rsidRPr="00B1165D">
        <w:rPr>
          <w:noProof/>
        </w:rPr>
        <w:t xml:space="preserve"> </w:t>
      </w:r>
      <w:r w:rsidR="00930515">
        <w:rPr>
          <w:noProof/>
        </w:rPr>
        <w:t xml:space="preserve">(VPS </w:t>
      </w:r>
      <w:r w:rsidR="00135175">
        <w:rPr>
          <w:noProof/>
        </w:rPr>
        <w:t>Executive C</w:t>
      </w:r>
      <w:r w:rsidR="00930515">
        <w:rPr>
          <w:noProof/>
        </w:rPr>
        <w:t xml:space="preserve">lassification </w:t>
      </w:r>
      <w:r w:rsidR="00135175">
        <w:rPr>
          <w:noProof/>
        </w:rPr>
        <w:t>F</w:t>
      </w:r>
      <w:r w:rsidR="00930515">
        <w:rPr>
          <w:noProof/>
        </w:rPr>
        <w:t>ramework)</w:t>
      </w:r>
      <w:r w:rsidR="00BF1AA1">
        <w:rPr>
          <w:noProof/>
        </w:rPr>
        <w:t>, administered by the VPSC,</w:t>
      </w:r>
      <w:r w:rsidR="00930515">
        <w:rPr>
          <w:noProof/>
        </w:rPr>
        <w:t xml:space="preserve"> </w:t>
      </w:r>
      <w:r w:rsidRPr="00B1165D">
        <w:rPr>
          <w:noProof/>
        </w:rPr>
        <w:t xml:space="preserve">provides </w:t>
      </w:r>
      <w:r w:rsidRPr="00B1165D">
        <w:t>clear</w:t>
      </w:r>
      <w:r w:rsidRPr="00B1165D">
        <w:rPr>
          <w:noProof/>
        </w:rPr>
        <w:t xml:space="preserve"> expectations </w:t>
      </w:r>
      <w:r w:rsidRPr="00B1165D">
        <w:t>for</w:t>
      </w:r>
      <w:r w:rsidRPr="00B1165D">
        <w:rPr>
          <w:noProof/>
        </w:rPr>
        <w:t xml:space="preserve"> the SES at different levels</w:t>
      </w:r>
      <w:r w:rsidRPr="00B1165D">
        <w:t>.</w:t>
      </w:r>
      <w:r w:rsidRPr="00B1165D">
        <w:rPr>
          <w:vertAlign w:val="superscript"/>
        </w:rPr>
        <w:footnoteReference w:id="41"/>
      </w:r>
      <w:r w:rsidRPr="00B1165D">
        <w:t xml:space="preserve"> This</w:t>
      </w:r>
      <w:r w:rsidRPr="00B1165D">
        <w:rPr>
          <w:noProof/>
        </w:rPr>
        <w:t xml:space="preserve"> framework does not apply to public service body Heads. </w:t>
      </w:r>
    </w:p>
    <w:p w14:paraId="45481533" w14:textId="0C85C194" w:rsidR="00B1165D" w:rsidRPr="00B1165D" w:rsidRDefault="00B1165D" w:rsidP="003D1FA1">
      <w:pPr>
        <w:pStyle w:val="05Paragraph"/>
        <w:rPr>
          <w:noProof/>
        </w:rPr>
      </w:pPr>
      <w:r w:rsidRPr="00B1165D">
        <w:rPr>
          <w:noProof/>
        </w:rPr>
        <w:t xml:space="preserve">The framework uses a work value assessment methodology where executive positions are assessed and classified using work level standards </w:t>
      </w:r>
      <w:r w:rsidRPr="00B1165D">
        <w:t>which vary</w:t>
      </w:r>
      <w:r w:rsidRPr="00B1165D">
        <w:rPr>
          <w:noProof/>
        </w:rPr>
        <w:t xml:space="preserve"> in complexity and responsibility across three executive bands.</w:t>
      </w:r>
    </w:p>
    <w:p w14:paraId="79621C37" w14:textId="4DA379F4" w:rsidR="00B1165D" w:rsidRPr="00B1165D" w:rsidRDefault="00B1165D" w:rsidP="003D1FA1">
      <w:pPr>
        <w:pStyle w:val="05Paragraph"/>
        <w:rPr>
          <w:noProof/>
        </w:rPr>
      </w:pPr>
      <w:r w:rsidRPr="00B1165D">
        <w:rPr>
          <w:noProof/>
        </w:rPr>
        <w:t xml:space="preserve">The </w:t>
      </w:r>
      <w:r w:rsidR="00F2049E">
        <w:rPr>
          <w:noProof/>
        </w:rPr>
        <w:t>VPS Executive Classification Framework</w:t>
      </w:r>
      <w:r w:rsidR="00F2049E" w:rsidDel="00F2049E">
        <w:rPr>
          <w:noProof/>
        </w:rPr>
        <w:t xml:space="preserve"> </w:t>
      </w:r>
      <w:r w:rsidRPr="00B1165D">
        <w:rPr>
          <w:noProof/>
        </w:rPr>
        <w:t>notes that executive positions may include responsibility for:</w:t>
      </w:r>
    </w:p>
    <w:p w14:paraId="43E17041" w14:textId="77777777" w:rsidR="00B1165D" w:rsidRPr="00B1165D" w:rsidRDefault="00B1165D" w:rsidP="00384E76">
      <w:pPr>
        <w:pStyle w:val="06VIRTBulletpoints"/>
        <w:rPr>
          <w:noProof/>
        </w:rPr>
      </w:pPr>
      <w:r w:rsidRPr="00B1165D">
        <w:rPr>
          <w:noProof/>
        </w:rPr>
        <w:t>large-scale service delivery</w:t>
      </w:r>
    </w:p>
    <w:p w14:paraId="3A9C3445" w14:textId="77777777" w:rsidR="00B1165D" w:rsidRPr="00B1165D" w:rsidRDefault="00B1165D" w:rsidP="00384E76">
      <w:pPr>
        <w:pStyle w:val="06VIRTBulletpoints"/>
        <w:rPr>
          <w:noProof/>
        </w:rPr>
      </w:pPr>
      <w:r w:rsidRPr="00B1165D">
        <w:rPr>
          <w:noProof/>
        </w:rPr>
        <w:t>the direction of program or project-based delivery functions</w:t>
      </w:r>
    </w:p>
    <w:p w14:paraId="158E1FEC" w14:textId="77777777" w:rsidR="00B1165D" w:rsidRPr="00B1165D" w:rsidRDefault="00B1165D" w:rsidP="00384E76">
      <w:pPr>
        <w:pStyle w:val="06VIRTBulletpoints"/>
        <w:rPr>
          <w:noProof/>
        </w:rPr>
      </w:pPr>
      <w:r w:rsidRPr="00B1165D">
        <w:rPr>
          <w:noProof/>
        </w:rPr>
        <w:t>development or implementation of public policy</w:t>
      </w:r>
    </w:p>
    <w:p w14:paraId="086B66F2" w14:textId="77777777" w:rsidR="00B1165D" w:rsidRPr="00B1165D" w:rsidRDefault="00B1165D" w:rsidP="00384E76">
      <w:pPr>
        <w:pStyle w:val="06VIRTBulletpoints"/>
        <w:rPr>
          <w:noProof/>
        </w:rPr>
      </w:pPr>
      <w:r w:rsidRPr="00B1165D">
        <w:rPr>
          <w:noProof/>
        </w:rPr>
        <w:t>development and implementation of compliance and enforcement programs</w:t>
      </w:r>
    </w:p>
    <w:p w14:paraId="1B590CF6" w14:textId="77777777" w:rsidR="00B1165D" w:rsidRPr="00B1165D" w:rsidRDefault="00B1165D" w:rsidP="00384E76">
      <w:pPr>
        <w:pStyle w:val="06VIRTBulletpoints"/>
        <w:rPr>
          <w:noProof/>
        </w:rPr>
      </w:pPr>
      <w:r w:rsidRPr="00B1165D">
        <w:rPr>
          <w:noProof/>
        </w:rPr>
        <w:t>the provision of expertise which ensures the integrity of decision making and planning processes of government.</w:t>
      </w:r>
    </w:p>
    <w:p w14:paraId="4252F1F0" w14:textId="77777777" w:rsidR="00B1165D" w:rsidRPr="00B1165D" w:rsidRDefault="00B1165D" w:rsidP="003D1FA1">
      <w:pPr>
        <w:pStyle w:val="03VIRTHeading3"/>
        <w:rPr>
          <w:rFonts w:eastAsia="Calibri"/>
          <w:color w:val="0F6745"/>
        </w:rPr>
      </w:pPr>
      <w:r w:rsidRPr="00B1165D">
        <w:t xml:space="preserve">The executive </w:t>
      </w:r>
      <w:r w:rsidRPr="00B1165D">
        <w:rPr>
          <w:rFonts w:eastAsia="Calibri"/>
          <w:color w:val="0F6745"/>
        </w:rPr>
        <w:t>classification framework has eight executive work level standards</w:t>
      </w:r>
    </w:p>
    <w:p w14:paraId="0318635A" w14:textId="77777777" w:rsidR="00B1165D" w:rsidRPr="00B1165D" w:rsidRDefault="00B1165D" w:rsidP="003D1FA1">
      <w:pPr>
        <w:pStyle w:val="05Paragraph"/>
        <w:rPr>
          <w:noProof/>
        </w:rPr>
      </w:pPr>
      <w:r w:rsidRPr="00B1165D">
        <w:rPr>
          <w:noProof/>
        </w:rPr>
        <w:t xml:space="preserve">The </w:t>
      </w:r>
      <w:r w:rsidRPr="00B1165D">
        <w:t>VPS</w:t>
      </w:r>
      <w:r w:rsidRPr="00B1165D">
        <w:rPr>
          <w:noProof/>
        </w:rPr>
        <w:t xml:space="preserve"> classification framework enables each SES role to be assessed against eight work level standards (Table 2.</w:t>
      </w:r>
      <w:r w:rsidRPr="00B1165D" w:rsidDel="00D21526">
        <w:rPr>
          <w:noProof/>
        </w:rPr>
        <w:t>4</w:t>
      </w:r>
      <w:r w:rsidRPr="00B1165D">
        <w:rPr>
          <w:noProof/>
        </w:rPr>
        <w:t>).</w:t>
      </w:r>
    </w:p>
    <w:p w14:paraId="59A81B08" w14:textId="77777777" w:rsidR="00B1165D" w:rsidRPr="006524A0" w:rsidRDefault="00B1165D" w:rsidP="00144BE8">
      <w:pPr>
        <w:pStyle w:val="08Figuretableboxheading"/>
      </w:pPr>
      <w:bookmarkStart w:id="53" w:name="_Toc170393525"/>
      <w:r w:rsidRPr="000F1E88">
        <w:lastRenderedPageBreak/>
        <w:t>Table 2.</w:t>
      </w:r>
      <w:r w:rsidRPr="006524A0" w:rsidDel="00D21526">
        <w:t>4</w:t>
      </w:r>
      <w:r w:rsidRPr="006524A0">
        <w:t>: VPS Executive Classification Framework work level standards</w:t>
      </w:r>
      <w:bookmarkEnd w:id="53"/>
      <w:r w:rsidRPr="006524A0">
        <w:t xml:space="preserve"> </w:t>
      </w:r>
    </w:p>
    <w:tbl>
      <w:tblPr>
        <w:tblStyle w:val="ListTable3-Accent21"/>
        <w:tblW w:w="8560" w:type="dxa"/>
        <w:tblLook w:val="04A0" w:firstRow="1" w:lastRow="0" w:firstColumn="1" w:lastColumn="0" w:noHBand="0" w:noVBand="1"/>
      </w:tblPr>
      <w:tblGrid>
        <w:gridCol w:w="1560"/>
        <w:gridCol w:w="7000"/>
      </w:tblGrid>
      <w:tr w:rsidR="00B1165D" w:rsidRPr="00B1165D" w14:paraId="3B7C16E9" w14:textId="77777777" w:rsidTr="004D7D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60" w:type="dxa"/>
            <w:tcBorders>
              <w:bottom w:val="single" w:sz="4" w:space="0" w:color="148A5D" w:themeColor="accent2"/>
            </w:tcBorders>
          </w:tcPr>
          <w:p w14:paraId="2121E99D" w14:textId="77777777" w:rsidR="00B1165D" w:rsidRPr="003D1FA1" w:rsidRDefault="00B1165D" w:rsidP="00B1165D">
            <w:pPr>
              <w:spacing w:before="0" w:after="0" w:line="240" w:lineRule="auto"/>
              <w:jc w:val="left"/>
              <w:rPr>
                <w:rFonts w:eastAsia="Calibri" w:cs="Calibri Light"/>
                <w:color w:val="FFFFFF"/>
                <w:sz w:val="22"/>
              </w:rPr>
            </w:pPr>
            <w:r w:rsidRPr="003D1FA1">
              <w:rPr>
                <w:rFonts w:eastAsia="Calibri" w:cs="Calibri Light"/>
                <w:color w:val="FFFFFF"/>
                <w:sz w:val="22"/>
              </w:rPr>
              <w:t xml:space="preserve">Competency </w:t>
            </w:r>
          </w:p>
        </w:tc>
        <w:tc>
          <w:tcPr>
            <w:tcW w:w="7000" w:type="dxa"/>
            <w:tcBorders>
              <w:bottom w:val="single" w:sz="4" w:space="0" w:color="148A5D" w:themeColor="accent2"/>
            </w:tcBorders>
          </w:tcPr>
          <w:p w14:paraId="2D0BDF23" w14:textId="77777777" w:rsidR="00B1165D" w:rsidRPr="003D1FA1" w:rsidRDefault="00B1165D" w:rsidP="00B1165D">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cs="Calibri Light"/>
                <w:color w:val="FFFFFF"/>
                <w:sz w:val="22"/>
              </w:rPr>
            </w:pPr>
            <w:r w:rsidRPr="003D1FA1">
              <w:rPr>
                <w:rFonts w:eastAsia="Calibri" w:cs="Calibri Light"/>
                <w:color w:val="FFFFFF"/>
                <w:sz w:val="22"/>
              </w:rPr>
              <w:t>Definition</w:t>
            </w:r>
          </w:p>
        </w:tc>
      </w:tr>
      <w:tr w:rsidR="00B1165D" w:rsidRPr="00B1165D" w14:paraId="7B148F88" w14:textId="77777777" w:rsidTr="004D7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tcPr>
          <w:p w14:paraId="2287B047" w14:textId="77777777" w:rsidR="00B1165D" w:rsidRPr="00B1165D" w:rsidRDefault="00B1165D" w:rsidP="003D1FA1">
            <w:pPr>
              <w:pStyle w:val="10Tabletext"/>
              <w:rPr>
                <w:rFonts w:ascii="Calibri" w:eastAsia="Calibri" w:hAnsi="Calibri" w:cs="Arial"/>
                <w:color w:val="4D4D4D"/>
              </w:rPr>
            </w:pPr>
            <w:r w:rsidRPr="00B1165D">
              <w:t>Knowledge</w:t>
            </w:r>
          </w:p>
        </w:tc>
        <w:tc>
          <w:tcPr>
            <w:tcW w:w="7000" w:type="dxa"/>
            <w:tcBorders>
              <w:right w:val="nil"/>
            </w:tcBorders>
          </w:tcPr>
          <w:p w14:paraId="4A826025" w14:textId="77777777" w:rsidR="00B1165D" w:rsidRPr="006524A0" w:rsidRDefault="00B1165D" w:rsidP="000F1E88">
            <w:pPr>
              <w:pStyle w:val="11Bulletsinatable"/>
              <w:cnfStyle w:val="000000100000" w:firstRow="0" w:lastRow="0" w:firstColumn="0" w:lastColumn="0" w:oddVBand="0" w:evenVBand="0" w:oddHBand="1" w:evenHBand="0" w:firstRowFirstColumn="0" w:firstRowLastColumn="0" w:lastRowFirstColumn="0" w:lastRowLastColumn="0"/>
            </w:pPr>
            <w:r w:rsidRPr="000F1E88">
              <w:t>level of required knowledge, skills, and expertise</w:t>
            </w:r>
          </w:p>
          <w:p w14:paraId="06AF48CE" w14:textId="77777777" w:rsidR="00B1165D" w:rsidRPr="006524A0" w:rsidRDefault="00B1165D" w:rsidP="000F1E88">
            <w:pPr>
              <w:pStyle w:val="11Bulletsinatable"/>
              <w:cnfStyle w:val="000000100000" w:firstRow="0" w:lastRow="0" w:firstColumn="0" w:lastColumn="0" w:oddVBand="0" w:evenVBand="0" w:oddHBand="1" w:evenHBand="0" w:firstRowFirstColumn="0" w:firstRowLastColumn="0" w:lastRowFirstColumn="0" w:lastRowLastColumn="0"/>
            </w:pPr>
            <w:r w:rsidRPr="000F1E88">
              <w:t>proficiency in a specialised discipline</w:t>
            </w:r>
          </w:p>
          <w:p w14:paraId="0D88C6C1" w14:textId="77777777" w:rsidR="00B1165D" w:rsidRPr="006524A0" w:rsidRDefault="00B1165D" w:rsidP="000F1E88">
            <w:pPr>
              <w:pStyle w:val="11Bulletsinatable"/>
              <w:cnfStyle w:val="000000100000" w:firstRow="0" w:lastRow="0" w:firstColumn="0" w:lastColumn="0" w:oddVBand="0" w:evenVBand="0" w:oddHBand="1" w:evenHBand="0" w:firstRowFirstColumn="0" w:firstRowLastColumn="0" w:lastRowFirstColumn="0" w:lastRowLastColumn="0"/>
            </w:pPr>
            <w:r w:rsidRPr="000F1E88">
              <w:t>level of authority</w:t>
            </w:r>
          </w:p>
          <w:p w14:paraId="533D8B44" w14:textId="77777777" w:rsidR="00B1165D" w:rsidRPr="00B1165D" w:rsidRDefault="00B1165D" w:rsidP="000F1E88">
            <w:pPr>
              <w:pStyle w:val="11Bulletsinatable"/>
              <w:cnfStyle w:val="000000100000" w:firstRow="0" w:lastRow="0" w:firstColumn="0" w:lastColumn="0" w:oddVBand="0" w:evenVBand="0" w:oddHBand="1" w:evenHBand="0" w:firstRowFirstColumn="0" w:firstRowLastColumn="0" w:lastRowFirstColumn="0" w:lastRowLastColumn="0"/>
              <w:rPr>
                <w:rFonts w:eastAsia="Calibri"/>
                <w:color w:val="4D4D4D"/>
              </w:rPr>
            </w:pPr>
            <w:r w:rsidRPr="000F1E88">
              <w:t>depth of understanding of the work environment.</w:t>
            </w:r>
          </w:p>
        </w:tc>
      </w:tr>
      <w:tr w:rsidR="00B1165D" w:rsidRPr="00B1165D" w14:paraId="526EA759" w14:textId="77777777" w:rsidTr="004D7DE3">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148A5D" w:themeColor="accent2"/>
              <w:left w:val="nil"/>
              <w:bottom w:val="single" w:sz="4" w:space="0" w:color="148A5D" w:themeColor="accent2"/>
            </w:tcBorders>
          </w:tcPr>
          <w:p w14:paraId="5ED360D2" w14:textId="77777777" w:rsidR="00B1165D" w:rsidRPr="00B1165D" w:rsidRDefault="00B1165D" w:rsidP="003D1FA1">
            <w:pPr>
              <w:pStyle w:val="10Tabletext"/>
              <w:rPr>
                <w:rFonts w:ascii="Calibri" w:eastAsia="Calibri" w:hAnsi="Calibri" w:cs="Arial"/>
                <w:color w:val="4D4D4D"/>
              </w:rPr>
            </w:pPr>
            <w:r w:rsidRPr="00B1165D">
              <w:t>Relationships</w:t>
            </w:r>
          </w:p>
        </w:tc>
        <w:tc>
          <w:tcPr>
            <w:tcW w:w="7000" w:type="dxa"/>
            <w:tcBorders>
              <w:top w:val="single" w:sz="4" w:space="0" w:color="148A5D" w:themeColor="accent2"/>
              <w:bottom w:val="single" w:sz="4" w:space="0" w:color="148A5D" w:themeColor="accent2"/>
              <w:right w:val="nil"/>
            </w:tcBorders>
          </w:tcPr>
          <w:p w14:paraId="6E364169" w14:textId="77777777" w:rsidR="00B1165D" w:rsidRPr="00B1165D" w:rsidRDefault="00B1165D" w:rsidP="003D1FA1">
            <w:pPr>
              <w:pStyle w:val="11Bulletsinatable"/>
              <w:cnfStyle w:val="000000000000" w:firstRow="0" w:lastRow="0" w:firstColumn="0" w:lastColumn="0" w:oddVBand="0" w:evenVBand="0" w:oddHBand="0" w:evenHBand="0" w:firstRowFirstColumn="0" w:firstRowLastColumn="0" w:lastRowFirstColumn="0" w:lastRowLastColumn="0"/>
              <w:rPr>
                <w:rFonts w:eastAsia="Calibri"/>
                <w:color w:val="4D4D4D"/>
              </w:rPr>
            </w:pPr>
            <w:r w:rsidRPr="00B1165D">
              <w:t>requirement to influence and negotiate</w:t>
            </w:r>
          </w:p>
          <w:p w14:paraId="32785347" w14:textId="77777777" w:rsidR="00B1165D" w:rsidRPr="00B1165D" w:rsidRDefault="00B1165D" w:rsidP="003D1FA1">
            <w:pPr>
              <w:pStyle w:val="11Bulletsinatable"/>
              <w:cnfStyle w:val="000000000000" w:firstRow="0" w:lastRow="0" w:firstColumn="0" w:lastColumn="0" w:oddVBand="0" w:evenVBand="0" w:oddHBand="0" w:evenHBand="0" w:firstRowFirstColumn="0" w:firstRowLastColumn="0" w:lastRowFirstColumn="0" w:lastRowLastColumn="0"/>
              <w:rPr>
                <w:rFonts w:eastAsia="Calibri"/>
                <w:color w:val="4D4D4D"/>
              </w:rPr>
            </w:pPr>
            <w:r w:rsidRPr="00B1165D">
              <w:t>interact with internal and external stakeholders</w:t>
            </w:r>
          </w:p>
          <w:p w14:paraId="4D1FA7A1" w14:textId="77777777" w:rsidR="00B1165D" w:rsidRPr="00B1165D" w:rsidRDefault="00B1165D" w:rsidP="003D1FA1">
            <w:pPr>
              <w:pStyle w:val="11Bulletsinatable"/>
              <w:cnfStyle w:val="000000000000" w:firstRow="0" w:lastRow="0" w:firstColumn="0" w:lastColumn="0" w:oddVBand="0" w:evenVBand="0" w:oddHBand="0" w:evenHBand="0" w:firstRowFirstColumn="0" w:firstRowLastColumn="0" w:lastRowFirstColumn="0" w:lastRowLastColumn="0"/>
              <w:rPr>
                <w:rFonts w:eastAsia="Calibri"/>
                <w:color w:val="4D4D4D"/>
              </w:rPr>
            </w:pPr>
            <w:r w:rsidRPr="00B1165D">
              <w:t>level of sensitivity and complexity of issues and interactions.</w:t>
            </w:r>
          </w:p>
        </w:tc>
      </w:tr>
      <w:tr w:rsidR="00B1165D" w:rsidRPr="00B1165D" w14:paraId="4515C265" w14:textId="77777777" w:rsidTr="004D7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tcPr>
          <w:p w14:paraId="7A16F5B1" w14:textId="77777777" w:rsidR="00B1165D" w:rsidRPr="00B1165D" w:rsidRDefault="00B1165D" w:rsidP="003D1FA1">
            <w:pPr>
              <w:pStyle w:val="10Tabletext"/>
              <w:rPr>
                <w:rFonts w:ascii="Calibri" w:eastAsia="Calibri" w:hAnsi="Calibri" w:cs="Arial"/>
                <w:color w:val="4D4D4D"/>
              </w:rPr>
            </w:pPr>
            <w:r w:rsidRPr="00B1165D">
              <w:t>Judgement and risk</w:t>
            </w:r>
          </w:p>
        </w:tc>
        <w:tc>
          <w:tcPr>
            <w:tcW w:w="7000" w:type="dxa"/>
            <w:tcBorders>
              <w:right w:val="nil"/>
            </w:tcBorders>
          </w:tcPr>
          <w:p w14:paraId="5DDC8AE0" w14:textId="77777777" w:rsidR="00B1165D" w:rsidRPr="00B1165D" w:rsidRDefault="00B1165D" w:rsidP="003D1FA1">
            <w:pPr>
              <w:pStyle w:val="11Bulletsinatable"/>
              <w:cnfStyle w:val="000000100000" w:firstRow="0" w:lastRow="0" w:firstColumn="0" w:lastColumn="0" w:oddVBand="0" w:evenVBand="0" w:oddHBand="1" w:evenHBand="0" w:firstRowFirstColumn="0" w:firstRowLastColumn="0" w:lastRowFirstColumn="0" w:lastRowLastColumn="0"/>
              <w:rPr>
                <w:rFonts w:eastAsia="Calibri"/>
                <w:color w:val="4D4D4D"/>
              </w:rPr>
            </w:pPr>
            <w:r w:rsidRPr="00B1165D">
              <w:t>level of required judgement and degree of ambiguity inherent in the position</w:t>
            </w:r>
          </w:p>
          <w:p w14:paraId="70C88BB6" w14:textId="77777777" w:rsidR="00B1165D" w:rsidRPr="00B1165D" w:rsidRDefault="00B1165D" w:rsidP="003D1FA1">
            <w:pPr>
              <w:pStyle w:val="11Bulletsinatable"/>
              <w:cnfStyle w:val="000000100000" w:firstRow="0" w:lastRow="0" w:firstColumn="0" w:lastColumn="0" w:oddVBand="0" w:evenVBand="0" w:oddHBand="1" w:evenHBand="0" w:firstRowFirstColumn="0" w:firstRowLastColumn="0" w:lastRowFirstColumn="0" w:lastRowLastColumn="0"/>
              <w:rPr>
                <w:rFonts w:eastAsia="Calibri"/>
                <w:color w:val="4D4D4D"/>
              </w:rPr>
            </w:pPr>
            <w:r w:rsidRPr="00B1165D">
              <w:t>degree to which the position must consider alternative courses of action</w:t>
            </w:r>
          </w:p>
          <w:p w14:paraId="58A4CB3D" w14:textId="77777777" w:rsidR="00B1165D" w:rsidRPr="00B1165D" w:rsidRDefault="00B1165D" w:rsidP="003D1FA1">
            <w:pPr>
              <w:pStyle w:val="11Bulletsinatable"/>
              <w:cnfStyle w:val="000000100000" w:firstRow="0" w:lastRow="0" w:firstColumn="0" w:lastColumn="0" w:oddVBand="0" w:evenVBand="0" w:oddHBand="1" w:evenHBand="0" w:firstRowFirstColumn="0" w:firstRowLastColumn="0" w:lastRowFirstColumn="0" w:lastRowLastColumn="0"/>
              <w:rPr>
                <w:rFonts w:eastAsia="Calibri"/>
                <w:color w:val="4D4D4D"/>
              </w:rPr>
            </w:pPr>
            <w:r w:rsidRPr="00B1165D">
              <w:t>level of risk to be mitigated.</w:t>
            </w:r>
          </w:p>
        </w:tc>
      </w:tr>
      <w:tr w:rsidR="00B1165D" w:rsidRPr="00B1165D" w14:paraId="0A51292A" w14:textId="77777777" w:rsidTr="004D7DE3">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148A5D" w:themeColor="accent2"/>
              <w:left w:val="nil"/>
              <w:bottom w:val="single" w:sz="4" w:space="0" w:color="148A5D" w:themeColor="accent2"/>
            </w:tcBorders>
          </w:tcPr>
          <w:p w14:paraId="6ECF715C" w14:textId="77777777" w:rsidR="00B1165D" w:rsidRPr="00B1165D" w:rsidRDefault="00B1165D" w:rsidP="003D1FA1">
            <w:pPr>
              <w:pStyle w:val="10Tabletext"/>
              <w:rPr>
                <w:rFonts w:ascii="Calibri" w:eastAsia="Calibri" w:hAnsi="Calibri" w:cs="Arial"/>
                <w:color w:val="4D4D4D"/>
              </w:rPr>
            </w:pPr>
            <w:r w:rsidRPr="00B1165D">
              <w:t>Independence</w:t>
            </w:r>
          </w:p>
        </w:tc>
        <w:tc>
          <w:tcPr>
            <w:tcW w:w="7000" w:type="dxa"/>
            <w:tcBorders>
              <w:top w:val="single" w:sz="4" w:space="0" w:color="148A5D" w:themeColor="accent2"/>
              <w:bottom w:val="single" w:sz="4" w:space="0" w:color="148A5D" w:themeColor="accent2"/>
              <w:right w:val="nil"/>
            </w:tcBorders>
          </w:tcPr>
          <w:p w14:paraId="273CBA01" w14:textId="77777777" w:rsidR="00B1165D" w:rsidRPr="00B1165D" w:rsidRDefault="00B1165D" w:rsidP="003D1FA1">
            <w:pPr>
              <w:pStyle w:val="11Bulletsinatable"/>
              <w:cnfStyle w:val="000000000000" w:firstRow="0" w:lastRow="0" w:firstColumn="0" w:lastColumn="0" w:oddVBand="0" w:evenVBand="0" w:oddHBand="0" w:evenHBand="0" w:firstRowFirstColumn="0" w:firstRowLastColumn="0" w:lastRowFirstColumn="0" w:lastRowLastColumn="0"/>
              <w:rPr>
                <w:rFonts w:eastAsia="Calibri"/>
                <w:color w:val="4D4D4D"/>
              </w:rPr>
            </w:pPr>
            <w:r w:rsidRPr="00B1165D">
              <w:t>requirement to make decisions without support</w:t>
            </w:r>
          </w:p>
          <w:p w14:paraId="5FB87B46" w14:textId="77777777" w:rsidR="00B1165D" w:rsidRPr="00B1165D" w:rsidRDefault="00B1165D" w:rsidP="003D1FA1">
            <w:pPr>
              <w:pStyle w:val="11Bulletsinatable"/>
              <w:cnfStyle w:val="000000000000" w:firstRow="0" w:lastRow="0" w:firstColumn="0" w:lastColumn="0" w:oddVBand="0" w:evenVBand="0" w:oddHBand="0" w:evenHBand="0" w:firstRowFirstColumn="0" w:firstRowLastColumn="0" w:lastRowFirstColumn="0" w:lastRowLastColumn="0"/>
              <w:rPr>
                <w:rFonts w:eastAsia="Calibri"/>
                <w:color w:val="4D4D4D"/>
              </w:rPr>
            </w:pPr>
            <w:r w:rsidRPr="00B1165D">
              <w:t>authority and freedom to plan objectives</w:t>
            </w:r>
          </w:p>
          <w:p w14:paraId="435E0E23" w14:textId="77777777" w:rsidR="00B1165D" w:rsidRPr="00B1165D" w:rsidRDefault="00B1165D" w:rsidP="003D1FA1">
            <w:pPr>
              <w:pStyle w:val="11Bulletsinatable"/>
              <w:cnfStyle w:val="000000000000" w:firstRow="0" w:lastRow="0" w:firstColumn="0" w:lastColumn="0" w:oddVBand="0" w:evenVBand="0" w:oddHBand="0" w:evenHBand="0" w:firstRowFirstColumn="0" w:firstRowLastColumn="0" w:lastRowFirstColumn="0" w:lastRowLastColumn="0"/>
              <w:rPr>
                <w:rFonts w:eastAsia="Calibri"/>
                <w:color w:val="4D4D4D"/>
              </w:rPr>
            </w:pPr>
            <w:r w:rsidRPr="00B1165D">
              <w:t>requirement to contribute to or lead whole of entity strategic direction.</w:t>
            </w:r>
          </w:p>
        </w:tc>
      </w:tr>
      <w:tr w:rsidR="00B1165D" w:rsidRPr="00B1165D" w14:paraId="5E758533" w14:textId="77777777" w:rsidTr="004D7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tcPr>
          <w:p w14:paraId="66A4D891" w14:textId="77777777" w:rsidR="00B1165D" w:rsidRPr="00B1165D" w:rsidRDefault="00B1165D" w:rsidP="003D1FA1">
            <w:pPr>
              <w:pStyle w:val="10Tabletext"/>
              <w:rPr>
                <w:rFonts w:ascii="Calibri" w:eastAsia="Calibri" w:hAnsi="Calibri" w:cs="Arial"/>
                <w:color w:val="4D4D4D"/>
              </w:rPr>
            </w:pPr>
            <w:r w:rsidRPr="00B1165D">
              <w:t>Strategic change</w:t>
            </w:r>
          </w:p>
        </w:tc>
        <w:tc>
          <w:tcPr>
            <w:tcW w:w="7000" w:type="dxa"/>
            <w:tcBorders>
              <w:right w:val="nil"/>
            </w:tcBorders>
          </w:tcPr>
          <w:p w14:paraId="5D15283D" w14:textId="77777777" w:rsidR="00B1165D" w:rsidRPr="00B1165D" w:rsidRDefault="00B1165D" w:rsidP="003D1FA1">
            <w:pPr>
              <w:pStyle w:val="11Bulletsinatable"/>
              <w:cnfStyle w:val="000000100000" w:firstRow="0" w:lastRow="0" w:firstColumn="0" w:lastColumn="0" w:oddVBand="0" w:evenVBand="0" w:oddHBand="1" w:evenHBand="0" w:firstRowFirstColumn="0" w:firstRowLastColumn="0" w:lastRowFirstColumn="0" w:lastRowLastColumn="0"/>
              <w:rPr>
                <w:rFonts w:eastAsia="Calibri"/>
                <w:color w:val="4D4D4D"/>
              </w:rPr>
            </w:pPr>
            <w:r w:rsidRPr="00B1165D">
              <w:t>extent of responsibility for significant strategic change management or reform agenda</w:t>
            </w:r>
          </w:p>
          <w:p w14:paraId="0FB585C7" w14:textId="77777777" w:rsidR="00B1165D" w:rsidRPr="00B1165D" w:rsidRDefault="00B1165D" w:rsidP="003D1FA1">
            <w:pPr>
              <w:pStyle w:val="11Bulletsinatable"/>
              <w:cnfStyle w:val="000000100000" w:firstRow="0" w:lastRow="0" w:firstColumn="0" w:lastColumn="0" w:oddVBand="0" w:evenVBand="0" w:oddHBand="1" w:evenHBand="0" w:firstRowFirstColumn="0" w:firstRowLastColumn="0" w:lastRowFirstColumn="0" w:lastRowLastColumn="0"/>
              <w:rPr>
                <w:rFonts w:eastAsia="Calibri"/>
                <w:color w:val="4D4D4D"/>
              </w:rPr>
            </w:pPr>
            <w:r w:rsidRPr="00B1165D">
              <w:t>contribution to business improvement</w:t>
            </w:r>
          </w:p>
          <w:p w14:paraId="41D9E00F" w14:textId="77777777" w:rsidR="00B1165D" w:rsidRPr="00B1165D" w:rsidRDefault="00B1165D" w:rsidP="003D1FA1">
            <w:pPr>
              <w:pStyle w:val="11Bulletsinatable"/>
              <w:cnfStyle w:val="000000100000" w:firstRow="0" w:lastRow="0" w:firstColumn="0" w:lastColumn="0" w:oddVBand="0" w:evenVBand="0" w:oddHBand="1" w:evenHBand="0" w:firstRowFirstColumn="0" w:firstRowLastColumn="0" w:lastRowFirstColumn="0" w:lastRowLastColumn="0"/>
              <w:rPr>
                <w:rFonts w:eastAsia="Calibri"/>
                <w:color w:val="4D4D4D"/>
              </w:rPr>
            </w:pPr>
            <w:r w:rsidRPr="00B1165D">
              <w:t>impact and complexity of change.</w:t>
            </w:r>
          </w:p>
        </w:tc>
      </w:tr>
      <w:tr w:rsidR="00B1165D" w:rsidRPr="00B1165D" w14:paraId="719E3A48" w14:textId="77777777" w:rsidTr="004D7DE3">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148A5D" w:themeColor="accent2"/>
              <w:left w:val="nil"/>
              <w:bottom w:val="single" w:sz="4" w:space="0" w:color="148A5D" w:themeColor="accent2"/>
            </w:tcBorders>
          </w:tcPr>
          <w:p w14:paraId="5D83E8FE" w14:textId="77777777" w:rsidR="00B1165D" w:rsidRPr="00B1165D" w:rsidRDefault="00B1165D" w:rsidP="003D1FA1">
            <w:pPr>
              <w:pStyle w:val="10Tabletext"/>
              <w:rPr>
                <w:rFonts w:ascii="Calibri" w:eastAsia="Calibri" w:hAnsi="Calibri" w:cs="Arial"/>
                <w:color w:val="4D4D4D"/>
              </w:rPr>
            </w:pPr>
            <w:r w:rsidRPr="00B1165D">
              <w:t>Impact</w:t>
            </w:r>
          </w:p>
        </w:tc>
        <w:tc>
          <w:tcPr>
            <w:tcW w:w="7000" w:type="dxa"/>
            <w:tcBorders>
              <w:top w:val="single" w:sz="4" w:space="0" w:color="148A5D" w:themeColor="accent2"/>
              <w:bottom w:val="single" w:sz="4" w:space="0" w:color="148A5D" w:themeColor="accent2"/>
              <w:right w:val="nil"/>
            </w:tcBorders>
          </w:tcPr>
          <w:p w14:paraId="288E2E98" w14:textId="77777777" w:rsidR="00B1165D" w:rsidRPr="00B1165D" w:rsidRDefault="00B1165D" w:rsidP="003D1FA1">
            <w:pPr>
              <w:pStyle w:val="11Bulletsinatable"/>
              <w:cnfStyle w:val="000000000000" w:firstRow="0" w:lastRow="0" w:firstColumn="0" w:lastColumn="0" w:oddVBand="0" w:evenVBand="0" w:oddHBand="0" w:evenHBand="0" w:firstRowFirstColumn="0" w:firstRowLastColumn="0" w:lastRowFirstColumn="0" w:lastRowLastColumn="0"/>
              <w:rPr>
                <w:rFonts w:eastAsia="Calibri"/>
                <w:color w:val="4D4D4D"/>
              </w:rPr>
            </w:pPr>
            <w:r w:rsidRPr="00B1165D">
              <w:t xml:space="preserve">scope of the position’s impact within an organisation, into the sector, across the state </w:t>
            </w:r>
            <w:r w:rsidRPr="003D3D84">
              <w:t>or national or international impact.</w:t>
            </w:r>
          </w:p>
        </w:tc>
      </w:tr>
      <w:tr w:rsidR="00B1165D" w:rsidRPr="00B1165D" w14:paraId="3D47D639" w14:textId="77777777" w:rsidTr="004D7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tcPr>
          <w:p w14:paraId="5E2EDDC8" w14:textId="77777777" w:rsidR="00B1165D" w:rsidRPr="00B1165D" w:rsidRDefault="00B1165D" w:rsidP="003D1FA1">
            <w:pPr>
              <w:pStyle w:val="10Tabletext"/>
              <w:rPr>
                <w:rFonts w:ascii="Calibri" w:eastAsia="Calibri" w:hAnsi="Calibri" w:cs="Arial"/>
                <w:color w:val="4D4D4D"/>
              </w:rPr>
            </w:pPr>
            <w:r w:rsidRPr="00B1165D">
              <w:t>Breadth</w:t>
            </w:r>
          </w:p>
        </w:tc>
        <w:tc>
          <w:tcPr>
            <w:tcW w:w="7000" w:type="dxa"/>
            <w:tcBorders>
              <w:right w:val="nil"/>
            </w:tcBorders>
          </w:tcPr>
          <w:p w14:paraId="46FF24C9" w14:textId="77777777" w:rsidR="00B1165D" w:rsidRPr="00B1165D" w:rsidRDefault="00B1165D" w:rsidP="003D1FA1">
            <w:pPr>
              <w:pStyle w:val="11Bulletsinatable"/>
              <w:cnfStyle w:val="000000100000" w:firstRow="0" w:lastRow="0" w:firstColumn="0" w:lastColumn="0" w:oddVBand="0" w:evenVBand="0" w:oddHBand="1" w:evenHBand="0" w:firstRowFirstColumn="0" w:firstRowLastColumn="0" w:lastRowFirstColumn="0" w:lastRowLastColumn="0"/>
              <w:rPr>
                <w:rFonts w:eastAsia="Calibri"/>
                <w:color w:val="4D4D4D"/>
              </w:rPr>
            </w:pPr>
            <w:r w:rsidRPr="00B1165D">
              <w:t>diversity of activities</w:t>
            </w:r>
          </w:p>
          <w:p w14:paraId="453318C6" w14:textId="77777777" w:rsidR="00B1165D" w:rsidRPr="00B1165D" w:rsidRDefault="00B1165D" w:rsidP="003D1FA1">
            <w:pPr>
              <w:pStyle w:val="11Bulletsinatable"/>
              <w:cnfStyle w:val="000000100000" w:firstRow="0" w:lastRow="0" w:firstColumn="0" w:lastColumn="0" w:oddVBand="0" w:evenVBand="0" w:oddHBand="1" w:evenHBand="0" w:firstRowFirstColumn="0" w:firstRowLastColumn="0" w:lastRowFirstColumn="0" w:lastRowLastColumn="0"/>
              <w:rPr>
                <w:rFonts w:eastAsia="Calibri"/>
                <w:color w:val="4D4D4D"/>
              </w:rPr>
            </w:pPr>
            <w:r w:rsidRPr="00B1165D">
              <w:t>geographical breadth of responsibility</w:t>
            </w:r>
          </w:p>
          <w:p w14:paraId="544A3108" w14:textId="77777777" w:rsidR="00B1165D" w:rsidRPr="00B1165D" w:rsidRDefault="00B1165D" w:rsidP="003D1FA1">
            <w:pPr>
              <w:pStyle w:val="11Bulletsinatable"/>
              <w:cnfStyle w:val="000000100000" w:firstRow="0" w:lastRow="0" w:firstColumn="0" w:lastColumn="0" w:oddVBand="0" w:evenVBand="0" w:oddHBand="1" w:evenHBand="0" w:firstRowFirstColumn="0" w:firstRowLastColumn="0" w:lastRowFirstColumn="0" w:lastRowLastColumn="0"/>
              <w:rPr>
                <w:rFonts w:eastAsia="Calibri"/>
                <w:color w:val="4D4D4D"/>
              </w:rPr>
            </w:pPr>
            <w:r w:rsidRPr="00B1165D">
              <w:t>variety of products and services managed by the position.</w:t>
            </w:r>
          </w:p>
        </w:tc>
      </w:tr>
      <w:tr w:rsidR="00B1165D" w:rsidRPr="00B1165D" w14:paraId="7C1BFACC" w14:textId="77777777" w:rsidTr="004D7DE3">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148A5D" w:themeColor="accent2"/>
              <w:left w:val="nil"/>
              <w:bottom w:val="single" w:sz="4" w:space="0" w:color="148A5D" w:themeColor="accent2"/>
            </w:tcBorders>
          </w:tcPr>
          <w:p w14:paraId="07F22C24" w14:textId="77777777" w:rsidR="00B1165D" w:rsidRPr="00B1165D" w:rsidRDefault="00B1165D" w:rsidP="003D1FA1">
            <w:pPr>
              <w:pStyle w:val="10Tabletext"/>
              <w:rPr>
                <w:rFonts w:ascii="Calibri" w:eastAsia="Calibri" w:hAnsi="Calibri" w:cs="Arial"/>
                <w:color w:val="4D4D4D"/>
              </w:rPr>
            </w:pPr>
            <w:r w:rsidRPr="00B1165D">
              <w:t>Resource management</w:t>
            </w:r>
          </w:p>
        </w:tc>
        <w:tc>
          <w:tcPr>
            <w:tcW w:w="7000" w:type="dxa"/>
            <w:tcBorders>
              <w:top w:val="single" w:sz="4" w:space="0" w:color="148A5D" w:themeColor="accent2"/>
              <w:bottom w:val="single" w:sz="4" w:space="0" w:color="148A5D" w:themeColor="accent2"/>
              <w:right w:val="nil"/>
            </w:tcBorders>
          </w:tcPr>
          <w:p w14:paraId="709415FA" w14:textId="77777777" w:rsidR="00B1165D" w:rsidRPr="00B1165D" w:rsidRDefault="00B1165D" w:rsidP="003D1FA1">
            <w:pPr>
              <w:pStyle w:val="11Bulletsinatable"/>
              <w:cnfStyle w:val="000000000000" w:firstRow="0" w:lastRow="0" w:firstColumn="0" w:lastColumn="0" w:oddVBand="0" w:evenVBand="0" w:oddHBand="0" w:evenHBand="0" w:firstRowFirstColumn="0" w:firstRowLastColumn="0" w:lastRowFirstColumn="0" w:lastRowLastColumn="0"/>
              <w:rPr>
                <w:rFonts w:eastAsia="Calibri"/>
                <w:color w:val="4D4D4D"/>
              </w:rPr>
            </w:pPr>
            <w:r w:rsidRPr="00B1165D">
              <w:t>number of staff and size of resources and budget.</w:t>
            </w:r>
          </w:p>
        </w:tc>
      </w:tr>
    </w:tbl>
    <w:p w14:paraId="5871625D" w14:textId="075E8FA5" w:rsidR="00B1165D" w:rsidRPr="00B1165D" w:rsidRDefault="00B1165D" w:rsidP="003D1FA1">
      <w:pPr>
        <w:pStyle w:val="09Sourcesandnotesfortablesfiguresboxes"/>
        <w:rPr>
          <w:rFonts w:eastAsia="Calibri" w:cs="Arial"/>
          <w:color w:val="4D4D4D"/>
        </w:rPr>
      </w:pPr>
      <w:r w:rsidRPr="00F2557F">
        <w:t xml:space="preserve">Source: </w:t>
      </w:r>
      <w:r w:rsidRPr="004F4E9C">
        <w:t>VPSC</w:t>
      </w:r>
      <w:r w:rsidR="0062229D" w:rsidRPr="004F4E9C">
        <w:t xml:space="preserve"> (2024</w:t>
      </w:r>
      <w:r w:rsidR="00D63138">
        <w:t>h</w:t>
      </w:r>
      <w:r w:rsidR="0062229D" w:rsidRPr="004F4E9C">
        <w:t>)</w:t>
      </w:r>
      <w:r w:rsidRPr="004F4E9C">
        <w:t>.</w:t>
      </w:r>
    </w:p>
    <w:p w14:paraId="10D7662D" w14:textId="77777777" w:rsidR="00B1165D" w:rsidRPr="00B1165D" w:rsidRDefault="00B1165D" w:rsidP="003D1FA1">
      <w:pPr>
        <w:pStyle w:val="05Paragraph"/>
        <w:rPr>
          <w:noProof/>
        </w:rPr>
      </w:pPr>
      <w:r w:rsidRPr="00B1165D">
        <w:rPr>
          <w:noProof/>
        </w:rPr>
        <w:t>The standards are indicative, rather than prescriptive, offering a broad framework for executive classification decisions in the VPS. They focus on essential components, allowing flexibility for diverse positions, and require organisations to exercise judgement based on specific requirements. Definitions provided are general and need interpretation based on the unique characteristics of each position. This approach acknowledges the diversity of executive positions across the VPS.</w:t>
      </w:r>
      <w:r w:rsidRPr="00B1165D">
        <w:rPr>
          <w:noProof/>
          <w:vertAlign w:val="superscript"/>
        </w:rPr>
        <w:footnoteReference w:id="42"/>
      </w:r>
      <w:r w:rsidRPr="00B1165D">
        <w:rPr>
          <w:noProof/>
        </w:rPr>
        <w:t xml:space="preserve"> </w:t>
      </w:r>
    </w:p>
    <w:p w14:paraId="32777E67" w14:textId="272A8E38" w:rsidR="00B1165D" w:rsidRPr="00B1165D" w:rsidRDefault="00B1165D" w:rsidP="003D1FA1">
      <w:pPr>
        <w:pStyle w:val="05Paragraph"/>
        <w:rPr>
          <w:noProof/>
        </w:rPr>
      </w:pPr>
      <w:r w:rsidRPr="00B1165D">
        <w:rPr>
          <w:noProof/>
        </w:rPr>
        <w:t>In its 2020 VPS Determination, the Tribunal adopted the three-level classification structure within the VP</w:t>
      </w:r>
      <w:r w:rsidR="00930515">
        <w:rPr>
          <w:noProof/>
        </w:rPr>
        <w:t>S</w:t>
      </w:r>
      <w:r w:rsidRPr="00B1165D">
        <w:rPr>
          <w:noProof/>
        </w:rPr>
        <w:t xml:space="preserve"> classification framework and aligned the three remuneration bands with this structure. For this Determination, the Tribunal is again </w:t>
      </w:r>
      <w:r w:rsidR="00BA0EA0">
        <w:rPr>
          <w:noProof/>
        </w:rPr>
        <w:t xml:space="preserve">aligning </w:t>
      </w:r>
      <w:r w:rsidR="00F54541">
        <w:rPr>
          <w:noProof/>
        </w:rPr>
        <w:t xml:space="preserve">the remuneration bands </w:t>
      </w:r>
      <w:r w:rsidR="00BA0EA0">
        <w:rPr>
          <w:noProof/>
        </w:rPr>
        <w:t>with</w:t>
      </w:r>
      <w:r w:rsidRPr="00B1165D">
        <w:rPr>
          <w:noProof/>
        </w:rPr>
        <w:t xml:space="preserve"> the VPS classification system.</w:t>
      </w:r>
    </w:p>
    <w:p w14:paraId="2D38F5C8" w14:textId="11A8A51F" w:rsidR="00B1165D" w:rsidRPr="00B1165D" w:rsidRDefault="009B2230" w:rsidP="00DE7609">
      <w:pPr>
        <w:pStyle w:val="02VIRTHeading2"/>
      </w:pPr>
      <w:bookmarkStart w:id="54" w:name="_Toc169878471"/>
      <w:bookmarkStart w:id="55" w:name="_Toc170396214"/>
      <w:r>
        <w:lastRenderedPageBreak/>
        <w:t>2.3</w:t>
      </w:r>
      <w:r>
        <w:tab/>
      </w:r>
      <w:r w:rsidR="00B1165D" w:rsidRPr="00B1165D">
        <w:t xml:space="preserve">Influences on executive roles since the 2020 </w:t>
      </w:r>
      <w:r w:rsidR="00774B05">
        <w:t xml:space="preserve">VPS </w:t>
      </w:r>
      <w:r w:rsidR="00B1165D" w:rsidRPr="00B1165D">
        <w:t>Determination</w:t>
      </w:r>
      <w:bookmarkEnd w:id="54"/>
      <w:bookmarkEnd w:id="55"/>
    </w:p>
    <w:p w14:paraId="7D39D49E" w14:textId="77777777" w:rsidR="00B1165D" w:rsidRPr="00B1165D" w:rsidRDefault="00B1165D" w:rsidP="00DE7609">
      <w:pPr>
        <w:pStyle w:val="05Paragraph"/>
        <w:rPr>
          <w:noProof/>
        </w:rPr>
      </w:pPr>
      <w:r w:rsidRPr="00B1165D">
        <w:rPr>
          <w:noProof/>
        </w:rPr>
        <w:t xml:space="preserve">While legislative requirements and the </w:t>
      </w:r>
      <w:r w:rsidRPr="00B1165D">
        <w:t>VPS</w:t>
      </w:r>
      <w:r w:rsidRPr="00B1165D">
        <w:rPr>
          <w:noProof/>
        </w:rPr>
        <w:t xml:space="preserve"> classification framework are useful in understanding the broad nature of executive roles, the roles are also shaped by the environment in which they operate. </w:t>
      </w:r>
    </w:p>
    <w:p w14:paraId="2E9E9EDF" w14:textId="77777777" w:rsidR="00B1165D" w:rsidRPr="00B1165D" w:rsidRDefault="00B1165D" w:rsidP="00DE7609">
      <w:pPr>
        <w:pStyle w:val="05Paragraph"/>
        <w:rPr>
          <w:noProof/>
        </w:rPr>
      </w:pPr>
      <w:r w:rsidRPr="00B1165D">
        <w:rPr>
          <w:noProof/>
        </w:rPr>
        <w:t>The Tribunal observed that over the past four years, VPS executives have operated within a dynamic environment influenced by factors such as:</w:t>
      </w:r>
    </w:p>
    <w:p w14:paraId="16419307" w14:textId="77777777" w:rsidR="00B1165D" w:rsidRPr="00B1165D" w:rsidRDefault="00B1165D" w:rsidP="00931214">
      <w:pPr>
        <w:pStyle w:val="06VIRTBulletpoints"/>
        <w:rPr>
          <w:noProof/>
        </w:rPr>
      </w:pPr>
      <w:r w:rsidRPr="00B1165D">
        <w:rPr>
          <w:noProof/>
        </w:rPr>
        <w:t xml:space="preserve">growth in the number of </w:t>
      </w:r>
      <w:r w:rsidRPr="00B1165D">
        <w:t>portfolios</w:t>
      </w:r>
      <w:r w:rsidRPr="00B1165D">
        <w:rPr>
          <w:noProof/>
        </w:rPr>
        <w:t xml:space="preserve"> serviced by the VPS</w:t>
      </w:r>
    </w:p>
    <w:p w14:paraId="6CB227FE" w14:textId="77777777" w:rsidR="00B1165D" w:rsidRPr="00B1165D" w:rsidRDefault="00B1165D" w:rsidP="00931214">
      <w:pPr>
        <w:pStyle w:val="06VIRTBulletpoints"/>
        <w:rPr>
          <w:noProof/>
        </w:rPr>
      </w:pPr>
      <w:r w:rsidRPr="00B1165D">
        <w:rPr>
          <w:noProof/>
        </w:rPr>
        <w:t>an increase in government demands on the VPS, along with the implementation of savings initiatives</w:t>
      </w:r>
    </w:p>
    <w:p w14:paraId="09B51AD0" w14:textId="77777777" w:rsidR="00B1165D" w:rsidRPr="00B1165D" w:rsidRDefault="00B1165D" w:rsidP="00931214">
      <w:pPr>
        <w:pStyle w:val="06VIRTBulletpoints"/>
        <w:rPr>
          <w:noProof/>
        </w:rPr>
      </w:pPr>
      <w:r w:rsidRPr="00B1165D">
        <w:rPr>
          <w:noProof/>
        </w:rPr>
        <w:t>shifts in ways of working across the VPS</w:t>
      </w:r>
    </w:p>
    <w:p w14:paraId="03D24175" w14:textId="77777777" w:rsidR="00B1165D" w:rsidRPr="00B1165D" w:rsidRDefault="00B1165D" w:rsidP="00931214">
      <w:pPr>
        <w:pStyle w:val="06VIRTBulletpoints"/>
        <w:rPr>
          <w:noProof/>
        </w:rPr>
      </w:pPr>
      <w:r w:rsidRPr="00B1165D">
        <w:rPr>
          <w:noProof/>
        </w:rPr>
        <w:t>a public commitment to improving gender equality, diversity and inclusion in the VPS</w:t>
      </w:r>
    </w:p>
    <w:p w14:paraId="3425D935" w14:textId="77777777" w:rsidR="00B1165D" w:rsidRPr="00B1165D" w:rsidRDefault="00B1165D" w:rsidP="00931214">
      <w:pPr>
        <w:pStyle w:val="06VIRTBulletpoints"/>
        <w:rPr>
          <w:noProof/>
        </w:rPr>
      </w:pPr>
      <w:r w:rsidRPr="00B1165D">
        <w:rPr>
          <w:noProof/>
        </w:rPr>
        <w:t>a greater focus on promoting adherence to the public sector values.</w:t>
      </w:r>
    </w:p>
    <w:p w14:paraId="2B0A8678" w14:textId="77777777" w:rsidR="00B1165D" w:rsidRPr="00B1165D" w:rsidRDefault="00B1165D" w:rsidP="00DE7609">
      <w:pPr>
        <w:pStyle w:val="03VIRTHeading3"/>
        <w:rPr>
          <w:rFonts w:eastAsia="Calibri"/>
          <w:color w:val="0F6745"/>
        </w:rPr>
      </w:pPr>
      <w:r w:rsidRPr="00B1165D">
        <w:t>There has been growth in Ministerial portfolios</w:t>
      </w:r>
    </w:p>
    <w:p w14:paraId="4DD5769F" w14:textId="77777777" w:rsidR="00B1165D" w:rsidRPr="00B1165D" w:rsidRDefault="00B1165D" w:rsidP="00DE7609">
      <w:pPr>
        <w:pStyle w:val="05Paragraph"/>
        <w:rPr>
          <w:noProof/>
        </w:rPr>
      </w:pPr>
      <w:r w:rsidRPr="00B1165D">
        <w:rPr>
          <w:noProof/>
        </w:rPr>
        <w:t xml:space="preserve">The VSB submission noted that there has been growth in the number of Ministerial portfolios supported by the VPS since 2019 (Table 2.5). </w:t>
      </w:r>
    </w:p>
    <w:p w14:paraId="1134811D" w14:textId="77777777" w:rsidR="00B1165D" w:rsidRPr="00B1165D" w:rsidRDefault="00B1165D" w:rsidP="00144BE8">
      <w:pPr>
        <w:pStyle w:val="08Figuretableboxheading"/>
        <w:rPr>
          <w:rFonts w:eastAsia="Calibri"/>
          <w:color w:val="4D4D4D"/>
        </w:rPr>
      </w:pPr>
      <w:bookmarkStart w:id="56" w:name="_Toc170393526"/>
      <w:r w:rsidRPr="00B1165D">
        <w:t>Table 2.5: Number of portfolios per department as of 30 June each year</w:t>
      </w:r>
      <w:bookmarkEnd w:id="56"/>
    </w:p>
    <w:tbl>
      <w:tblPr>
        <w:tblStyle w:val="ListTable3-Accent21"/>
        <w:tblW w:w="0" w:type="auto"/>
        <w:tblLook w:val="04A0" w:firstRow="1" w:lastRow="0" w:firstColumn="1" w:lastColumn="0" w:noHBand="0" w:noVBand="1"/>
      </w:tblPr>
      <w:tblGrid>
        <w:gridCol w:w="1526"/>
        <w:gridCol w:w="1395"/>
        <w:gridCol w:w="1396"/>
        <w:gridCol w:w="1395"/>
        <w:gridCol w:w="1396"/>
        <w:gridCol w:w="1396"/>
      </w:tblGrid>
      <w:tr w:rsidR="00B1165D" w:rsidRPr="00B1165D" w14:paraId="64C195CD" w14:textId="77777777" w:rsidTr="004D7DE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dxa"/>
            <w:tcBorders>
              <w:top w:val="single" w:sz="4" w:space="0" w:color="148A5D" w:themeColor="accent2"/>
              <w:left w:val="nil"/>
              <w:bottom w:val="single" w:sz="4" w:space="0" w:color="148A5D" w:themeColor="accent2"/>
            </w:tcBorders>
          </w:tcPr>
          <w:p w14:paraId="2649F6BA" w14:textId="77777777" w:rsidR="00B1165D" w:rsidRPr="00B1165D" w:rsidRDefault="00B1165D" w:rsidP="00DE7609">
            <w:pPr>
              <w:pStyle w:val="10Tabletext"/>
              <w:rPr>
                <w:rFonts w:ascii="Calibri" w:eastAsia="Calibri" w:hAnsi="Calibri" w:cs="Arial"/>
                <w:color w:val="FFFFFF"/>
              </w:rPr>
            </w:pPr>
            <w:r w:rsidRPr="00DE7609">
              <w:t>Department</w:t>
            </w:r>
          </w:p>
        </w:tc>
        <w:tc>
          <w:tcPr>
            <w:tcW w:w="0" w:type="dxa"/>
            <w:tcBorders>
              <w:top w:val="single" w:sz="4" w:space="0" w:color="148A5D" w:themeColor="accent2"/>
              <w:bottom w:val="single" w:sz="4" w:space="0" w:color="148A5D" w:themeColor="accent2"/>
            </w:tcBorders>
          </w:tcPr>
          <w:p w14:paraId="7E8AF217" w14:textId="77777777" w:rsidR="00B1165D" w:rsidRPr="00B1165D" w:rsidRDefault="00B1165D" w:rsidP="00DE7609">
            <w:pPr>
              <w:pStyle w:val="10Tabletext"/>
              <w:jc w:val="right"/>
              <w:cnfStyle w:val="100000000000" w:firstRow="1" w:lastRow="0" w:firstColumn="0" w:lastColumn="0" w:oddVBand="0" w:evenVBand="0" w:oddHBand="0" w:evenHBand="0" w:firstRowFirstColumn="0" w:firstRowLastColumn="0" w:lastRowFirstColumn="0" w:lastRowLastColumn="0"/>
              <w:rPr>
                <w:rFonts w:ascii="Calibri" w:eastAsia="Calibri" w:hAnsi="Calibri" w:cs="Arial"/>
                <w:color w:val="FFFFFF"/>
              </w:rPr>
            </w:pPr>
            <w:r w:rsidRPr="00DE7609">
              <w:t>June 2019</w:t>
            </w:r>
          </w:p>
        </w:tc>
        <w:tc>
          <w:tcPr>
            <w:tcW w:w="0" w:type="dxa"/>
            <w:tcBorders>
              <w:top w:val="single" w:sz="4" w:space="0" w:color="148A5D" w:themeColor="accent2"/>
              <w:bottom w:val="single" w:sz="4" w:space="0" w:color="148A5D" w:themeColor="accent2"/>
            </w:tcBorders>
          </w:tcPr>
          <w:p w14:paraId="33766939" w14:textId="77777777" w:rsidR="00B1165D" w:rsidRPr="00B1165D" w:rsidRDefault="00B1165D" w:rsidP="00DE7609">
            <w:pPr>
              <w:pStyle w:val="10Tabletext"/>
              <w:jc w:val="right"/>
              <w:cnfStyle w:val="100000000000" w:firstRow="1" w:lastRow="0" w:firstColumn="0" w:lastColumn="0" w:oddVBand="0" w:evenVBand="0" w:oddHBand="0" w:evenHBand="0" w:firstRowFirstColumn="0" w:firstRowLastColumn="0" w:lastRowFirstColumn="0" w:lastRowLastColumn="0"/>
              <w:rPr>
                <w:rFonts w:ascii="Calibri" w:eastAsia="Calibri" w:hAnsi="Calibri" w:cs="Arial"/>
                <w:color w:val="FFFFFF"/>
              </w:rPr>
            </w:pPr>
            <w:r w:rsidRPr="00DE7609">
              <w:t>June 2020</w:t>
            </w:r>
          </w:p>
        </w:tc>
        <w:tc>
          <w:tcPr>
            <w:tcW w:w="0" w:type="dxa"/>
            <w:tcBorders>
              <w:top w:val="single" w:sz="4" w:space="0" w:color="148A5D" w:themeColor="accent2"/>
              <w:bottom w:val="single" w:sz="4" w:space="0" w:color="148A5D" w:themeColor="accent2"/>
            </w:tcBorders>
          </w:tcPr>
          <w:p w14:paraId="60AF75C3" w14:textId="77777777" w:rsidR="00B1165D" w:rsidRPr="00B1165D" w:rsidRDefault="00B1165D" w:rsidP="00DE7609">
            <w:pPr>
              <w:pStyle w:val="10Tabletext"/>
              <w:jc w:val="right"/>
              <w:cnfStyle w:val="100000000000" w:firstRow="1" w:lastRow="0" w:firstColumn="0" w:lastColumn="0" w:oddVBand="0" w:evenVBand="0" w:oddHBand="0" w:evenHBand="0" w:firstRowFirstColumn="0" w:firstRowLastColumn="0" w:lastRowFirstColumn="0" w:lastRowLastColumn="0"/>
              <w:rPr>
                <w:rFonts w:ascii="Calibri" w:eastAsia="Calibri" w:hAnsi="Calibri" w:cs="Arial"/>
                <w:color w:val="FFFFFF"/>
              </w:rPr>
            </w:pPr>
            <w:r w:rsidRPr="00DE7609">
              <w:t>June 2021</w:t>
            </w:r>
          </w:p>
        </w:tc>
        <w:tc>
          <w:tcPr>
            <w:tcW w:w="0" w:type="dxa"/>
            <w:tcBorders>
              <w:top w:val="single" w:sz="4" w:space="0" w:color="148A5D" w:themeColor="accent2"/>
              <w:bottom w:val="single" w:sz="4" w:space="0" w:color="148A5D" w:themeColor="accent2"/>
            </w:tcBorders>
          </w:tcPr>
          <w:p w14:paraId="4645B3AC" w14:textId="77777777" w:rsidR="00B1165D" w:rsidRPr="00B1165D" w:rsidRDefault="00B1165D" w:rsidP="00DE7609">
            <w:pPr>
              <w:pStyle w:val="10Tabletext"/>
              <w:jc w:val="right"/>
              <w:cnfStyle w:val="100000000000" w:firstRow="1" w:lastRow="0" w:firstColumn="0" w:lastColumn="0" w:oddVBand="0" w:evenVBand="0" w:oddHBand="0" w:evenHBand="0" w:firstRowFirstColumn="0" w:firstRowLastColumn="0" w:lastRowFirstColumn="0" w:lastRowLastColumn="0"/>
              <w:rPr>
                <w:rFonts w:ascii="Calibri" w:eastAsia="Calibri" w:hAnsi="Calibri" w:cs="Arial"/>
                <w:color w:val="FFFFFF"/>
              </w:rPr>
            </w:pPr>
            <w:r w:rsidRPr="00DE7609">
              <w:t>June 2022</w:t>
            </w:r>
          </w:p>
        </w:tc>
        <w:tc>
          <w:tcPr>
            <w:tcW w:w="0" w:type="dxa"/>
            <w:tcBorders>
              <w:top w:val="single" w:sz="4" w:space="0" w:color="148A5D" w:themeColor="accent2"/>
              <w:bottom w:val="single" w:sz="4" w:space="0" w:color="148A5D" w:themeColor="accent2"/>
              <w:right w:val="nil"/>
            </w:tcBorders>
          </w:tcPr>
          <w:p w14:paraId="7B0AB4A8" w14:textId="77777777" w:rsidR="00B1165D" w:rsidRPr="00B1165D" w:rsidRDefault="00B1165D" w:rsidP="00DE7609">
            <w:pPr>
              <w:pStyle w:val="10Tabletext"/>
              <w:jc w:val="right"/>
              <w:cnfStyle w:val="100000000000" w:firstRow="1" w:lastRow="0" w:firstColumn="0" w:lastColumn="0" w:oddVBand="0" w:evenVBand="0" w:oddHBand="0" w:evenHBand="0" w:firstRowFirstColumn="0" w:firstRowLastColumn="0" w:lastRowFirstColumn="0" w:lastRowLastColumn="0"/>
              <w:rPr>
                <w:rFonts w:ascii="Calibri" w:eastAsia="Calibri" w:hAnsi="Calibri" w:cs="Arial"/>
                <w:color w:val="FFFFFF"/>
              </w:rPr>
            </w:pPr>
            <w:r w:rsidRPr="00DE7609">
              <w:t>June 2023</w:t>
            </w:r>
          </w:p>
        </w:tc>
      </w:tr>
      <w:tr w:rsidR="00B1165D" w:rsidRPr="00B1165D" w14:paraId="03A07E61" w14:textId="77777777" w:rsidTr="004D7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Borders>
              <w:left w:val="nil"/>
            </w:tcBorders>
          </w:tcPr>
          <w:p w14:paraId="719CD494" w14:textId="77777777" w:rsidR="00B1165D" w:rsidRPr="00B1165D" w:rsidRDefault="00B1165D" w:rsidP="00DE7609">
            <w:pPr>
              <w:pStyle w:val="10Tabletext"/>
              <w:rPr>
                <w:rFonts w:ascii="Calibri" w:eastAsia="Calibri" w:hAnsi="Calibri" w:cs="Arial"/>
                <w:color w:val="4D4D4D"/>
              </w:rPr>
            </w:pPr>
            <w:r w:rsidRPr="00B1165D">
              <w:t>DPC</w:t>
            </w:r>
          </w:p>
        </w:tc>
        <w:tc>
          <w:tcPr>
            <w:tcW w:w="1416" w:type="dxa"/>
          </w:tcPr>
          <w:p w14:paraId="28941C51" w14:textId="77777777" w:rsidR="00B1165D" w:rsidRPr="00B1165D" w:rsidRDefault="00B1165D" w:rsidP="00DE7609">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t>9</w:t>
            </w:r>
          </w:p>
        </w:tc>
        <w:tc>
          <w:tcPr>
            <w:tcW w:w="1416" w:type="dxa"/>
          </w:tcPr>
          <w:p w14:paraId="550F0E4A" w14:textId="77777777" w:rsidR="00B1165D" w:rsidRPr="00B1165D" w:rsidRDefault="00B1165D" w:rsidP="00DE7609">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t>10</w:t>
            </w:r>
          </w:p>
        </w:tc>
        <w:tc>
          <w:tcPr>
            <w:tcW w:w="1415" w:type="dxa"/>
          </w:tcPr>
          <w:p w14:paraId="3DA415EF" w14:textId="77777777" w:rsidR="00B1165D" w:rsidRPr="00B1165D" w:rsidRDefault="00B1165D" w:rsidP="00DE7609">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t>4</w:t>
            </w:r>
          </w:p>
        </w:tc>
        <w:tc>
          <w:tcPr>
            <w:tcW w:w="1416" w:type="dxa"/>
          </w:tcPr>
          <w:p w14:paraId="5AEA3EA0" w14:textId="77777777" w:rsidR="00B1165D" w:rsidRPr="00B1165D" w:rsidRDefault="00B1165D" w:rsidP="00DE7609">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t>4</w:t>
            </w:r>
          </w:p>
        </w:tc>
        <w:tc>
          <w:tcPr>
            <w:tcW w:w="1416" w:type="dxa"/>
            <w:tcBorders>
              <w:right w:val="nil"/>
            </w:tcBorders>
          </w:tcPr>
          <w:p w14:paraId="677160EE" w14:textId="77777777" w:rsidR="00B1165D" w:rsidRPr="00B1165D" w:rsidRDefault="00B1165D" w:rsidP="00DE7609">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t>5</w:t>
            </w:r>
          </w:p>
        </w:tc>
      </w:tr>
      <w:tr w:rsidR="00B1165D" w:rsidRPr="00B1165D" w14:paraId="1821A5DB" w14:textId="77777777" w:rsidTr="004D7DE3">
        <w:tc>
          <w:tcPr>
            <w:cnfStyle w:val="001000000000" w:firstRow="0" w:lastRow="0" w:firstColumn="1" w:lastColumn="0" w:oddVBand="0" w:evenVBand="0" w:oddHBand="0" w:evenHBand="0" w:firstRowFirstColumn="0" w:firstRowLastColumn="0" w:lastRowFirstColumn="0" w:lastRowLastColumn="0"/>
            <w:tcW w:w="1415" w:type="dxa"/>
            <w:tcBorders>
              <w:top w:val="single" w:sz="4" w:space="0" w:color="148A5D" w:themeColor="accent2"/>
              <w:left w:val="nil"/>
              <w:bottom w:val="single" w:sz="4" w:space="0" w:color="148A5D" w:themeColor="accent2"/>
            </w:tcBorders>
          </w:tcPr>
          <w:p w14:paraId="3F1D02A4" w14:textId="77777777" w:rsidR="00B1165D" w:rsidRPr="00B1165D" w:rsidRDefault="00B1165D" w:rsidP="00DE7609">
            <w:pPr>
              <w:pStyle w:val="10Tabletext"/>
              <w:rPr>
                <w:rFonts w:ascii="Calibri" w:eastAsia="Calibri" w:hAnsi="Calibri" w:cs="Arial"/>
                <w:color w:val="4D4D4D"/>
              </w:rPr>
            </w:pPr>
            <w:r w:rsidRPr="00B1165D">
              <w:t>DTF</w:t>
            </w:r>
          </w:p>
        </w:tc>
        <w:tc>
          <w:tcPr>
            <w:tcW w:w="1416" w:type="dxa"/>
            <w:tcBorders>
              <w:top w:val="single" w:sz="4" w:space="0" w:color="148A5D" w:themeColor="accent2"/>
              <w:bottom w:val="single" w:sz="4" w:space="0" w:color="148A5D" w:themeColor="accent2"/>
            </w:tcBorders>
          </w:tcPr>
          <w:p w14:paraId="56FB1848" w14:textId="77777777" w:rsidR="00B1165D" w:rsidRPr="00B1165D" w:rsidRDefault="00B1165D" w:rsidP="00DE7609">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t>3</w:t>
            </w:r>
          </w:p>
        </w:tc>
        <w:tc>
          <w:tcPr>
            <w:tcW w:w="1416" w:type="dxa"/>
            <w:tcBorders>
              <w:top w:val="single" w:sz="4" w:space="0" w:color="148A5D" w:themeColor="accent2"/>
              <w:bottom w:val="single" w:sz="4" w:space="0" w:color="148A5D" w:themeColor="accent2"/>
            </w:tcBorders>
          </w:tcPr>
          <w:p w14:paraId="79DF5FAA" w14:textId="77777777" w:rsidR="00B1165D" w:rsidRPr="00B1165D" w:rsidRDefault="00B1165D" w:rsidP="00DE7609">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t>4</w:t>
            </w:r>
          </w:p>
        </w:tc>
        <w:tc>
          <w:tcPr>
            <w:tcW w:w="1415" w:type="dxa"/>
            <w:tcBorders>
              <w:top w:val="single" w:sz="4" w:space="0" w:color="148A5D" w:themeColor="accent2"/>
              <w:bottom w:val="single" w:sz="4" w:space="0" w:color="148A5D" w:themeColor="accent2"/>
            </w:tcBorders>
          </w:tcPr>
          <w:p w14:paraId="0965F0FA" w14:textId="77777777" w:rsidR="00B1165D" w:rsidRPr="00B1165D" w:rsidRDefault="00B1165D" w:rsidP="00DE7609">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t>4</w:t>
            </w:r>
          </w:p>
        </w:tc>
        <w:tc>
          <w:tcPr>
            <w:tcW w:w="1416" w:type="dxa"/>
            <w:tcBorders>
              <w:top w:val="single" w:sz="4" w:space="0" w:color="148A5D" w:themeColor="accent2"/>
              <w:bottom w:val="single" w:sz="4" w:space="0" w:color="148A5D" w:themeColor="accent2"/>
            </w:tcBorders>
          </w:tcPr>
          <w:p w14:paraId="26DA4FCF" w14:textId="77777777" w:rsidR="00B1165D" w:rsidRPr="00B1165D" w:rsidRDefault="00B1165D" w:rsidP="00DE7609">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t>4</w:t>
            </w:r>
          </w:p>
        </w:tc>
        <w:tc>
          <w:tcPr>
            <w:tcW w:w="1416" w:type="dxa"/>
            <w:tcBorders>
              <w:top w:val="single" w:sz="4" w:space="0" w:color="148A5D" w:themeColor="accent2"/>
              <w:bottom w:val="single" w:sz="4" w:space="0" w:color="148A5D" w:themeColor="accent2"/>
              <w:right w:val="nil"/>
            </w:tcBorders>
          </w:tcPr>
          <w:p w14:paraId="20347964" w14:textId="77777777" w:rsidR="00B1165D" w:rsidRPr="00B1165D" w:rsidRDefault="00B1165D" w:rsidP="00DE7609">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t>3</w:t>
            </w:r>
          </w:p>
        </w:tc>
      </w:tr>
      <w:tr w:rsidR="00B1165D" w:rsidRPr="00B1165D" w14:paraId="3669B93B" w14:textId="77777777" w:rsidTr="004D7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Borders>
              <w:left w:val="nil"/>
            </w:tcBorders>
          </w:tcPr>
          <w:p w14:paraId="5DE482B2" w14:textId="77777777" w:rsidR="00B1165D" w:rsidRPr="00B1165D" w:rsidRDefault="00B1165D" w:rsidP="00DE7609">
            <w:pPr>
              <w:pStyle w:val="10Tabletext"/>
              <w:rPr>
                <w:rFonts w:ascii="Calibri" w:eastAsia="Calibri" w:hAnsi="Calibri" w:cs="Arial"/>
                <w:color w:val="4D4D4D"/>
              </w:rPr>
            </w:pPr>
            <w:r w:rsidRPr="00B1165D">
              <w:t>DELWP/DEECA</w:t>
            </w:r>
          </w:p>
        </w:tc>
        <w:tc>
          <w:tcPr>
            <w:tcW w:w="1416" w:type="dxa"/>
          </w:tcPr>
          <w:p w14:paraId="2276D316" w14:textId="77777777" w:rsidR="00B1165D" w:rsidRPr="00B1165D" w:rsidRDefault="00B1165D" w:rsidP="00DE7609">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t>5</w:t>
            </w:r>
          </w:p>
        </w:tc>
        <w:tc>
          <w:tcPr>
            <w:tcW w:w="1416" w:type="dxa"/>
          </w:tcPr>
          <w:p w14:paraId="438CC676" w14:textId="77777777" w:rsidR="00B1165D" w:rsidRPr="00B1165D" w:rsidRDefault="00B1165D" w:rsidP="00DE7609">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t>5</w:t>
            </w:r>
          </w:p>
        </w:tc>
        <w:tc>
          <w:tcPr>
            <w:tcW w:w="1415" w:type="dxa"/>
          </w:tcPr>
          <w:p w14:paraId="0AA6840C" w14:textId="77777777" w:rsidR="00B1165D" w:rsidRPr="00B1165D" w:rsidRDefault="00B1165D" w:rsidP="00DE7609">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t>4</w:t>
            </w:r>
          </w:p>
        </w:tc>
        <w:tc>
          <w:tcPr>
            <w:tcW w:w="1416" w:type="dxa"/>
          </w:tcPr>
          <w:p w14:paraId="31247868" w14:textId="77777777" w:rsidR="00B1165D" w:rsidRPr="00B1165D" w:rsidRDefault="00B1165D" w:rsidP="00DE7609">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t>5</w:t>
            </w:r>
          </w:p>
        </w:tc>
        <w:tc>
          <w:tcPr>
            <w:tcW w:w="1416" w:type="dxa"/>
            <w:tcBorders>
              <w:right w:val="nil"/>
            </w:tcBorders>
          </w:tcPr>
          <w:p w14:paraId="5F2C0286" w14:textId="77777777" w:rsidR="00B1165D" w:rsidRPr="00B1165D" w:rsidRDefault="00B1165D" w:rsidP="00DE7609">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t>6</w:t>
            </w:r>
          </w:p>
        </w:tc>
      </w:tr>
      <w:tr w:rsidR="00B1165D" w:rsidRPr="00B1165D" w14:paraId="4F566743" w14:textId="77777777" w:rsidTr="004D7DE3">
        <w:tc>
          <w:tcPr>
            <w:cnfStyle w:val="001000000000" w:firstRow="0" w:lastRow="0" w:firstColumn="1" w:lastColumn="0" w:oddVBand="0" w:evenVBand="0" w:oddHBand="0" w:evenHBand="0" w:firstRowFirstColumn="0" w:firstRowLastColumn="0" w:lastRowFirstColumn="0" w:lastRowLastColumn="0"/>
            <w:tcW w:w="1415" w:type="dxa"/>
            <w:tcBorders>
              <w:top w:val="single" w:sz="4" w:space="0" w:color="148A5D" w:themeColor="accent2"/>
              <w:left w:val="nil"/>
              <w:bottom w:val="single" w:sz="4" w:space="0" w:color="148A5D" w:themeColor="accent2"/>
            </w:tcBorders>
          </w:tcPr>
          <w:p w14:paraId="10F3CB27" w14:textId="77777777" w:rsidR="00B1165D" w:rsidRPr="00B1165D" w:rsidRDefault="00B1165D" w:rsidP="00DE7609">
            <w:pPr>
              <w:pStyle w:val="10Tabletext"/>
              <w:rPr>
                <w:rFonts w:ascii="Calibri" w:eastAsia="Calibri" w:hAnsi="Calibri" w:cs="Arial"/>
                <w:color w:val="4D4D4D"/>
              </w:rPr>
            </w:pPr>
            <w:r w:rsidRPr="00B1165D">
              <w:t>DOT/DTP</w:t>
            </w:r>
          </w:p>
        </w:tc>
        <w:tc>
          <w:tcPr>
            <w:tcW w:w="1416" w:type="dxa"/>
            <w:tcBorders>
              <w:top w:val="single" w:sz="4" w:space="0" w:color="148A5D" w:themeColor="accent2"/>
              <w:bottom w:val="single" w:sz="4" w:space="0" w:color="148A5D" w:themeColor="accent2"/>
            </w:tcBorders>
          </w:tcPr>
          <w:p w14:paraId="73C54BEA" w14:textId="77777777" w:rsidR="00B1165D" w:rsidRPr="00B1165D" w:rsidRDefault="00B1165D" w:rsidP="00DE7609">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t>6</w:t>
            </w:r>
          </w:p>
        </w:tc>
        <w:tc>
          <w:tcPr>
            <w:tcW w:w="1416" w:type="dxa"/>
            <w:tcBorders>
              <w:top w:val="single" w:sz="4" w:space="0" w:color="148A5D" w:themeColor="accent2"/>
              <w:bottom w:val="single" w:sz="4" w:space="0" w:color="148A5D" w:themeColor="accent2"/>
            </w:tcBorders>
          </w:tcPr>
          <w:p w14:paraId="72FE4B69" w14:textId="77777777" w:rsidR="00B1165D" w:rsidRPr="00B1165D" w:rsidRDefault="00B1165D" w:rsidP="00DE7609">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t>7</w:t>
            </w:r>
          </w:p>
        </w:tc>
        <w:tc>
          <w:tcPr>
            <w:tcW w:w="1415" w:type="dxa"/>
            <w:tcBorders>
              <w:top w:val="single" w:sz="4" w:space="0" w:color="148A5D" w:themeColor="accent2"/>
              <w:bottom w:val="single" w:sz="4" w:space="0" w:color="148A5D" w:themeColor="accent2"/>
            </w:tcBorders>
          </w:tcPr>
          <w:p w14:paraId="20A001A5" w14:textId="77777777" w:rsidR="00B1165D" w:rsidRPr="00B1165D" w:rsidRDefault="00B1165D" w:rsidP="00DE7609">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t>6</w:t>
            </w:r>
          </w:p>
        </w:tc>
        <w:tc>
          <w:tcPr>
            <w:tcW w:w="1416" w:type="dxa"/>
            <w:tcBorders>
              <w:top w:val="single" w:sz="4" w:space="0" w:color="148A5D" w:themeColor="accent2"/>
              <w:bottom w:val="single" w:sz="4" w:space="0" w:color="148A5D" w:themeColor="accent2"/>
            </w:tcBorders>
          </w:tcPr>
          <w:p w14:paraId="356BCC37" w14:textId="77777777" w:rsidR="00B1165D" w:rsidRPr="00B1165D" w:rsidRDefault="00B1165D" w:rsidP="00DE7609">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t>8</w:t>
            </w:r>
          </w:p>
        </w:tc>
        <w:tc>
          <w:tcPr>
            <w:tcW w:w="1416" w:type="dxa"/>
            <w:tcBorders>
              <w:top w:val="single" w:sz="4" w:space="0" w:color="148A5D" w:themeColor="accent2"/>
              <w:bottom w:val="single" w:sz="4" w:space="0" w:color="148A5D" w:themeColor="accent2"/>
              <w:right w:val="nil"/>
            </w:tcBorders>
          </w:tcPr>
          <w:p w14:paraId="03863971" w14:textId="77777777" w:rsidR="00B1165D" w:rsidRPr="00B1165D" w:rsidRDefault="00B1165D" w:rsidP="00DE7609">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t>9</w:t>
            </w:r>
          </w:p>
        </w:tc>
      </w:tr>
      <w:tr w:rsidR="00B1165D" w:rsidRPr="00B1165D" w14:paraId="7663DE54" w14:textId="77777777" w:rsidTr="004D7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Borders>
              <w:left w:val="nil"/>
            </w:tcBorders>
          </w:tcPr>
          <w:p w14:paraId="40C44C8F" w14:textId="77777777" w:rsidR="00B1165D" w:rsidRPr="00B1165D" w:rsidRDefault="00B1165D" w:rsidP="00DE7609">
            <w:pPr>
              <w:pStyle w:val="10Tabletext"/>
              <w:rPr>
                <w:rFonts w:ascii="Calibri" w:eastAsia="Calibri" w:hAnsi="Calibri" w:cs="Arial"/>
                <w:color w:val="4D4D4D"/>
              </w:rPr>
            </w:pPr>
            <w:r w:rsidRPr="00B1165D">
              <w:t>DET/DE</w:t>
            </w:r>
          </w:p>
        </w:tc>
        <w:tc>
          <w:tcPr>
            <w:tcW w:w="1416" w:type="dxa"/>
          </w:tcPr>
          <w:p w14:paraId="45B9CDE9" w14:textId="77777777" w:rsidR="00B1165D" w:rsidRPr="00B1165D" w:rsidRDefault="00B1165D" w:rsidP="00DE7609">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t>3</w:t>
            </w:r>
          </w:p>
        </w:tc>
        <w:tc>
          <w:tcPr>
            <w:tcW w:w="1416" w:type="dxa"/>
          </w:tcPr>
          <w:p w14:paraId="041D33D2" w14:textId="77777777" w:rsidR="00B1165D" w:rsidRPr="00B1165D" w:rsidRDefault="00B1165D" w:rsidP="00DE7609">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t>3</w:t>
            </w:r>
          </w:p>
        </w:tc>
        <w:tc>
          <w:tcPr>
            <w:tcW w:w="1415" w:type="dxa"/>
          </w:tcPr>
          <w:p w14:paraId="6F59C066" w14:textId="77777777" w:rsidR="00B1165D" w:rsidRPr="00B1165D" w:rsidRDefault="00B1165D" w:rsidP="00DE7609">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t>4</w:t>
            </w:r>
          </w:p>
        </w:tc>
        <w:tc>
          <w:tcPr>
            <w:tcW w:w="1416" w:type="dxa"/>
          </w:tcPr>
          <w:p w14:paraId="61370356" w14:textId="77777777" w:rsidR="00B1165D" w:rsidRPr="00B1165D" w:rsidRDefault="00B1165D" w:rsidP="00DE7609">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t>4</w:t>
            </w:r>
          </w:p>
        </w:tc>
        <w:tc>
          <w:tcPr>
            <w:tcW w:w="1416" w:type="dxa"/>
            <w:tcBorders>
              <w:right w:val="nil"/>
            </w:tcBorders>
          </w:tcPr>
          <w:p w14:paraId="1687E4DE" w14:textId="77777777" w:rsidR="00B1165D" w:rsidRPr="00B1165D" w:rsidRDefault="00B1165D" w:rsidP="00DE7609">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t>2</w:t>
            </w:r>
          </w:p>
        </w:tc>
      </w:tr>
      <w:tr w:rsidR="00B1165D" w:rsidRPr="00B1165D" w14:paraId="1B060A9F" w14:textId="77777777" w:rsidTr="004D7DE3">
        <w:tc>
          <w:tcPr>
            <w:cnfStyle w:val="001000000000" w:firstRow="0" w:lastRow="0" w:firstColumn="1" w:lastColumn="0" w:oddVBand="0" w:evenVBand="0" w:oddHBand="0" w:evenHBand="0" w:firstRowFirstColumn="0" w:firstRowLastColumn="0" w:lastRowFirstColumn="0" w:lastRowLastColumn="0"/>
            <w:tcW w:w="1415" w:type="dxa"/>
            <w:tcBorders>
              <w:top w:val="single" w:sz="4" w:space="0" w:color="148A5D" w:themeColor="accent2"/>
              <w:left w:val="nil"/>
              <w:bottom w:val="single" w:sz="4" w:space="0" w:color="148A5D" w:themeColor="accent2"/>
            </w:tcBorders>
          </w:tcPr>
          <w:p w14:paraId="705539DE" w14:textId="77777777" w:rsidR="00B1165D" w:rsidRPr="00B1165D" w:rsidRDefault="00B1165D" w:rsidP="00DE7609">
            <w:pPr>
              <w:pStyle w:val="10Tabletext"/>
              <w:rPr>
                <w:rFonts w:ascii="Calibri" w:eastAsia="Calibri" w:hAnsi="Calibri" w:cs="Arial"/>
                <w:color w:val="4D4D4D"/>
              </w:rPr>
            </w:pPr>
            <w:r w:rsidRPr="00B1165D">
              <w:t>DJPR/DJSIR</w:t>
            </w:r>
          </w:p>
        </w:tc>
        <w:tc>
          <w:tcPr>
            <w:tcW w:w="1416" w:type="dxa"/>
            <w:tcBorders>
              <w:top w:val="single" w:sz="4" w:space="0" w:color="148A5D" w:themeColor="accent2"/>
              <w:bottom w:val="single" w:sz="4" w:space="0" w:color="148A5D" w:themeColor="accent2"/>
            </w:tcBorders>
          </w:tcPr>
          <w:p w14:paraId="1099F582" w14:textId="77777777" w:rsidR="00B1165D" w:rsidRPr="00B1165D" w:rsidRDefault="00B1165D" w:rsidP="00DE7609">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t>10</w:t>
            </w:r>
          </w:p>
        </w:tc>
        <w:tc>
          <w:tcPr>
            <w:tcW w:w="1416" w:type="dxa"/>
            <w:tcBorders>
              <w:top w:val="single" w:sz="4" w:space="0" w:color="148A5D" w:themeColor="accent2"/>
              <w:bottom w:val="single" w:sz="4" w:space="0" w:color="148A5D" w:themeColor="accent2"/>
            </w:tcBorders>
          </w:tcPr>
          <w:p w14:paraId="7D6C3971" w14:textId="77777777" w:rsidR="00B1165D" w:rsidRPr="00B1165D" w:rsidRDefault="00B1165D" w:rsidP="00DE7609">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t>14</w:t>
            </w:r>
          </w:p>
        </w:tc>
        <w:tc>
          <w:tcPr>
            <w:tcW w:w="1415" w:type="dxa"/>
            <w:tcBorders>
              <w:top w:val="single" w:sz="4" w:space="0" w:color="148A5D" w:themeColor="accent2"/>
              <w:bottom w:val="single" w:sz="4" w:space="0" w:color="148A5D" w:themeColor="accent2"/>
            </w:tcBorders>
          </w:tcPr>
          <w:p w14:paraId="3BE48D40" w14:textId="77777777" w:rsidR="00B1165D" w:rsidRPr="00B1165D" w:rsidRDefault="00B1165D" w:rsidP="00DE7609">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t>15</w:t>
            </w:r>
          </w:p>
        </w:tc>
        <w:tc>
          <w:tcPr>
            <w:tcW w:w="1416" w:type="dxa"/>
            <w:tcBorders>
              <w:top w:val="single" w:sz="4" w:space="0" w:color="148A5D" w:themeColor="accent2"/>
              <w:bottom w:val="single" w:sz="4" w:space="0" w:color="148A5D" w:themeColor="accent2"/>
            </w:tcBorders>
          </w:tcPr>
          <w:p w14:paraId="4A0BAAFD" w14:textId="77777777" w:rsidR="00B1165D" w:rsidRPr="00B1165D" w:rsidRDefault="00B1165D" w:rsidP="00DE7609">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t>17</w:t>
            </w:r>
          </w:p>
        </w:tc>
        <w:tc>
          <w:tcPr>
            <w:tcW w:w="1416" w:type="dxa"/>
            <w:tcBorders>
              <w:top w:val="single" w:sz="4" w:space="0" w:color="148A5D" w:themeColor="accent2"/>
              <w:bottom w:val="single" w:sz="4" w:space="0" w:color="148A5D" w:themeColor="accent2"/>
              <w:right w:val="nil"/>
            </w:tcBorders>
          </w:tcPr>
          <w:p w14:paraId="3CAB847A" w14:textId="77777777" w:rsidR="00B1165D" w:rsidRPr="00B1165D" w:rsidRDefault="00B1165D" w:rsidP="00DE7609">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t>15</w:t>
            </w:r>
          </w:p>
        </w:tc>
      </w:tr>
      <w:tr w:rsidR="00B1165D" w:rsidRPr="00B1165D" w14:paraId="70589F9C" w14:textId="77777777" w:rsidTr="004D7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Borders>
              <w:left w:val="nil"/>
            </w:tcBorders>
          </w:tcPr>
          <w:p w14:paraId="51D2487B" w14:textId="77777777" w:rsidR="00B1165D" w:rsidRPr="00B1165D" w:rsidRDefault="00B1165D" w:rsidP="00DE7609">
            <w:pPr>
              <w:pStyle w:val="10Tabletext"/>
              <w:rPr>
                <w:rFonts w:ascii="Calibri" w:eastAsia="Calibri" w:hAnsi="Calibri" w:cs="Arial"/>
                <w:color w:val="4D4D4D"/>
              </w:rPr>
            </w:pPr>
            <w:r w:rsidRPr="00B1165D">
              <w:t>DJCS</w:t>
            </w:r>
          </w:p>
        </w:tc>
        <w:tc>
          <w:tcPr>
            <w:tcW w:w="1416" w:type="dxa"/>
          </w:tcPr>
          <w:p w14:paraId="0B3384E8" w14:textId="77777777" w:rsidR="00B1165D" w:rsidRPr="00B1165D" w:rsidRDefault="00B1165D" w:rsidP="00DE7609">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t>8</w:t>
            </w:r>
          </w:p>
        </w:tc>
        <w:tc>
          <w:tcPr>
            <w:tcW w:w="1416" w:type="dxa"/>
          </w:tcPr>
          <w:p w14:paraId="527E732D" w14:textId="77777777" w:rsidR="00B1165D" w:rsidRPr="00B1165D" w:rsidRDefault="00B1165D" w:rsidP="00DE7609">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t>9</w:t>
            </w:r>
          </w:p>
        </w:tc>
        <w:tc>
          <w:tcPr>
            <w:tcW w:w="1415" w:type="dxa"/>
          </w:tcPr>
          <w:p w14:paraId="58155658" w14:textId="77777777" w:rsidR="00B1165D" w:rsidRPr="00B1165D" w:rsidRDefault="00B1165D" w:rsidP="00DE7609">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t>8</w:t>
            </w:r>
          </w:p>
        </w:tc>
        <w:tc>
          <w:tcPr>
            <w:tcW w:w="1416" w:type="dxa"/>
          </w:tcPr>
          <w:p w14:paraId="459E555F" w14:textId="77777777" w:rsidR="00B1165D" w:rsidRPr="00B1165D" w:rsidRDefault="00B1165D" w:rsidP="00DE7609">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t>9</w:t>
            </w:r>
          </w:p>
        </w:tc>
        <w:tc>
          <w:tcPr>
            <w:tcW w:w="1416" w:type="dxa"/>
            <w:tcBorders>
              <w:right w:val="nil"/>
            </w:tcBorders>
          </w:tcPr>
          <w:p w14:paraId="663DEA76" w14:textId="77777777" w:rsidR="00B1165D" w:rsidRPr="00B1165D" w:rsidRDefault="00B1165D" w:rsidP="00DE7609">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t>9</w:t>
            </w:r>
          </w:p>
        </w:tc>
      </w:tr>
      <w:tr w:rsidR="00B1165D" w:rsidRPr="00B1165D" w14:paraId="51FD21B4" w14:textId="77777777" w:rsidTr="004D7DE3">
        <w:tc>
          <w:tcPr>
            <w:cnfStyle w:val="001000000000" w:firstRow="0" w:lastRow="0" w:firstColumn="1" w:lastColumn="0" w:oddVBand="0" w:evenVBand="0" w:oddHBand="0" w:evenHBand="0" w:firstRowFirstColumn="0" w:firstRowLastColumn="0" w:lastRowFirstColumn="0" w:lastRowLastColumn="0"/>
            <w:tcW w:w="1415" w:type="dxa"/>
            <w:tcBorders>
              <w:top w:val="single" w:sz="4" w:space="0" w:color="148A5D" w:themeColor="accent2"/>
              <w:left w:val="nil"/>
              <w:bottom w:val="single" w:sz="4" w:space="0" w:color="148A5D" w:themeColor="accent2"/>
            </w:tcBorders>
          </w:tcPr>
          <w:p w14:paraId="12F00F59" w14:textId="77777777" w:rsidR="00B1165D" w:rsidRPr="00B1165D" w:rsidRDefault="00B1165D" w:rsidP="00DE7609">
            <w:pPr>
              <w:pStyle w:val="10Tabletext"/>
              <w:rPr>
                <w:rFonts w:ascii="Calibri" w:eastAsia="Calibri" w:hAnsi="Calibri" w:cs="Arial"/>
                <w:color w:val="4D4D4D"/>
              </w:rPr>
            </w:pPr>
            <w:r w:rsidRPr="00B1165D">
              <w:t>DHHS/DH</w:t>
            </w:r>
          </w:p>
        </w:tc>
        <w:tc>
          <w:tcPr>
            <w:tcW w:w="1416" w:type="dxa"/>
            <w:tcBorders>
              <w:top w:val="single" w:sz="4" w:space="0" w:color="148A5D" w:themeColor="accent2"/>
              <w:bottom w:val="single" w:sz="4" w:space="0" w:color="148A5D" w:themeColor="accent2"/>
            </w:tcBorders>
          </w:tcPr>
          <w:p w14:paraId="1E897D8F" w14:textId="77777777" w:rsidR="00B1165D" w:rsidRPr="00B1165D" w:rsidRDefault="00B1165D" w:rsidP="00DE7609">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t>7</w:t>
            </w:r>
          </w:p>
        </w:tc>
        <w:tc>
          <w:tcPr>
            <w:tcW w:w="1416" w:type="dxa"/>
            <w:tcBorders>
              <w:top w:val="single" w:sz="4" w:space="0" w:color="148A5D" w:themeColor="accent2"/>
              <w:bottom w:val="single" w:sz="4" w:space="0" w:color="148A5D" w:themeColor="accent2"/>
            </w:tcBorders>
          </w:tcPr>
          <w:p w14:paraId="1BA2A195" w14:textId="77777777" w:rsidR="00B1165D" w:rsidRPr="00B1165D" w:rsidRDefault="00B1165D" w:rsidP="00DE7609">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t>8</w:t>
            </w:r>
          </w:p>
        </w:tc>
        <w:tc>
          <w:tcPr>
            <w:tcW w:w="1415" w:type="dxa"/>
            <w:tcBorders>
              <w:top w:val="single" w:sz="4" w:space="0" w:color="148A5D" w:themeColor="accent2"/>
              <w:bottom w:val="single" w:sz="4" w:space="0" w:color="148A5D" w:themeColor="accent2"/>
            </w:tcBorders>
          </w:tcPr>
          <w:p w14:paraId="491D814F" w14:textId="77777777" w:rsidR="00B1165D" w:rsidRPr="00B1165D" w:rsidRDefault="00B1165D" w:rsidP="00DE7609">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t>4</w:t>
            </w:r>
          </w:p>
        </w:tc>
        <w:tc>
          <w:tcPr>
            <w:tcW w:w="1416" w:type="dxa"/>
            <w:tcBorders>
              <w:top w:val="single" w:sz="4" w:space="0" w:color="148A5D" w:themeColor="accent2"/>
              <w:bottom w:val="single" w:sz="4" w:space="0" w:color="148A5D" w:themeColor="accent2"/>
            </w:tcBorders>
          </w:tcPr>
          <w:p w14:paraId="0BF685AD" w14:textId="77777777" w:rsidR="00B1165D" w:rsidRPr="00B1165D" w:rsidRDefault="00B1165D" w:rsidP="00DE7609">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t>4</w:t>
            </w:r>
          </w:p>
        </w:tc>
        <w:tc>
          <w:tcPr>
            <w:tcW w:w="1416" w:type="dxa"/>
            <w:tcBorders>
              <w:top w:val="single" w:sz="4" w:space="0" w:color="148A5D" w:themeColor="accent2"/>
              <w:bottom w:val="single" w:sz="4" w:space="0" w:color="148A5D" w:themeColor="accent2"/>
              <w:right w:val="nil"/>
            </w:tcBorders>
          </w:tcPr>
          <w:p w14:paraId="0B72E663" w14:textId="77777777" w:rsidR="00B1165D" w:rsidRPr="00B1165D" w:rsidRDefault="00B1165D" w:rsidP="00DE7609">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t>6</w:t>
            </w:r>
          </w:p>
        </w:tc>
      </w:tr>
      <w:tr w:rsidR="00B1165D" w:rsidRPr="00B1165D" w14:paraId="381431E1" w14:textId="77777777" w:rsidTr="004D7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Borders>
              <w:left w:val="nil"/>
            </w:tcBorders>
          </w:tcPr>
          <w:p w14:paraId="7702EA00" w14:textId="77777777" w:rsidR="00B1165D" w:rsidRPr="00B1165D" w:rsidRDefault="00B1165D" w:rsidP="00DE7609">
            <w:pPr>
              <w:pStyle w:val="10Tabletext"/>
              <w:rPr>
                <w:rFonts w:ascii="Calibri" w:eastAsia="Calibri" w:hAnsi="Calibri" w:cs="Arial"/>
                <w:color w:val="4D4D4D"/>
              </w:rPr>
            </w:pPr>
            <w:r w:rsidRPr="00B1165D">
              <w:t>DFFH</w:t>
            </w:r>
          </w:p>
        </w:tc>
        <w:tc>
          <w:tcPr>
            <w:tcW w:w="1416" w:type="dxa"/>
          </w:tcPr>
          <w:p w14:paraId="45D80C9E" w14:textId="77777777" w:rsidR="00B1165D" w:rsidRPr="00B1165D" w:rsidRDefault="00B1165D" w:rsidP="00DE7609">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t>n/a</w:t>
            </w:r>
          </w:p>
        </w:tc>
        <w:tc>
          <w:tcPr>
            <w:tcW w:w="1416" w:type="dxa"/>
          </w:tcPr>
          <w:p w14:paraId="0C68E4BD" w14:textId="77777777" w:rsidR="00B1165D" w:rsidRPr="00B1165D" w:rsidRDefault="00B1165D" w:rsidP="00DE7609">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t>n/a</w:t>
            </w:r>
          </w:p>
        </w:tc>
        <w:tc>
          <w:tcPr>
            <w:tcW w:w="1415" w:type="dxa"/>
          </w:tcPr>
          <w:p w14:paraId="2F1BEA3F" w14:textId="77777777" w:rsidR="00B1165D" w:rsidRPr="00B1165D" w:rsidRDefault="00B1165D" w:rsidP="00DE7609">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t>9</w:t>
            </w:r>
          </w:p>
        </w:tc>
        <w:tc>
          <w:tcPr>
            <w:tcW w:w="1416" w:type="dxa"/>
          </w:tcPr>
          <w:p w14:paraId="5CF64695" w14:textId="77777777" w:rsidR="00B1165D" w:rsidRPr="00B1165D" w:rsidRDefault="00B1165D" w:rsidP="00DE7609">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t>9</w:t>
            </w:r>
          </w:p>
        </w:tc>
        <w:tc>
          <w:tcPr>
            <w:tcW w:w="1416" w:type="dxa"/>
            <w:tcBorders>
              <w:right w:val="nil"/>
            </w:tcBorders>
          </w:tcPr>
          <w:p w14:paraId="6EFE97D8" w14:textId="77777777" w:rsidR="00B1165D" w:rsidRPr="00B1165D" w:rsidRDefault="00B1165D" w:rsidP="00DE7609">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D4D4D"/>
              </w:rPr>
            </w:pPr>
            <w:r w:rsidRPr="00B1165D">
              <w:t>9</w:t>
            </w:r>
          </w:p>
        </w:tc>
      </w:tr>
      <w:tr w:rsidR="00B1165D" w:rsidRPr="00B1165D" w14:paraId="79E9FF55" w14:textId="77777777" w:rsidTr="004D7DE3">
        <w:tc>
          <w:tcPr>
            <w:cnfStyle w:val="001000000000" w:firstRow="0" w:lastRow="0" w:firstColumn="1" w:lastColumn="0" w:oddVBand="0" w:evenVBand="0" w:oddHBand="0" w:evenHBand="0" w:firstRowFirstColumn="0" w:firstRowLastColumn="0" w:lastRowFirstColumn="0" w:lastRowLastColumn="0"/>
            <w:tcW w:w="1415" w:type="dxa"/>
            <w:tcBorders>
              <w:top w:val="single" w:sz="4" w:space="0" w:color="148A5D" w:themeColor="accent2"/>
              <w:left w:val="nil"/>
              <w:bottom w:val="single" w:sz="4" w:space="0" w:color="148A5D" w:themeColor="accent2"/>
            </w:tcBorders>
          </w:tcPr>
          <w:p w14:paraId="79CA5AAE" w14:textId="77777777" w:rsidR="00B1165D" w:rsidRPr="00B1165D" w:rsidRDefault="00B1165D" w:rsidP="00DE7609">
            <w:pPr>
              <w:pStyle w:val="10Tabletext"/>
              <w:rPr>
                <w:rFonts w:ascii="Calibri" w:eastAsia="Calibri" w:hAnsi="Calibri" w:cs="Arial"/>
                <w:color w:val="4D4D4D"/>
              </w:rPr>
            </w:pPr>
            <w:r w:rsidRPr="00B1165D">
              <w:t>DGS</w:t>
            </w:r>
          </w:p>
        </w:tc>
        <w:tc>
          <w:tcPr>
            <w:tcW w:w="1416" w:type="dxa"/>
            <w:tcBorders>
              <w:top w:val="single" w:sz="4" w:space="0" w:color="148A5D" w:themeColor="accent2"/>
              <w:bottom w:val="single" w:sz="4" w:space="0" w:color="148A5D" w:themeColor="accent2"/>
            </w:tcBorders>
          </w:tcPr>
          <w:p w14:paraId="6305AC29" w14:textId="77777777" w:rsidR="00B1165D" w:rsidRPr="00B1165D" w:rsidRDefault="00B1165D" w:rsidP="00DE7609">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t>n/a</w:t>
            </w:r>
          </w:p>
        </w:tc>
        <w:tc>
          <w:tcPr>
            <w:tcW w:w="1416" w:type="dxa"/>
            <w:tcBorders>
              <w:top w:val="single" w:sz="4" w:space="0" w:color="148A5D" w:themeColor="accent2"/>
              <w:bottom w:val="single" w:sz="4" w:space="0" w:color="148A5D" w:themeColor="accent2"/>
            </w:tcBorders>
          </w:tcPr>
          <w:p w14:paraId="6BAA90E9" w14:textId="77777777" w:rsidR="00B1165D" w:rsidRPr="00B1165D" w:rsidRDefault="00B1165D" w:rsidP="00DE7609">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t>n/a</w:t>
            </w:r>
          </w:p>
        </w:tc>
        <w:tc>
          <w:tcPr>
            <w:tcW w:w="1415" w:type="dxa"/>
            <w:tcBorders>
              <w:top w:val="single" w:sz="4" w:space="0" w:color="148A5D" w:themeColor="accent2"/>
              <w:bottom w:val="single" w:sz="4" w:space="0" w:color="148A5D" w:themeColor="accent2"/>
            </w:tcBorders>
          </w:tcPr>
          <w:p w14:paraId="098629B1" w14:textId="77777777" w:rsidR="00B1165D" w:rsidRPr="00B1165D" w:rsidRDefault="00B1165D" w:rsidP="00DE7609">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t>n/a</w:t>
            </w:r>
          </w:p>
        </w:tc>
        <w:tc>
          <w:tcPr>
            <w:tcW w:w="1416" w:type="dxa"/>
            <w:tcBorders>
              <w:top w:val="single" w:sz="4" w:space="0" w:color="148A5D" w:themeColor="accent2"/>
              <w:bottom w:val="single" w:sz="4" w:space="0" w:color="148A5D" w:themeColor="accent2"/>
            </w:tcBorders>
          </w:tcPr>
          <w:p w14:paraId="7AFA2644" w14:textId="77777777" w:rsidR="00B1165D" w:rsidRPr="00B1165D" w:rsidRDefault="00B1165D" w:rsidP="00DE7609">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t>n/a</w:t>
            </w:r>
          </w:p>
        </w:tc>
        <w:tc>
          <w:tcPr>
            <w:tcW w:w="1416" w:type="dxa"/>
            <w:tcBorders>
              <w:top w:val="single" w:sz="4" w:space="0" w:color="148A5D" w:themeColor="accent2"/>
              <w:bottom w:val="single" w:sz="4" w:space="0" w:color="148A5D" w:themeColor="accent2"/>
              <w:right w:val="nil"/>
            </w:tcBorders>
          </w:tcPr>
          <w:p w14:paraId="699AFD08" w14:textId="77777777" w:rsidR="00B1165D" w:rsidRPr="00B1165D" w:rsidRDefault="00B1165D" w:rsidP="00DE7609">
            <w:pPr>
              <w:pStyle w:val="10Tabletext"/>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D4D4D"/>
              </w:rPr>
            </w:pPr>
            <w:r w:rsidRPr="00B1165D">
              <w:t>4</w:t>
            </w:r>
          </w:p>
        </w:tc>
      </w:tr>
      <w:tr w:rsidR="00B1165D" w:rsidRPr="00B1165D" w14:paraId="3B543132" w14:textId="77777777" w:rsidTr="004D7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Borders>
              <w:left w:val="nil"/>
            </w:tcBorders>
          </w:tcPr>
          <w:p w14:paraId="20F56182" w14:textId="77777777" w:rsidR="00B1165D" w:rsidRPr="00B1165D" w:rsidRDefault="00B1165D" w:rsidP="00DE7609">
            <w:pPr>
              <w:pStyle w:val="10Tabletext"/>
              <w:rPr>
                <w:rFonts w:ascii="Calibri" w:eastAsia="Calibri" w:hAnsi="Calibri" w:cs="Arial"/>
                <w:color w:val="4D4D4D"/>
              </w:rPr>
            </w:pPr>
            <w:r w:rsidRPr="00B1165D">
              <w:t>Total</w:t>
            </w:r>
          </w:p>
        </w:tc>
        <w:tc>
          <w:tcPr>
            <w:tcW w:w="1416" w:type="dxa"/>
          </w:tcPr>
          <w:p w14:paraId="00AA74FF" w14:textId="77777777" w:rsidR="00B1165D" w:rsidRPr="00B1165D" w:rsidRDefault="00B1165D" w:rsidP="00DE7609">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b/>
                <w:color w:val="4D4D4D"/>
              </w:rPr>
            </w:pPr>
            <w:r w:rsidRPr="00DE7609">
              <w:rPr>
                <w:b/>
                <w:bCs w:val="0"/>
              </w:rPr>
              <w:t>51</w:t>
            </w:r>
          </w:p>
        </w:tc>
        <w:tc>
          <w:tcPr>
            <w:tcW w:w="1416" w:type="dxa"/>
          </w:tcPr>
          <w:p w14:paraId="26571A07" w14:textId="77777777" w:rsidR="00B1165D" w:rsidRPr="00B1165D" w:rsidRDefault="00B1165D" w:rsidP="00DE7609">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b/>
                <w:color w:val="4D4D4D"/>
              </w:rPr>
            </w:pPr>
            <w:r w:rsidRPr="00DE7609">
              <w:rPr>
                <w:b/>
                <w:bCs w:val="0"/>
              </w:rPr>
              <w:t>60</w:t>
            </w:r>
          </w:p>
        </w:tc>
        <w:tc>
          <w:tcPr>
            <w:tcW w:w="1415" w:type="dxa"/>
          </w:tcPr>
          <w:p w14:paraId="768E4BA4" w14:textId="77777777" w:rsidR="00B1165D" w:rsidRPr="00B1165D" w:rsidRDefault="00B1165D" w:rsidP="00DE7609">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b/>
                <w:color w:val="4D4D4D"/>
              </w:rPr>
            </w:pPr>
            <w:r w:rsidRPr="00DE7609">
              <w:rPr>
                <w:b/>
                <w:bCs w:val="0"/>
              </w:rPr>
              <w:t>58</w:t>
            </w:r>
          </w:p>
        </w:tc>
        <w:tc>
          <w:tcPr>
            <w:tcW w:w="1416" w:type="dxa"/>
          </w:tcPr>
          <w:p w14:paraId="4BF8DAC3" w14:textId="77777777" w:rsidR="00B1165D" w:rsidRPr="00B1165D" w:rsidRDefault="00B1165D" w:rsidP="00DE7609">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b/>
                <w:color w:val="4D4D4D"/>
              </w:rPr>
            </w:pPr>
            <w:r w:rsidRPr="00DE7609">
              <w:rPr>
                <w:b/>
                <w:bCs w:val="0"/>
              </w:rPr>
              <w:t>64</w:t>
            </w:r>
          </w:p>
        </w:tc>
        <w:tc>
          <w:tcPr>
            <w:tcW w:w="1416" w:type="dxa"/>
            <w:tcBorders>
              <w:right w:val="nil"/>
            </w:tcBorders>
          </w:tcPr>
          <w:p w14:paraId="24ED3698" w14:textId="77777777" w:rsidR="00B1165D" w:rsidRPr="00B1165D" w:rsidRDefault="00B1165D" w:rsidP="00DE7609">
            <w:pPr>
              <w:pStyle w:val="10Tabletext"/>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b/>
                <w:color w:val="4D4D4D"/>
              </w:rPr>
            </w:pPr>
            <w:r w:rsidRPr="00DE7609">
              <w:rPr>
                <w:b/>
                <w:bCs w:val="0"/>
              </w:rPr>
              <w:t>68</w:t>
            </w:r>
          </w:p>
        </w:tc>
      </w:tr>
    </w:tbl>
    <w:p w14:paraId="27F02C0C" w14:textId="58E2084B" w:rsidR="00B1165D" w:rsidRPr="00DE7609" w:rsidRDefault="00B1165D" w:rsidP="004D2C45">
      <w:pPr>
        <w:pStyle w:val="09Sourcesandnotesfortablesfiguresboxes"/>
      </w:pPr>
      <w:r w:rsidRPr="004D2C45">
        <w:t>Source</w:t>
      </w:r>
      <w:r w:rsidRPr="008A641D">
        <w:t xml:space="preserve">: </w:t>
      </w:r>
      <w:r w:rsidRPr="00736E20">
        <w:t>VSB</w:t>
      </w:r>
      <w:r w:rsidR="00DC51D7" w:rsidRPr="00736E20">
        <w:t xml:space="preserve"> submission</w:t>
      </w:r>
      <w:r w:rsidR="008A641D" w:rsidRPr="00736E20">
        <w:t>.</w:t>
      </w:r>
    </w:p>
    <w:p w14:paraId="43D69CE1" w14:textId="77777777" w:rsidR="00B1165D" w:rsidRPr="00B1165D" w:rsidRDefault="00B1165D" w:rsidP="00DE7609">
      <w:pPr>
        <w:pStyle w:val="05Paragraph"/>
      </w:pPr>
      <w:r w:rsidRPr="00B1165D">
        <w:lastRenderedPageBreak/>
        <w:t>At the time of making this Determination, there were 63 portfolios, up from 51 in 2019 (Figure 2.1).</w:t>
      </w:r>
      <w:r w:rsidRPr="00B1165D">
        <w:rPr>
          <w:vertAlign w:val="superscript"/>
        </w:rPr>
        <w:footnoteReference w:id="43"/>
      </w:r>
    </w:p>
    <w:p w14:paraId="1B4D3962" w14:textId="77777777" w:rsidR="00B1165D" w:rsidRDefault="00B1165D" w:rsidP="00144BE8">
      <w:pPr>
        <w:pStyle w:val="08Figuretableboxheading"/>
      </w:pPr>
      <w:bookmarkStart w:id="57" w:name="_Toc170393527"/>
      <w:r w:rsidRPr="00B1165D">
        <w:t>Figure 2.1: Number of portfolios across all VPS departments as of 30 June each year</w:t>
      </w:r>
      <w:bookmarkEnd w:id="57"/>
    </w:p>
    <w:p w14:paraId="50FC6522" w14:textId="68E6756E" w:rsidR="00BA1D83" w:rsidRPr="00B1165D" w:rsidRDefault="00BA1D83" w:rsidP="00144BE8">
      <w:pPr>
        <w:pStyle w:val="08Figuretableboxheading"/>
        <w:rPr>
          <w:rFonts w:eastAsia="Calibri"/>
        </w:rPr>
      </w:pPr>
      <w:r>
        <w:rPr>
          <w:rFonts w:eastAsia="Calibri"/>
          <w:noProof/>
        </w:rPr>
        <w:drawing>
          <wp:inline distT="0" distB="0" distL="0" distR="0" wp14:anchorId="6B0F673B" wp14:editId="504B0408">
            <wp:extent cx="5414010" cy="1499870"/>
            <wp:effectExtent l="0" t="0" r="0" b="5080"/>
            <wp:docPr id="319205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14010" cy="1499870"/>
                    </a:xfrm>
                    <a:prstGeom prst="rect">
                      <a:avLst/>
                    </a:prstGeom>
                    <a:noFill/>
                  </pic:spPr>
                </pic:pic>
              </a:graphicData>
            </a:graphic>
          </wp:inline>
        </w:drawing>
      </w:r>
    </w:p>
    <w:p w14:paraId="01F50034" w14:textId="77777777" w:rsidR="00B1165D" w:rsidRPr="00DE7609" w:rsidRDefault="00B1165D" w:rsidP="007B46CD">
      <w:pPr>
        <w:pStyle w:val="09Sourcesandnotesfortablesfiguresboxes"/>
      </w:pPr>
      <w:r w:rsidRPr="007B46CD">
        <w:t>Note: 2024 data is current as of May 2024.</w:t>
      </w:r>
    </w:p>
    <w:p w14:paraId="2F158436" w14:textId="4830CA8C" w:rsidR="00B1165D" w:rsidRPr="00DE7609" w:rsidRDefault="00B1165D" w:rsidP="007B46CD">
      <w:pPr>
        <w:pStyle w:val="09Sourcesandnotesfortablesfiguresboxes"/>
      </w:pPr>
      <w:r w:rsidRPr="008A764C">
        <w:t xml:space="preserve">Sources: </w:t>
      </w:r>
      <w:r w:rsidRPr="00784686">
        <w:t>DTF</w:t>
      </w:r>
      <w:r w:rsidR="004C7CD6" w:rsidRPr="00784686">
        <w:t xml:space="preserve"> (2024</w:t>
      </w:r>
      <w:r w:rsidR="008A764C" w:rsidRPr="00784686">
        <w:t>e</w:t>
      </w:r>
      <w:r w:rsidR="004C7CD6" w:rsidRPr="00784686">
        <w:t>)</w:t>
      </w:r>
      <w:r w:rsidRPr="00784686">
        <w:t>;</w:t>
      </w:r>
      <w:r w:rsidRPr="008A764C">
        <w:t xml:space="preserve"> VSB</w:t>
      </w:r>
      <w:r w:rsidR="00503D67" w:rsidRPr="008A764C">
        <w:t xml:space="preserve"> </w:t>
      </w:r>
      <w:r w:rsidR="008A641D" w:rsidRPr="008A764C">
        <w:t>s</w:t>
      </w:r>
      <w:r w:rsidRPr="008A764C">
        <w:t>ubmission.</w:t>
      </w:r>
    </w:p>
    <w:p w14:paraId="677DE3BC" w14:textId="77777777" w:rsidR="00B1165D" w:rsidRPr="00B1165D" w:rsidRDefault="00B1165D" w:rsidP="00DE7609">
      <w:pPr>
        <w:pStyle w:val="05Paragraph"/>
        <w:rPr>
          <w:noProof/>
        </w:rPr>
      </w:pPr>
      <w:r w:rsidRPr="00B1165D">
        <w:rPr>
          <w:noProof/>
        </w:rPr>
        <w:t>The number of government departments has also grown from eight to 10. The two new departments are:</w:t>
      </w:r>
    </w:p>
    <w:p w14:paraId="63968527" w14:textId="097834AF" w:rsidR="00B1165D" w:rsidRPr="00B1165D" w:rsidRDefault="00B1165D" w:rsidP="00A14D63">
      <w:pPr>
        <w:pStyle w:val="06VIRTBulletpoints"/>
        <w:rPr>
          <w:noProof/>
        </w:rPr>
      </w:pPr>
      <w:r w:rsidRPr="00B1165D">
        <w:rPr>
          <w:noProof/>
        </w:rPr>
        <w:t xml:space="preserve">The Department of Families, Fairness and Housing </w:t>
      </w:r>
      <w:r w:rsidR="001E3646">
        <w:rPr>
          <w:noProof/>
        </w:rPr>
        <w:t>—</w:t>
      </w:r>
      <w:r w:rsidRPr="00B1165D">
        <w:rPr>
          <w:noProof/>
        </w:rPr>
        <w:t xml:space="preserve"> established on 1 February 2021 </w:t>
      </w:r>
      <w:r w:rsidR="001E3646">
        <w:rPr>
          <w:noProof/>
        </w:rPr>
        <w:t>—</w:t>
      </w:r>
      <w:r w:rsidRPr="00B1165D">
        <w:rPr>
          <w:noProof/>
        </w:rPr>
        <w:t xml:space="preserve"> is responsible for child protection, prevention of family violence, housing, disability, LGBTIQA+ equality, veterans, and the offices for Women and Youth.</w:t>
      </w:r>
      <w:r w:rsidRPr="00B1165D">
        <w:rPr>
          <w:noProof/>
          <w:vertAlign w:val="superscript"/>
        </w:rPr>
        <w:footnoteReference w:id="44"/>
      </w:r>
    </w:p>
    <w:p w14:paraId="207F0B8D" w14:textId="32B7BA8D" w:rsidR="00B1165D" w:rsidRPr="00B1165D" w:rsidRDefault="00B1165D" w:rsidP="00A14D63">
      <w:pPr>
        <w:pStyle w:val="06VIRTBulletpoints"/>
        <w:rPr>
          <w:noProof/>
        </w:rPr>
      </w:pPr>
      <w:r w:rsidRPr="00B1165D">
        <w:rPr>
          <w:noProof/>
        </w:rPr>
        <w:t xml:space="preserve">The Department of Government Services </w:t>
      </w:r>
      <w:r w:rsidR="001E3646">
        <w:rPr>
          <w:noProof/>
        </w:rPr>
        <w:t>—</w:t>
      </w:r>
      <w:r w:rsidRPr="00B1165D">
        <w:rPr>
          <w:noProof/>
        </w:rPr>
        <w:t xml:space="preserve"> established on 1 January 2023 </w:t>
      </w:r>
      <w:r w:rsidR="001E3646">
        <w:rPr>
          <w:noProof/>
        </w:rPr>
        <w:t>—</w:t>
      </w:r>
      <w:r w:rsidRPr="00B1165D">
        <w:rPr>
          <w:noProof/>
        </w:rPr>
        <w:t xml:space="preserve"> aims to improve the experience Victorians have when they do business and interact with government.</w:t>
      </w:r>
      <w:r w:rsidRPr="00B1165D">
        <w:rPr>
          <w:noProof/>
          <w:vertAlign w:val="superscript"/>
        </w:rPr>
        <w:footnoteReference w:id="45"/>
      </w:r>
    </w:p>
    <w:p w14:paraId="44EAE6A8" w14:textId="77777777" w:rsidR="00B1165D" w:rsidRPr="00B1165D" w:rsidRDefault="00B1165D" w:rsidP="00DE7609">
      <w:pPr>
        <w:pStyle w:val="05Paragraph"/>
        <w:rPr>
          <w:noProof/>
        </w:rPr>
      </w:pPr>
      <w:r w:rsidRPr="00B1165D">
        <w:rPr>
          <w:noProof/>
        </w:rPr>
        <w:t>There have also been changes to AO arrangements, with AOs established, absorbed into department structures</w:t>
      </w:r>
      <w:r w:rsidRPr="00B1165D">
        <w:t>,</w:t>
      </w:r>
      <w:r w:rsidRPr="00B1165D">
        <w:rPr>
          <w:noProof/>
        </w:rPr>
        <w:t xml:space="preserve"> or becoming a public entity.</w:t>
      </w:r>
      <w:r w:rsidRPr="00B1165D">
        <w:rPr>
          <w:noProof/>
          <w:vertAlign w:val="superscript"/>
        </w:rPr>
        <w:footnoteReference w:id="46"/>
      </w:r>
      <w:r w:rsidRPr="00B1165D">
        <w:rPr>
          <w:noProof/>
        </w:rPr>
        <w:t xml:space="preserve"> As of May 2024, there were 14 AOs, compared to 16 at the time of the 2020 VPS Determination.</w:t>
      </w:r>
    </w:p>
    <w:p w14:paraId="029F8AFC" w14:textId="77777777" w:rsidR="00B1165D" w:rsidRPr="00B1165D" w:rsidRDefault="00B1165D" w:rsidP="002469DC">
      <w:pPr>
        <w:pStyle w:val="05Paragraph"/>
        <w:keepNext/>
        <w:rPr>
          <w:noProof/>
        </w:rPr>
      </w:pPr>
      <w:r w:rsidRPr="00B1165D">
        <w:rPr>
          <w:noProof/>
        </w:rPr>
        <w:lastRenderedPageBreak/>
        <w:t>The VSB submission observed that:</w:t>
      </w:r>
    </w:p>
    <w:p w14:paraId="3DA391C1" w14:textId="77777777" w:rsidR="00B1165D" w:rsidRPr="004D2C45" w:rsidRDefault="00B1165D" w:rsidP="004D2C45">
      <w:pPr>
        <w:pStyle w:val="07VIRTBreakouttext"/>
      </w:pPr>
      <w:r w:rsidRPr="004D2C45">
        <w:t>… machinery of government changes, which will always be a feature of working in the VPS, have placed significant demands on [executive officers] since 2020. As senior leaders, [executive officers] are responsible for ensuring that organisational changes are implemented effectively and efficiently, including managing the impacts of change on non-executive staff.</w:t>
      </w:r>
    </w:p>
    <w:p w14:paraId="471B7966" w14:textId="77777777" w:rsidR="00B1165D" w:rsidRPr="00B1165D" w:rsidRDefault="00B1165D" w:rsidP="00DE7609">
      <w:pPr>
        <w:pStyle w:val="03VIRTHeading3"/>
        <w:rPr>
          <w:rFonts w:eastAsia="Calibri"/>
          <w:color w:val="0F6745"/>
        </w:rPr>
      </w:pPr>
      <w:r w:rsidRPr="00B1165D">
        <w:t>Government demands on the VPS have increased alongside changes in the fiscal environment</w:t>
      </w:r>
    </w:p>
    <w:p w14:paraId="040D1833" w14:textId="29CD914E" w:rsidR="00B1165D" w:rsidRPr="00B1165D" w:rsidRDefault="00B1165D" w:rsidP="00DE7609">
      <w:pPr>
        <w:pStyle w:val="05Paragraph"/>
        <w:rPr>
          <w:noProof/>
        </w:rPr>
      </w:pPr>
      <w:r w:rsidRPr="00B1165D">
        <w:rPr>
          <w:noProof/>
        </w:rPr>
        <w:t xml:space="preserve">Since the Tribunal’s 2020 </w:t>
      </w:r>
      <w:r w:rsidR="00774B05">
        <w:rPr>
          <w:noProof/>
        </w:rPr>
        <w:t xml:space="preserve">VPS </w:t>
      </w:r>
      <w:r w:rsidRPr="00B1165D">
        <w:rPr>
          <w:noProof/>
        </w:rPr>
        <w:t xml:space="preserve">Determination, </w:t>
      </w:r>
      <w:r w:rsidRPr="00B1165D">
        <w:t>the</w:t>
      </w:r>
      <w:r w:rsidRPr="00B1165D">
        <w:rPr>
          <w:noProof/>
        </w:rPr>
        <w:t xml:space="preserve"> Victorian Government has continued to advance large-scale social initiatives, such as becoming the first Australian jurisdiction to begin negotiating a treaty with Victoria’s First Peoples. Other significant commitments </w:t>
      </w:r>
      <w:r w:rsidRPr="00B1165D">
        <w:t>include reducing</w:t>
      </w:r>
      <w:r w:rsidRPr="00B1165D">
        <w:rPr>
          <w:noProof/>
        </w:rPr>
        <w:t xml:space="preserve"> Victoria’s emissions to net zero by 2050 and implementing all 65 recommendations from the Royal Commission into Victoria’s Mental Health System.</w:t>
      </w:r>
      <w:r w:rsidRPr="00B1165D">
        <w:rPr>
          <w:noProof/>
          <w:vertAlign w:val="superscript"/>
        </w:rPr>
        <w:footnoteReference w:id="47"/>
      </w:r>
      <w:r w:rsidRPr="00B1165D">
        <w:rPr>
          <w:noProof/>
        </w:rPr>
        <w:t xml:space="preserve"> </w:t>
      </w:r>
    </w:p>
    <w:p w14:paraId="0565FD5A" w14:textId="77777777" w:rsidR="00B1165D" w:rsidRPr="00B1165D" w:rsidRDefault="00B1165D" w:rsidP="00DE7609">
      <w:pPr>
        <w:pStyle w:val="05Paragraph"/>
        <w:rPr>
          <w:noProof/>
        </w:rPr>
      </w:pPr>
      <w:r w:rsidRPr="00B1165D">
        <w:rPr>
          <w:noProof/>
        </w:rPr>
        <w:t>Additionally, there has been a strong emphasis on cross</w:t>
      </w:r>
      <w:r w:rsidRPr="00B1165D">
        <w:t>-</w:t>
      </w:r>
      <w:r w:rsidRPr="00B1165D">
        <w:rPr>
          <w:noProof/>
        </w:rPr>
        <w:t xml:space="preserve">portfolio collaboration across various policy and service delivery areas. For example, seven government departments are </w:t>
      </w:r>
      <w:r w:rsidRPr="00B1165D">
        <w:t>working together</w:t>
      </w:r>
      <w:r w:rsidRPr="00B1165D">
        <w:rPr>
          <w:noProof/>
        </w:rPr>
        <w:t xml:space="preserve"> to progress the government’s strategy to prevent family violence.</w:t>
      </w:r>
      <w:r w:rsidRPr="00B1165D">
        <w:rPr>
          <w:noProof/>
          <w:vertAlign w:val="superscript"/>
        </w:rPr>
        <w:footnoteReference w:id="48"/>
      </w:r>
    </w:p>
    <w:p w14:paraId="34B5083D" w14:textId="77777777" w:rsidR="00B1165D" w:rsidRPr="00B1165D" w:rsidRDefault="00B1165D" w:rsidP="00DE7609">
      <w:pPr>
        <w:pStyle w:val="05Paragraph"/>
        <w:rPr>
          <w:noProof/>
        </w:rPr>
      </w:pPr>
      <w:r w:rsidRPr="00B1165D">
        <w:rPr>
          <w:noProof/>
        </w:rPr>
        <w:t xml:space="preserve">Alongside the above initiatives – principally from 2020 to 2022 – the Victorian Government undertook a range of activities related to the COVID-19 pandemic, including emergency response and providing support to Victorian households and businesses. </w:t>
      </w:r>
    </w:p>
    <w:p w14:paraId="2009DBE3" w14:textId="77777777" w:rsidR="00B1165D" w:rsidRPr="00B1165D" w:rsidRDefault="00B1165D" w:rsidP="00DE7609">
      <w:pPr>
        <w:pStyle w:val="05Paragraph"/>
        <w:rPr>
          <w:noProof/>
        </w:rPr>
      </w:pPr>
      <w:r w:rsidRPr="00B1165D">
        <w:t xml:space="preserve">Recent state budgets have </w:t>
      </w:r>
      <w:r w:rsidRPr="00B1165D">
        <w:rPr>
          <w:noProof/>
        </w:rPr>
        <w:t>announced significant increases in output funding</w:t>
      </w:r>
      <w:r w:rsidRPr="00B1165D">
        <w:t>.</w:t>
      </w:r>
      <w:r w:rsidRPr="00B1165D">
        <w:rPr>
          <w:noProof/>
        </w:rPr>
        <w:t xml:space="preserve"> While a </w:t>
      </w:r>
      <w:r w:rsidRPr="00B1165D">
        <w:t>substantial portion</w:t>
      </w:r>
      <w:r w:rsidRPr="00B1165D">
        <w:rPr>
          <w:noProof/>
        </w:rPr>
        <w:t xml:space="preserve"> of this funding was </w:t>
      </w:r>
      <w:r w:rsidRPr="00B1165D">
        <w:t>allocated in response</w:t>
      </w:r>
      <w:r w:rsidRPr="00B1165D">
        <w:rPr>
          <w:noProof/>
        </w:rPr>
        <w:t xml:space="preserve"> to the COVID</w:t>
      </w:r>
      <w:r w:rsidRPr="00B1165D">
        <w:noBreakHyphen/>
      </w:r>
      <w:r w:rsidRPr="00B1165D">
        <w:rPr>
          <w:noProof/>
        </w:rPr>
        <w:t xml:space="preserve">19 pandemic, </w:t>
      </w:r>
      <w:r w:rsidRPr="00B1165D">
        <w:t>other priorities and activities</w:t>
      </w:r>
      <w:r w:rsidRPr="00B1165D">
        <w:rPr>
          <w:noProof/>
        </w:rPr>
        <w:t xml:space="preserve"> also </w:t>
      </w:r>
      <w:r w:rsidRPr="00B1165D">
        <w:t>received</w:t>
      </w:r>
      <w:r w:rsidRPr="00B1165D">
        <w:rPr>
          <w:noProof/>
        </w:rPr>
        <w:t xml:space="preserve"> significant funding</w:t>
      </w:r>
      <w:r w:rsidRPr="00B1165D">
        <w:t xml:space="preserve">. </w:t>
      </w:r>
      <w:r w:rsidRPr="00B1165D">
        <w:rPr>
          <w:noProof/>
        </w:rPr>
        <w:t xml:space="preserve">In examining the aggregate output initiative spending across recent budgets, the Tribunal observed </w:t>
      </w:r>
      <w:r w:rsidRPr="00B1165D">
        <w:t>notable</w:t>
      </w:r>
      <w:r w:rsidRPr="00B1165D">
        <w:rPr>
          <w:noProof/>
        </w:rPr>
        <w:t xml:space="preserve"> allocations and priorities:</w:t>
      </w:r>
    </w:p>
    <w:p w14:paraId="35455122" w14:textId="6FC9C755" w:rsidR="00B1165D" w:rsidRPr="00B1165D" w:rsidRDefault="006623DA" w:rsidP="00A14D63">
      <w:pPr>
        <w:pStyle w:val="06VIRTBulletpoints"/>
        <w:rPr>
          <w:noProof/>
        </w:rPr>
      </w:pPr>
      <w:r w:rsidRPr="006623DA">
        <w:rPr>
          <w:bCs/>
          <w:i/>
          <w:iCs/>
          <w:noProof/>
        </w:rPr>
        <w:t xml:space="preserve">Victorian Budget </w:t>
      </w:r>
      <w:r w:rsidR="00B1165D" w:rsidRPr="006623DA">
        <w:rPr>
          <w:bCs/>
          <w:i/>
          <w:iCs/>
          <w:noProof/>
        </w:rPr>
        <w:t>2021–22</w:t>
      </w:r>
      <w:r>
        <w:rPr>
          <w:noProof/>
        </w:rPr>
        <w:t xml:space="preserve">: </w:t>
      </w:r>
      <w:r w:rsidR="00B1165D" w:rsidRPr="00B1165D">
        <w:t>New</w:t>
      </w:r>
      <w:r w:rsidR="00B1165D" w:rsidRPr="00B1165D">
        <w:rPr>
          <w:noProof/>
        </w:rPr>
        <w:t xml:space="preserve"> output funding of $19 billion over five years, with approximately $6 billion dedicated to health services (including public </w:t>
      </w:r>
      <w:r w:rsidR="00B1165D" w:rsidRPr="00B1165D">
        <w:rPr>
          <w:noProof/>
        </w:rPr>
        <w:lastRenderedPageBreak/>
        <w:t xml:space="preserve">health activities and COVID-19 measures) and a further $3.3 billion </w:t>
      </w:r>
      <w:r w:rsidR="00B1165D" w:rsidRPr="00B1165D">
        <w:t xml:space="preserve">for </w:t>
      </w:r>
      <w:r w:rsidR="00B1165D" w:rsidRPr="00B1165D">
        <w:rPr>
          <w:noProof/>
        </w:rPr>
        <w:t xml:space="preserve">mental health </w:t>
      </w:r>
      <w:r w:rsidR="00B1165D" w:rsidRPr="00B1165D">
        <w:t>reforms</w:t>
      </w:r>
      <w:r w:rsidR="00B1165D" w:rsidRPr="00B1165D">
        <w:rPr>
          <w:noProof/>
        </w:rPr>
        <w:t>.</w:t>
      </w:r>
      <w:r w:rsidR="00B1165D" w:rsidRPr="00B1165D">
        <w:rPr>
          <w:noProof/>
          <w:vertAlign w:val="superscript"/>
        </w:rPr>
        <w:footnoteReference w:id="49"/>
      </w:r>
    </w:p>
    <w:p w14:paraId="3F464BA2" w14:textId="566FD69B" w:rsidR="00B1165D" w:rsidRPr="00B1165D" w:rsidRDefault="006623DA" w:rsidP="00A14D63">
      <w:pPr>
        <w:pStyle w:val="06VIRTBulletpoints"/>
        <w:rPr>
          <w:noProof/>
        </w:rPr>
      </w:pPr>
      <w:r w:rsidRPr="006623DA">
        <w:rPr>
          <w:bCs/>
          <w:i/>
          <w:iCs/>
          <w:noProof/>
        </w:rPr>
        <w:t xml:space="preserve">Victorian Budget </w:t>
      </w:r>
      <w:r w:rsidR="00B1165D" w:rsidRPr="006623DA">
        <w:rPr>
          <w:bCs/>
          <w:i/>
          <w:iCs/>
          <w:noProof/>
        </w:rPr>
        <w:t>2022–23</w:t>
      </w:r>
      <w:r w:rsidR="00B1165D" w:rsidRPr="006623DA">
        <w:rPr>
          <w:bCs/>
          <w:noProof/>
        </w:rPr>
        <w:t>:</w:t>
      </w:r>
      <w:r w:rsidR="00B1165D" w:rsidRPr="00B1165D">
        <w:rPr>
          <w:noProof/>
        </w:rPr>
        <w:t xml:space="preserve"> </w:t>
      </w:r>
      <w:r w:rsidR="00B1165D" w:rsidRPr="00B1165D">
        <w:t>New</w:t>
      </w:r>
      <w:r w:rsidR="00B1165D" w:rsidRPr="00B1165D">
        <w:rPr>
          <w:noProof/>
        </w:rPr>
        <w:t xml:space="preserve"> output funding of $22.2 billion over five years, with $9.3 billion </w:t>
      </w:r>
      <w:r w:rsidR="00B1165D" w:rsidRPr="00B1165D">
        <w:t xml:space="preserve">for </w:t>
      </w:r>
      <w:r w:rsidR="00B1165D" w:rsidRPr="00B1165D">
        <w:rPr>
          <w:noProof/>
        </w:rPr>
        <w:t xml:space="preserve">health </w:t>
      </w:r>
      <w:r w:rsidR="00B1165D" w:rsidRPr="00B1165D">
        <w:t xml:space="preserve">services to respond to the </w:t>
      </w:r>
      <w:r w:rsidR="00B1165D" w:rsidRPr="00B1165D">
        <w:rPr>
          <w:noProof/>
        </w:rPr>
        <w:t xml:space="preserve">COVID-19 pandemic and for increased </w:t>
      </w:r>
      <w:r w:rsidR="00B1165D" w:rsidRPr="00B1165D">
        <w:t>demand,</w:t>
      </w:r>
      <w:r w:rsidR="00B1165D" w:rsidRPr="00B1165D" w:rsidDel="00D74A22">
        <w:rPr>
          <w:noProof/>
        </w:rPr>
        <w:t xml:space="preserve"> </w:t>
      </w:r>
      <w:r w:rsidR="00B1165D" w:rsidRPr="00B1165D">
        <w:rPr>
          <w:noProof/>
        </w:rPr>
        <w:t xml:space="preserve">plus $2.6 billion allocated </w:t>
      </w:r>
      <w:r w:rsidR="00B1165D" w:rsidRPr="00B1165D">
        <w:t xml:space="preserve">for </w:t>
      </w:r>
      <w:r w:rsidR="00B1165D" w:rsidRPr="00B1165D">
        <w:rPr>
          <w:noProof/>
        </w:rPr>
        <w:t>the Commonwealth</w:t>
      </w:r>
      <w:r w:rsidR="00B1165D" w:rsidRPr="00B1165D">
        <w:t> </w:t>
      </w:r>
      <w:r w:rsidR="00B1165D" w:rsidRPr="00B1165D">
        <w:rPr>
          <w:noProof/>
        </w:rPr>
        <w:t>Games</w:t>
      </w:r>
      <w:r w:rsidR="00B1165D" w:rsidRPr="00B1165D">
        <w:t>. Following the</w:t>
      </w:r>
      <w:r w:rsidR="00B1165D" w:rsidRPr="00B1165D">
        <w:rPr>
          <w:noProof/>
        </w:rPr>
        <w:t xml:space="preserve"> cancellation of the </w:t>
      </w:r>
      <w:r w:rsidR="00BF1AA1">
        <w:rPr>
          <w:noProof/>
        </w:rPr>
        <w:t xml:space="preserve">2026 </w:t>
      </w:r>
      <w:r w:rsidR="00B1165D" w:rsidRPr="00B1165D">
        <w:rPr>
          <w:noProof/>
        </w:rPr>
        <w:t>Commonwealth Games, the Victorian Government announced a $2 billion package for regional Victoria, including housing, tourism and sporting infrastructure</w:t>
      </w:r>
      <w:r w:rsidR="00B1165D" w:rsidRPr="00B1165D">
        <w:t>.</w:t>
      </w:r>
      <w:r w:rsidR="00B1165D" w:rsidRPr="00B1165D">
        <w:rPr>
          <w:noProof/>
          <w:vertAlign w:val="superscript"/>
        </w:rPr>
        <w:footnoteReference w:id="50"/>
      </w:r>
    </w:p>
    <w:p w14:paraId="06D06E3B" w14:textId="6F021455" w:rsidR="00B1165D" w:rsidRPr="00B1165D" w:rsidRDefault="006623DA" w:rsidP="00A14D63">
      <w:pPr>
        <w:pStyle w:val="06VIRTBulletpoints"/>
        <w:rPr>
          <w:noProof/>
        </w:rPr>
      </w:pPr>
      <w:r w:rsidRPr="006623DA">
        <w:rPr>
          <w:bCs/>
          <w:i/>
          <w:iCs/>
          <w:noProof/>
        </w:rPr>
        <w:t xml:space="preserve">Victorian Budget </w:t>
      </w:r>
      <w:r w:rsidR="00B1165D" w:rsidRPr="006623DA">
        <w:rPr>
          <w:bCs/>
          <w:i/>
          <w:iCs/>
          <w:noProof/>
        </w:rPr>
        <w:t>2023–24</w:t>
      </w:r>
      <w:r w:rsidR="00B1165D" w:rsidRPr="006623DA">
        <w:rPr>
          <w:bCs/>
          <w:noProof/>
        </w:rPr>
        <w:t>:</w:t>
      </w:r>
      <w:r w:rsidR="00B1165D" w:rsidRPr="00B1165D">
        <w:rPr>
          <w:noProof/>
        </w:rPr>
        <w:t xml:space="preserve"> </w:t>
      </w:r>
      <w:r w:rsidR="00B1165D" w:rsidRPr="00B1165D">
        <w:t>New</w:t>
      </w:r>
      <w:r w:rsidR="00B1165D" w:rsidRPr="00B1165D">
        <w:rPr>
          <w:noProof/>
        </w:rPr>
        <w:t xml:space="preserve"> output funding </w:t>
      </w:r>
      <w:r w:rsidR="00B1165D" w:rsidRPr="00B1165D">
        <w:t xml:space="preserve">of $15.4 billion </w:t>
      </w:r>
      <w:r w:rsidR="00B1165D" w:rsidRPr="00B1165D">
        <w:rPr>
          <w:noProof/>
        </w:rPr>
        <w:t>over five</w:t>
      </w:r>
      <w:r w:rsidR="00B1165D" w:rsidRPr="00B1165D">
        <w:t> </w:t>
      </w:r>
      <w:r w:rsidR="00B1165D" w:rsidRPr="00B1165D">
        <w:rPr>
          <w:noProof/>
        </w:rPr>
        <w:t>years, with $4.5 billion for health (</w:t>
      </w:r>
      <w:r w:rsidR="00B1165D" w:rsidRPr="00B1165D">
        <w:t>primarily</w:t>
      </w:r>
      <w:r w:rsidR="00B1165D" w:rsidRPr="00B1165D">
        <w:rPr>
          <w:noProof/>
        </w:rPr>
        <w:t xml:space="preserve"> for public hospitals) and $2.9 billion for education (including $600 million for additional kindergarten</w:t>
      </w:r>
      <w:r w:rsidR="00B1165D" w:rsidRPr="00B1165D">
        <w:t> </w:t>
      </w:r>
      <w:r w:rsidR="00B1165D" w:rsidRPr="00B1165D">
        <w:rPr>
          <w:noProof/>
        </w:rPr>
        <w:t>services).</w:t>
      </w:r>
      <w:r w:rsidR="00B1165D" w:rsidRPr="00B1165D">
        <w:rPr>
          <w:noProof/>
          <w:vertAlign w:val="superscript"/>
        </w:rPr>
        <w:footnoteReference w:id="51"/>
      </w:r>
    </w:p>
    <w:p w14:paraId="052181E3" w14:textId="188A4036" w:rsidR="00B1165D" w:rsidRPr="00B1165D" w:rsidRDefault="006623DA" w:rsidP="00A14D63">
      <w:pPr>
        <w:pStyle w:val="06VIRTBulletpoints"/>
        <w:rPr>
          <w:noProof/>
        </w:rPr>
      </w:pPr>
      <w:r w:rsidRPr="006623DA">
        <w:rPr>
          <w:bCs/>
          <w:i/>
          <w:iCs/>
          <w:noProof/>
        </w:rPr>
        <w:t xml:space="preserve">Victorian Budget </w:t>
      </w:r>
      <w:r w:rsidR="00B1165D" w:rsidRPr="006623DA">
        <w:rPr>
          <w:bCs/>
          <w:i/>
          <w:iCs/>
          <w:noProof/>
        </w:rPr>
        <w:t>2024–25</w:t>
      </w:r>
      <w:r w:rsidR="00B1165D" w:rsidRPr="006623DA">
        <w:rPr>
          <w:bCs/>
          <w:noProof/>
        </w:rPr>
        <w:t>:</w:t>
      </w:r>
      <w:r w:rsidR="00B1165D" w:rsidRPr="00B1165D">
        <w:rPr>
          <w:noProof/>
        </w:rPr>
        <w:t xml:space="preserve"> </w:t>
      </w:r>
      <w:r w:rsidR="00B1165D" w:rsidRPr="00B1165D">
        <w:t>New</w:t>
      </w:r>
      <w:r w:rsidR="00B1165D" w:rsidRPr="00B1165D">
        <w:rPr>
          <w:noProof/>
        </w:rPr>
        <w:t xml:space="preserve"> output funding of $20.5 billion over five</w:t>
      </w:r>
      <w:r w:rsidR="00B1165D" w:rsidRPr="00B1165D">
        <w:t> </w:t>
      </w:r>
      <w:r w:rsidR="00B1165D" w:rsidRPr="00B1165D">
        <w:rPr>
          <w:noProof/>
        </w:rPr>
        <w:t xml:space="preserve">years, with $11.7 billion for health services, </w:t>
      </w:r>
      <w:r w:rsidR="00B1165D" w:rsidRPr="00B1165D">
        <w:t>mainly</w:t>
      </w:r>
      <w:r w:rsidR="00B1165D" w:rsidRPr="00B1165D">
        <w:rPr>
          <w:noProof/>
        </w:rPr>
        <w:t xml:space="preserve"> public hospitals.</w:t>
      </w:r>
      <w:r w:rsidR="00B1165D" w:rsidRPr="00B1165D">
        <w:rPr>
          <w:noProof/>
          <w:vertAlign w:val="superscript"/>
        </w:rPr>
        <w:footnoteReference w:id="52"/>
      </w:r>
      <w:r w:rsidR="00B1165D" w:rsidRPr="00B1165D">
        <w:rPr>
          <w:noProof/>
        </w:rPr>
        <w:t xml:space="preserve"> </w:t>
      </w:r>
    </w:p>
    <w:p w14:paraId="71809AA2" w14:textId="15CBAAFD" w:rsidR="00B1165D" w:rsidRPr="00B1165D" w:rsidRDefault="00B1165D" w:rsidP="00DE7609">
      <w:pPr>
        <w:pStyle w:val="05Paragraph"/>
        <w:rPr>
          <w:iCs/>
          <w:noProof/>
        </w:rPr>
      </w:pPr>
      <w:r w:rsidRPr="00B1165D">
        <w:rPr>
          <w:noProof/>
        </w:rPr>
        <w:t xml:space="preserve">In addition to output funding, the </w:t>
      </w:r>
      <w:r w:rsidRPr="00B1165D">
        <w:t>government’s</w:t>
      </w:r>
      <w:r w:rsidRPr="00B1165D">
        <w:rPr>
          <w:noProof/>
        </w:rPr>
        <w:t xml:space="preserve"> infrastructure program has continued to grow</w:t>
      </w:r>
      <w:r w:rsidRPr="00B1165D">
        <w:t xml:space="preserve">. </w:t>
      </w:r>
      <w:r w:rsidR="00640229">
        <w:t>Government</w:t>
      </w:r>
      <w:r w:rsidRPr="00B1165D">
        <w:rPr>
          <w:noProof/>
        </w:rPr>
        <w:t xml:space="preserve"> infrastructure investment </w:t>
      </w:r>
      <w:r w:rsidRPr="00B1165D">
        <w:t>increased</w:t>
      </w:r>
      <w:r w:rsidRPr="00B1165D">
        <w:rPr>
          <w:noProof/>
        </w:rPr>
        <w:t xml:space="preserve"> from $</w:t>
      </w:r>
      <w:r w:rsidR="00126448">
        <w:rPr>
          <w:noProof/>
        </w:rPr>
        <w:t>12.0</w:t>
      </w:r>
      <w:r w:rsidRPr="00B1165D">
        <w:rPr>
          <w:noProof/>
        </w:rPr>
        <w:t xml:space="preserve"> billion in 2019</w:t>
      </w:r>
      <w:r w:rsidR="00E53332">
        <w:rPr>
          <w:noProof/>
        </w:rPr>
        <w:t>-</w:t>
      </w:r>
      <w:r w:rsidRPr="00B1165D">
        <w:rPr>
          <w:noProof/>
        </w:rPr>
        <w:t>20 to $</w:t>
      </w:r>
      <w:r w:rsidR="00D256C5">
        <w:rPr>
          <w:noProof/>
        </w:rPr>
        <w:t>24.0</w:t>
      </w:r>
      <w:r w:rsidRPr="00B1165D">
        <w:rPr>
          <w:noProof/>
        </w:rPr>
        <w:t xml:space="preserve"> billion in 2023</w:t>
      </w:r>
      <w:r w:rsidR="00D13A3B">
        <w:rPr>
          <w:noProof/>
        </w:rPr>
        <w:t>-</w:t>
      </w:r>
      <w:r w:rsidRPr="00B1165D">
        <w:t>24.</w:t>
      </w:r>
      <w:r w:rsidRPr="00B1165D">
        <w:rPr>
          <w:vertAlign w:val="superscript"/>
        </w:rPr>
        <w:footnoteReference w:id="53"/>
      </w:r>
      <w:r w:rsidRPr="00B1165D">
        <w:t xml:space="preserve"> However</w:t>
      </w:r>
      <w:r w:rsidRPr="00B1165D">
        <w:rPr>
          <w:noProof/>
        </w:rPr>
        <w:t xml:space="preserve">, the </w:t>
      </w:r>
      <w:r w:rsidR="006C02AA">
        <w:rPr>
          <w:i/>
          <w:iCs/>
          <w:noProof/>
        </w:rPr>
        <w:t>Victorian</w:t>
      </w:r>
      <w:r w:rsidRPr="00B1165D">
        <w:rPr>
          <w:i/>
          <w:iCs/>
          <w:noProof/>
        </w:rPr>
        <w:t xml:space="preserve"> Budget</w:t>
      </w:r>
      <w:r w:rsidR="006C02AA">
        <w:rPr>
          <w:i/>
          <w:iCs/>
          <w:noProof/>
        </w:rPr>
        <w:t xml:space="preserve"> </w:t>
      </w:r>
      <w:r w:rsidRPr="00B1165D">
        <w:rPr>
          <w:i/>
          <w:iCs/>
          <w:noProof/>
        </w:rPr>
        <w:t>2024</w:t>
      </w:r>
      <w:r w:rsidRPr="00B1165D">
        <w:rPr>
          <w:i/>
          <w:iCs/>
        </w:rPr>
        <w:t>–</w:t>
      </w:r>
      <w:r w:rsidRPr="00B1165D">
        <w:rPr>
          <w:i/>
          <w:iCs/>
          <w:noProof/>
        </w:rPr>
        <w:t>25</w:t>
      </w:r>
      <w:r w:rsidRPr="00B1165D">
        <w:t xml:space="preserve"> </w:t>
      </w:r>
      <w:r w:rsidR="00B81DD7">
        <w:rPr>
          <w:noProof/>
        </w:rPr>
        <w:t>(2024</w:t>
      </w:r>
      <w:r w:rsidR="00E53332">
        <w:rPr>
          <w:noProof/>
        </w:rPr>
        <w:t>-</w:t>
      </w:r>
      <w:r w:rsidR="00B81DD7">
        <w:rPr>
          <w:noProof/>
        </w:rPr>
        <w:t>25</w:t>
      </w:r>
      <w:r>
        <w:t xml:space="preserve"> Budget</w:t>
      </w:r>
      <w:r w:rsidR="00B81DD7">
        <w:rPr>
          <w:noProof/>
        </w:rPr>
        <w:t>)</w:t>
      </w:r>
      <w:r w:rsidRPr="00B1165D">
        <w:rPr>
          <w:noProof/>
        </w:rPr>
        <w:t xml:space="preserve"> estimates that </w:t>
      </w:r>
      <w:r w:rsidR="00E53332">
        <w:rPr>
          <w:noProof/>
        </w:rPr>
        <w:t>government</w:t>
      </w:r>
      <w:r w:rsidRPr="00B1165D">
        <w:rPr>
          <w:noProof/>
        </w:rPr>
        <w:t xml:space="preserve"> infrastructure investment will moderate in future years and return to pre-</w:t>
      </w:r>
      <w:r w:rsidRPr="00B1165D">
        <w:t>pandemic</w:t>
      </w:r>
      <w:r w:rsidRPr="00B1165D">
        <w:rPr>
          <w:noProof/>
        </w:rPr>
        <w:t xml:space="preserve"> levels by 2027</w:t>
      </w:r>
      <w:r w:rsidR="009A68E5">
        <w:t>-</w:t>
      </w:r>
      <w:r w:rsidRPr="00B1165D">
        <w:t>28.</w:t>
      </w:r>
      <w:r w:rsidRPr="00B1165D">
        <w:rPr>
          <w:vertAlign w:val="superscript"/>
        </w:rPr>
        <w:footnoteReference w:id="54"/>
      </w:r>
      <w:r w:rsidRPr="00B1165D">
        <w:t xml:space="preserve"> While the majority</w:t>
      </w:r>
      <w:r w:rsidRPr="00B1165D">
        <w:rPr>
          <w:noProof/>
        </w:rPr>
        <w:t xml:space="preserve"> of the </w:t>
      </w:r>
      <w:r w:rsidRPr="00B1165D">
        <w:t>government’s</w:t>
      </w:r>
      <w:r w:rsidRPr="00B1165D">
        <w:rPr>
          <w:noProof/>
        </w:rPr>
        <w:t xml:space="preserve"> investment program </w:t>
      </w:r>
      <w:r w:rsidRPr="00B1165D">
        <w:t>focuses</w:t>
      </w:r>
      <w:r w:rsidRPr="00B1165D">
        <w:rPr>
          <w:noProof/>
        </w:rPr>
        <w:t xml:space="preserve"> on transport infrastructure, significant construction </w:t>
      </w:r>
      <w:r w:rsidRPr="00B1165D">
        <w:t xml:space="preserve">is also </w:t>
      </w:r>
      <w:r w:rsidRPr="00B1165D">
        <w:rPr>
          <w:noProof/>
        </w:rPr>
        <w:t xml:space="preserve">underway or planned </w:t>
      </w:r>
      <w:r w:rsidRPr="00B1165D">
        <w:t>for</w:t>
      </w:r>
      <w:r w:rsidRPr="00B1165D">
        <w:rPr>
          <w:noProof/>
        </w:rPr>
        <w:t xml:space="preserve"> public hospitals, schools</w:t>
      </w:r>
      <w:r w:rsidRPr="00B1165D">
        <w:t>,</w:t>
      </w:r>
      <w:r w:rsidRPr="00B1165D">
        <w:rPr>
          <w:noProof/>
        </w:rPr>
        <w:t xml:space="preserve"> and public</w:t>
      </w:r>
      <w:r w:rsidRPr="00B1165D">
        <w:t> </w:t>
      </w:r>
      <w:r w:rsidRPr="00B1165D">
        <w:rPr>
          <w:noProof/>
        </w:rPr>
        <w:t>housing</w:t>
      </w:r>
      <w:r w:rsidRPr="00B1165D">
        <w:t>.</w:t>
      </w:r>
      <w:r w:rsidRPr="00B1165D">
        <w:rPr>
          <w:vertAlign w:val="superscript"/>
        </w:rPr>
        <w:footnoteReference w:id="55"/>
      </w:r>
    </w:p>
    <w:p w14:paraId="6DB92964" w14:textId="77777777" w:rsidR="00B1165D" w:rsidRPr="00B1165D" w:rsidRDefault="00B1165D" w:rsidP="00DE7609">
      <w:pPr>
        <w:pStyle w:val="05Paragraph"/>
        <w:rPr>
          <w:noProof/>
        </w:rPr>
      </w:pPr>
      <w:r w:rsidRPr="00B1165D">
        <w:t xml:space="preserve">Along with </w:t>
      </w:r>
      <w:r w:rsidRPr="00B1165D">
        <w:rPr>
          <w:noProof/>
        </w:rPr>
        <w:t xml:space="preserve">investment in public services, there </w:t>
      </w:r>
      <w:r w:rsidRPr="00B1165D">
        <w:t>is also a</w:t>
      </w:r>
      <w:r w:rsidRPr="00B1165D">
        <w:rPr>
          <w:noProof/>
        </w:rPr>
        <w:t xml:space="preserve"> focus on identifying savings and </w:t>
      </w:r>
      <w:r w:rsidRPr="00B1165D">
        <w:t>enhancing</w:t>
      </w:r>
      <w:r w:rsidRPr="00B1165D">
        <w:rPr>
          <w:noProof/>
        </w:rPr>
        <w:t xml:space="preserve"> efficiency </w:t>
      </w:r>
      <w:r w:rsidRPr="00B1165D">
        <w:t>in</w:t>
      </w:r>
      <w:r w:rsidRPr="00B1165D">
        <w:rPr>
          <w:noProof/>
        </w:rPr>
        <w:t xml:space="preserve"> government activities. </w:t>
      </w:r>
    </w:p>
    <w:p w14:paraId="7375DAEF" w14:textId="1FBE0240" w:rsidR="00B1165D" w:rsidRPr="00B1165D" w:rsidRDefault="00B1165D" w:rsidP="00DE7609">
      <w:pPr>
        <w:pStyle w:val="05Paragraph"/>
        <w:rPr>
          <w:noProof/>
        </w:rPr>
      </w:pPr>
      <w:r w:rsidRPr="00B1165D">
        <w:rPr>
          <w:noProof/>
        </w:rPr>
        <w:t>The Victorian Government estimated a direct COVID debt of $31.5 billion for activities primarily delivered between 2019</w:t>
      </w:r>
      <w:r w:rsidR="00CC474F">
        <w:rPr>
          <w:noProof/>
        </w:rPr>
        <w:t>-</w:t>
      </w:r>
      <w:r w:rsidRPr="00B1165D">
        <w:rPr>
          <w:noProof/>
        </w:rPr>
        <w:t>20 and 2022</w:t>
      </w:r>
      <w:r w:rsidR="00CC474F">
        <w:rPr>
          <w:noProof/>
        </w:rPr>
        <w:t>-</w:t>
      </w:r>
      <w:r w:rsidRPr="00B1165D">
        <w:rPr>
          <w:noProof/>
        </w:rPr>
        <w:t>23. In response, the government announced a COVID Debt Repayment Plan in May 2023</w:t>
      </w:r>
      <w:r w:rsidRPr="00B1165D">
        <w:t>, which</w:t>
      </w:r>
      <w:r w:rsidRPr="00B1165D">
        <w:rPr>
          <w:noProof/>
        </w:rPr>
        <w:t xml:space="preserve"> includes $2.1 billion in savings over four years to restore the size of the VPS back towards pre-pandemic levels, </w:t>
      </w:r>
      <w:r w:rsidRPr="004A20B3">
        <w:rPr>
          <w:noProof/>
        </w:rPr>
        <w:t xml:space="preserve">with a reduction of around 3,000 to 4,000 roles in </w:t>
      </w:r>
      <w:r w:rsidRPr="004A20B3">
        <w:rPr>
          <w:noProof/>
        </w:rPr>
        <w:lastRenderedPageBreak/>
        <w:t>2023</w:t>
      </w:r>
      <w:r w:rsidR="00BF1AA1">
        <w:rPr>
          <w:noProof/>
        </w:rPr>
        <w:t>-</w:t>
      </w:r>
      <w:r w:rsidRPr="004A20B3">
        <w:rPr>
          <w:noProof/>
        </w:rPr>
        <w:t>24</w:t>
      </w:r>
      <w:r w:rsidRPr="00B1165D">
        <w:rPr>
          <w:noProof/>
        </w:rPr>
        <w:t>.</w:t>
      </w:r>
      <w:r w:rsidRPr="00B1165D">
        <w:rPr>
          <w:noProof/>
          <w:vertAlign w:val="superscript"/>
        </w:rPr>
        <w:footnoteReference w:id="56"/>
      </w:r>
      <w:r w:rsidRPr="00B1165D">
        <w:rPr>
          <w:noProof/>
        </w:rPr>
        <w:t xml:space="preserve"> </w:t>
      </w:r>
      <w:r w:rsidRPr="00B1165D">
        <w:t>Additionally,</w:t>
      </w:r>
      <w:r w:rsidRPr="00B1165D">
        <w:rPr>
          <w:noProof/>
        </w:rPr>
        <w:t xml:space="preserve"> $800 million </w:t>
      </w:r>
      <w:r w:rsidRPr="00B1165D">
        <w:t>in</w:t>
      </w:r>
      <w:r w:rsidRPr="00B1165D">
        <w:rPr>
          <w:noProof/>
        </w:rPr>
        <w:t xml:space="preserve"> general savings and efficiency measures were </w:t>
      </w:r>
      <w:r w:rsidRPr="00B1165D">
        <w:t>announced</w:t>
      </w:r>
      <w:r w:rsidRPr="00B1165D">
        <w:rPr>
          <w:noProof/>
        </w:rPr>
        <w:t xml:space="preserve"> at the same time.</w:t>
      </w:r>
      <w:r w:rsidRPr="00B1165D">
        <w:rPr>
          <w:noProof/>
          <w:vertAlign w:val="superscript"/>
        </w:rPr>
        <w:footnoteReference w:id="57"/>
      </w:r>
      <w:r w:rsidRPr="00B1165D">
        <w:rPr>
          <w:noProof/>
        </w:rPr>
        <w:t xml:space="preserve">   </w:t>
      </w:r>
    </w:p>
    <w:p w14:paraId="0B5CFB8A" w14:textId="43AFE406" w:rsidR="00B1165D" w:rsidRPr="00B1165D" w:rsidRDefault="00B1165D" w:rsidP="00DE7609">
      <w:pPr>
        <w:pStyle w:val="05Paragraph"/>
        <w:rPr>
          <w:noProof/>
        </w:rPr>
      </w:pPr>
      <w:r w:rsidRPr="00B1165D">
        <w:rPr>
          <w:noProof/>
        </w:rPr>
        <w:t xml:space="preserve">The </w:t>
      </w:r>
      <w:r w:rsidRPr="00B81DD7">
        <w:t>2024</w:t>
      </w:r>
      <w:r w:rsidR="00BF1AA1">
        <w:t>-</w:t>
      </w:r>
      <w:r w:rsidRPr="00B81DD7">
        <w:t>25 Budget</w:t>
      </w:r>
      <w:r w:rsidRPr="00B1165D">
        <w:rPr>
          <w:noProof/>
        </w:rPr>
        <w:t xml:space="preserve"> included further measures, </w:t>
      </w:r>
      <w:r w:rsidRPr="00B1165D">
        <w:t>such as consolidating</w:t>
      </w:r>
      <w:r w:rsidRPr="00B1165D">
        <w:rPr>
          <w:noProof/>
        </w:rPr>
        <w:t xml:space="preserve"> certain services, concluding </w:t>
      </w:r>
      <w:r w:rsidRPr="00B1165D">
        <w:t>specific programs,</w:t>
      </w:r>
      <w:r w:rsidRPr="00B1165D">
        <w:rPr>
          <w:noProof/>
        </w:rPr>
        <w:t xml:space="preserve"> and rephasing expenditure, expected to realise approximately $1.8 </w:t>
      </w:r>
      <w:r w:rsidRPr="00B1165D">
        <w:t>billion</w:t>
      </w:r>
      <w:r w:rsidRPr="00B1165D">
        <w:rPr>
          <w:noProof/>
        </w:rPr>
        <w:t xml:space="preserve"> over five years.</w:t>
      </w:r>
      <w:r w:rsidRPr="00B1165D">
        <w:rPr>
          <w:noProof/>
          <w:vertAlign w:val="superscript"/>
        </w:rPr>
        <w:footnoteReference w:id="58"/>
      </w:r>
      <w:r w:rsidRPr="00B1165D">
        <w:rPr>
          <w:noProof/>
        </w:rPr>
        <w:t xml:space="preserve"> </w:t>
      </w:r>
    </w:p>
    <w:p w14:paraId="092A823A" w14:textId="36AE6D62" w:rsidR="00B1165D" w:rsidRPr="00B1165D" w:rsidRDefault="00B1165D" w:rsidP="00DE7609">
      <w:pPr>
        <w:pStyle w:val="05Paragraph"/>
      </w:pPr>
      <w:r w:rsidRPr="00B1165D">
        <w:t xml:space="preserve">The trends identified above have </w:t>
      </w:r>
      <w:r w:rsidRPr="00B1165D">
        <w:rPr>
          <w:noProof/>
        </w:rPr>
        <w:t xml:space="preserve">significant implications for VPS executives. </w:t>
      </w:r>
      <w:r w:rsidRPr="00B1165D">
        <w:t>For instance,</w:t>
      </w:r>
      <w:r w:rsidR="003F7CA4">
        <w:t xml:space="preserve"> the</w:t>
      </w:r>
      <w:r w:rsidRPr="00B1165D">
        <w:t xml:space="preserve"> VSB’s submission highlighted that market constraints are disrupting</w:t>
      </w:r>
      <w:r w:rsidRPr="00B1165D">
        <w:rPr>
          <w:noProof/>
        </w:rPr>
        <w:t xml:space="preserve"> infrastructure projects, including </w:t>
      </w:r>
      <w:r w:rsidRPr="00B1165D">
        <w:t xml:space="preserve">nationwide labour shortages and supply chain issues. As a result, executives will need to adopt innovative approaches to procurement and construction to address these challenges. Additionally, </w:t>
      </w:r>
      <w:r w:rsidR="003F7CA4">
        <w:t xml:space="preserve">the </w:t>
      </w:r>
      <w:r w:rsidRPr="00B1165D">
        <w:t>VSB’s submission noted that recent saving initiatives have substantially impacted the role of executives, with key components of roles being:</w:t>
      </w:r>
    </w:p>
    <w:p w14:paraId="3ED29B2D" w14:textId="77777777" w:rsidR="00B1165D" w:rsidRPr="00B1165D" w:rsidRDefault="00B1165D" w:rsidP="00F23ED6">
      <w:pPr>
        <w:pStyle w:val="07VIRTBreakouttext"/>
        <w:rPr>
          <w:rFonts w:eastAsia="Calibri"/>
          <w:i w:val="0"/>
        </w:rPr>
      </w:pPr>
      <w:r w:rsidRPr="00B1165D">
        <w:t>Planning, communicating and implementing workforce reductions, while supporting staff wellbeing and engagement and delivering on priorities …</w:t>
      </w:r>
    </w:p>
    <w:p w14:paraId="3097D85A" w14:textId="77777777" w:rsidR="00B1165D" w:rsidRPr="00B1165D" w:rsidRDefault="00B1165D" w:rsidP="00DE7609">
      <w:pPr>
        <w:pStyle w:val="05Paragraph"/>
        <w:rPr>
          <w:noProof/>
        </w:rPr>
      </w:pPr>
      <w:r w:rsidRPr="00B1165D">
        <w:rPr>
          <w:noProof/>
        </w:rPr>
        <w:t xml:space="preserve">The Tribunal’s consultations with individual Secretaries </w:t>
      </w:r>
      <w:r w:rsidRPr="00B1165D">
        <w:t>further</w:t>
      </w:r>
      <w:r w:rsidRPr="00B1165D">
        <w:rPr>
          <w:noProof/>
        </w:rPr>
        <w:t xml:space="preserve"> revealed that executives </w:t>
      </w:r>
      <w:r w:rsidRPr="00B1165D">
        <w:t>must</w:t>
      </w:r>
      <w:r w:rsidRPr="00B1165D">
        <w:rPr>
          <w:noProof/>
        </w:rPr>
        <w:t xml:space="preserve"> respond to </w:t>
      </w:r>
      <w:r w:rsidRPr="00B1165D">
        <w:t>increasing demands due to</w:t>
      </w:r>
      <w:r w:rsidRPr="00B1165D">
        <w:rPr>
          <w:noProof/>
        </w:rPr>
        <w:t xml:space="preserve"> expanding levels of government activity and </w:t>
      </w:r>
      <w:r w:rsidRPr="00B1165D">
        <w:t xml:space="preserve">heightened public </w:t>
      </w:r>
      <w:r w:rsidRPr="00B1165D">
        <w:rPr>
          <w:noProof/>
        </w:rPr>
        <w:t xml:space="preserve">expectations across a broad </w:t>
      </w:r>
      <w:r w:rsidRPr="00B1165D">
        <w:t>range of areas.</w:t>
      </w:r>
      <w:r w:rsidRPr="00B1165D">
        <w:rPr>
          <w:vertAlign w:val="superscript"/>
        </w:rPr>
        <w:footnoteReference w:id="59"/>
      </w:r>
      <w:r w:rsidRPr="00B1165D">
        <w:rPr>
          <w:noProof/>
        </w:rPr>
        <w:t xml:space="preserve">  </w:t>
      </w:r>
    </w:p>
    <w:p w14:paraId="45219B36" w14:textId="77777777" w:rsidR="00B1165D" w:rsidRPr="00B1165D" w:rsidRDefault="00B1165D" w:rsidP="00DE7609">
      <w:pPr>
        <w:pStyle w:val="03VIRTHeading3"/>
        <w:rPr>
          <w:rFonts w:eastAsia="Calibri"/>
          <w:color w:val="0F6745"/>
        </w:rPr>
      </w:pPr>
      <w:r w:rsidRPr="00B1165D">
        <w:t>There have been shifts in ways of working across the VPS</w:t>
      </w:r>
    </w:p>
    <w:p w14:paraId="354C3764" w14:textId="77777777" w:rsidR="00B1165D" w:rsidRPr="00B1165D" w:rsidRDefault="00B1165D" w:rsidP="00DE7609">
      <w:pPr>
        <w:pStyle w:val="05Paragraph"/>
        <w:rPr>
          <w:noProof/>
        </w:rPr>
      </w:pPr>
      <w:r w:rsidRPr="00B1165D">
        <w:rPr>
          <w:noProof/>
        </w:rPr>
        <w:t>One of the legacies of the COVID-19 pandemic has been increased flexible working arrangements, particularly for office</w:t>
      </w:r>
      <w:r w:rsidRPr="00B1165D">
        <w:rPr>
          <w:noProof/>
        </w:rPr>
        <w:noBreakHyphen/>
        <w:t>based workers. VPSC data shows that half of VPS employees are choosing to work remotely some of the time.</w:t>
      </w:r>
      <w:r w:rsidRPr="00B1165D">
        <w:rPr>
          <w:noProof/>
          <w:vertAlign w:val="superscript"/>
        </w:rPr>
        <w:footnoteReference w:id="60"/>
      </w:r>
    </w:p>
    <w:p w14:paraId="47F5C9D3" w14:textId="77777777" w:rsidR="00B1165D" w:rsidRPr="00B1165D" w:rsidRDefault="00B1165D" w:rsidP="00DE7609">
      <w:pPr>
        <w:pStyle w:val="05Paragraph"/>
        <w:rPr>
          <w:noProof/>
        </w:rPr>
      </w:pPr>
      <w:r w:rsidRPr="00B1165D">
        <w:rPr>
          <w:noProof/>
        </w:rPr>
        <w:t>The VSB submission noted:</w:t>
      </w:r>
    </w:p>
    <w:p w14:paraId="3B4C7CF8" w14:textId="7FEB083F" w:rsidR="00B1165D" w:rsidRPr="00B1165D" w:rsidRDefault="00B1165D" w:rsidP="00B55CBE">
      <w:pPr>
        <w:pStyle w:val="07VIRTBreakouttext"/>
      </w:pPr>
      <w:r w:rsidRPr="00B1165D">
        <w:t>… hybrid and flexible working has been normalised, embedding working</w:t>
      </w:r>
      <w:r w:rsidR="00A521B9">
        <w:noBreakHyphen/>
      </w:r>
      <w:r w:rsidRPr="00B1165D">
        <w:t>from</w:t>
      </w:r>
      <w:r w:rsidR="00A521B9">
        <w:noBreakHyphen/>
      </w:r>
      <w:r w:rsidRPr="00B1165D">
        <w:t xml:space="preserve">home and the office as a feature of public service employment. While hybrid-working opportunities are available across many </w:t>
      </w:r>
      <w:r w:rsidRPr="00B1165D">
        <w:lastRenderedPageBreak/>
        <w:t>industries, particularly within Victoria, the embedding of hybrid-working is a benefit of working in the VPS.</w:t>
      </w:r>
    </w:p>
    <w:p w14:paraId="0062FD5B" w14:textId="03022795" w:rsidR="00B1165D" w:rsidRPr="00B1165D" w:rsidRDefault="00B1165D" w:rsidP="00DE7609">
      <w:pPr>
        <w:pStyle w:val="05Paragraph"/>
        <w:rPr>
          <w:noProof/>
        </w:rPr>
      </w:pPr>
      <w:r w:rsidRPr="00B1165D">
        <w:rPr>
          <w:noProof/>
        </w:rPr>
        <w:t xml:space="preserve">The VPSC’s </w:t>
      </w:r>
      <w:r w:rsidRPr="00B1165D">
        <w:rPr>
          <w:i/>
          <w:iCs/>
          <w:noProof/>
        </w:rPr>
        <w:t>Flexible work policy</w:t>
      </w:r>
      <w:r w:rsidRPr="00B1165D">
        <w:rPr>
          <w:noProof/>
        </w:rPr>
        <w:t xml:space="preserve"> applies to all VPS staff, including executives. The policy states that ‘flexible work is the government’s default position’ and provides examples of flexible work including compressed work weeks, flexible start and finish times and flexible daily schedules.</w:t>
      </w:r>
      <w:r w:rsidRPr="00B1165D">
        <w:rPr>
          <w:noProof/>
          <w:vertAlign w:val="superscript"/>
        </w:rPr>
        <w:footnoteReference w:id="61"/>
      </w:r>
      <w:r w:rsidRPr="00B1165D">
        <w:rPr>
          <w:noProof/>
        </w:rPr>
        <w:t xml:space="preserve"> VSB also published guidance providing further detail to the policy for office-based employees</w:t>
      </w:r>
      <w:r w:rsidR="00B61111">
        <w:rPr>
          <w:noProof/>
        </w:rPr>
        <w:t>, which</w:t>
      </w:r>
      <w:r w:rsidRPr="00B1165D">
        <w:rPr>
          <w:noProof/>
        </w:rPr>
        <w:t xml:space="preserve"> states that the ‘default starting position for application of the flexible work policy is three days a week in the office for full-time office-based VPS employees.’</w:t>
      </w:r>
      <w:r w:rsidRPr="00B1165D">
        <w:rPr>
          <w:noProof/>
          <w:vertAlign w:val="superscript"/>
        </w:rPr>
        <w:footnoteReference w:id="62"/>
      </w:r>
    </w:p>
    <w:p w14:paraId="709E3591" w14:textId="77777777" w:rsidR="00B1165D" w:rsidRPr="00B1165D" w:rsidRDefault="00B1165D" w:rsidP="00DE7609">
      <w:pPr>
        <w:pStyle w:val="05Paragraph"/>
        <w:rPr>
          <w:noProof/>
        </w:rPr>
      </w:pPr>
      <w:r w:rsidRPr="00B1165D">
        <w:rPr>
          <w:noProof/>
        </w:rPr>
        <w:t>The Organisation for Economic Co-operation and Development (OECD) commented on the public service’s role in the future of hybrid work:</w:t>
      </w:r>
      <w:r w:rsidRPr="00B1165D">
        <w:rPr>
          <w:noProof/>
          <w:vertAlign w:val="superscript"/>
        </w:rPr>
        <w:footnoteReference w:id="63"/>
      </w:r>
    </w:p>
    <w:p w14:paraId="0079EDA6" w14:textId="77777777" w:rsidR="00B1165D" w:rsidRPr="00B1165D" w:rsidRDefault="00B1165D" w:rsidP="00B55CBE">
      <w:pPr>
        <w:pStyle w:val="07VIRTBreakouttext"/>
      </w:pPr>
      <w:r w:rsidRPr="00B1165D">
        <w:t xml:space="preserve">… public administrations must reconcile the tension between going back to the way things were before the pandemic … and shaping a ‘new normal’ centred around greater individualisation of working modalities, including greater flexibility in working hours and location. </w:t>
      </w:r>
    </w:p>
    <w:p w14:paraId="609E9F71" w14:textId="77777777" w:rsidR="00B1165D" w:rsidRPr="00B1165D" w:rsidRDefault="00B1165D" w:rsidP="005642C2">
      <w:pPr>
        <w:pStyle w:val="05Paragraph"/>
        <w:keepNext/>
        <w:rPr>
          <w:noProof/>
        </w:rPr>
      </w:pPr>
      <w:r w:rsidRPr="00B1165D">
        <w:rPr>
          <w:noProof/>
        </w:rPr>
        <w:t>Some challenges for public sector executives in managing a hybrid workplace include:</w:t>
      </w:r>
      <w:r w:rsidRPr="00B1165D">
        <w:rPr>
          <w:noProof/>
          <w:vertAlign w:val="superscript"/>
        </w:rPr>
        <w:footnoteReference w:id="64"/>
      </w:r>
    </w:p>
    <w:p w14:paraId="40579D59" w14:textId="77777777" w:rsidR="00B1165D" w:rsidRPr="00B1165D" w:rsidRDefault="00B1165D" w:rsidP="00B55CBE">
      <w:pPr>
        <w:pStyle w:val="06VIRTBulletpoints"/>
        <w:rPr>
          <w:noProof/>
        </w:rPr>
      </w:pPr>
      <w:r w:rsidRPr="00B1165D">
        <w:rPr>
          <w:noProof/>
        </w:rPr>
        <w:t>maximising productivity, including by redesigning work to focusing on a ‘digital-first’ way of working</w:t>
      </w:r>
    </w:p>
    <w:p w14:paraId="7C3C48D4" w14:textId="77777777" w:rsidR="00B1165D" w:rsidRPr="00B1165D" w:rsidRDefault="00B1165D" w:rsidP="00B55CBE">
      <w:pPr>
        <w:pStyle w:val="06VIRTBulletpoints"/>
        <w:rPr>
          <w:noProof/>
        </w:rPr>
      </w:pPr>
      <w:r w:rsidRPr="00B1165D">
        <w:rPr>
          <w:noProof/>
        </w:rPr>
        <w:t>creating opportunities for socialisation, networking</w:t>
      </w:r>
      <w:r w:rsidRPr="00B1165D">
        <w:t>,</w:t>
      </w:r>
      <w:r w:rsidRPr="00B1165D">
        <w:rPr>
          <w:noProof/>
        </w:rPr>
        <w:t xml:space="preserve"> and mentoring, including by encouraging employees to strategically plan their in-person days</w:t>
      </w:r>
    </w:p>
    <w:p w14:paraId="2FC2E3A1" w14:textId="77777777" w:rsidR="00B1165D" w:rsidRPr="00B1165D" w:rsidRDefault="00B1165D" w:rsidP="00B55CBE">
      <w:pPr>
        <w:pStyle w:val="06VIRTBulletpoints"/>
        <w:rPr>
          <w:noProof/>
        </w:rPr>
      </w:pPr>
      <w:r w:rsidRPr="00B1165D">
        <w:rPr>
          <w:noProof/>
        </w:rPr>
        <w:t>adapting the physical workplace for the needs of hybrid work, such as increased use of collaborative spaces.</w:t>
      </w:r>
    </w:p>
    <w:p w14:paraId="62A35FA4" w14:textId="77777777" w:rsidR="00B1165D" w:rsidRPr="00B1165D" w:rsidRDefault="00B1165D" w:rsidP="00DE7609">
      <w:pPr>
        <w:pStyle w:val="05Paragraph"/>
        <w:rPr>
          <w:noProof/>
        </w:rPr>
      </w:pPr>
      <w:r w:rsidRPr="00B1165D">
        <w:rPr>
          <w:noProof/>
        </w:rPr>
        <w:t xml:space="preserve">Access to flexible working arrangements is also a critical factor for progressing gender equal workplaces. Under the </w:t>
      </w:r>
      <w:r w:rsidRPr="00B1165D">
        <w:rPr>
          <w:i/>
          <w:iCs/>
          <w:noProof/>
        </w:rPr>
        <w:t>Gender Equality Act 2020</w:t>
      </w:r>
      <w:r w:rsidRPr="00B1165D">
        <w:rPr>
          <w:noProof/>
        </w:rPr>
        <w:t xml:space="preserve"> (Vic</w:t>
      </w:r>
      <w:r w:rsidRPr="00B1165D">
        <w:t>) (GE Act</w:t>
      </w:r>
      <w:r w:rsidRPr="00B1165D">
        <w:rPr>
          <w:noProof/>
        </w:rPr>
        <w:t>), the availability and utilisation of flexible working arrangements is listed as a workplace gender equality indicator. According to DFFH, optimising flexible working into the future will be vital for the VPS as it works towards halving the gender pay gap in the Victorian public sector within five years (by 2028).</w:t>
      </w:r>
      <w:r w:rsidRPr="00B1165D">
        <w:rPr>
          <w:noProof/>
          <w:vertAlign w:val="superscript"/>
        </w:rPr>
        <w:footnoteReference w:id="65"/>
      </w:r>
    </w:p>
    <w:p w14:paraId="309913B6" w14:textId="77777777" w:rsidR="00B1165D" w:rsidRPr="00B1165D" w:rsidRDefault="00B1165D" w:rsidP="00DE7609">
      <w:pPr>
        <w:pStyle w:val="03VIRTHeading3"/>
        <w:rPr>
          <w:rFonts w:eastAsia="Calibri"/>
          <w:color w:val="0F6745"/>
        </w:rPr>
      </w:pPr>
      <w:r w:rsidRPr="00B1165D">
        <w:lastRenderedPageBreak/>
        <w:t>The government has committed to improving gender equality in the VPS</w:t>
      </w:r>
    </w:p>
    <w:p w14:paraId="7B95EDA1" w14:textId="77777777" w:rsidR="00B1165D" w:rsidRPr="00B1165D" w:rsidRDefault="00B1165D" w:rsidP="00DE7609">
      <w:pPr>
        <w:pStyle w:val="05Paragraph"/>
        <w:rPr>
          <w:noProof/>
        </w:rPr>
      </w:pPr>
      <w:r w:rsidRPr="00B1165D">
        <w:rPr>
          <w:noProof/>
        </w:rPr>
        <w:t xml:space="preserve">Under the </w:t>
      </w:r>
      <w:r w:rsidRPr="00B1165D">
        <w:t>GE Act,</w:t>
      </w:r>
      <w:r w:rsidRPr="00B1165D">
        <w:rPr>
          <w:noProof/>
        </w:rPr>
        <w:t xml:space="preserve"> public sector organisations are required to prepare a Gender Equality Action Plan. This plan must include the results of a workplace gender audit, assessing the current state of gender equality within the organisation, and strategies for promoting gender equality in the workplace. Additionally, the </w:t>
      </w:r>
      <w:r w:rsidRPr="00B1165D">
        <w:t>GE Act</w:t>
      </w:r>
      <w:r w:rsidRPr="00B1165D">
        <w:rPr>
          <w:noProof/>
        </w:rPr>
        <w:t xml:space="preserve"> mandates that organisations publicly report on their progress in improving workplace gender equality every two years.</w:t>
      </w:r>
      <w:r w:rsidRPr="00B1165D">
        <w:rPr>
          <w:noProof/>
          <w:vertAlign w:val="superscript"/>
        </w:rPr>
        <w:footnoteReference w:id="66"/>
      </w:r>
    </w:p>
    <w:p w14:paraId="41CA2263" w14:textId="77777777" w:rsidR="00B1165D" w:rsidRPr="00B1165D" w:rsidRDefault="00B1165D" w:rsidP="00DE7609">
      <w:pPr>
        <w:pStyle w:val="05Paragraph"/>
        <w:rPr>
          <w:noProof/>
        </w:rPr>
      </w:pPr>
      <w:r w:rsidRPr="00B1165D">
        <w:rPr>
          <w:noProof/>
        </w:rPr>
        <w:t>In 2023, the Victorian Government released a gender equality strategy and action plan aimed at achieving gender parity in senior leadership positions within the Victorian public sector within five years.</w:t>
      </w:r>
      <w:r w:rsidRPr="00B1165D">
        <w:rPr>
          <w:noProof/>
          <w:vertAlign w:val="superscript"/>
        </w:rPr>
        <w:footnoteReference w:id="67"/>
      </w:r>
      <w:r w:rsidRPr="00B1165D">
        <w:rPr>
          <w:noProof/>
        </w:rPr>
        <w:t xml:space="preserve"> </w:t>
      </w:r>
    </w:p>
    <w:p w14:paraId="02961532" w14:textId="6C15B40A" w:rsidR="00B1165D" w:rsidRPr="00B1165D" w:rsidRDefault="00B1165D" w:rsidP="00DE7609">
      <w:pPr>
        <w:pStyle w:val="05Paragraph"/>
        <w:rPr>
          <w:noProof/>
        </w:rPr>
      </w:pPr>
      <w:r w:rsidRPr="00B1165D">
        <w:rPr>
          <w:noProof/>
        </w:rPr>
        <w:t xml:space="preserve">In its submission, </w:t>
      </w:r>
      <w:r w:rsidR="006356DC">
        <w:rPr>
          <w:noProof/>
        </w:rPr>
        <w:t xml:space="preserve">the </w:t>
      </w:r>
      <w:r w:rsidRPr="00B1165D">
        <w:rPr>
          <w:noProof/>
        </w:rPr>
        <w:t xml:space="preserve">VSB recommended that the Tribunal consider the ‘current gender balance’ of executive roles in this Determination. Similarly, the VPSC’s submission highlighted that the Tribunal’s current guidelines for placement of executives within the relevant band ‘do not adequately address gender equality’. VPSC suggested this issue could be addressed by providing </w:t>
      </w:r>
      <w:r w:rsidR="00E554DC">
        <w:rPr>
          <w:noProof/>
        </w:rPr>
        <w:t xml:space="preserve">gender </w:t>
      </w:r>
      <w:r w:rsidRPr="00B1165D">
        <w:rPr>
          <w:noProof/>
        </w:rPr>
        <w:t xml:space="preserve">disaggregated executive remuneration data to employers to inform remuneration decisions. Chapter 8 of this Statement of Reasons outlines changes to the Tribunal’s guidelines made in response to feedback from these submissions. </w:t>
      </w:r>
    </w:p>
    <w:p w14:paraId="52B7E1D9" w14:textId="77777777" w:rsidR="00B1165D" w:rsidRPr="00B1165D" w:rsidRDefault="00B1165D" w:rsidP="00DE7609">
      <w:pPr>
        <w:pStyle w:val="05Paragraph"/>
        <w:rPr>
          <w:noProof/>
        </w:rPr>
      </w:pPr>
      <w:r w:rsidRPr="00B1165D">
        <w:rPr>
          <w:noProof/>
        </w:rPr>
        <w:t xml:space="preserve">VPS executives will play </w:t>
      </w:r>
      <w:r w:rsidRPr="00B1165D" w:rsidDel="0089155C">
        <w:rPr>
          <w:noProof/>
        </w:rPr>
        <w:t xml:space="preserve">a </w:t>
      </w:r>
      <w:r w:rsidRPr="00B1165D">
        <w:t>key</w:t>
      </w:r>
      <w:r w:rsidRPr="00B1165D">
        <w:rPr>
          <w:noProof/>
        </w:rPr>
        <w:t xml:space="preserve"> role in implementing organisational strategies and action plans, translating them into specific actions and driving cultural change to achieve the government’s gender equality objectives. </w:t>
      </w:r>
    </w:p>
    <w:p w14:paraId="736034FF" w14:textId="77777777" w:rsidR="00B1165D" w:rsidRPr="00B1165D" w:rsidRDefault="00B1165D" w:rsidP="00DE7609">
      <w:pPr>
        <w:pStyle w:val="03VIRTHeading3"/>
        <w:rPr>
          <w:rFonts w:eastAsia="Calibri"/>
          <w:color w:val="0F6745"/>
        </w:rPr>
      </w:pPr>
      <w:r w:rsidRPr="00B1165D">
        <w:t>There has been an increased focus on the application of public sector values in recent years</w:t>
      </w:r>
    </w:p>
    <w:p w14:paraId="4CDE1272" w14:textId="77777777" w:rsidR="00B1165D" w:rsidRPr="00B1165D" w:rsidRDefault="00B1165D" w:rsidP="00B1165D">
      <w:pPr>
        <w:spacing w:after="0"/>
        <w:rPr>
          <w:rFonts w:eastAsia="Calibri" w:cs="Calibri Light"/>
          <w:noProof/>
          <w:color w:val="000000"/>
          <w:szCs w:val="26"/>
        </w:rPr>
      </w:pPr>
      <w:r w:rsidRPr="00B1165D">
        <w:rPr>
          <w:rFonts w:eastAsia="Calibri" w:cs="Calibri Light"/>
          <w:color w:val="000000"/>
          <w:szCs w:val="26"/>
        </w:rPr>
        <w:t>This focus has been driven by</w:t>
      </w:r>
      <w:r w:rsidRPr="00B1165D">
        <w:rPr>
          <w:rFonts w:eastAsia="Calibri" w:cs="Calibri Light"/>
          <w:noProof/>
          <w:color w:val="000000"/>
          <w:szCs w:val="26"/>
        </w:rPr>
        <w:t xml:space="preserve"> several inquiries and reports </w:t>
      </w:r>
      <w:r w:rsidRPr="00B1165D">
        <w:rPr>
          <w:rFonts w:eastAsia="Calibri" w:cs="Calibri Light"/>
          <w:color w:val="000000"/>
          <w:szCs w:val="26"/>
        </w:rPr>
        <w:t>scrutinising</w:t>
      </w:r>
      <w:r w:rsidRPr="00B1165D">
        <w:rPr>
          <w:rFonts w:eastAsia="Calibri" w:cs="Calibri Light"/>
          <w:noProof/>
          <w:color w:val="000000"/>
          <w:szCs w:val="26"/>
        </w:rPr>
        <w:t xml:space="preserve"> the actions of the Australian and Victorian public sectors, </w:t>
      </w:r>
      <w:r w:rsidRPr="00B1165D">
        <w:rPr>
          <w:rFonts w:eastAsia="Calibri" w:cs="Calibri Light"/>
          <w:color w:val="000000"/>
          <w:szCs w:val="26"/>
        </w:rPr>
        <w:t>revealing various challenges</w:t>
      </w:r>
      <w:r w:rsidRPr="00B1165D">
        <w:rPr>
          <w:rFonts w:eastAsia="Calibri" w:cs="Calibri Light"/>
          <w:noProof/>
          <w:color w:val="000000"/>
          <w:szCs w:val="26"/>
        </w:rPr>
        <w:t xml:space="preserve"> such as:</w:t>
      </w:r>
    </w:p>
    <w:p w14:paraId="7E768A55" w14:textId="77777777" w:rsidR="00B1165D" w:rsidRPr="00B1165D" w:rsidRDefault="00B1165D" w:rsidP="00DE7609">
      <w:pPr>
        <w:pStyle w:val="06VIRTBulletpoints"/>
        <w:rPr>
          <w:noProof/>
        </w:rPr>
      </w:pPr>
      <w:r w:rsidRPr="00B1165D">
        <w:rPr>
          <w:noProof/>
        </w:rPr>
        <w:t>poorly defined governance arrangements leading to a lack of accountability</w:t>
      </w:r>
      <w:r w:rsidRPr="00B1165D">
        <w:rPr>
          <w:noProof/>
          <w:vertAlign w:val="superscript"/>
        </w:rPr>
        <w:footnoteReference w:id="68"/>
      </w:r>
      <w:r w:rsidRPr="00B1165D">
        <w:rPr>
          <w:noProof/>
        </w:rPr>
        <w:t xml:space="preserve"> </w:t>
      </w:r>
    </w:p>
    <w:p w14:paraId="24A5E6CD" w14:textId="77777777" w:rsidR="00B1165D" w:rsidRPr="00B1165D" w:rsidRDefault="00B1165D" w:rsidP="004A20B3">
      <w:pPr>
        <w:pStyle w:val="06VIRTBulletpoints"/>
        <w:rPr>
          <w:noProof/>
        </w:rPr>
      </w:pPr>
      <w:r w:rsidRPr="00B1165D">
        <w:rPr>
          <w:noProof/>
        </w:rPr>
        <w:t>an excessive focus on efficiency and short-term responsiveness over long-term expertise and capability</w:t>
      </w:r>
      <w:r w:rsidRPr="00B1165D">
        <w:rPr>
          <w:noProof/>
          <w:vertAlign w:val="superscript"/>
        </w:rPr>
        <w:footnoteReference w:id="69"/>
      </w:r>
      <w:r w:rsidRPr="00B1165D">
        <w:rPr>
          <w:noProof/>
        </w:rPr>
        <w:t xml:space="preserve"> </w:t>
      </w:r>
    </w:p>
    <w:p w14:paraId="0B940D22" w14:textId="77777777" w:rsidR="00B1165D" w:rsidRPr="00B1165D" w:rsidRDefault="00B1165D" w:rsidP="004A20B3">
      <w:pPr>
        <w:pStyle w:val="06VIRTBulletpoints"/>
        <w:rPr>
          <w:noProof/>
        </w:rPr>
      </w:pPr>
      <w:r w:rsidRPr="00B1165D">
        <w:rPr>
          <w:noProof/>
        </w:rPr>
        <w:lastRenderedPageBreak/>
        <w:t>limited understanding of statutory obligations, administrative law</w:t>
      </w:r>
      <w:r w:rsidRPr="00B1165D">
        <w:t>,</w:t>
      </w:r>
      <w:r w:rsidRPr="00B1165D">
        <w:rPr>
          <w:noProof/>
        </w:rPr>
        <w:t xml:space="preserve"> and natural justice, including for procurement practices</w:t>
      </w:r>
      <w:r w:rsidRPr="00B1165D">
        <w:rPr>
          <w:noProof/>
          <w:vertAlign w:val="superscript"/>
        </w:rPr>
        <w:footnoteReference w:id="70"/>
      </w:r>
    </w:p>
    <w:p w14:paraId="49C88FD7" w14:textId="77777777" w:rsidR="00B1165D" w:rsidRPr="00B1165D" w:rsidRDefault="00B1165D" w:rsidP="004A20B3">
      <w:pPr>
        <w:pStyle w:val="06VIRTBulletpoints"/>
        <w:rPr>
          <w:noProof/>
        </w:rPr>
      </w:pPr>
      <w:r w:rsidRPr="00B1165D">
        <w:rPr>
          <w:noProof/>
        </w:rPr>
        <w:t xml:space="preserve">a lack of accountability for Australian Government employees </w:t>
      </w:r>
      <w:r w:rsidRPr="00B1165D">
        <w:t>in cases of</w:t>
      </w:r>
      <w:r w:rsidRPr="00B1165D">
        <w:rPr>
          <w:noProof/>
        </w:rPr>
        <w:t xml:space="preserve"> misconduct or breaches of the code of conduct.</w:t>
      </w:r>
      <w:r w:rsidRPr="00B1165D">
        <w:rPr>
          <w:noProof/>
          <w:vertAlign w:val="superscript"/>
        </w:rPr>
        <w:footnoteReference w:id="71"/>
      </w:r>
      <w:r w:rsidRPr="00B1165D">
        <w:rPr>
          <w:noProof/>
        </w:rPr>
        <w:t xml:space="preserve"> </w:t>
      </w:r>
    </w:p>
    <w:p w14:paraId="2E4317AE" w14:textId="349ABADB" w:rsidR="00B1165D" w:rsidRPr="00B1165D" w:rsidRDefault="00B1165D" w:rsidP="00DE7609">
      <w:pPr>
        <w:pStyle w:val="05Paragraph"/>
        <w:rPr>
          <w:noProof/>
        </w:rPr>
      </w:pPr>
      <w:r w:rsidRPr="00B1165D">
        <w:t>In response to these challenges in</w:t>
      </w:r>
      <w:r w:rsidRPr="00B1165D">
        <w:rPr>
          <w:noProof/>
        </w:rPr>
        <w:t xml:space="preserve"> Victoria, </w:t>
      </w:r>
      <w:r w:rsidRPr="00B1165D">
        <w:t xml:space="preserve">Secretaries and the </w:t>
      </w:r>
      <w:r w:rsidR="00BC4061" w:rsidRPr="00BC4061">
        <w:t>Victorian Public Sector</w:t>
      </w:r>
      <w:r w:rsidRPr="00B1165D">
        <w:t xml:space="preserve"> Commissioner have issued </w:t>
      </w:r>
      <w:r w:rsidRPr="00B1165D">
        <w:rPr>
          <w:noProof/>
        </w:rPr>
        <w:t xml:space="preserve">additional integrity guidance and policy statements </w:t>
      </w:r>
      <w:r w:rsidRPr="00B1165D">
        <w:t>aimed at assisting</w:t>
      </w:r>
      <w:r w:rsidRPr="00B1165D">
        <w:rPr>
          <w:noProof/>
        </w:rPr>
        <w:t xml:space="preserve"> executives and staff </w:t>
      </w:r>
      <w:r w:rsidRPr="00B1165D">
        <w:t>in fulfilling</w:t>
      </w:r>
      <w:r w:rsidRPr="00B1165D">
        <w:rPr>
          <w:noProof/>
        </w:rPr>
        <w:t xml:space="preserve"> their obligations. For </w:t>
      </w:r>
      <w:r w:rsidRPr="00B1165D">
        <w:t>instance</w:t>
      </w:r>
      <w:r w:rsidRPr="00B1165D">
        <w:rPr>
          <w:noProof/>
        </w:rPr>
        <w:t xml:space="preserve">, the VPSC’s </w:t>
      </w:r>
      <w:r w:rsidRPr="00B1165D">
        <w:rPr>
          <w:i/>
          <w:noProof/>
        </w:rPr>
        <w:t xml:space="preserve">Secretaries </w:t>
      </w:r>
      <w:r w:rsidRPr="00B1165D">
        <w:rPr>
          <w:i/>
          <w:iCs/>
          <w:noProof/>
        </w:rPr>
        <w:t xml:space="preserve">guide for </w:t>
      </w:r>
      <w:r w:rsidRPr="00B1165D">
        <w:rPr>
          <w:i/>
          <w:noProof/>
        </w:rPr>
        <w:t>informing and advising ministers</w:t>
      </w:r>
      <w:r w:rsidRPr="00B1165D">
        <w:rPr>
          <w:noProof/>
        </w:rPr>
        <w:t xml:space="preserve"> includes:</w:t>
      </w:r>
      <w:r w:rsidRPr="00B1165D">
        <w:rPr>
          <w:noProof/>
          <w:vertAlign w:val="superscript"/>
        </w:rPr>
        <w:footnoteReference w:id="72"/>
      </w:r>
    </w:p>
    <w:p w14:paraId="5EF02941" w14:textId="77777777" w:rsidR="00B1165D" w:rsidRPr="00B1165D" w:rsidRDefault="00B1165D" w:rsidP="00B55CBE">
      <w:pPr>
        <w:pStyle w:val="06VIRTBulletpoints"/>
        <w:rPr>
          <w:noProof/>
        </w:rPr>
      </w:pPr>
      <w:r w:rsidRPr="00B1165D">
        <w:rPr>
          <w:noProof/>
        </w:rPr>
        <w:t xml:space="preserve">an outline of the legal responsibilities and obligations for a Secretary </w:t>
      </w:r>
    </w:p>
    <w:p w14:paraId="3E6B818C" w14:textId="77777777" w:rsidR="00B1165D" w:rsidRPr="00B1165D" w:rsidRDefault="00B1165D" w:rsidP="00B55CBE">
      <w:pPr>
        <w:pStyle w:val="06VIRTBulletpoints"/>
        <w:rPr>
          <w:noProof/>
        </w:rPr>
      </w:pPr>
      <w:r w:rsidRPr="00B1165D">
        <w:rPr>
          <w:noProof/>
        </w:rPr>
        <w:t xml:space="preserve">clarification of the difference between accountability and responsibility </w:t>
      </w:r>
    </w:p>
    <w:p w14:paraId="3D55B705" w14:textId="77777777" w:rsidR="00B1165D" w:rsidRPr="00B1165D" w:rsidRDefault="00B1165D" w:rsidP="00B55CBE">
      <w:pPr>
        <w:pStyle w:val="06VIRTBulletpoints"/>
        <w:rPr>
          <w:noProof/>
        </w:rPr>
      </w:pPr>
      <w:r w:rsidRPr="00B1165D">
        <w:rPr>
          <w:noProof/>
        </w:rPr>
        <w:t>a definition for what constitutes a briefing</w:t>
      </w:r>
      <w:r w:rsidRPr="00B1165D">
        <w:t>, encompassing both</w:t>
      </w:r>
      <w:r w:rsidRPr="00B1165D">
        <w:rPr>
          <w:noProof/>
        </w:rPr>
        <w:t xml:space="preserve"> formal briefings and digital </w:t>
      </w:r>
      <w:r w:rsidRPr="00B1165D">
        <w:t>communications</w:t>
      </w:r>
      <w:r w:rsidRPr="00B1165D">
        <w:rPr>
          <w:noProof/>
        </w:rPr>
        <w:t xml:space="preserve"> such as email, texts, and messaging</w:t>
      </w:r>
      <w:r w:rsidRPr="00B1165D">
        <w:t> </w:t>
      </w:r>
      <w:r w:rsidRPr="00B1165D">
        <w:rPr>
          <w:noProof/>
        </w:rPr>
        <w:t>platforms</w:t>
      </w:r>
      <w:r w:rsidRPr="00B1165D">
        <w:t>.</w:t>
      </w:r>
    </w:p>
    <w:p w14:paraId="1C5B0885" w14:textId="77777777" w:rsidR="00B1165D" w:rsidRPr="00B1165D" w:rsidRDefault="00B1165D" w:rsidP="00DE7609">
      <w:pPr>
        <w:pStyle w:val="05Paragraph"/>
        <w:rPr>
          <w:noProof/>
        </w:rPr>
      </w:pPr>
      <w:r w:rsidRPr="00B1165D">
        <w:t>Additionally</w:t>
      </w:r>
      <w:r w:rsidRPr="00B1165D">
        <w:rPr>
          <w:noProof/>
        </w:rPr>
        <w:t xml:space="preserve">, in 2023, VSB published an </w:t>
      </w:r>
      <w:r w:rsidRPr="00B1165D">
        <w:rPr>
          <w:i/>
          <w:noProof/>
        </w:rPr>
        <w:t>Integrity Statement</w:t>
      </w:r>
      <w:r w:rsidRPr="00B1165D">
        <w:t xml:space="preserve"> committing</w:t>
      </w:r>
      <w:r w:rsidRPr="00B1165D">
        <w:rPr>
          <w:noProof/>
        </w:rPr>
        <w:t xml:space="preserve"> to:</w:t>
      </w:r>
      <w:r w:rsidRPr="00B1165D">
        <w:rPr>
          <w:noProof/>
          <w:vertAlign w:val="superscript"/>
        </w:rPr>
        <w:footnoteReference w:id="73"/>
      </w:r>
    </w:p>
    <w:p w14:paraId="6B6297A7" w14:textId="77777777" w:rsidR="00B1165D" w:rsidRPr="00B1165D" w:rsidRDefault="00B1165D" w:rsidP="00B55CBE">
      <w:pPr>
        <w:pStyle w:val="06VIRTBulletpoints"/>
        <w:rPr>
          <w:noProof/>
        </w:rPr>
      </w:pPr>
      <w:r w:rsidRPr="00B1165D">
        <w:t>supporting</w:t>
      </w:r>
      <w:r w:rsidRPr="00B1165D">
        <w:rPr>
          <w:noProof/>
        </w:rPr>
        <w:t xml:space="preserve"> all staff to feel confident in understanding public sector integrity obligations </w:t>
      </w:r>
      <w:r w:rsidRPr="00B1165D">
        <w:t>through increased</w:t>
      </w:r>
      <w:r w:rsidRPr="00B1165D">
        <w:rPr>
          <w:noProof/>
        </w:rPr>
        <w:t xml:space="preserve"> training opportunities</w:t>
      </w:r>
    </w:p>
    <w:p w14:paraId="4060CA7E" w14:textId="77777777" w:rsidR="00B1165D" w:rsidRPr="00B1165D" w:rsidRDefault="00B1165D" w:rsidP="00B55CBE">
      <w:pPr>
        <w:pStyle w:val="06VIRTBulletpoints"/>
        <w:rPr>
          <w:noProof/>
        </w:rPr>
      </w:pPr>
      <w:r w:rsidRPr="00B1165D">
        <w:t>fostering</w:t>
      </w:r>
      <w:r w:rsidRPr="00B1165D">
        <w:rPr>
          <w:noProof/>
        </w:rPr>
        <w:t xml:space="preserve"> open and transparent communication to ensure staff have avenues to raise concerns at all levels </w:t>
      </w:r>
    </w:p>
    <w:p w14:paraId="5C45221B" w14:textId="77777777" w:rsidR="00B1165D" w:rsidRPr="00B1165D" w:rsidRDefault="00B1165D" w:rsidP="00B55CBE">
      <w:pPr>
        <w:pStyle w:val="06VIRTBulletpoints"/>
        <w:rPr>
          <w:noProof/>
        </w:rPr>
      </w:pPr>
      <w:r w:rsidRPr="00B1165D">
        <w:t>cultivating</w:t>
      </w:r>
      <w:r w:rsidRPr="00B1165D">
        <w:rPr>
          <w:noProof/>
        </w:rPr>
        <w:t xml:space="preserve"> a ‘safe to speak up’ culture, ensuring anonymous integrity reporting </w:t>
      </w:r>
      <w:r w:rsidRPr="00B1165D">
        <w:t>avenues are available</w:t>
      </w:r>
      <w:r w:rsidRPr="00B1165D">
        <w:rPr>
          <w:noProof/>
        </w:rPr>
        <w:t xml:space="preserve"> and </w:t>
      </w:r>
      <w:r w:rsidRPr="00B1165D">
        <w:t>acted upon</w:t>
      </w:r>
    </w:p>
    <w:p w14:paraId="633A59F2" w14:textId="77777777" w:rsidR="00B1165D" w:rsidRPr="00B1165D" w:rsidRDefault="00B1165D" w:rsidP="00B55CBE">
      <w:pPr>
        <w:pStyle w:val="06VIRTBulletpoints"/>
        <w:rPr>
          <w:noProof/>
        </w:rPr>
      </w:pPr>
      <w:r w:rsidRPr="00B1165D">
        <w:rPr>
          <w:noProof/>
        </w:rPr>
        <w:t xml:space="preserve">consistently </w:t>
      </w:r>
      <w:r w:rsidRPr="00B1165D">
        <w:t>applying</w:t>
      </w:r>
      <w:r w:rsidRPr="00B1165D">
        <w:rPr>
          <w:noProof/>
        </w:rPr>
        <w:t xml:space="preserve"> merit-based employment processes</w:t>
      </w:r>
    </w:p>
    <w:p w14:paraId="50998795" w14:textId="77777777" w:rsidR="00B1165D" w:rsidRPr="00B1165D" w:rsidRDefault="00B1165D" w:rsidP="00B55CBE">
      <w:pPr>
        <w:pStyle w:val="06VIRTBulletpoints"/>
        <w:rPr>
          <w:noProof/>
        </w:rPr>
      </w:pPr>
      <w:r w:rsidRPr="00B1165D">
        <w:t>embedding</w:t>
      </w:r>
      <w:r w:rsidRPr="00B1165D">
        <w:rPr>
          <w:noProof/>
        </w:rPr>
        <w:t xml:space="preserve"> integrity expectations in performance development plans for all staff</w:t>
      </w:r>
      <w:r w:rsidRPr="00B1165D">
        <w:t>, including mandatory</w:t>
      </w:r>
      <w:r w:rsidRPr="00B1165D">
        <w:rPr>
          <w:noProof/>
        </w:rPr>
        <w:t xml:space="preserve"> training in ethical decision-making for executives.</w:t>
      </w:r>
    </w:p>
    <w:p w14:paraId="2CF343D6" w14:textId="77777777" w:rsidR="00B1165D" w:rsidRPr="004D7DE3" w:rsidRDefault="00B1165D" w:rsidP="00B55CBE">
      <w:pPr>
        <w:pStyle w:val="05Paragraph"/>
        <w:rPr>
          <w:spacing w:val="-6"/>
        </w:rPr>
      </w:pPr>
      <w:r w:rsidRPr="004D7DE3">
        <w:rPr>
          <w:spacing w:val="-6"/>
        </w:rPr>
        <w:t>To support these objectives, Secretaries and executive leadership teams will need to:</w:t>
      </w:r>
      <w:r w:rsidRPr="004D7DE3">
        <w:rPr>
          <w:spacing w:val="-6"/>
          <w:vertAlign w:val="superscript"/>
        </w:rPr>
        <w:footnoteReference w:id="74"/>
      </w:r>
    </w:p>
    <w:p w14:paraId="0B7E2104" w14:textId="77777777" w:rsidR="00B1165D" w:rsidRPr="00B1165D" w:rsidRDefault="00B1165D" w:rsidP="00B55CBE">
      <w:pPr>
        <w:pStyle w:val="06VIRTBulletpoints"/>
      </w:pPr>
      <w:r w:rsidRPr="00B1165D">
        <w:t>engage in conversations with employees about providing full and frank advice</w:t>
      </w:r>
    </w:p>
    <w:p w14:paraId="00C559BE" w14:textId="77777777" w:rsidR="00B1165D" w:rsidRPr="00B1165D" w:rsidRDefault="00B1165D" w:rsidP="00B55CBE">
      <w:pPr>
        <w:pStyle w:val="06VIRTBulletpoints"/>
      </w:pPr>
      <w:r w:rsidRPr="00B1165D">
        <w:t>welcome difficult advice from employees</w:t>
      </w:r>
    </w:p>
    <w:p w14:paraId="2E1085D9" w14:textId="77777777" w:rsidR="00B1165D" w:rsidRPr="00B1165D" w:rsidRDefault="00B1165D" w:rsidP="00B55CBE">
      <w:pPr>
        <w:pStyle w:val="06VIRTBulletpoints"/>
      </w:pPr>
      <w:r w:rsidRPr="00B1165D">
        <w:t>encourage staff to raise significant issues with managers or executives to ensure timely and high-quality advice</w:t>
      </w:r>
    </w:p>
    <w:p w14:paraId="4AEB95AC" w14:textId="77777777" w:rsidR="00B1165D" w:rsidRPr="00B1165D" w:rsidRDefault="00B1165D" w:rsidP="00B55CBE">
      <w:pPr>
        <w:pStyle w:val="06VIRTBulletpoints"/>
      </w:pPr>
      <w:r w:rsidRPr="00B1165D">
        <w:t>develop and implement a model protocol for engaging with ministerial offices.</w:t>
      </w:r>
    </w:p>
    <w:p w14:paraId="4AD9C389" w14:textId="7CFA4BAD" w:rsidR="00B1165D" w:rsidRPr="00B1165D" w:rsidRDefault="009B2230" w:rsidP="00DE7609">
      <w:pPr>
        <w:pStyle w:val="02VIRTHeading2"/>
        <w:rPr>
          <w:rFonts w:eastAsia="Calibri"/>
        </w:rPr>
      </w:pPr>
      <w:bookmarkStart w:id="58" w:name="_Toc169878472"/>
      <w:bookmarkStart w:id="59" w:name="_Toc170396215"/>
      <w:r>
        <w:rPr>
          <w:rFonts w:eastAsia="Calibri"/>
        </w:rPr>
        <w:lastRenderedPageBreak/>
        <w:t>2.4</w:t>
      </w:r>
      <w:r w:rsidRPr="00684A09">
        <w:tab/>
      </w:r>
      <w:r w:rsidR="00B1165D" w:rsidRPr="00684A09">
        <w:t>Executives reported increased scrutiny, workload and complexity</w:t>
      </w:r>
      <w:bookmarkEnd w:id="58"/>
      <w:bookmarkEnd w:id="59"/>
    </w:p>
    <w:p w14:paraId="1F2F2B0D" w14:textId="77777777" w:rsidR="00B1165D" w:rsidRPr="00B1165D" w:rsidRDefault="00B1165D" w:rsidP="00684A09">
      <w:pPr>
        <w:pStyle w:val="05Paragraph"/>
        <w:rPr>
          <w:noProof/>
        </w:rPr>
      </w:pPr>
      <w:r w:rsidRPr="00B1165D">
        <w:t>Submissions</w:t>
      </w:r>
      <w:r w:rsidRPr="00B1165D">
        <w:rPr>
          <w:noProof/>
        </w:rPr>
        <w:t xml:space="preserve"> cited the increased scrutiny, workload and complexity of executive roles associated with changes in the operating environment described above. For example, the VSB submission noted that:</w:t>
      </w:r>
    </w:p>
    <w:p w14:paraId="6F9341C0" w14:textId="77777777" w:rsidR="00B1165D" w:rsidRPr="00684A09" w:rsidRDefault="00B1165D" w:rsidP="0056068C">
      <w:pPr>
        <w:pStyle w:val="07VIRTBreakouttext"/>
      </w:pPr>
      <w:r w:rsidRPr="0056068C">
        <w:t>… since 2020, expectations that [executive officers] will be available and responsible at all times have increased. This may be an unintended consequence of hybrid and flexible working, a hangover from the pandemic, or it may be the result of an overall increase in the pace and complexity of work the VPS delivers…</w:t>
      </w:r>
    </w:p>
    <w:p w14:paraId="7F4E4D25" w14:textId="77777777" w:rsidR="00B1165D" w:rsidRPr="00B1165D" w:rsidRDefault="00B1165D" w:rsidP="00684A09">
      <w:pPr>
        <w:pStyle w:val="05Paragraph"/>
        <w:rPr>
          <w:noProof/>
        </w:rPr>
      </w:pPr>
      <w:r w:rsidRPr="00B1165D">
        <w:rPr>
          <w:noProof/>
        </w:rPr>
        <w:t>And the VPSC submission drew attention to the legacy of the COVID-19 pandemic on executive roles:</w:t>
      </w:r>
    </w:p>
    <w:p w14:paraId="79F281F1" w14:textId="77777777" w:rsidR="00B1165D" w:rsidRPr="00B1165D" w:rsidRDefault="00B1165D" w:rsidP="00FE4C5B">
      <w:pPr>
        <w:pStyle w:val="07VIRTBreakouttext"/>
        <w:rPr>
          <w:rFonts w:eastAsia="Calibri"/>
          <w:i w:val="0"/>
        </w:rPr>
      </w:pPr>
      <w:r w:rsidRPr="00B1165D">
        <w:t>The COVID-19 response placed extreme pressure on and increased the public visibility of VPS executives. This included the need to work long hours (12–18-hour days were normal for those with direct COVID-19 response roles) for extended periods of time. In extremely tight timeframes and with imperfect information, VPS executives made weighty recommendations to government. For some executives their decisions or practice had life changing impacts for Victorians. While VPS executives did not request nor expect to receive overtime for this work, it is worth noting they did not receive it. While the expectations and timeframes have diminished since 2022, the VPSC considers that they have not returned to pre-2020 levels.</w:t>
      </w:r>
    </w:p>
    <w:p w14:paraId="67700458" w14:textId="19EA981F" w:rsidR="00B1165D" w:rsidRPr="00B1165D" w:rsidRDefault="00B1165D" w:rsidP="00684A09">
      <w:pPr>
        <w:pStyle w:val="05Paragraph"/>
        <w:rPr>
          <w:noProof/>
        </w:rPr>
      </w:pPr>
      <w:r w:rsidRPr="00B1165D">
        <w:rPr>
          <w:noProof/>
        </w:rPr>
        <w:t xml:space="preserve">Similar views were expressed </w:t>
      </w:r>
      <w:r w:rsidR="00B1398A">
        <w:rPr>
          <w:noProof/>
        </w:rPr>
        <w:t>by</w:t>
      </w:r>
      <w:r w:rsidRPr="00B1165D">
        <w:rPr>
          <w:noProof/>
        </w:rPr>
        <w:t xml:space="preserve"> respondents to the Tribunal’s </w:t>
      </w:r>
      <w:r w:rsidRPr="00B1165D">
        <w:t xml:space="preserve">executive </w:t>
      </w:r>
      <w:r w:rsidRPr="00B1165D">
        <w:rPr>
          <w:noProof/>
        </w:rPr>
        <w:t>questionnaire. For example, one executive commented:</w:t>
      </w:r>
    </w:p>
    <w:p w14:paraId="4F637F4E" w14:textId="77777777" w:rsidR="00B1165D" w:rsidRPr="00B1165D" w:rsidRDefault="00B1165D" w:rsidP="00FE4C5B">
      <w:pPr>
        <w:pStyle w:val="07VIRTBreakouttext"/>
        <w:rPr>
          <w:rFonts w:eastAsia="Calibri"/>
          <w:i w:val="0"/>
        </w:rPr>
      </w:pPr>
      <w:r w:rsidRPr="00B1165D">
        <w:t>Within the context of a shrinking public service that has already seen a shift to centralised decision making, the overhead and burden of both strategic and transactional decision-making sits with the executives. This requires executives to have greater breadth of knowledge and expertise than ever before. Combined with the accelerated pace of digital transformation … this has created an unsustainable workload where 70+ hours per week is [standard]. This unsustainable workload has led to almost 10 executives holding this position in just the last five years.</w:t>
      </w:r>
    </w:p>
    <w:p w14:paraId="3717BD49" w14:textId="77777777" w:rsidR="00B1165D" w:rsidRPr="00B1165D" w:rsidRDefault="00B1165D" w:rsidP="00684A09">
      <w:pPr>
        <w:pStyle w:val="05Paragraph"/>
        <w:rPr>
          <w:noProof/>
        </w:rPr>
      </w:pPr>
      <w:r w:rsidRPr="00B1165D">
        <w:rPr>
          <w:noProof/>
        </w:rPr>
        <w:lastRenderedPageBreak/>
        <w:t>Another</w:t>
      </w:r>
      <w:r w:rsidRPr="00B1165D" w:rsidDel="00940562">
        <w:rPr>
          <w:noProof/>
        </w:rPr>
        <w:t xml:space="preserve"> </w:t>
      </w:r>
      <w:r w:rsidRPr="00B1165D">
        <w:rPr>
          <w:noProof/>
        </w:rPr>
        <w:t>observation shared with the Tribunal during consultations with Secretaries was that the current level of government activity is unsustainable given the resource constraints.</w:t>
      </w:r>
      <w:r w:rsidRPr="00B1165D">
        <w:rPr>
          <w:noProof/>
          <w:vertAlign w:val="superscript"/>
        </w:rPr>
        <w:footnoteReference w:id="75"/>
      </w:r>
    </w:p>
    <w:p w14:paraId="24C56D37" w14:textId="77777777" w:rsidR="00B1165D" w:rsidRPr="00B1165D" w:rsidRDefault="00B1165D" w:rsidP="00684A09">
      <w:pPr>
        <w:pStyle w:val="03VIRTHeading3"/>
        <w:rPr>
          <w:rFonts w:eastAsia="Calibri"/>
          <w:color w:val="0F6745"/>
        </w:rPr>
      </w:pPr>
      <w:r w:rsidRPr="00B1165D">
        <w:t>Executives reported increased risk of reputational damage associated with public scrutiny</w:t>
      </w:r>
    </w:p>
    <w:p w14:paraId="44FBACB3" w14:textId="4B274AFE" w:rsidR="00B1165D" w:rsidRPr="00B1165D" w:rsidRDefault="00B1165D" w:rsidP="00684A09">
      <w:pPr>
        <w:pStyle w:val="05Paragraph"/>
        <w:rPr>
          <w:noProof/>
        </w:rPr>
      </w:pPr>
      <w:r w:rsidRPr="00B1165D">
        <w:rPr>
          <w:noProof/>
        </w:rPr>
        <w:t>The VSB submission noted that public scrutiny is an important and expected part of working in government:</w:t>
      </w:r>
    </w:p>
    <w:p w14:paraId="061D2114" w14:textId="77777777" w:rsidR="00B1165D" w:rsidRPr="00B1165D" w:rsidRDefault="00B1165D" w:rsidP="006C5D4F">
      <w:pPr>
        <w:pStyle w:val="07VIRTBreakouttext"/>
        <w:rPr>
          <w:rFonts w:eastAsia="Calibri"/>
          <w:i w:val="0"/>
        </w:rPr>
      </w:pPr>
      <w:r w:rsidRPr="00B1165D">
        <w:t xml:space="preserve">Providing account for public service actions before inquiries and parliamentary hearings is an important aspect of </w:t>
      </w:r>
      <w:r w:rsidRPr="00B1165D">
        <w:rPr>
          <w:rFonts w:eastAsia="Calibri"/>
        </w:rPr>
        <w:t>Victoria’s system of government and an expected function of public service [executive officers]. These hearings are demonstrable of the high-level of scrutiny and public examination to which public service [executive officers] are rightly subject, but which also constitute a distinct responsibility of [executive officers] within the public service.</w:t>
      </w:r>
    </w:p>
    <w:p w14:paraId="268AABC6" w14:textId="77777777" w:rsidR="00B1165D" w:rsidRPr="00B1165D" w:rsidRDefault="00B1165D" w:rsidP="00684A09">
      <w:pPr>
        <w:pStyle w:val="05Paragraph"/>
        <w:rPr>
          <w:noProof/>
        </w:rPr>
      </w:pPr>
      <w:r w:rsidRPr="00B1165D">
        <w:rPr>
          <w:noProof/>
        </w:rPr>
        <w:t>As public service body Heads, Secretaries generally face the highest levels of scrutiny. For example, Secretaries are regularly required to appear at parliamentary hearings such as the Public Accounts and Estimates Committee (PAEC) Budget Estimates hearings. In recent years, PAEC has also conducted inquiries into the financial and performance outcomes of each department, which involved further participation at hearings from Secretaries.</w:t>
      </w:r>
      <w:r w:rsidRPr="00B1165D">
        <w:rPr>
          <w:noProof/>
          <w:vertAlign w:val="superscript"/>
        </w:rPr>
        <w:footnoteReference w:id="76"/>
      </w:r>
      <w:r w:rsidRPr="00B1165D">
        <w:rPr>
          <w:noProof/>
        </w:rPr>
        <w:t xml:space="preserve"> </w:t>
      </w:r>
    </w:p>
    <w:p w14:paraId="30EC848D" w14:textId="35B6BFB6" w:rsidR="00B1165D" w:rsidRPr="00B1165D" w:rsidRDefault="00B1165D" w:rsidP="00684A09">
      <w:pPr>
        <w:pStyle w:val="05Paragraph"/>
        <w:rPr>
          <w:noProof/>
        </w:rPr>
      </w:pPr>
      <w:r w:rsidRPr="00B1165D">
        <w:rPr>
          <w:noProof/>
        </w:rPr>
        <w:t xml:space="preserve">This is in addition to other inquiries which arise from time to time such as the COVID-19 Hotel Quarantine Inquiry and the Yoorrook Justice Commission hearings, both of which were highly publicised. While PAEC is attended by Secretaries (and AO Heads), executives at any level might be called in to appear at other inquiries. For example, the VSB submission noted that more than 15 public service </w:t>
      </w:r>
      <w:r w:rsidR="00BF1AA1">
        <w:rPr>
          <w:noProof/>
        </w:rPr>
        <w:t>executives</w:t>
      </w:r>
      <w:r w:rsidRPr="00B1165D">
        <w:rPr>
          <w:noProof/>
        </w:rPr>
        <w:t xml:space="preserve"> were required to appear before the COVID-19 Hotel Quarantine Inquiry.</w:t>
      </w:r>
    </w:p>
    <w:p w14:paraId="7CA5E2D8" w14:textId="77777777" w:rsidR="00B1165D" w:rsidRPr="00B1165D" w:rsidRDefault="00B1165D" w:rsidP="00684A09">
      <w:pPr>
        <w:pStyle w:val="05Paragraph"/>
        <w:rPr>
          <w:noProof/>
        </w:rPr>
      </w:pPr>
      <w:r w:rsidRPr="00B1165D">
        <w:rPr>
          <w:noProof/>
        </w:rPr>
        <w:t xml:space="preserve">As noted by one Secretary during consultations, the way Parliament operates has changed – particularly in regard to unscheduled inquiries. While some inquiries undertaken by Parliament or other bodies may be focussed on specific or narrow </w:t>
      </w:r>
      <w:r w:rsidRPr="00B1165D">
        <w:rPr>
          <w:noProof/>
        </w:rPr>
        <w:lastRenderedPageBreak/>
        <w:t>issues, there has been a structural change in the level of scrutiny on senior executives.</w:t>
      </w:r>
      <w:r w:rsidRPr="00B1165D">
        <w:rPr>
          <w:noProof/>
          <w:vertAlign w:val="superscript"/>
        </w:rPr>
        <w:footnoteReference w:id="77"/>
      </w:r>
    </w:p>
    <w:p w14:paraId="02FC7F92" w14:textId="77777777" w:rsidR="00B1165D" w:rsidRPr="00B1165D" w:rsidRDefault="00B1165D" w:rsidP="00684A09">
      <w:pPr>
        <w:pStyle w:val="05Paragraph"/>
        <w:rPr>
          <w:noProof/>
        </w:rPr>
      </w:pPr>
      <w:r w:rsidRPr="00B1165D">
        <w:rPr>
          <w:noProof/>
        </w:rPr>
        <w:t xml:space="preserve">While submissions acknowledged the </w:t>
      </w:r>
      <w:r w:rsidRPr="00B1165D">
        <w:t>appropriateness</w:t>
      </w:r>
      <w:r w:rsidRPr="00B1165D">
        <w:rPr>
          <w:noProof/>
        </w:rPr>
        <w:t xml:space="preserve"> of public scrutiny, the Tribunal also heard concerns about risks to executives. </w:t>
      </w:r>
    </w:p>
    <w:p w14:paraId="18CB35BD" w14:textId="075F03EE" w:rsidR="00B1165D" w:rsidRPr="00B1165D" w:rsidRDefault="00B1165D" w:rsidP="00684A09">
      <w:pPr>
        <w:pStyle w:val="05Paragraph"/>
        <w:rPr>
          <w:noProof/>
        </w:rPr>
      </w:pPr>
      <w:r w:rsidRPr="00B1165D">
        <w:rPr>
          <w:noProof/>
        </w:rPr>
        <w:t xml:space="preserve">The Tribunal’s consultations with Secretaries revealed that the most significant change impacting the role is the level of public scrutiny that Secretaries (and senior executives) are now subject to. A high degree of public accountability is, and has always been, highly appropriate but </w:t>
      </w:r>
      <w:r w:rsidR="00BF1CA0">
        <w:rPr>
          <w:noProof/>
        </w:rPr>
        <w:t>t</w:t>
      </w:r>
      <w:r w:rsidR="007A79FE">
        <w:rPr>
          <w:noProof/>
        </w:rPr>
        <w:t>here has been a shift in the manner in which such scrutiny is being applied</w:t>
      </w:r>
      <w:r w:rsidR="00463588">
        <w:rPr>
          <w:noProof/>
        </w:rPr>
        <w:t>.</w:t>
      </w:r>
      <w:r w:rsidR="006F5714">
        <w:rPr>
          <w:rStyle w:val="FootnoteReference"/>
          <w:noProof/>
        </w:rPr>
        <w:footnoteReference w:id="78"/>
      </w:r>
    </w:p>
    <w:p w14:paraId="46D94A82" w14:textId="67AD8BA0" w:rsidR="00B1165D" w:rsidRPr="00B1165D" w:rsidRDefault="00B1165D" w:rsidP="00684A09">
      <w:pPr>
        <w:pStyle w:val="05Paragraph"/>
        <w:rPr>
          <w:noProof/>
        </w:rPr>
      </w:pPr>
      <w:r w:rsidRPr="00B1165D">
        <w:t xml:space="preserve">The VPSC </w:t>
      </w:r>
      <w:r w:rsidRPr="00B1165D">
        <w:rPr>
          <w:noProof/>
        </w:rPr>
        <w:t xml:space="preserve">expressed </w:t>
      </w:r>
      <w:r w:rsidRPr="00B1165D">
        <w:t xml:space="preserve">similar views </w:t>
      </w:r>
      <w:r w:rsidRPr="00B1165D">
        <w:rPr>
          <w:noProof/>
        </w:rPr>
        <w:t xml:space="preserve">in </w:t>
      </w:r>
      <w:r w:rsidRPr="00B1165D">
        <w:t>their</w:t>
      </w:r>
      <w:r w:rsidRPr="00B1165D">
        <w:rPr>
          <w:noProof/>
        </w:rPr>
        <w:t xml:space="preserve"> submission which noted that notwithstanding the importan</w:t>
      </w:r>
      <w:r w:rsidR="005818EF">
        <w:rPr>
          <w:noProof/>
        </w:rPr>
        <w:t>ace</w:t>
      </w:r>
      <w:r w:rsidRPr="00B1165D">
        <w:rPr>
          <w:noProof/>
        </w:rPr>
        <w:t xml:space="preserve"> of accountability:</w:t>
      </w:r>
    </w:p>
    <w:p w14:paraId="190C3592" w14:textId="77777777" w:rsidR="00B1165D" w:rsidRPr="00B1165D" w:rsidRDefault="00B1165D" w:rsidP="001D11F4">
      <w:pPr>
        <w:pStyle w:val="07VIRTBreakouttext"/>
        <w:rPr>
          <w:rFonts w:eastAsia="Calibri"/>
          <w:i w:val="0"/>
        </w:rPr>
      </w:pPr>
      <w:r w:rsidRPr="00B1165D">
        <w:t xml:space="preserve">… the frequency, intensity and often widely reported nature of this scrutiny can have a negative impact an executives’ mental health and </w:t>
      </w:r>
      <w:r w:rsidRPr="00B1165D">
        <w:rPr>
          <w:rFonts w:eastAsia="Calibri"/>
        </w:rPr>
        <w:t>their future financial earning capacity.</w:t>
      </w:r>
    </w:p>
    <w:p w14:paraId="046FDB70" w14:textId="77777777" w:rsidR="00B1165D" w:rsidRPr="00B1165D" w:rsidRDefault="00B1165D" w:rsidP="00684A09">
      <w:pPr>
        <w:pStyle w:val="05Paragraph"/>
        <w:rPr>
          <w:noProof/>
        </w:rPr>
      </w:pPr>
      <w:r w:rsidRPr="00B1165D">
        <w:rPr>
          <w:noProof/>
        </w:rPr>
        <w:t>A respondent to the Tribunal’s executive questionnaire also explained the impact of higher levels of public scrutiny:</w:t>
      </w:r>
    </w:p>
    <w:p w14:paraId="52421068" w14:textId="77777777" w:rsidR="00B1165D" w:rsidRPr="00B1165D" w:rsidRDefault="00B1165D" w:rsidP="001D11F4">
      <w:pPr>
        <w:pStyle w:val="07VIRTBreakouttext"/>
        <w:rPr>
          <w:rFonts w:eastAsia="Calibri"/>
          <w:i w:val="0"/>
        </w:rPr>
      </w:pPr>
      <w:r w:rsidRPr="00B1165D">
        <w:t>… there is also a much greater risk for [executives] with more public/media exposure when things go wrong (which used to be borne more by elected members of Parliament) and no contract protection.</w:t>
      </w:r>
    </w:p>
    <w:p w14:paraId="4B7C52E0" w14:textId="77777777" w:rsidR="00B1165D" w:rsidRPr="00B1165D" w:rsidRDefault="00B1165D" w:rsidP="00684A09">
      <w:pPr>
        <w:pStyle w:val="03VIRTHeading3"/>
        <w:rPr>
          <w:rFonts w:eastAsia="Calibri"/>
          <w:color w:val="0F6745"/>
        </w:rPr>
      </w:pPr>
      <w:r w:rsidRPr="00B1165D">
        <w:t xml:space="preserve">Executives reported growth in the </w:t>
      </w:r>
      <w:r w:rsidRPr="00B1165D">
        <w:rPr>
          <w:rFonts w:eastAsia="Calibri"/>
          <w:color w:val="0F6745"/>
        </w:rPr>
        <w:t>nature</w:t>
      </w:r>
      <w:r w:rsidRPr="00B1165D" w:rsidDel="00E11B75">
        <w:rPr>
          <w:rFonts w:eastAsia="Calibri"/>
          <w:color w:val="0F6745"/>
        </w:rPr>
        <w:t xml:space="preserve"> </w:t>
      </w:r>
      <w:r w:rsidRPr="00B1165D">
        <w:rPr>
          <w:rFonts w:eastAsia="Calibri"/>
          <w:color w:val="0F6745"/>
        </w:rPr>
        <w:t>and scale of their roles</w:t>
      </w:r>
    </w:p>
    <w:p w14:paraId="7B844732" w14:textId="2B1FD201" w:rsidR="00B1165D" w:rsidRPr="00B1165D" w:rsidRDefault="00B1165D" w:rsidP="00684A09">
      <w:pPr>
        <w:pStyle w:val="05Paragraph"/>
        <w:rPr>
          <w:noProof/>
        </w:rPr>
      </w:pPr>
      <w:r w:rsidRPr="00B1165D">
        <w:rPr>
          <w:noProof/>
        </w:rPr>
        <w:t>The Tribunal’s executive questionnaire asked executives to rate the work level standards for their role as having either ‘reduced’, ‘grown’ or remained ‘unchanged’ over the past four years (Figure 2.</w:t>
      </w:r>
      <w:r w:rsidR="00AE1DB4">
        <w:rPr>
          <w:noProof/>
        </w:rPr>
        <w:t>2</w:t>
      </w:r>
      <w:r w:rsidRPr="00B1165D">
        <w:rPr>
          <w:noProof/>
        </w:rPr>
        <w:t xml:space="preserve">). </w:t>
      </w:r>
    </w:p>
    <w:p w14:paraId="1CAC319E" w14:textId="6438458B" w:rsidR="00B1165D" w:rsidRDefault="00B1165D" w:rsidP="00144BE8">
      <w:pPr>
        <w:pStyle w:val="08Figuretableboxheading"/>
      </w:pPr>
      <w:bookmarkStart w:id="60" w:name="_Toc170393528"/>
      <w:r w:rsidRPr="00B1165D">
        <w:lastRenderedPageBreak/>
        <w:t>Figure 2.</w:t>
      </w:r>
      <w:r w:rsidR="00AE1DB4">
        <w:t>2</w:t>
      </w:r>
      <w:r w:rsidRPr="00B1165D">
        <w:t>: Ratings for the executive work level standards</w:t>
      </w:r>
      <w:bookmarkEnd w:id="60"/>
    </w:p>
    <w:p w14:paraId="0F99BA7A" w14:textId="64669AB0" w:rsidR="00BA1D83" w:rsidRPr="00B1165D" w:rsidRDefault="00BA1D83" w:rsidP="00144BE8">
      <w:pPr>
        <w:pStyle w:val="08Figuretableboxheading"/>
        <w:rPr>
          <w:rFonts w:eastAsia="Calibri"/>
        </w:rPr>
      </w:pPr>
      <w:r>
        <w:rPr>
          <w:rFonts w:eastAsia="Calibri"/>
          <w:noProof/>
        </w:rPr>
        <w:drawing>
          <wp:inline distT="0" distB="0" distL="0" distR="0" wp14:anchorId="15543E86" wp14:editId="1D125C2B">
            <wp:extent cx="5414010" cy="3218815"/>
            <wp:effectExtent l="0" t="0" r="0" b="635"/>
            <wp:docPr id="19546875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14010" cy="3218815"/>
                    </a:xfrm>
                    <a:prstGeom prst="rect">
                      <a:avLst/>
                    </a:prstGeom>
                    <a:noFill/>
                  </pic:spPr>
                </pic:pic>
              </a:graphicData>
            </a:graphic>
          </wp:inline>
        </w:drawing>
      </w:r>
    </w:p>
    <w:p w14:paraId="113B2E15" w14:textId="54F7FE41" w:rsidR="00B1165D" w:rsidRPr="00B1165D" w:rsidRDefault="00B1165D" w:rsidP="00597ACA">
      <w:pPr>
        <w:pStyle w:val="09Sourcesandnotesfortablesfiguresboxes"/>
        <w:rPr>
          <w:rFonts w:eastAsia="Calibri" w:cs="Arial"/>
          <w:color w:val="000000"/>
        </w:rPr>
      </w:pPr>
      <w:r w:rsidRPr="00B1165D">
        <w:t xml:space="preserve">Source: </w:t>
      </w:r>
      <w:r w:rsidR="00EE7916" w:rsidRPr="00C2575D">
        <w:t>Tribunal</w:t>
      </w:r>
      <w:r w:rsidR="00C2575D" w:rsidRPr="00C2575D">
        <w:t xml:space="preserve"> analysis of responses to</w:t>
      </w:r>
      <w:r w:rsidRPr="00C2575D">
        <w:t xml:space="preserve"> executive questionnaire</w:t>
      </w:r>
      <w:r w:rsidR="00C2575D" w:rsidRPr="00C2575D">
        <w:t>.</w:t>
      </w:r>
      <w:r w:rsidRPr="00CA7692">
        <w:rPr>
          <w:rFonts w:eastAsia="Calibri" w:cs="Arial"/>
          <w:color w:val="000000"/>
        </w:rPr>
        <w:t xml:space="preserve"> </w:t>
      </w:r>
      <w:r w:rsidR="00C2575D">
        <w:rPr>
          <w:rFonts w:eastAsia="Calibri" w:cs="Arial"/>
          <w:color w:val="000000"/>
        </w:rPr>
        <w:t>VPS executives were asked</w:t>
      </w:r>
      <w:r w:rsidRPr="00B1165D">
        <w:rPr>
          <w:rFonts w:eastAsia="Calibri" w:cs="Arial"/>
          <w:color w:val="000000"/>
        </w:rPr>
        <w:t xml:space="preserve"> ‘Over the past four years, how have the following competencies changed for you in working as a VPS executive? If you have worked in more than one executive role in the last four years, please respond based on your longest role.’</w:t>
      </w:r>
    </w:p>
    <w:p w14:paraId="26639DF1" w14:textId="77777777" w:rsidR="00B1165D" w:rsidRPr="00B1165D" w:rsidRDefault="00B1165D" w:rsidP="00684A09">
      <w:pPr>
        <w:pStyle w:val="05Paragraph"/>
        <w:rPr>
          <w:noProof/>
        </w:rPr>
      </w:pPr>
      <w:r w:rsidRPr="00B1165D">
        <w:rPr>
          <w:noProof/>
        </w:rPr>
        <w:t xml:space="preserve">For seven of the eight standards, </w:t>
      </w:r>
      <w:r w:rsidRPr="00B1165D">
        <w:t>most</w:t>
      </w:r>
      <w:r w:rsidRPr="00B1165D">
        <w:rPr>
          <w:noProof/>
        </w:rPr>
        <w:t xml:space="preserve"> executives selected the option of ‘grown’. This indicates that most executives perceive that the overall work value of their role has increased. </w:t>
      </w:r>
    </w:p>
    <w:p w14:paraId="56AEF6DF" w14:textId="77777777" w:rsidR="00B1165D" w:rsidRPr="00B1165D" w:rsidRDefault="00B1165D" w:rsidP="00684A09">
      <w:pPr>
        <w:pStyle w:val="05Paragraph"/>
        <w:rPr>
          <w:noProof/>
        </w:rPr>
      </w:pPr>
      <w:r w:rsidRPr="00B1165D">
        <w:rPr>
          <w:noProof/>
        </w:rPr>
        <w:t xml:space="preserve">The only standard where </w:t>
      </w:r>
      <w:r w:rsidRPr="00B1165D">
        <w:t>most</w:t>
      </w:r>
      <w:r w:rsidRPr="00B1165D">
        <w:rPr>
          <w:noProof/>
        </w:rPr>
        <w:t xml:space="preserve"> executives did not select ‘grown’ was for ‘independence’ which indicates some executives may be feeling constrained in their ability to make decisions without support.</w:t>
      </w:r>
    </w:p>
    <w:p w14:paraId="494B1988" w14:textId="3854EF2A" w:rsidR="00597ACA" w:rsidRDefault="00B1165D" w:rsidP="00684A09">
      <w:pPr>
        <w:pStyle w:val="05Paragraph"/>
        <w:rPr>
          <w:noProof/>
        </w:rPr>
      </w:pPr>
      <w:r w:rsidRPr="00B1165D">
        <w:rPr>
          <w:noProof/>
        </w:rPr>
        <w:t xml:space="preserve">Box 2.1 sets out selected feedback from executives explaining their reasons for their responses. A common theme was the growth in expectations on the VPS, and in particular, executives, since the start of the COVID-19 pandemic. </w:t>
      </w:r>
    </w:p>
    <w:p w14:paraId="22332747" w14:textId="77777777" w:rsidR="00B1165D" w:rsidRDefault="00B1165D" w:rsidP="00144BE8">
      <w:pPr>
        <w:pStyle w:val="08Figuretableboxheading"/>
      </w:pPr>
      <w:bookmarkStart w:id="61" w:name="_Toc96423323"/>
      <w:bookmarkStart w:id="62" w:name="_Toc97282771"/>
      <w:bookmarkStart w:id="63" w:name="_Toc170393529"/>
      <w:r w:rsidRPr="00B1165D">
        <w:lastRenderedPageBreak/>
        <w:t>Box 2.1: Executive views – increased workload and complexity</w:t>
      </w:r>
      <w:bookmarkEnd w:id="61"/>
      <w:bookmarkEnd w:id="62"/>
      <w:bookmarkEnd w:id="63"/>
    </w:p>
    <w:p w14:paraId="5339FEC1" w14:textId="197F9117" w:rsidR="003C584D" w:rsidRDefault="003C584D" w:rsidP="002469DC">
      <w:pPr>
        <w:pStyle w:val="05Paragraph"/>
      </w:pPr>
      <w:r w:rsidRPr="000B5528">
        <w:rPr>
          <w:rFonts w:eastAsia="Rockwell" w:cs="Calibri Light"/>
          <w:noProof/>
          <w:color w:val="000000"/>
          <w:sz w:val="18"/>
        </w:rPr>
        <mc:AlternateContent>
          <mc:Choice Requires="wps">
            <w:drawing>
              <wp:inline distT="0" distB="0" distL="0" distR="0" wp14:anchorId="4DEDD754" wp14:editId="3EB74867">
                <wp:extent cx="5400040" cy="4791693"/>
                <wp:effectExtent l="0" t="0" r="10160" b="28575"/>
                <wp:docPr id="1005342722" name="Text Box 1005342722"/>
                <wp:cNvGraphicFramePr/>
                <a:graphic xmlns:a="http://schemas.openxmlformats.org/drawingml/2006/main">
                  <a:graphicData uri="http://schemas.microsoft.com/office/word/2010/wordprocessingShape">
                    <wps:wsp>
                      <wps:cNvSpPr txBox="1"/>
                      <wps:spPr>
                        <a:xfrm>
                          <a:off x="0" y="0"/>
                          <a:ext cx="5400040" cy="4791693"/>
                        </a:xfrm>
                        <a:prstGeom prst="rect">
                          <a:avLst/>
                        </a:prstGeom>
                        <a:noFill/>
                        <a:ln w="19050">
                          <a:solidFill>
                            <a:srgbClr val="148A5D"/>
                          </a:solidFill>
                        </a:ln>
                      </wps:spPr>
                      <wps:txbx>
                        <w:txbxContent>
                          <w:p w14:paraId="359B2D39" w14:textId="77777777" w:rsidR="003C584D" w:rsidRPr="00313F6B" w:rsidRDefault="003C584D" w:rsidP="00313F6B">
                            <w:pPr>
                              <w:pStyle w:val="12BoxText"/>
                            </w:pPr>
                            <w:r w:rsidRPr="00313F6B">
                              <w:t>‘The role hasn’t changed but the expectations on delivery timeframes and workload have increased dramatically.’</w:t>
                            </w:r>
                          </w:p>
                          <w:p w14:paraId="1D22B9F4" w14:textId="18F850ED" w:rsidR="003C584D" w:rsidRPr="00313F6B" w:rsidRDefault="003C584D" w:rsidP="00313F6B">
                            <w:pPr>
                              <w:pStyle w:val="12BoxText"/>
                            </w:pPr>
                            <w:r w:rsidRPr="00313F6B">
                              <w:t>‘My answers are attempting to communicate that I am expected to deliver highly complex, nuanced and challenging advice across more topics, with fewer resources to validate and inform my judgements. This increases the risk which I have to navigate increasingly alone, because no one above me or alongside me has the capacity to back me in. It’s a quality issue, which quickly becomes a values and integrity issue.’</w:t>
                            </w:r>
                          </w:p>
                          <w:p w14:paraId="58447BBD" w14:textId="77777777" w:rsidR="003C584D" w:rsidRPr="00313F6B" w:rsidRDefault="003C584D" w:rsidP="00313F6B">
                            <w:pPr>
                              <w:pStyle w:val="12BoxText"/>
                            </w:pPr>
                            <w:r w:rsidRPr="00313F6B">
                              <w:t>‘The expectations on the VPS [have] grown significantly, particularly since COVID. The breadth of work and speed of delivery puts significant pressure on the middle executive cadre to lead this work. This is exacerbated by recruitment challenges and the reductions in [workforce] numbers which mean that teams are rarely at full strength or adequately resourced to meet expectations. The unwritten expectation is that middle executives will put in significant overtime and do what it takes to get things done and be on call almost 24/7, while having limited opportunities to shape policy and programs in a ‘top down’ environment.’</w:t>
                            </w:r>
                          </w:p>
                          <w:p w14:paraId="564BE10B" w14:textId="77777777" w:rsidR="003C584D" w:rsidRPr="00313F6B" w:rsidRDefault="003C584D" w:rsidP="00313F6B">
                            <w:pPr>
                              <w:pStyle w:val="12BoxText"/>
                            </w:pPr>
                            <w:r w:rsidRPr="00313F6B">
                              <w:t>‘The demands and expectations of my role continue to grow, without any concomitant expansion in resourcing, professional supervision, learning and development and support roles to assist me with my job, and the expectation that I work well beyond business hours, including on call duties on weekends and after hours with no remuneration or recognition of this work.’</w:t>
                            </w:r>
                          </w:p>
                          <w:p w14:paraId="560778E6" w14:textId="3805459A" w:rsidR="003C584D" w:rsidRPr="00313F6B" w:rsidRDefault="003C584D" w:rsidP="00313F6B">
                            <w:pPr>
                              <w:pStyle w:val="12BoxText"/>
                            </w:pPr>
                            <w:r w:rsidRPr="00313F6B">
                              <w:t>‘COVID changed how we worked, then because government has overspent budgets, we are now left with trying to cut resources in a political environment where there is no appetite to cut external funding. It has made the task so much more difficult. Team morale is terrible due to the change approach we adopted for this downsizing and that has been taxing in terms of time and effort to do the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DEDD754" id="Text Box 1005342722" o:spid="_x0000_s1027" type="#_x0000_t202" style="width:425.2pt;height:37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" filled="f" strokecolor="#148a5d" strokeweight="1.5pt">
                <v:textbox>
                  <w:txbxContent>
                    <w:p w14:paraId="359B2D39" w14:textId="77777777" w:rsidR="003C584D" w:rsidRPr="00313F6B" w:rsidRDefault="003C584D" w:rsidP="00313F6B">
                      <w:pPr>
                        <w:pStyle w:val="12BoxText"/>
                      </w:pPr>
                      <w:r w:rsidRPr="00313F6B">
                        <w:t>‘The role hasn’t changed but the expectations on delivery timeframes and workload have increased dramatically.’</w:t>
                      </w:r>
                    </w:p>
                    <w:p w14:paraId="1D22B9F4" w14:textId="18F850ED" w:rsidR="003C584D" w:rsidRPr="00313F6B" w:rsidRDefault="003C584D" w:rsidP="00313F6B">
                      <w:pPr>
                        <w:pStyle w:val="12BoxText"/>
                      </w:pPr>
                      <w:r w:rsidRPr="00313F6B">
                        <w:t>‘My answers are attempting to communicate that I am expected to deliver highly complex, nuanced and challenging advice across more topics, with fewer resources to validate and inform my judgements. This increases the risk which I have to navigate increasingly alone, because no one above me or alongside me has the capacity to back me in. It’s a quality issue, which quickly becomes a values and integrity issue.’</w:t>
                      </w:r>
                    </w:p>
                    <w:p w14:paraId="58447BBD" w14:textId="77777777" w:rsidR="003C584D" w:rsidRPr="00313F6B" w:rsidRDefault="003C584D" w:rsidP="00313F6B">
                      <w:pPr>
                        <w:pStyle w:val="12BoxText"/>
                      </w:pPr>
                      <w:r w:rsidRPr="00313F6B">
                        <w:t>‘The expectations on the VPS [have] grown significantly, particularly since COVID. The breadth of work and speed of delivery puts significant pressure on the middle executive cadre to lead this work. This is exacerbated by recruitment challenges and the reductions in [workforce] numbers which mean that teams are rarely at full strength or adequately resourced to meet expectations. The unwritten expectation is that middle executives will put in significant overtime and do what it takes to get things done and be on call almost 24/7, while having limited opportunities to shape policy and programs in a ‘top down’ environment.’</w:t>
                      </w:r>
                    </w:p>
                    <w:p w14:paraId="564BE10B" w14:textId="77777777" w:rsidR="003C584D" w:rsidRPr="00313F6B" w:rsidRDefault="003C584D" w:rsidP="00313F6B">
                      <w:pPr>
                        <w:pStyle w:val="12BoxText"/>
                      </w:pPr>
                      <w:r w:rsidRPr="00313F6B">
                        <w:t>‘The demands and expectations of my role continue to grow, without any concomitant expansion in resourcing, professional supervision, learning and development and support roles to assist me with my job, and the expectation that I work well beyond business hours, including on call duties on weekends and after hours with no remuneration or recognition of this work.’</w:t>
                      </w:r>
                    </w:p>
                    <w:p w14:paraId="560778E6" w14:textId="3805459A" w:rsidR="003C584D" w:rsidRPr="00313F6B" w:rsidRDefault="003C584D" w:rsidP="00313F6B">
                      <w:pPr>
                        <w:pStyle w:val="12BoxText"/>
                      </w:pPr>
                      <w:r w:rsidRPr="00313F6B">
                        <w:t>‘COVID changed how we worked, then because government has overspent budgets, we are now left with trying to cut resources in a political environment where there is no appetite to cut external funding. It has made the task so much more difficult. Team morale is terrible due to the change approach we adopted for this downsizing and that has been taxing in terms of time and effort to do the work.’</w:t>
                      </w:r>
                    </w:p>
                  </w:txbxContent>
                </v:textbox>
                <w10:anchorlock/>
              </v:shape>
            </w:pict>
          </mc:Fallback>
        </mc:AlternateContent>
      </w:r>
    </w:p>
    <w:p w14:paraId="4BAAE3CB" w14:textId="77777777" w:rsidR="00796E59" w:rsidRPr="00462465" w:rsidRDefault="00796E59" w:rsidP="00796E59">
      <w:pPr>
        <w:pStyle w:val="09Sourcesandnotesfortablesfiguresboxes"/>
      </w:pPr>
      <w:r w:rsidRPr="00462465">
        <w:t>Note: Responses have been edited only where necessary to improve clarity.</w:t>
      </w:r>
    </w:p>
    <w:p w14:paraId="75F1CE0A" w14:textId="074A6532" w:rsidR="00796E59" w:rsidRPr="00462465" w:rsidRDefault="00796E59" w:rsidP="00796E59">
      <w:pPr>
        <w:pStyle w:val="09Sourcesandnotesfortablesfiguresboxes"/>
      </w:pPr>
      <w:r w:rsidRPr="00462465">
        <w:t xml:space="preserve">Source: </w:t>
      </w:r>
      <w:r>
        <w:t>Tribunal</w:t>
      </w:r>
      <w:r w:rsidRPr="00CA7692">
        <w:t xml:space="preserve"> </w:t>
      </w:r>
      <w:r w:rsidRPr="00612D67">
        <w:t>executive questionnaire.</w:t>
      </w:r>
    </w:p>
    <w:p w14:paraId="4CB03812" w14:textId="77777777" w:rsidR="00B1165D" w:rsidRPr="00B1165D" w:rsidRDefault="00B1165D" w:rsidP="00684A09">
      <w:pPr>
        <w:pStyle w:val="03VIRTHeading3"/>
        <w:rPr>
          <w:rFonts w:eastAsia="Calibri"/>
          <w:color w:val="0F6745"/>
        </w:rPr>
      </w:pPr>
      <w:r w:rsidRPr="00B1165D">
        <w:t>Some executives reported reduced levels of independence</w:t>
      </w:r>
    </w:p>
    <w:p w14:paraId="1F63F683" w14:textId="77777777" w:rsidR="00B1165D" w:rsidRPr="00B1165D" w:rsidRDefault="00B1165D" w:rsidP="00684A09">
      <w:pPr>
        <w:pStyle w:val="05Paragraph"/>
        <w:rPr>
          <w:noProof/>
        </w:rPr>
      </w:pPr>
      <w:r w:rsidRPr="00B1165D">
        <w:rPr>
          <w:noProof/>
        </w:rPr>
        <w:t>Several executives also commented that while workload and complexity had grown, they had less independence. This contributed to confusion about accountabilities, frustration</w:t>
      </w:r>
      <w:r w:rsidRPr="00B1165D">
        <w:t>,</w:t>
      </w:r>
      <w:r w:rsidRPr="00B1165D">
        <w:rPr>
          <w:noProof/>
        </w:rPr>
        <w:t xml:space="preserve"> and job dissatisfaction (Box 2.2).</w:t>
      </w:r>
    </w:p>
    <w:p w14:paraId="58F4CF9D" w14:textId="0922C756" w:rsidR="00B1165D" w:rsidRDefault="00B1165D" w:rsidP="00144BE8">
      <w:pPr>
        <w:pStyle w:val="08Figuretableboxheading"/>
      </w:pPr>
      <w:bookmarkStart w:id="64" w:name="_Toc170393530"/>
      <w:r w:rsidRPr="009E4C2D">
        <w:lastRenderedPageBreak/>
        <w:t>Box 2.2: Executive views – independence and autonomy</w:t>
      </w:r>
      <w:bookmarkEnd w:id="64"/>
    </w:p>
    <w:p w14:paraId="3E230802" w14:textId="16FFF568" w:rsidR="003C584D" w:rsidRDefault="003C584D" w:rsidP="001C749D">
      <w:pPr>
        <w:pStyle w:val="05Paragraph"/>
      </w:pPr>
      <w:r w:rsidRPr="000B5528">
        <w:rPr>
          <w:rFonts w:eastAsia="Rockwell" w:cs="Calibri Light"/>
          <w:noProof/>
          <w:color w:val="000000"/>
          <w:sz w:val="18"/>
        </w:rPr>
        <mc:AlternateContent>
          <mc:Choice Requires="wps">
            <w:drawing>
              <wp:inline distT="0" distB="0" distL="0" distR="0" wp14:anchorId="74765FD5" wp14:editId="7713ED5D">
                <wp:extent cx="5400040" cy="4102924"/>
                <wp:effectExtent l="0" t="0" r="10160" b="12065"/>
                <wp:docPr id="1213658941" name="Text Box 1213658941"/>
                <wp:cNvGraphicFramePr/>
                <a:graphic xmlns:a="http://schemas.openxmlformats.org/drawingml/2006/main">
                  <a:graphicData uri="http://schemas.microsoft.com/office/word/2010/wordprocessingShape">
                    <wps:wsp>
                      <wps:cNvSpPr txBox="1"/>
                      <wps:spPr>
                        <a:xfrm>
                          <a:off x="0" y="0"/>
                          <a:ext cx="5400040" cy="4102924"/>
                        </a:xfrm>
                        <a:prstGeom prst="rect">
                          <a:avLst/>
                        </a:prstGeom>
                        <a:noFill/>
                        <a:ln w="19050">
                          <a:solidFill>
                            <a:srgbClr val="148A5D"/>
                          </a:solidFill>
                        </a:ln>
                      </wps:spPr>
                      <wps:txbx>
                        <w:txbxContent>
                          <w:p w14:paraId="1A5477E4" w14:textId="77777777" w:rsidR="00F123B7" w:rsidRPr="0026026E" w:rsidRDefault="00F123B7" w:rsidP="0026026E">
                            <w:pPr>
                              <w:pStyle w:val="12BoxText"/>
                            </w:pPr>
                            <w:r w:rsidRPr="0026026E">
                              <w:t>‘Independence has been curtailed due to onerous and restrictive policies announced by the Secretary – that basically centralises decision making and increases the level of administrative burden and frustration.’</w:t>
                            </w:r>
                          </w:p>
                          <w:p w14:paraId="35881F26" w14:textId="77777777" w:rsidR="00F123B7" w:rsidRPr="0026026E" w:rsidRDefault="00F123B7" w:rsidP="0026026E">
                            <w:pPr>
                              <w:pStyle w:val="12BoxText"/>
                            </w:pPr>
                            <w:r w:rsidRPr="0026026E">
                              <w:t>‘Although the scope of responsibilities seems to have increased, the ability to independently make decisions has diminished – decisions are increasingly being escalated to higher levels in the hierarchy, including for resource management.’</w:t>
                            </w:r>
                          </w:p>
                          <w:p w14:paraId="421FCCEC" w14:textId="77777777" w:rsidR="00F123B7" w:rsidRPr="0026026E" w:rsidRDefault="00F123B7" w:rsidP="0026026E">
                            <w:pPr>
                              <w:pStyle w:val="12BoxText"/>
                            </w:pPr>
                            <w:r w:rsidRPr="0026026E">
                              <w:t>‘Size of departments have grown so this has increased remit, however VPS resources have diminished. Since COVID, there is an expectation to work seven days and be on call weekdays – this is impacting the number of [executives] leaving the VPS. Stakeholder management has grown and I support this – both internally and externally. Most of my colleagues would say their ability to make decisions freely or without influence has diminished.’</w:t>
                            </w:r>
                          </w:p>
                          <w:p w14:paraId="59054496" w14:textId="77777777" w:rsidR="00F123B7" w:rsidRPr="0026026E" w:rsidRDefault="00F123B7" w:rsidP="0026026E">
                            <w:pPr>
                              <w:pStyle w:val="12BoxText"/>
                            </w:pPr>
                            <w:r w:rsidRPr="0026026E">
                              <w:t>‘There are many layers of executives in my organisation so my ability to be involved in strategic planning and decision making is reduced. This can also apply to day-to-day decision making where the level of accountability is not always clear.’</w:t>
                            </w:r>
                          </w:p>
                          <w:p w14:paraId="14DCA76A" w14:textId="3A2519F1" w:rsidR="003C584D" w:rsidRPr="0026026E" w:rsidRDefault="00F123B7" w:rsidP="001C749D">
                            <w:pPr>
                              <w:pStyle w:val="12BoxText"/>
                            </w:pPr>
                            <w:r w:rsidRPr="0026026E">
                              <w:t>‘The level of responsibility and delivery has significantly increased while resourcing has been downsized. The level of impact has reduced, and decision-making is being centralised in the SES-3 and above levels while risks are still being borne by SES-1 and -2 [executive] staff. The required hours to complete tasks are now regularly exceeding 50 hours per week and SES-1 and -2 staff are being required to produce more operational artifacts (including drafting briefs due to staff shortages).’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4765FD5" id="Text Box 1213658941" o:spid="_x0000_s1028" type="#_x0000_t202" style="width:425.2pt;height:32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" filled="f" strokecolor="#148a5d" strokeweight="1.5pt">
                <v:textbox>
                  <w:txbxContent>
                    <w:p w14:paraId="1A5477E4" w14:textId="77777777" w:rsidR="00F123B7" w:rsidRPr="0026026E" w:rsidRDefault="00F123B7" w:rsidP="0026026E">
                      <w:pPr>
                        <w:pStyle w:val="12BoxText"/>
                      </w:pPr>
                      <w:r w:rsidRPr="0026026E">
                        <w:t>‘Independence has been curtailed due to onerous and restrictive policies announced by the Secretary – that basically centralises decision making and increases the level of administrative burden and frustration.’</w:t>
                      </w:r>
                    </w:p>
                    <w:p w14:paraId="35881F26" w14:textId="77777777" w:rsidR="00F123B7" w:rsidRPr="0026026E" w:rsidRDefault="00F123B7" w:rsidP="0026026E">
                      <w:pPr>
                        <w:pStyle w:val="12BoxText"/>
                      </w:pPr>
                      <w:r w:rsidRPr="0026026E">
                        <w:t>‘Although the scope of responsibilities seems to have increased, the ability to independently make decisions has diminished – decisions are increasingly being escalated to higher levels in the hierarchy, including for resource management.’</w:t>
                      </w:r>
                    </w:p>
                    <w:p w14:paraId="421FCCEC" w14:textId="77777777" w:rsidR="00F123B7" w:rsidRPr="0026026E" w:rsidRDefault="00F123B7" w:rsidP="0026026E">
                      <w:pPr>
                        <w:pStyle w:val="12BoxText"/>
                      </w:pPr>
                      <w:r w:rsidRPr="0026026E">
                        <w:t>‘Size of departments have grown so this has increased remit, however VPS resources have diminished. Since COVID, there is an expectation to work seven days and be on call weekdays – this is impacting the number of [executives] leaving the VPS. Stakeholder management has grown and I support this – both internally and externally. Most of my colleagues would say their ability to make decisions freely or without influence has diminished.’</w:t>
                      </w:r>
                    </w:p>
                    <w:p w14:paraId="59054496" w14:textId="77777777" w:rsidR="00F123B7" w:rsidRPr="0026026E" w:rsidRDefault="00F123B7" w:rsidP="0026026E">
                      <w:pPr>
                        <w:pStyle w:val="12BoxText"/>
                      </w:pPr>
                      <w:r w:rsidRPr="0026026E">
                        <w:t>‘There are many layers of executives in my organisation so my ability to be involved in strategic planning and decision making is reduced. This can also apply to day-to-day decision making where the level of accountability is not always clear.’</w:t>
                      </w:r>
                    </w:p>
                    <w:p w14:paraId="14DCA76A" w14:textId="3A2519F1" w:rsidR="003C584D" w:rsidRPr="0026026E" w:rsidRDefault="00F123B7" w:rsidP="001C749D">
                      <w:pPr>
                        <w:pStyle w:val="12BoxText"/>
                      </w:pPr>
                      <w:r w:rsidRPr="0026026E">
                        <w:t>‘The level of responsibility and delivery has significantly increased while resourcing has been downsized. The level of impact has reduced, and decision-making is being centralised in the SES-3 and above levels while risks are still being borne by SES-1 and -2 [executive] staff. The required hours to complete tasks are now regularly exceeding 50 hours per week and SES-1 and -2 staff are being required to produce more operational artifacts (including drafting briefs due to staff shortages).’</w:t>
                      </w:r>
                    </w:p>
                  </w:txbxContent>
                </v:textbox>
                <w10:anchorlock/>
              </v:shape>
            </w:pict>
          </mc:Fallback>
        </mc:AlternateContent>
      </w:r>
    </w:p>
    <w:p w14:paraId="15B645D3" w14:textId="77777777" w:rsidR="00DF65A0" w:rsidRPr="00B1165D" w:rsidRDefault="00DF65A0" w:rsidP="00DF65A0">
      <w:pPr>
        <w:pStyle w:val="09Sourcesandnotesfortablesfiguresboxes"/>
        <w:rPr>
          <w:rFonts w:eastAsia="Calibri" w:cs="Arial"/>
          <w:color w:val="000000"/>
        </w:rPr>
      </w:pPr>
      <w:r w:rsidRPr="00B1165D">
        <w:t>Note: Responses have been edited only where necessary to improve clarity.</w:t>
      </w:r>
    </w:p>
    <w:p w14:paraId="0CA15C77" w14:textId="5065EED4" w:rsidR="00DF65A0" w:rsidRPr="00B1165D" w:rsidRDefault="00DF65A0" w:rsidP="00DF65A0">
      <w:pPr>
        <w:pStyle w:val="09Sourcesandnotesfortablesfiguresboxes"/>
        <w:rPr>
          <w:rFonts w:eastAsia="Calibri" w:cs="Arial"/>
          <w:color w:val="000000"/>
        </w:rPr>
      </w:pPr>
      <w:r w:rsidRPr="00B1165D">
        <w:t xml:space="preserve">Source: </w:t>
      </w:r>
      <w:r>
        <w:t>Tribunal</w:t>
      </w:r>
      <w:r w:rsidRPr="008511F0">
        <w:t xml:space="preserve"> executive questionnaire</w:t>
      </w:r>
      <w:r w:rsidR="008511F0" w:rsidRPr="008511F0">
        <w:t>.</w:t>
      </w:r>
    </w:p>
    <w:p w14:paraId="6930BB29" w14:textId="7C06D48B" w:rsidR="00B1165D" w:rsidRPr="00B1165D" w:rsidRDefault="009B2230" w:rsidP="00684A09">
      <w:pPr>
        <w:pStyle w:val="02VIRTHeading2"/>
      </w:pPr>
      <w:bookmarkStart w:id="65" w:name="_Toc169878473"/>
      <w:bookmarkStart w:id="66" w:name="_Toc170396216"/>
      <w:r>
        <w:t>2.5</w:t>
      </w:r>
      <w:r>
        <w:tab/>
      </w:r>
      <w:r w:rsidR="00B1165D" w:rsidRPr="00B1165D">
        <w:t>Future influences on executive roles</w:t>
      </w:r>
      <w:bookmarkEnd w:id="65"/>
      <w:bookmarkEnd w:id="66"/>
    </w:p>
    <w:p w14:paraId="0D890CFB" w14:textId="77777777" w:rsidR="00B1165D" w:rsidRPr="00B1165D" w:rsidRDefault="00B1165D" w:rsidP="00684A09">
      <w:pPr>
        <w:pStyle w:val="05Paragraph"/>
        <w:rPr>
          <w:noProof/>
        </w:rPr>
      </w:pPr>
      <w:r w:rsidRPr="00B1165D">
        <w:rPr>
          <w:noProof/>
        </w:rPr>
        <w:t xml:space="preserve">The Tribunal’s research and consultations identified several factors likely to affect executive roles in the coming years. These include: </w:t>
      </w:r>
    </w:p>
    <w:p w14:paraId="5DC3C10A" w14:textId="77777777" w:rsidR="00B1165D" w:rsidRPr="00B1165D" w:rsidRDefault="00B1165D" w:rsidP="00597ACA">
      <w:pPr>
        <w:pStyle w:val="06VIRTBulletpoints"/>
        <w:rPr>
          <w:noProof/>
        </w:rPr>
      </w:pPr>
      <w:r w:rsidRPr="00B1165D">
        <w:rPr>
          <w:noProof/>
        </w:rPr>
        <w:t>harnessing the power of artificial intelligence</w:t>
      </w:r>
    </w:p>
    <w:p w14:paraId="39D17DE4" w14:textId="77777777" w:rsidR="00B1165D" w:rsidRPr="00B1165D" w:rsidRDefault="00B1165D" w:rsidP="00597ACA">
      <w:pPr>
        <w:pStyle w:val="06VIRTBulletpoints"/>
        <w:rPr>
          <w:noProof/>
        </w:rPr>
      </w:pPr>
      <w:r w:rsidRPr="00B1165D">
        <w:rPr>
          <w:noProof/>
        </w:rPr>
        <w:t>protecting against cyber threats and ensuring data integrity</w:t>
      </w:r>
    </w:p>
    <w:p w14:paraId="34D764D4" w14:textId="77777777" w:rsidR="00B1165D" w:rsidRPr="00B1165D" w:rsidRDefault="00B1165D" w:rsidP="00597ACA">
      <w:pPr>
        <w:pStyle w:val="06VIRTBulletpoints"/>
        <w:rPr>
          <w:noProof/>
        </w:rPr>
      </w:pPr>
      <w:r w:rsidRPr="00B1165D">
        <w:rPr>
          <w:noProof/>
        </w:rPr>
        <w:t>geopolitical influences.</w:t>
      </w:r>
    </w:p>
    <w:p w14:paraId="4643DA0E" w14:textId="77777777" w:rsidR="00B1165D" w:rsidRPr="00B1165D" w:rsidRDefault="00B1165D" w:rsidP="00684A09">
      <w:pPr>
        <w:pStyle w:val="05Paragraph"/>
        <w:rPr>
          <w:noProof/>
        </w:rPr>
      </w:pPr>
      <w:r w:rsidRPr="00B1165D">
        <w:rPr>
          <w:noProof/>
        </w:rPr>
        <w:t>In light of these factors, the Tribunal considers that the exposure to risk for VPS</w:t>
      </w:r>
      <w:r w:rsidRPr="00B1165D">
        <w:t> </w:t>
      </w:r>
      <w:r w:rsidRPr="00B1165D">
        <w:rPr>
          <w:noProof/>
        </w:rPr>
        <w:t>executives is now generally broader than it was at the time of the 2020 VPS</w:t>
      </w:r>
      <w:r w:rsidRPr="00B1165D">
        <w:t> </w:t>
      </w:r>
      <w:r w:rsidRPr="00B1165D">
        <w:rPr>
          <w:noProof/>
        </w:rPr>
        <w:t>Determination.</w:t>
      </w:r>
    </w:p>
    <w:p w14:paraId="3411180A" w14:textId="77777777" w:rsidR="00B1165D" w:rsidRPr="00B1165D" w:rsidRDefault="00B1165D" w:rsidP="00684A09">
      <w:pPr>
        <w:pStyle w:val="03VIRTHeading3"/>
        <w:rPr>
          <w:rFonts w:eastAsia="Calibri"/>
          <w:color w:val="0F6745"/>
        </w:rPr>
      </w:pPr>
      <w:r w:rsidRPr="00B1165D">
        <w:lastRenderedPageBreak/>
        <w:t xml:space="preserve">Harnessing the potential of artificial intelligence </w:t>
      </w:r>
    </w:p>
    <w:p w14:paraId="0ED40004" w14:textId="77777777" w:rsidR="00B1165D" w:rsidRPr="00B1165D" w:rsidRDefault="00B1165D" w:rsidP="00684A09">
      <w:pPr>
        <w:pStyle w:val="05Paragraph"/>
        <w:rPr>
          <w:noProof/>
        </w:rPr>
      </w:pPr>
      <w:r w:rsidRPr="00B1165D">
        <w:rPr>
          <w:noProof/>
        </w:rPr>
        <w:t>According to the Australian Government’s Australian Signals Directorate (ASD), artificial intelligence (AI) is an emerging technology that is likely to play an increasingly influential role in everyday life.</w:t>
      </w:r>
      <w:r w:rsidRPr="00B1165D">
        <w:rPr>
          <w:noProof/>
          <w:vertAlign w:val="superscript"/>
        </w:rPr>
        <w:footnoteReference w:id="79"/>
      </w:r>
      <w:r w:rsidRPr="00B1165D">
        <w:rPr>
          <w:noProof/>
          <w:vertAlign w:val="superscript"/>
        </w:rPr>
        <w:t xml:space="preserve"> </w:t>
      </w:r>
    </w:p>
    <w:p w14:paraId="603E1BB8" w14:textId="78037D58" w:rsidR="00B1165D" w:rsidRPr="00B1165D" w:rsidRDefault="00B1165D" w:rsidP="00684A09">
      <w:pPr>
        <w:pStyle w:val="05Paragraph"/>
        <w:rPr>
          <w:noProof/>
        </w:rPr>
      </w:pPr>
      <w:r w:rsidRPr="00B1165D">
        <w:rPr>
          <w:noProof/>
        </w:rPr>
        <w:t xml:space="preserve">AI is already being used in the Australian public sector to improve outcomes. For example, the </w:t>
      </w:r>
      <w:r w:rsidR="001B13D6">
        <w:rPr>
          <w:noProof/>
        </w:rPr>
        <w:t xml:space="preserve">Commonwealth Scientific and Industrial Research Organisation </w:t>
      </w:r>
      <w:r w:rsidRPr="00B1165D">
        <w:rPr>
          <w:noProof/>
        </w:rPr>
        <w:t>has developed an AI-enabled system that can model bushfire spread to help plan for and manage bushfires.</w:t>
      </w:r>
      <w:r w:rsidRPr="00B1165D">
        <w:rPr>
          <w:noProof/>
          <w:vertAlign w:val="superscript"/>
        </w:rPr>
        <w:footnoteReference w:id="80"/>
      </w:r>
      <w:r w:rsidRPr="00B1165D">
        <w:rPr>
          <w:noProof/>
        </w:rPr>
        <w:t xml:space="preserve"> According to the Productivity Commission (PC), AI may impact the public sector in several ways in the future, including:</w:t>
      </w:r>
      <w:r w:rsidRPr="00B1165D">
        <w:rPr>
          <w:noProof/>
          <w:vertAlign w:val="superscript"/>
        </w:rPr>
        <w:footnoteReference w:id="81"/>
      </w:r>
    </w:p>
    <w:p w14:paraId="49BA3C82" w14:textId="77777777" w:rsidR="00B1165D" w:rsidRPr="00B1165D" w:rsidRDefault="00B1165D" w:rsidP="00597ACA">
      <w:pPr>
        <w:pStyle w:val="06VIRTBulletpoints"/>
        <w:rPr>
          <w:noProof/>
        </w:rPr>
      </w:pPr>
      <w:r w:rsidRPr="00B1165D">
        <w:t>utilising</w:t>
      </w:r>
      <w:r w:rsidRPr="00B1165D">
        <w:rPr>
          <w:noProof/>
        </w:rPr>
        <w:t xml:space="preserve"> large, underutilised data sets</w:t>
      </w:r>
      <w:r w:rsidRPr="00B1165D">
        <w:t xml:space="preserve"> to</w:t>
      </w:r>
      <w:r w:rsidRPr="00B1165D">
        <w:rPr>
          <w:noProof/>
        </w:rPr>
        <w:t xml:space="preserve"> help identify risks and improve outcomes in human services </w:t>
      </w:r>
      <w:r w:rsidRPr="00B1165D">
        <w:t>such as</w:t>
      </w:r>
      <w:r w:rsidRPr="00B1165D">
        <w:rPr>
          <w:noProof/>
        </w:rPr>
        <w:t xml:space="preserve"> health, education and housing</w:t>
      </w:r>
    </w:p>
    <w:p w14:paraId="08B018D4" w14:textId="77777777" w:rsidR="00B1165D" w:rsidRPr="00B1165D" w:rsidRDefault="00B1165D" w:rsidP="00597ACA">
      <w:pPr>
        <w:pStyle w:val="06VIRTBulletpoints"/>
        <w:rPr>
          <w:noProof/>
        </w:rPr>
      </w:pPr>
      <w:r w:rsidRPr="00B1165D">
        <w:t xml:space="preserve">updating </w:t>
      </w:r>
      <w:r w:rsidRPr="00B1165D">
        <w:rPr>
          <w:noProof/>
        </w:rPr>
        <w:t xml:space="preserve">existing regulations to ensure AI use is </w:t>
      </w:r>
      <w:r w:rsidRPr="00B1165D">
        <w:t xml:space="preserve">adequately </w:t>
      </w:r>
      <w:r w:rsidRPr="00B1165D">
        <w:rPr>
          <w:noProof/>
        </w:rPr>
        <w:t xml:space="preserve">covered, </w:t>
      </w:r>
      <w:r w:rsidRPr="00B1165D">
        <w:t>including</w:t>
      </w:r>
      <w:r w:rsidRPr="00B1165D">
        <w:rPr>
          <w:noProof/>
        </w:rPr>
        <w:t xml:space="preserve"> approval processes for vehicles, machinery and medical equipment</w:t>
      </w:r>
    </w:p>
    <w:p w14:paraId="66B52912" w14:textId="77777777" w:rsidR="00B1165D" w:rsidRPr="00B1165D" w:rsidRDefault="00B1165D" w:rsidP="00597ACA">
      <w:pPr>
        <w:pStyle w:val="06VIRTBulletpoints"/>
        <w:rPr>
          <w:noProof/>
        </w:rPr>
      </w:pPr>
      <w:r w:rsidRPr="00B1165D">
        <w:t>demonstrating</w:t>
      </w:r>
      <w:r w:rsidRPr="00B1165D">
        <w:rPr>
          <w:noProof/>
        </w:rPr>
        <w:t xml:space="preserve"> safe and effective uses of AI in service delivery</w:t>
      </w:r>
      <w:r w:rsidRPr="00B1165D">
        <w:t xml:space="preserve"> as governments are significant procurers and users of technology, </w:t>
      </w:r>
      <w:r w:rsidRPr="00B1165D">
        <w:rPr>
          <w:noProof/>
        </w:rPr>
        <w:t>including through pilots and trials.</w:t>
      </w:r>
    </w:p>
    <w:p w14:paraId="4EF5903F" w14:textId="77777777" w:rsidR="00B1165D" w:rsidRPr="00B1165D" w:rsidRDefault="00B1165D" w:rsidP="00684A09">
      <w:pPr>
        <w:pStyle w:val="05Paragraph"/>
      </w:pPr>
      <w:r w:rsidRPr="00B1165D">
        <w:rPr>
          <w:noProof/>
        </w:rPr>
        <w:t>Utilising AI in the public sector presents several risks, including potential biases in decision-making algorithms that could lead to unfair or discriminatory outcomes and legal proceedings by affected parties. Additionally, there is a risk of data breaches and privacy concerns if sensitive public information used to train AI systems is not adequately protected</w:t>
      </w:r>
      <w:r w:rsidRPr="00B1165D">
        <w:t>.</w:t>
      </w:r>
      <w:r w:rsidRPr="00B1165D">
        <w:rPr>
          <w:vertAlign w:val="superscript"/>
        </w:rPr>
        <w:footnoteReference w:id="82"/>
      </w:r>
    </w:p>
    <w:p w14:paraId="3DABB2A1" w14:textId="77777777" w:rsidR="00B1165D" w:rsidRPr="00B1165D" w:rsidRDefault="00B1165D" w:rsidP="00684A09">
      <w:pPr>
        <w:pStyle w:val="05Paragraph"/>
      </w:pPr>
      <w:r w:rsidRPr="00B1165D">
        <w:t>In this context, a recent survey on the application of AI highlighted the challenges for the public service in applying technologies to:</w:t>
      </w:r>
      <w:r w:rsidRPr="00B1165D">
        <w:rPr>
          <w:vertAlign w:val="superscript"/>
        </w:rPr>
        <w:footnoteReference w:id="83"/>
      </w:r>
      <w:r w:rsidRPr="00B1165D">
        <w:t xml:space="preserve"> </w:t>
      </w:r>
    </w:p>
    <w:p w14:paraId="7EF099FC" w14:textId="77777777" w:rsidR="00B1165D" w:rsidRPr="00B1165D" w:rsidRDefault="00B1165D" w:rsidP="00597ACA">
      <w:pPr>
        <w:pStyle w:val="07VIRTBreakouttext"/>
        <w:rPr>
          <w:rFonts w:eastAsia="Calibri"/>
          <w:i w:val="0"/>
        </w:rPr>
      </w:pPr>
      <w:r w:rsidRPr="00B1165D">
        <w:t>… complex real world scenarios without a clear understanding of the limits of the technology, a transparent or unambiguous definition of the problem the technology is being applied to, or surety on what the desired outcome is. Relatedly surveys of public attitudes have found AI related failures in government contribute to negative valuations of government in general.</w:t>
      </w:r>
    </w:p>
    <w:p w14:paraId="6F504E08" w14:textId="77777777" w:rsidR="00B1165D" w:rsidRPr="00B1165D" w:rsidRDefault="00B1165D" w:rsidP="00684A09">
      <w:pPr>
        <w:pStyle w:val="03VIRTHeading3"/>
        <w:rPr>
          <w:rFonts w:eastAsia="Calibri"/>
          <w:color w:val="0F6745"/>
        </w:rPr>
      </w:pPr>
      <w:r w:rsidRPr="00B1165D">
        <w:lastRenderedPageBreak/>
        <w:t>The importance of cyber security and data integrity</w:t>
      </w:r>
    </w:p>
    <w:p w14:paraId="76CE81EA" w14:textId="77777777" w:rsidR="00B1165D" w:rsidRPr="00B1165D" w:rsidRDefault="00B1165D" w:rsidP="00684A09">
      <w:pPr>
        <w:pStyle w:val="05Paragraph"/>
        <w:rPr>
          <w:noProof/>
        </w:rPr>
      </w:pPr>
      <w:r w:rsidRPr="00B1165D">
        <w:rPr>
          <w:noProof/>
        </w:rPr>
        <w:t>The rapid adoption of AI technology also presents a challenge for executives in upholding cyber security and preserving data integrity within the VPS. In 2022, nine out of 10 Victorian Government organisations experienced a cyber incident.</w:t>
      </w:r>
      <w:r w:rsidRPr="00B1165D">
        <w:rPr>
          <w:noProof/>
          <w:vertAlign w:val="superscript"/>
        </w:rPr>
        <w:footnoteReference w:id="84"/>
      </w:r>
      <w:r w:rsidRPr="00B1165D">
        <w:rPr>
          <w:noProof/>
        </w:rPr>
        <w:t xml:space="preserve"> Protecting against cyber threats is essential to prevent data breaches, particularly given the sensitive nature of some personal information held by government, and maintain operational continuity, especially in critical sectors like healthcare and transportation. </w:t>
      </w:r>
    </w:p>
    <w:p w14:paraId="6B5AD555" w14:textId="77777777" w:rsidR="00B1165D" w:rsidRPr="00B1165D" w:rsidRDefault="00B1165D" w:rsidP="00684A09">
      <w:pPr>
        <w:pStyle w:val="05Paragraph"/>
        <w:rPr>
          <w:noProof/>
        </w:rPr>
      </w:pPr>
      <w:r w:rsidRPr="00B1165D">
        <w:rPr>
          <w:noProof/>
        </w:rPr>
        <w:t>Senior executives, particularly public service body Heads, will likely bear considerable personal responsibility in mitigating the risks of catastrophic system failures.</w:t>
      </w:r>
      <w:r w:rsidRPr="00B1165D">
        <w:rPr>
          <w:noProof/>
          <w:vertAlign w:val="superscript"/>
        </w:rPr>
        <w:footnoteReference w:id="85"/>
      </w:r>
      <w:r w:rsidRPr="00B1165D">
        <w:rPr>
          <w:noProof/>
        </w:rPr>
        <w:t xml:space="preserve"> Prioritising cyber security and data integrity is therefore likely to become an increasingly important component of VPS executive roles.</w:t>
      </w:r>
    </w:p>
    <w:p w14:paraId="16B70A4E" w14:textId="77777777" w:rsidR="00B1165D" w:rsidRPr="00B1165D" w:rsidRDefault="00B1165D" w:rsidP="00684A09">
      <w:pPr>
        <w:pStyle w:val="03VIRTHeading3"/>
        <w:rPr>
          <w:rFonts w:eastAsia="Calibri"/>
          <w:color w:val="0F6745"/>
        </w:rPr>
      </w:pPr>
      <w:r w:rsidRPr="00B1165D">
        <w:t>A challenging global environment</w:t>
      </w:r>
    </w:p>
    <w:p w14:paraId="0712FF86" w14:textId="77777777" w:rsidR="00B1165D" w:rsidRPr="00B1165D" w:rsidRDefault="00B1165D" w:rsidP="00684A09">
      <w:pPr>
        <w:pStyle w:val="05Paragraph"/>
        <w:rPr>
          <w:noProof/>
        </w:rPr>
      </w:pPr>
      <w:r w:rsidRPr="00B1165D">
        <w:t>The</w:t>
      </w:r>
      <w:r w:rsidRPr="00B1165D">
        <w:rPr>
          <w:noProof/>
        </w:rPr>
        <w:t xml:space="preserve"> operating environment for </w:t>
      </w:r>
      <w:r w:rsidRPr="00B1165D">
        <w:t xml:space="preserve">VPS </w:t>
      </w:r>
      <w:r w:rsidRPr="00B1165D">
        <w:rPr>
          <w:noProof/>
        </w:rPr>
        <w:t xml:space="preserve">executives has always been influenced by global factors, </w:t>
      </w:r>
      <w:r w:rsidRPr="00B1165D">
        <w:t xml:space="preserve">but </w:t>
      </w:r>
      <w:r w:rsidRPr="00B1165D">
        <w:rPr>
          <w:noProof/>
        </w:rPr>
        <w:t>consultation with Secretaries revealed that g</w:t>
      </w:r>
      <w:r w:rsidRPr="00B1165D">
        <w:t>eopolitical</w:t>
      </w:r>
      <w:r w:rsidRPr="00B1165D">
        <w:rPr>
          <w:noProof/>
        </w:rPr>
        <w:t xml:space="preserve"> </w:t>
      </w:r>
      <w:r w:rsidRPr="00B1165D">
        <w:t>dynamics</w:t>
      </w:r>
      <w:r w:rsidRPr="00B1165D">
        <w:rPr>
          <w:noProof/>
        </w:rPr>
        <w:t xml:space="preserve"> are increasingly </w:t>
      </w:r>
      <w:r w:rsidRPr="00B1165D">
        <w:t>shaping</w:t>
      </w:r>
      <w:r w:rsidRPr="00B1165D">
        <w:rPr>
          <w:noProof/>
        </w:rPr>
        <w:t xml:space="preserve"> the strategic landscape.</w:t>
      </w:r>
      <w:r w:rsidRPr="00B1165D">
        <w:rPr>
          <w:vertAlign w:val="superscript"/>
        </w:rPr>
        <w:footnoteReference w:id="86"/>
      </w:r>
      <w:r w:rsidRPr="00B1165D">
        <w:rPr>
          <w:noProof/>
        </w:rPr>
        <w:t xml:space="preserve"> Rising global tensions, trade disputes, and supply chain disruptions </w:t>
      </w:r>
      <w:r w:rsidRPr="00B1165D">
        <w:t>are having</w:t>
      </w:r>
      <w:r w:rsidRPr="00B1165D">
        <w:rPr>
          <w:noProof/>
        </w:rPr>
        <w:t xml:space="preserve"> profound effects on local economies, security, and public policy. These </w:t>
      </w:r>
      <w:r w:rsidRPr="00B1165D">
        <w:t>challenges</w:t>
      </w:r>
      <w:r w:rsidRPr="00B1165D">
        <w:rPr>
          <w:noProof/>
        </w:rPr>
        <w:t xml:space="preserve"> create a complex and dynamic environment for VPS executives, who must navigate the </w:t>
      </w:r>
      <w:r w:rsidRPr="00B1165D">
        <w:t>impacts</w:t>
      </w:r>
      <w:r w:rsidRPr="00B1165D">
        <w:rPr>
          <w:noProof/>
        </w:rPr>
        <w:t xml:space="preserve"> of international events on domestic </w:t>
      </w:r>
      <w:r w:rsidRPr="00B1165D">
        <w:t>circumstances.</w:t>
      </w:r>
    </w:p>
    <w:p w14:paraId="7EE15918" w14:textId="77777777" w:rsidR="00B1165D" w:rsidRPr="00B1165D" w:rsidRDefault="00B1165D" w:rsidP="00684A09">
      <w:pPr>
        <w:pStyle w:val="05Paragraph"/>
        <w:rPr>
          <w:noProof/>
        </w:rPr>
      </w:pPr>
      <w:r w:rsidRPr="00B1165D">
        <w:rPr>
          <w:noProof/>
        </w:rPr>
        <w:t>For example, international conflicts have disrupted global supply chains, affecting the availability of construction materials,</w:t>
      </w:r>
      <w:r w:rsidRPr="00B1165D" w:rsidDel="00A93A6E">
        <w:rPr>
          <w:noProof/>
        </w:rPr>
        <w:t xml:space="preserve"> </w:t>
      </w:r>
      <w:r w:rsidRPr="00B1165D">
        <w:rPr>
          <w:noProof/>
        </w:rPr>
        <w:t xml:space="preserve">which are important for </w:t>
      </w:r>
      <w:r w:rsidRPr="00B1165D">
        <w:t xml:space="preserve">the </w:t>
      </w:r>
      <w:r w:rsidRPr="00B1165D">
        <w:rPr>
          <w:noProof/>
        </w:rPr>
        <w:t>delivery of infrastructure projects and housing affordability.</w:t>
      </w:r>
      <w:r w:rsidRPr="00B1165D">
        <w:rPr>
          <w:noProof/>
          <w:vertAlign w:val="superscript"/>
        </w:rPr>
        <w:footnoteReference w:id="87"/>
      </w:r>
    </w:p>
    <w:p w14:paraId="2623EE5F" w14:textId="495B1490" w:rsidR="00B1165D" w:rsidRPr="00B1165D" w:rsidRDefault="001D278B" w:rsidP="001D278B">
      <w:pPr>
        <w:pStyle w:val="02VIRTHeading2"/>
      </w:pPr>
      <w:bookmarkStart w:id="67" w:name="_Toc169878474"/>
      <w:bookmarkStart w:id="68" w:name="_Toc170396217"/>
      <w:r>
        <w:t>2.6</w:t>
      </w:r>
      <w:r>
        <w:tab/>
      </w:r>
      <w:r w:rsidR="00B1165D" w:rsidRPr="00B1165D">
        <w:t>Summary</w:t>
      </w:r>
      <w:bookmarkEnd w:id="67"/>
      <w:bookmarkEnd w:id="68"/>
    </w:p>
    <w:p w14:paraId="4B7C87B4" w14:textId="78EF7E76" w:rsidR="00B1165D" w:rsidRPr="00B1165D" w:rsidRDefault="00B1165D" w:rsidP="00684A09">
      <w:pPr>
        <w:pStyle w:val="05Paragraph"/>
        <w:rPr>
          <w:noProof/>
        </w:rPr>
      </w:pPr>
      <w:r w:rsidRPr="00B1165D">
        <w:rPr>
          <w:noProof/>
        </w:rPr>
        <w:t xml:space="preserve">Public service body Heads are leaders responsible for the management of their agency, including advising Ministers and employing staff. The Secretary of a department is also responsible for supporting the governance of AOs and public entities in their portfolio. AO Heads also employ their own staff and perform </w:t>
      </w:r>
      <w:r w:rsidRPr="00B1165D">
        <w:rPr>
          <w:noProof/>
        </w:rPr>
        <w:lastRenderedPageBreak/>
        <w:t xml:space="preserve">activities under the direction and control of Ministers. The </w:t>
      </w:r>
      <w:r w:rsidR="00BC4061" w:rsidRPr="00BC4061">
        <w:rPr>
          <w:noProof/>
        </w:rPr>
        <w:t>Victorian Public Sector</w:t>
      </w:r>
      <w:r w:rsidRPr="00B1165D">
        <w:rPr>
          <w:noProof/>
        </w:rPr>
        <w:t xml:space="preserve"> Commissioner oversees the VPSC’s functions of strengthening public sector efficiency, effectiveness</w:t>
      </w:r>
      <w:r w:rsidRPr="00B1165D">
        <w:t>,</w:t>
      </w:r>
      <w:r w:rsidRPr="00B1165D">
        <w:rPr>
          <w:noProof/>
        </w:rPr>
        <w:t xml:space="preserve"> and capability.</w:t>
      </w:r>
    </w:p>
    <w:p w14:paraId="036EF264" w14:textId="77777777" w:rsidR="00B1165D" w:rsidRPr="00B1165D" w:rsidRDefault="00B1165D" w:rsidP="00684A09">
      <w:pPr>
        <w:pStyle w:val="05Paragraph"/>
        <w:rPr>
          <w:noProof/>
        </w:rPr>
      </w:pPr>
      <w:r w:rsidRPr="00B1165D">
        <w:rPr>
          <w:noProof/>
        </w:rPr>
        <w:t>Within a public service body, executive positions generally include responsibility for large-scale service delivery, development of public policy and implementation of compliance and enforcement programs.</w:t>
      </w:r>
    </w:p>
    <w:p w14:paraId="52558C51" w14:textId="77777777" w:rsidR="00B1165D" w:rsidRPr="00B1165D" w:rsidRDefault="00B1165D" w:rsidP="00684A09">
      <w:pPr>
        <w:pStyle w:val="05Paragraph"/>
        <w:rPr>
          <w:noProof/>
        </w:rPr>
      </w:pPr>
      <w:r w:rsidRPr="00B1165D">
        <w:rPr>
          <w:noProof/>
        </w:rPr>
        <w:t xml:space="preserve">Since the Tribunal’s 2020 VPS Determination, the VPS workforce has expanded in response to the impacts of the COVID-19 pandemic, growth in infrastructure investment and new economic and social priorities. There has also been increased scrutiny of the advice provided and decisions made by executives. </w:t>
      </w:r>
    </w:p>
    <w:p w14:paraId="36F4DCCA" w14:textId="77777777" w:rsidR="00B1165D" w:rsidRPr="00B1165D" w:rsidRDefault="00B1165D" w:rsidP="00684A09">
      <w:pPr>
        <w:pStyle w:val="05Paragraph"/>
        <w:rPr>
          <w:noProof/>
        </w:rPr>
      </w:pPr>
      <w:r w:rsidRPr="00B1165D">
        <w:rPr>
          <w:noProof/>
        </w:rPr>
        <w:t>In response to these trends, executives report heightened expectations and increased workload, complexity</w:t>
      </w:r>
      <w:r w:rsidRPr="00B1165D">
        <w:t>,</w:t>
      </w:r>
      <w:r w:rsidRPr="00B1165D">
        <w:rPr>
          <w:noProof/>
        </w:rPr>
        <w:t xml:space="preserve"> and scrutiny. Some executives also report reduced levels of independence, with decision-making increasingly centralised.</w:t>
      </w:r>
    </w:p>
    <w:p w14:paraId="6AC6F14B" w14:textId="77777777" w:rsidR="00B1165D" w:rsidRPr="00B1165D" w:rsidRDefault="00B1165D" w:rsidP="00684A09">
      <w:pPr>
        <w:pStyle w:val="05Paragraph"/>
        <w:rPr>
          <w:noProof/>
        </w:rPr>
      </w:pPr>
      <w:r w:rsidRPr="00B1165D">
        <w:rPr>
          <w:noProof/>
        </w:rPr>
        <w:t xml:space="preserve">Factors that are likely to influence executive roles in the future include harnessing the potential of AI and </w:t>
      </w:r>
      <w:r w:rsidRPr="00B1165D">
        <w:t>addressing</w:t>
      </w:r>
      <w:r w:rsidRPr="00B1165D">
        <w:rPr>
          <w:noProof/>
        </w:rPr>
        <w:t xml:space="preserve"> geopolitical </w:t>
      </w:r>
      <w:r w:rsidRPr="00B1165D">
        <w:t>issues that impact</w:t>
      </w:r>
      <w:r w:rsidRPr="00B1165D">
        <w:rPr>
          <w:noProof/>
        </w:rPr>
        <w:t xml:space="preserve"> service delivery obligations.</w:t>
      </w:r>
    </w:p>
    <w:p w14:paraId="4F94705F" w14:textId="481B20D4" w:rsidR="00BF7D4E" w:rsidRPr="00134CFE" w:rsidRDefault="009B2230" w:rsidP="00F33ED6">
      <w:pPr>
        <w:pStyle w:val="01Chapterheading"/>
      </w:pPr>
      <w:r>
        <w:br w:type="page"/>
      </w:r>
      <w:bookmarkStart w:id="69" w:name="_Toc169878475"/>
      <w:bookmarkStart w:id="70" w:name="_Toc170396218"/>
      <w:r w:rsidR="00BF7D4E" w:rsidRPr="00577AB9">
        <w:lastRenderedPageBreak/>
        <w:t>3</w:t>
      </w:r>
      <w:r w:rsidR="008478FE" w:rsidRPr="00577AB9">
        <w:tab/>
      </w:r>
      <w:r w:rsidR="00BF7D4E" w:rsidRPr="00577AB9">
        <w:t>Existing arrangements</w:t>
      </w:r>
      <w:r w:rsidR="001B08F0" w:rsidRPr="00577AB9">
        <w:br/>
      </w:r>
      <w:r w:rsidR="001B08F0" w:rsidRPr="00C02C39">
        <w:rPr>
          <w:noProof/>
        </w:rPr>
        <w:drawing>
          <wp:inline distT="0" distB="0" distL="0" distR="0" wp14:anchorId="58422DCB" wp14:editId="7DE3A4A7">
            <wp:extent cx="2222500" cy="253365"/>
            <wp:effectExtent l="0" t="0" r="6350" b="0"/>
            <wp:docPr id="1806957993" name="Picture 1806957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23">
                      <a:extLst>
                        <a:ext uri="{28A0092B-C50C-407E-A947-70E740481C1C}">
                          <a14:useLocalDpi xmlns:a14="http://schemas.microsoft.com/office/drawing/2010/main" val="0"/>
                        </a:ext>
                      </a:extLst>
                    </a:blip>
                    <a:stretch>
                      <a:fillRect/>
                    </a:stretch>
                  </pic:blipFill>
                  <pic:spPr>
                    <a:xfrm>
                      <a:off x="0" y="0"/>
                      <a:ext cx="2222500" cy="253365"/>
                    </a:xfrm>
                    <a:prstGeom prst="rect">
                      <a:avLst/>
                    </a:prstGeom>
                  </pic:spPr>
                </pic:pic>
              </a:graphicData>
            </a:graphic>
          </wp:inline>
        </w:drawing>
      </w:r>
      <w:bookmarkEnd w:id="69"/>
      <w:bookmarkEnd w:id="70"/>
    </w:p>
    <w:p w14:paraId="0CA7D50A" w14:textId="77777777" w:rsidR="00BF7D4E" w:rsidRPr="00BF7D4E" w:rsidRDefault="00BF7D4E" w:rsidP="00373812">
      <w:pPr>
        <w:pStyle w:val="05Paragraph"/>
      </w:pPr>
      <w:r w:rsidRPr="00BF7D4E">
        <w:t>In making this Determination, the Tribunal comprehensively reviewed the existing employment arrangements and remuneration provided to executives employed in VPS bodies.</w:t>
      </w:r>
      <w:r w:rsidRPr="00BF7D4E">
        <w:rPr>
          <w:vertAlign w:val="superscript"/>
        </w:rPr>
        <w:footnoteReference w:id="88"/>
      </w:r>
      <w:r w:rsidRPr="00BF7D4E">
        <w:t xml:space="preserve"> </w:t>
      </w:r>
    </w:p>
    <w:p w14:paraId="1DA4A306" w14:textId="0FBD455E" w:rsidR="00BF7D4E" w:rsidRPr="00BF7D4E" w:rsidRDefault="00BF7D4E" w:rsidP="00373812">
      <w:pPr>
        <w:pStyle w:val="05Paragraph"/>
      </w:pPr>
      <w:r w:rsidRPr="00BF7D4E">
        <w:t xml:space="preserve">Some conditions of executive employment </w:t>
      </w:r>
      <w:r w:rsidR="001D7D24">
        <w:t>—</w:t>
      </w:r>
      <w:r w:rsidRPr="00BF7D4E">
        <w:t xml:space="preserve"> including contract length, termination provisions and the ‘right of return’ </w:t>
      </w:r>
      <w:r w:rsidR="001D7D24">
        <w:t>—</w:t>
      </w:r>
      <w:r w:rsidRPr="00BF7D4E">
        <w:t xml:space="preserve"> are out of scope of the Tribunal’s Determination. However, such conditions </w:t>
      </w:r>
      <w:r w:rsidR="001D7D24">
        <w:t>—</w:t>
      </w:r>
      <w:r w:rsidRPr="00BF7D4E">
        <w:t xml:space="preserve"> together with the remuneration offered </w:t>
      </w:r>
      <w:r w:rsidR="001D7D24">
        <w:t>—</w:t>
      </w:r>
      <w:r w:rsidRPr="00BF7D4E">
        <w:t xml:space="preserve"> affect the attraction and retention of executives and for this reason are relevant to the Tribunal’s considerations.</w:t>
      </w:r>
    </w:p>
    <w:p w14:paraId="500ECE1B" w14:textId="0BB1AD50" w:rsidR="00BF7D4E" w:rsidRPr="00BF7D4E" w:rsidRDefault="00173381" w:rsidP="00173381">
      <w:pPr>
        <w:pStyle w:val="02VIRTHeading2"/>
      </w:pPr>
      <w:bookmarkStart w:id="71" w:name="_Toc170396219"/>
      <w:r>
        <w:t>3.1</w:t>
      </w:r>
      <w:r>
        <w:tab/>
      </w:r>
      <w:r w:rsidR="00BF7D4E" w:rsidRPr="00BF7D4E">
        <w:t>Executive employment is governed by the PAA and supporting policies</w:t>
      </w:r>
      <w:bookmarkEnd w:id="71"/>
    </w:p>
    <w:p w14:paraId="6305D319" w14:textId="0041FDCD" w:rsidR="00BF7D4E" w:rsidRPr="00BF7D4E" w:rsidRDefault="00BF7D4E" w:rsidP="00373812">
      <w:pPr>
        <w:pStyle w:val="05Paragraph"/>
      </w:pPr>
      <w:r w:rsidRPr="00BF7D4E">
        <w:t>The PAA is the key piece of legislation governing the employment of executives. The VPS Handbook provides the policy framework for employing executives under the PAA.</w:t>
      </w:r>
      <w:r w:rsidRPr="00BF7D4E">
        <w:rPr>
          <w:vertAlign w:val="superscript"/>
        </w:rPr>
        <w:footnoteReference w:id="89"/>
      </w:r>
      <w:r w:rsidRPr="00BF7D4E">
        <w:t xml:space="preserve"> The VPSC also maintains a ‘standard contract’, which is compulsory for all executive employment in the VPS.</w:t>
      </w:r>
      <w:r w:rsidRPr="00BF7D4E">
        <w:rPr>
          <w:vertAlign w:val="superscript"/>
        </w:rPr>
        <w:footnoteReference w:id="90"/>
      </w:r>
      <w:r w:rsidRPr="00BF7D4E">
        <w:t xml:space="preserve"> The contract template incorporates all the required government executive employment policies and ensures a consistent approach to executive employment across the VPS.</w:t>
      </w:r>
      <w:r w:rsidRPr="00BF7D4E">
        <w:rPr>
          <w:vertAlign w:val="superscript"/>
        </w:rPr>
        <w:footnoteReference w:id="91"/>
      </w:r>
    </w:p>
    <w:p w14:paraId="7180587F" w14:textId="77777777" w:rsidR="006D5A0C" w:rsidRDefault="00BF7D4E" w:rsidP="00373812">
      <w:pPr>
        <w:pStyle w:val="05Paragraph"/>
      </w:pPr>
      <w:r w:rsidRPr="00BF7D4E">
        <w:t>Table 3.1 summarises key employment conditions in the executive employment contract.</w:t>
      </w:r>
    </w:p>
    <w:p w14:paraId="7FF2B557" w14:textId="77777777" w:rsidR="006D5A0C" w:rsidRDefault="006D5A0C">
      <w:pPr>
        <w:spacing w:before="0" w:after="80" w:line="240" w:lineRule="auto"/>
        <w:jc w:val="left"/>
        <w:rPr>
          <w:rFonts w:eastAsia="Calibri" w:cs="Calibri Light"/>
          <w:color w:val="000000"/>
          <w:szCs w:val="26"/>
        </w:rPr>
      </w:pPr>
      <w:r>
        <w:rPr>
          <w:rFonts w:eastAsia="Calibri" w:cs="Calibri Light"/>
          <w:color w:val="000000"/>
          <w:szCs w:val="26"/>
        </w:rPr>
        <w:br w:type="page"/>
      </w:r>
    </w:p>
    <w:p w14:paraId="63CFE7FC" w14:textId="77777777" w:rsidR="00BF7D4E" w:rsidRPr="00373812" w:rsidRDefault="00BF7D4E" w:rsidP="00144BE8">
      <w:pPr>
        <w:pStyle w:val="08Figuretableboxheading"/>
      </w:pPr>
      <w:bookmarkStart w:id="72" w:name="_Toc170393531"/>
      <w:r w:rsidRPr="00703100">
        <w:lastRenderedPageBreak/>
        <w:t>Table 3.1: Summary of key employment conditions in the standard contract</w:t>
      </w:r>
      <w:bookmarkEnd w:id="72"/>
      <w:r w:rsidRPr="00703100">
        <w:t xml:space="preserve"> </w:t>
      </w:r>
    </w:p>
    <w:tbl>
      <w:tblPr>
        <w:tblStyle w:val="ListTable3-Accent23"/>
        <w:tblW w:w="8647" w:type="dxa"/>
        <w:tblBorders>
          <w:left w:val="none" w:sz="0" w:space="0" w:color="auto"/>
          <w:right w:val="none" w:sz="0" w:space="0" w:color="auto"/>
          <w:insideH w:val="single" w:sz="4" w:space="0" w:color="148A5D"/>
        </w:tblBorders>
        <w:tblLook w:val="04A0" w:firstRow="1" w:lastRow="0" w:firstColumn="1" w:lastColumn="0" w:noHBand="0" w:noVBand="1"/>
      </w:tblPr>
      <w:tblGrid>
        <w:gridCol w:w="1690"/>
        <w:gridCol w:w="6957"/>
      </w:tblGrid>
      <w:tr w:rsidR="00BF7D4E" w:rsidRPr="00BF7D4E" w14:paraId="51E1372E" w14:textId="77777777" w:rsidTr="00BD250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dxa"/>
          </w:tcPr>
          <w:p w14:paraId="3A03A575" w14:textId="77777777" w:rsidR="00BF7D4E" w:rsidRPr="00252AEA" w:rsidRDefault="00BF7D4E" w:rsidP="00252AEA">
            <w:pPr>
              <w:pStyle w:val="10Tabletext"/>
              <w:rPr>
                <w:color w:val="FFFFFF" w:themeColor="background1"/>
              </w:rPr>
            </w:pPr>
            <w:r w:rsidRPr="00252AEA">
              <w:rPr>
                <w:color w:val="FFFFFF" w:themeColor="background1"/>
              </w:rPr>
              <w:t>Provision</w:t>
            </w:r>
          </w:p>
        </w:tc>
        <w:tc>
          <w:tcPr>
            <w:tcW w:w="0" w:type="dxa"/>
          </w:tcPr>
          <w:p w14:paraId="38EF5D76" w14:textId="77777777" w:rsidR="00BF7D4E" w:rsidRPr="00252AEA" w:rsidRDefault="00BF7D4E" w:rsidP="00252AEA">
            <w:pPr>
              <w:pStyle w:val="10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252AEA">
              <w:rPr>
                <w:color w:val="FFFFFF" w:themeColor="background1"/>
              </w:rPr>
              <w:t>Conditions</w:t>
            </w:r>
          </w:p>
        </w:tc>
      </w:tr>
      <w:tr w:rsidR="00BF7D4E" w:rsidRPr="00BF7D4E" w14:paraId="7FDE05FD" w14:textId="77777777" w:rsidTr="00BF7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0" w:type="dxa"/>
          </w:tcPr>
          <w:p w14:paraId="480ECC35" w14:textId="77777777" w:rsidR="00BF7D4E" w:rsidRPr="00BF7D4E" w:rsidRDefault="00BF7D4E" w:rsidP="00252AEA">
            <w:pPr>
              <w:pStyle w:val="10Tabletext"/>
            </w:pPr>
            <w:r w:rsidRPr="00BF7D4E">
              <w:t>Re-</w:t>
            </w:r>
            <w:r w:rsidRPr="006C1AB3">
              <w:t>employment</w:t>
            </w:r>
          </w:p>
        </w:tc>
        <w:tc>
          <w:tcPr>
            <w:tcW w:w="6957" w:type="dxa"/>
          </w:tcPr>
          <w:p w14:paraId="7ABCE7B0" w14:textId="77777777" w:rsidR="00BF7D4E" w:rsidRPr="00D57346" w:rsidRDefault="00BF7D4E" w:rsidP="00252AEA">
            <w:pPr>
              <w:pStyle w:val="10Tabletext"/>
              <w:cnfStyle w:val="000000100000" w:firstRow="0" w:lastRow="0" w:firstColumn="0" w:lastColumn="0" w:oddVBand="0" w:evenVBand="0" w:oddHBand="1" w:evenHBand="0" w:firstRowFirstColumn="0" w:firstRowLastColumn="0" w:lastRowFirstColumn="0" w:lastRowLastColumn="0"/>
            </w:pPr>
            <w:r w:rsidRPr="00D57346">
              <w:t xml:space="preserve">Executive contracts are for terms of up to five years, but some VPS employers may offer shorter contract terms. There is no minimum contract term. </w:t>
            </w:r>
          </w:p>
          <w:p w14:paraId="3C11545B" w14:textId="77777777" w:rsidR="00BF7D4E" w:rsidRPr="000669BA" w:rsidRDefault="00BF7D4E" w:rsidP="00252AEA">
            <w:pPr>
              <w:pStyle w:val="10Tabletext"/>
              <w:cnfStyle w:val="000000100000" w:firstRow="0" w:lastRow="0" w:firstColumn="0" w:lastColumn="0" w:oddVBand="0" w:evenVBand="0" w:oddHBand="1" w:evenHBand="0" w:firstRowFirstColumn="0" w:firstRowLastColumn="0" w:lastRowFirstColumn="0" w:lastRowLastColumn="0"/>
            </w:pPr>
            <w:r w:rsidRPr="000669BA">
              <w:t xml:space="preserve">Contracts cannot be </w:t>
            </w:r>
            <w:r w:rsidRPr="00D57346">
              <w:t>extended</w:t>
            </w:r>
            <w:r w:rsidRPr="000669BA">
              <w:t xml:space="preserve"> but may be renewed, with renewal decisions reached no later than four months prior to contract expiry. </w:t>
            </w:r>
          </w:p>
        </w:tc>
      </w:tr>
      <w:tr w:rsidR="00BF7D4E" w:rsidRPr="00BF7D4E" w14:paraId="2C13FDA0" w14:textId="77777777" w:rsidTr="00BF7D4E">
        <w:tc>
          <w:tcPr>
            <w:cnfStyle w:val="001000000000" w:firstRow="0" w:lastRow="0" w:firstColumn="1" w:lastColumn="0" w:oddVBand="0" w:evenVBand="0" w:oddHBand="0" w:evenHBand="0" w:firstRowFirstColumn="0" w:firstRowLastColumn="0" w:lastRowFirstColumn="0" w:lastRowLastColumn="0"/>
            <w:tcW w:w="1690" w:type="dxa"/>
          </w:tcPr>
          <w:p w14:paraId="0398C070" w14:textId="77777777" w:rsidR="00BF7D4E" w:rsidRPr="00BF7D4E" w:rsidRDefault="00BF7D4E" w:rsidP="00252AEA">
            <w:pPr>
              <w:pStyle w:val="10Tabletext"/>
            </w:pPr>
            <w:r w:rsidRPr="006C1AB3">
              <w:t>Performance</w:t>
            </w:r>
            <w:r w:rsidRPr="00BF7D4E">
              <w:t xml:space="preserve"> plan and review</w:t>
            </w:r>
          </w:p>
        </w:tc>
        <w:tc>
          <w:tcPr>
            <w:tcW w:w="6957" w:type="dxa"/>
          </w:tcPr>
          <w:p w14:paraId="161B302D" w14:textId="77777777" w:rsidR="00BF7D4E" w:rsidRPr="00D57346" w:rsidRDefault="00BF7D4E" w:rsidP="00252AEA">
            <w:pPr>
              <w:pStyle w:val="10Tabletext"/>
              <w:cnfStyle w:val="000000000000" w:firstRow="0" w:lastRow="0" w:firstColumn="0" w:lastColumn="0" w:oddVBand="0" w:evenVBand="0" w:oddHBand="0" w:evenHBand="0" w:firstRowFirstColumn="0" w:firstRowLastColumn="0" w:lastRowFirstColumn="0" w:lastRowLastColumn="0"/>
            </w:pPr>
            <w:r w:rsidRPr="00D57346">
              <w:t>All executives must have a written performance plan that must be reviewed by the employer at least once a year.</w:t>
            </w:r>
          </w:p>
        </w:tc>
      </w:tr>
      <w:tr w:rsidR="00BF7D4E" w:rsidRPr="00BF7D4E" w14:paraId="2363AEDC" w14:textId="77777777" w:rsidTr="00BF7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0" w:type="dxa"/>
          </w:tcPr>
          <w:p w14:paraId="15F59D59" w14:textId="77777777" w:rsidR="00BF7D4E" w:rsidRPr="00BF7D4E" w:rsidRDefault="00BF7D4E" w:rsidP="00252AEA">
            <w:pPr>
              <w:pStyle w:val="10Tabletext"/>
            </w:pPr>
            <w:r w:rsidRPr="006C1AB3">
              <w:t>Termination</w:t>
            </w:r>
          </w:p>
        </w:tc>
        <w:tc>
          <w:tcPr>
            <w:tcW w:w="6957" w:type="dxa"/>
          </w:tcPr>
          <w:p w14:paraId="0AA217FB" w14:textId="77777777" w:rsidR="00BF7D4E" w:rsidRPr="00D57346" w:rsidRDefault="00BF7D4E" w:rsidP="00252AEA">
            <w:pPr>
              <w:pStyle w:val="10Tabletext"/>
              <w:cnfStyle w:val="000000100000" w:firstRow="0" w:lastRow="0" w:firstColumn="0" w:lastColumn="0" w:oddVBand="0" w:evenVBand="0" w:oddHBand="1" w:evenHBand="0" w:firstRowFirstColumn="0" w:firstRowLastColumn="0" w:lastRowFirstColumn="0" w:lastRowLastColumn="0"/>
            </w:pPr>
            <w:r w:rsidRPr="00D57346">
              <w:t xml:space="preserve">An employer can terminate a contract at any time, without showing cause, with four months’ notice or pay in lieu of notice. </w:t>
            </w:r>
          </w:p>
          <w:p w14:paraId="077EB7F4" w14:textId="77777777" w:rsidR="00BF7D4E" w:rsidRPr="00D57346" w:rsidRDefault="00BF7D4E" w:rsidP="00252AEA">
            <w:pPr>
              <w:pStyle w:val="10Tabletext"/>
              <w:cnfStyle w:val="000000100000" w:firstRow="0" w:lastRow="0" w:firstColumn="0" w:lastColumn="0" w:oddVBand="0" w:evenVBand="0" w:oddHBand="1" w:evenHBand="0" w:firstRowFirstColumn="0" w:firstRowLastColumn="0" w:lastRowFirstColumn="0" w:lastRowLastColumn="0"/>
            </w:pPr>
            <w:r w:rsidRPr="00D57346">
              <w:t>Other termination provisions apply where an executive has failed to fulfil their duties or if the executive commits an act of misconduct.</w:t>
            </w:r>
          </w:p>
        </w:tc>
      </w:tr>
      <w:tr w:rsidR="00BF7D4E" w:rsidRPr="00BF7D4E" w14:paraId="16796B30" w14:textId="77777777" w:rsidTr="00BF7D4E">
        <w:tc>
          <w:tcPr>
            <w:cnfStyle w:val="001000000000" w:firstRow="0" w:lastRow="0" w:firstColumn="1" w:lastColumn="0" w:oddVBand="0" w:evenVBand="0" w:oddHBand="0" w:evenHBand="0" w:firstRowFirstColumn="0" w:firstRowLastColumn="0" w:lastRowFirstColumn="0" w:lastRowLastColumn="0"/>
            <w:tcW w:w="1690" w:type="dxa"/>
          </w:tcPr>
          <w:p w14:paraId="4237EFA2" w14:textId="77777777" w:rsidR="00BF7D4E" w:rsidRPr="00BF7D4E" w:rsidRDefault="00BF7D4E" w:rsidP="00252AEA">
            <w:pPr>
              <w:pStyle w:val="10Tabletext"/>
            </w:pPr>
            <w:r w:rsidRPr="006C1AB3">
              <w:t>Expenses</w:t>
            </w:r>
          </w:p>
        </w:tc>
        <w:tc>
          <w:tcPr>
            <w:tcW w:w="6957" w:type="dxa"/>
          </w:tcPr>
          <w:p w14:paraId="76F0FF27" w14:textId="77777777" w:rsidR="00BF7D4E" w:rsidRPr="00D57346" w:rsidRDefault="00BF7D4E" w:rsidP="00252AEA">
            <w:pPr>
              <w:pStyle w:val="10Tabletext"/>
              <w:cnfStyle w:val="000000000000" w:firstRow="0" w:lastRow="0" w:firstColumn="0" w:lastColumn="0" w:oddVBand="0" w:evenVBand="0" w:oddHBand="0" w:evenHBand="0" w:firstRowFirstColumn="0" w:firstRowLastColumn="0" w:lastRowFirstColumn="0" w:lastRowLastColumn="0"/>
            </w:pPr>
            <w:r w:rsidRPr="00D57346">
              <w:t>Executives will be reimbursed for any necessary and reasonable expenses incurred in the performance of their duties subject to appropriate prior authority and provision of documentary evidence.</w:t>
            </w:r>
          </w:p>
        </w:tc>
      </w:tr>
      <w:tr w:rsidR="00BF7D4E" w:rsidRPr="00BF7D4E" w14:paraId="1AED592D" w14:textId="77777777" w:rsidTr="00BF7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0" w:type="dxa"/>
          </w:tcPr>
          <w:p w14:paraId="4B11D931" w14:textId="77777777" w:rsidR="00BF7D4E" w:rsidRPr="00BF7D4E" w:rsidRDefault="00BF7D4E" w:rsidP="00252AEA">
            <w:pPr>
              <w:pStyle w:val="10Tabletext"/>
            </w:pPr>
            <w:r w:rsidRPr="006C1AB3">
              <w:t>Leave</w:t>
            </w:r>
          </w:p>
        </w:tc>
        <w:tc>
          <w:tcPr>
            <w:tcW w:w="6957" w:type="dxa"/>
          </w:tcPr>
          <w:p w14:paraId="06C614F4" w14:textId="77777777" w:rsidR="00BF7D4E" w:rsidRPr="00D57346" w:rsidRDefault="00BF7D4E" w:rsidP="00252AEA">
            <w:pPr>
              <w:pStyle w:val="10Tabletext"/>
              <w:cnfStyle w:val="000000100000" w:firstRow="0" w:lastRow="0" w:firstColumn="0" w:lastColumn="0" w:oddVBand="0" w:evenVBand="0" w:oddHBand="1" w:evenHBand="0" w:firstRowFirstColumn="0" w:firstRowLastColumn="0" w:lastRowFirstColumn="0" w:lastRowLastColumn="0"/>
            </w:pPr>
            <w:r w:rsidRPr="00D57346">
              <w:t>Over 25 different leave categories, including:</w:t>
            </w:r>
          </w:p>
          <w:p w14:paraId="781E9A8C" w14:textId="77777777" w:rsidR="00BF7D4E" w:rsidRPr="00BF7D4E" w:rsidRDefault="00BF7D4E" w:rsidP="00252AEA">
            <w:pPr>
              <w:pStyle w:val="11Bulletsinatable"/>
              <w:cnfStyle w:val="000000100000" w:firstRow="0" w:lastRow="0" w:firstColumn="0" w:lastColumn="0" w:oddVBand="0" w:evenVBand="0" w:oddHBand="1" w:evenHBand="0" w:firstRowFirstColumn="0" w:firstRowLastColumn="0" w:lastRowFirstColumn="0" w:lastRowLastColumn="0"/>
            </w:pPr>
            <w:r w:rsidRPr="00BF7D4E">
              <w:t>20 days annual leave per year</w:t>
            </w:r>
          </w:p>
          <w:p w14:paraId="491BD8C2" w14:textId="77777777" w:rsidR="00BF7D4E" w:rsidRPr="00BF7D4E" w:rsidRDefault="00BF7D4E" w:rsidP="00252AEA">
            <w:pPr>
              <w:pStyle w:val="11Bulletsinatable"/>
              <w:cnfStyle w:val="000000100000" w:firstRow="0" w:lastRow="0" w:firstColumn="0" w:lastColumn="0" w:oddVBand="0" w:evenVBand="0" w:oddHBand="1" w:evenHBand="0" w:firstRowFirstColumn="0" w:firstRowLastColumn="0" w:lastRowFirstColumn="0" w:lastRowLastColumn="0"/>
            </w:pPr>
            <w:r w:rsidRPr="00BF7D4E">
              <w:t>15 days personal leave per year</w:t>
            </w:r>
          </w:p>
          <w:p w14:paraId="4C575388" w14:textId="77777777" w:rsidR="00BF7D4E" w:rsidRPr="00BF7D4E" w:rsidRDefault="00BF7D4E" w:rsidP="00252AEA">
            <w:pPr>
              <w:pStyle w:val="11Bulletsinatable"/>
              <w:cnfStyle w:val="000000100000" w:firstRow="0" w:lastRow="0" w:firstColumn="0" w:lastColumn="0" w:oddVBand="0" w:evenVBand="0" w:oddHBand="1" w:evenHBand="0" w:firstRowFirstColumn="0" w:firstRowLastColumn="0" w:lastRowFirstColumn="0" w:lastRowLastColumn="0"/>
            </w:pPr>
            <w:r w:rsidRPr="00BF7D4E">
              <w:t>parental leave (16 weeks paid, and up to 36 weeks unpaid for the primary caregiver; 4 weeks paid, and up to 12 weeks additional paid leave for the secondary caregiver subject to assuming primary responsibility for the child within the first 78 weeks)</w:t>
            </w:r>
            <w:r w:rsidRPr="00BF7D4E">
              <w:rPr>
                <w:vertAlign w:val="superscript"/>
              </w:rPr>
              <w:footnoteReference w:id="92"/>
            </w:r>
          </w:p>
          <w:p w14:paraId="4D2C6611" w14:textId="77777777" w:rsidR="00BF7D4E" w:rsidRPr="00BF7D4E" w:rsidRDefault="00BF7D4E" w:rsidP="00252AEA">
            <w:pPr>
              <w:pStyle w:val="11Bulletsinatable"/>
              <w:cnfStyle w:val="000000100000" w:firstRow="0" w:lastRow="0" w:firstColumn="0" w:lastColumn="0" w:oddVBand="0" w:evenVBand="0" w:oddHBand="1" w:evenHBand="0" w:firstRowFirstColumn="0" w:firstRowLastColumn="0" w:lastRowFirstColumn="0" w:lastRowLastColumn="0"/>
            </w:pPr>
            <w:r w:rsidRPr="00BF7D4E">
              <w:t>20 days of family violence leave per year</w:t>
            </w:r>
          </w:p>
          <w:p w14:paraId="3B5475F7" w14:textId="77777777" w:rsidR="00BF7D4E" w:rsidRPr="00BF7D4E" w:rsidRDefault="00BF7D4E" w:rsidP="00252AEA">
            <w:pPr>
              <w:pStyle w:val="11Bulletsinatable"/>
              <w:cnfStyle w:val="000000100000" w:firstRow="0" w:lastRow="0" w:firstColumn="0" w:lastColumn="0" w:oddVBand="0" w:evenVBand="0" w:oddHBand="1" w:evenHBand="0" w:firstRowFirstColumn="0" w:firstRowLastColumn="0" w:lastRowFirstColumn="0" w:lastRowLastColumn="0"/>
            </w:pPr>
            <w:r w:rsidRPr="00BF7D4E">
              <w:t>up to 52 weeks of leave because of a work-related injury</w:t>
            </w:r>
          </w:p>
          <w:p w14:paraId="323E4BC3" w14:textId="77777777" w:rsidR="00BF7D4E" w:rsidRPr="00BF7D4E" w:rsidRDefault="00BF7D4E" w:rsidP="00252AEA">
            <w:pPr>
              <w:pStyle w:val="11Bulletsinatable"/>
              <w:cnfStyle w:val="000000100000" w:firstRow="0" w:lastRow="0" w:firstColumn="0" w:lastColumn="0" w:oddVBand="0" w:evenVBand="0" w:oddHBand="1" w:evenHBand="0" w:firstRowFirstColumn="0" w:firstRowLastColumn="0" w:lastRowFirstColumn="0" w:lastRowLastColumn="0"/>
            </w:pPr>
            <w:r w:rsidRPr="00BF7D4E">
              <w:t>for every 10 years continuous service, 3 months of long service leave (with access to pro-rata long service leave after 7 years).</w:t>
            </w:r>
          </w:p>
        </w:tc>
      </w:tr>
    </w:tbl>
    <w:p w14:paraId="1E82C4F4" w14:textId="32C9FE81" w:rsidR="00BF7D4E" w:rsidRPr="00BF7D4E" w:rsidRDefault="00BF7D4E" w:rsidP="009260CD">
      <w:pPr>
        <w:pStyle w:val="09Sourcesandnotesfortablesfiguresboxes"/>
      </w:pPr>
      <w:r w:rsidRPr="00BF7D4E">
        <w:t>Source</w:t>
      </w:r>
      <w:r w:rsidRPr="007D1E99">
        <w:t xml:space="preserve">: </w:t>
      </w:r>
      <w:r w:rsidRPr="004F4E9C">
        <w:t>VPSC</w:t>
      </w:r>
      <w:r w:rsidR="0055502E" w:rsidRPr="004F4E9C">
        <w:t xml:space="preserve"> (2021)</w:t>
      </w:r>
      <w:r w:rsidRPr="004F4E9C">
        <w:t>.</w:t>
      </w:r>
    </w:p>
    <w:p w14:paraId="19CA818F" w14:textId="2D10FF95" w:rsidR="00BF7D4E" w:rsidRPr="00BF7D4E" w:rsidRDefault="00BF7D4E" w:rsidP="00252AEA">
      <w:pPr>
        <w:pStyle w:val="05Paragraph"/>
      </w:pPr>
      <w:r w:rsidRPr="00BF7D4E">
        <w:t xml:space="preserve">Some conditions of executive employment specified in the executive contract are like those that apply to non-executive VPS employees covered by the </w:t>
      </w:r>
      <w:r w:rsidR="00C3055E" w:rsidRPr="002469DC">
        <w:rPr>
          <w:i/>
          <w:iCs/>
        </w:rPr>
        <w:t>Victorian Public Service Enterprise Agreement 2020</w:t>
      </w:r>
      <w:r w:rsidR="00C3055E" w:rsidRPr="00C3055E">
        <w:t xml:space="preserve"> </w:t>
      </w:r>
      <w:r w:rsidRPr="00BF7D4E">
        <w:t>(</w:t>
      </w:r>
      <w:r w:rsidR="00CF34A8">
        <w:t xml:space="preserve">VPS </w:t>
      </w:r>
      <w:r w:rsidRPr="00BF7D4E">
        <w:t>EA</w:t>
      </w:r>
      <w:r w:rsidR="00AD66EE">
        <w:t xml:space="preserve"> 2020</w:t>
      </w:r>
      <w:r w:rsidRPr="00BF7D4E">
        <w:t>).</w:t>
      </w:r>
      <w:r w:rsidRPr="00BF7D4E">
        <w:rPr>
          <w:vertAlign w:val="superscript"/>
        </w:rPr>
        <w:footnoteReference w:id="93"/>
      </w:r>
      <w:r w:rsidRPr="00BF7D4E">
        <w:t xml:space="preserve"> These include access to a range of leave entitlements and access to long service leave. However, executives do not have access to annual leave loading, which, for non-executive employees, is calculated at the rate of 17.5 per cent of the employee’s salary for the period of annual leave.</w:t>
      </w:r>
      <w:r w:rsidRPr="00BF7D4E">
        <w:rPr>
          <w:vertAlign w:val="superscript"/>
        </w:rPr>
        <w:footnoteReference w:id="94"/>
      </w:r>
      <w:r w:rsidRPr="00BF7D4E">
        <w:t xml:space="preserve"> </w:t>
      </w:r>
    </w:p>
    <w:p w14:paraId="08D91847" w14:textId="412500C3" w:rsidR="00BF7D4E" w:rsidRPr="00BF7D4E" w:rsidRDefault="00BF7D4E" w:rsidP="00531AC9">
      <w:pPr>
        <w:pStyle w:val="05Paragraph"/>
        <w:widowControl w:val="0"/>
      </w:pPr>
      <w:r w:rsidRPr="00BF7D4E">
        <w:t>Executives are also not eligible for the type of overtime payments that are available for certain employees covered by the VPS EA.</w:t>
      </w:r>
      <w:r w:rsidRPr="00BF7D4E">
        <w:rPr>
          <w:vertAlign w:val="superscript"/>
        </w:rPr>
        <w:footnoteReference w:id="95"/>
      </w:r>
      <w:r w:rsidRPr="00BF7D4E">
        <w:t xml:space="preserve"> The standard executive </w:t>
      </w:r>
      <w:r w:rsidRPr="00BF7D4E">
        <w:lastRenderedPageBreak/>
        <w:t>contract states:</w:t>
      </w:r>
      <w:r w:rsidRPr="00BF7D4E">
        <w:rPr>
          <w:vertAlign w:val="superscript"/>
        </w:rPr>
        <w:footnoteReference w:id="96"/>
      </w:r>
    </w:p>
    <w:p w14:paraId="0B8520A8" w14:textId="77777777" w:rsidR="00BF7D4E" w:rsidRPr="00BF7D4E" w:rsidRDefault="00BF7D4E" w:rsidP="001A18A4">
      <w:pPr>
        <w:pStyle w:val="07VIRTBreakouttext"/>
        <w:rPr>
          <w:rFonts w:eastAsia="Calibri"/>
          <w:i w:val="0"/>
        </w:rPr>
      </w:pPr>
      <w:r w:rsidRPr="00BF7D4E">
        <w:t>You [an executive] are required to work the hours necessary for you to perform your duties in a satisfactory manner, including reasonable additional hours which may include, without limitation, working on weekends and public holidays. Your remuneration includes compensation for all hours you may work, including reasonable additional hours.</w:t>
      </w:r>
    </w:p>
    <w:p w14:paraId="0D427DBD" w14:textId="77777777" w:rsidR="00BF7D4E" w:rsidRPr="00BF7D4E" w:rsidRDefault="00BF7D4E" w:rsidP="00252AEA">
      <w:pPr>
        <w:pStyle w:val="05Paragraph"/>
      </w:pPr>
      <w:r w:rsidRPr="00BF7D4E">
        <w:t>The PAA provides for the ‘right of return’ for an executive to the highest non</w:t>
      </w:r>
      <w:r w:rsidRPr="00BF7D4E">
        <w:noBreakHyphen/>
        <w:t>executive level in certain circumstances (Box 3.1).</w:t>
      </w:r>
    </w:p>
    <w:p w14:paraId="2869083B" w14:textId="7079B054" w:rsidR="00651653" w:rsidRDefault="00BF7D4E" w:rsidP="00144BE8">
      <w:pPr>
        <w:pStyle w:val="08Figuretableboxheading"/>
      </w:pPr>
      <w:bookmarkStart w:id="73" w:name="_Toc170393532"/>
      <w:r w:rsidRPr="00BF7D4E">
        <w:t>Box 3.1: Right of return for certain executives</w:t>
      </w:r>
      <w:bookmarkEnd w:id="73"/>
    </w:p>
    <w:p w14:paraId="44A29139" w14:textId="06C88232" w:rsidR="003C584D" w:rsidRDefault="003C584D" w:rsidP="005052AE">
      <w:pPr>
        <w:pStyle w:val="09Sourcesandnotesfortablesfiguresboxes"/>
      </w:pPr>
      <w:r w:rsidRPr="000B5528">
        <w:rPr>
          <w:rFonts w:eastAsia="Rockwell" w:cs="Calibri Light"/>
          <w:noProof/>
          <w:color w:val="000000"/>
        </w:rPr>
        <mc:AlternateContent>
          <mc:Choice Requires="wps">
            <w:drawing>
              <wp:inline distT="0" distB="0" distL="0" distR="0" wp14:anchorId="55376B44" wp14:editId="10D72A85">
                <wp:extent cx="5400040" cy="3503220"/>
                <wp:effectExtent l="0" t="0" r="10160" b="21590"/>
                <wp:docPr id="1257671695" name="Text Box 1257671695"/>
                <wp:cNvGraphicFramePr/>
                <a:graphic xmlns:a="http://schemas.openxmlformats.org/drawingml/2006/main">
                  <a:graphicData uri="http://schemas.microsoft.com/office/word/2010/wordprocessingShape">
                    <wps:wsp>
                      <wps:cNvSpPr txBox="1"/>
                      <wps:spPr>
                        <a:xfrm>
                          <a:off x="0" y="0"/>
                          <a:ext cx="5400040" cy="3503220"/>
                        </a:xfrm>
                        <a:prstGeom prst="rect">
                          <a:avLst/>
                        </a:prstGeom>
                        <a:noFill/>
                        <a:ln w="19050">
                          <a:solidFill>
                            <a:srgbClr val="148A5D"/>
                          </a:solidFill>
                        </a:ln>
                      </wps:spPr>
                      <wps:txbx>
                        <w:txbxContent>
                          <w:p w14:paraId="78BE23CB" w14:textId="77777777" w:rsidR="00313F6B" w:rsidRPr="00AA6FBA" w:rsidRDefault="00313F6B" w:rsidP="00AA6FBA">
                            <w:pPr>
                              <w:pStyle w:val="12BoxText"/>
                            </w:pPr>
                            <w:r w:rsidRPr="00AA6FBA">
                              <w:t>The right of return is available where an executive’s contract is terminated for reasons other than misconduct, or the contract has expired, and the following circumstances apply:</w:t>
                            </w:r>
                          </w:p>
                          <w:p w14:paraId="31702220" w14:textId="2B444AC0" w:rsidR="00313F6B" w:rsidRPr="00AA6FBA" w:rsidRDefault="00313F6B" w:rsidP="001B57D9">
                            <w:pPr>
                              <w:pStyle w:val="13Boxbullets"/>
                            </w:pPr>
                            <w:r w:rsidRPr="00AA6FBA">
                              <w:t>the executive was employed as a non-executive VPS employee immediately prior to becoming an executive</w:t>
                            </w:r>
                          </w:p>
                          <w:p w14:paraId="35D9F75F" w14:textId="6C87C866" w:rsidR="00313F6B" w:rsidRPr="00AA6FBA" w:rsidRDefault="00313F6B" w:rsidP="001B57D9">
                            <w:pPr>
                              <w:pStyle w:val="13Boxbullets"/>
                            </w:pPr>
                            <w:r w:rsidRPr="00AA6FBA">
                              <w:t>the executive has been continuously employed as an executive ever since.</w:t>
                            </w:r>
                          </w:p>
                          <w:p w14:paraId="05F3D7E0" w14:textId="77777777" w:rsidR="00313F6B" w:rsidRPr="00AA6FBA" w:rsidRDefault="00313F6B" w:rsidP="00AA6FBA">
                            <w:pPr>
                              <w:pStyle w:val="12BoxText"/>
                            </w:pPr>
                            <w:r w:rsidRPr="00AA6FBA">
                              <w:t>The executive is entitled to be employed in the highest classification of non-executive role, currently the VPS Grade 7 Senior Technical Specialist classification.</w:t>
                            </w:r>
                          </w:p>
                          <w:p w14:paraId="76AD501D" w14:textId="77777777" w:rsidR="00313F6B" w:rsidRPr="00AA6FBA" w:rsidRDefault="00313F6B" w:rsidP="00AA6FBA">
                            <w:pPr>
                              <w:pStyle w:val="12BoxText"/>
                            </w:pPr>
                            <w:r w:rsidRPr="00AA6FBA">
                              <w:t>Executives who exercise a right of return are only entitled to be remunerated at the mid-point of that classification. However, if employment at that mid-point would result in the former executive being employed at a higher total remuneration level than when they were last employed as an executive, they are entitled to be remunerated at the highest point of that classification that would not have that result.</w:t>
                            </w:r>
                          </w:p>
                          <w:p w14:paraId="6EB0A0B2" w14:textId="71E75B06" w:rsidR="003C584D" w:rsidRPr="00AA6FBA" w:rsidRDefault="00313F6B" w:rsidP="00AA6FBA">
                            <w:pPr>
                              <w:pStyle w:val="12BoxText"/>
                            </w:pPr>
                            <w:r w:rsidRPr="00AA6FBA">
                              <w:t>When an executive exercises a right of return they may be able to take up a substantive and ongoing non-executive position within a VPS body. However, this may not always be the case – for example, a position may be declared surplus in which case the executive may commence a redeployment process and be transferred to a new position or be made redundant.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5376B44" id="Text Box 1257671695" o:spid="_x0000_s1029" type="#_x0000_t202" style="width:425.2pt;height:27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" filled="f" strokecolor="#148a5d" strokeweight="1.5pt">
                <v:textbox>
                  <w:txbxContent>
                    <w:p w14:paraId="78BE23CB" w14:textId="77777777" w:rsidR="00313F6B" w:rsidRPr="00AA6FBA" w:rsidRDefault="00313F6B" w:rsidP="00AA6FBA">
                      <w:pPr>
                        <w:pStyle w:val="12BoxText"/>
                      </w:pPr>
                      <w:r w:rsidRPr="00AA6FBA">
                        <w:t>The right of return is available where an executive’s contract is terminated for reasons other than misconduct, or the contract has expired, and the following circumstances apply:</w:t>
                      </w:r>
                    </w:p>
                    <w:p w14:paraId="31702220" w14:textId="2B444AC0" w:rsidR="00313F6B" w:rsidRPr="00AA6FBA" w:rsidRDefault="00313F6B" w:rsidP="001B57D9">
                      <w:pPr>
                        <w:pStyle w:val="13Boxbullets"/>
                      </w:pPr>
                      <w:r w:rsidRPr="00AA6FBA">
                        <w:t>the executive was employed as a non-executive VPS employee immediately prior to becoming an executive</w:t>
                      </w:r>
                    </w:p>
                    <w:p w14:paraId="35D9F75F" w14:textId="6C87C866" w:rsidR="00313F6B" w:rsidRPr="00AA6FBA" w:rsidRDefault="00313F6B" w:rsidP="001B57D9">
                      <w:pPr>
                        <w:pStyle w:val="13Boxbullets"/>
                      </w:pPr>
                      <w:r w:rsidRPr="00AA6FBA">
                        <w:t>the executive has been continuously employed as an executive ever since.</w:t>
                      </w:r>
                    </w:p>
                    <w:p w14:paraId="05F3D7E0" w14:textId="77777777" w:rsidR="00313F6B" w:rsidRPr="00AA6FBA" w:rsidRDefault="00313F6B" w:rsidP="00AA6FBA">
                      <w:pPr>
                        <w:pStyle w:val="12BoxText"/>
                      </w:pPr>
                      <w:r w:rsidRPr="00AA6FBA">
                        <w:t>The executive is entitled to be employed in the highest classification of non-executive role, currently the VPS Grade 7 Senior Technical Specialist classification.</w:t>
                      </w:r>
                    </w:p>
                    <w:p w14:paraId="76AD501D" w14:textId="77777777" w:rsidR="00313F6B" w:rsidRPr="00AA6FBA" w:rsidRDefault="00313F6B" w:rsidP="00AA6FBA">
                      <w:pPr>
                        <w:pStyle w:val="12BoxText"/>
                      </w:pPr>
                      <w:r w:rsidRPr="00AA6FBA">
                        <w:t>Executives who exercise a right of return are only entitled to be remunerated at the mid-point of that classification. However, if employment at that mid-point would result in the former executive being employed at a higher total remuneration level than when they were last employed as an executive, they are entitled to be remunerated at the highest point of that classification that would not have that result.</w:t>
                      </w:r>
                    </w:p>
                    <w:p w14:paraId="6EB0A0B2" w14:textId="71E75B06" w:rsidR="003C584D" w:rsidRPr="00AA6FBA" w:rsidRDefault="00313F6B" w:rsidP="00AA6FBA">
                      <w:pPr>
                        <w:pStyle w:val="12BoxText"/>
                      </w:pPr>
                      <w:r w:rsidRPr="00AA6FBA">
                        <w:t>When an executive exercises a right of return they may be able to take up a substantive and ongoing non-executive position within a VPS body. However, this may not always be the case – for example, a position may be declared surplus in which case the executive may commence a redeployment process and be transferred to a new position or be made redundant.</w:t>
                      </w:r>
                    </w:p>
                  </w:txbxContent>
                </v:textbox>
                <w10:anchorlock/>
              </v:shape>
            </w:pict>
          </mc:Fallback>
        </mc:AlternateContent>
      </w:r>
    </w:p>
    <w:p w14:paraId="7BA2178C" w14:textId="1F9BB027" w:rsidR="005052AE" w:rsidRPr="00BF7D4E" w:rsidRDefault="005052AE" w:rsidP="005052AE">
      <w:pPr>
        <w:pStyle w:val="09Sourcesandnotesfortablesfiguresboxes"/>
        <w:rPr>
          <w:rFonts w:eastAsia="Calibri" w:cs="Times New Roman"/>
          <w:color w:val="000000"/>
        </w:rPr>
      </w:pPr>
      <w:r w:rsidRPr="00BF7D4E">
        <w:t xml:space="preserve">Sources: PAA, s 27(2); </w:t>
      </w:r>
      <w:r w:rsidRPr="004F4E9C">
        <w:t>VPSC (2022</w:t>
      </w:r>
      <w:r w:rsidR="001D5C5B" w:rsidRPr="004F4E9C">
        <w:t>e</w:t>
      </w:r>
      <w:r w:rsidRPr="004F4E9C">
        <w:t>)</w:t>
      </w:r>
      <w:r w:rsidRPr="004F4E9C">
        <w:rPr>
          <w:rFonts w:eastAsia="Calibri" w:cs="Times New Roman"/>
          <w:i/>
          <w:color w:val="000000"/>
        </w:rPr>
        <w:t>.</w:t>
      </w:r>
    </w:p>
    <w:p w14:paraId="4E35B690" w14:textId="07440B8D" w:rsidR="00BF7D4E" w:rsidRPr="00BF7D4E" w:rsidRDefault="00173381" w:rsidP="00173381">
      <w:pPr>
        <w:pStyle w:val="02VIRTHeading2"/>
      </w:pPr>
      <w:bookmarkStart w:id="74" w:name="_Toc170396220"/>
      <w:r>
        <w:t>3.2</w:t>
      </w:r>
      <w:r>
        <w:tab/>
      </w:r>
      <w:r w:rsidR="00BF7D4E" w:rsidRPr="00BF7D4E">
        <w:t>SES roles are classified into one of three levels</w:t>
      </w:r>
      <w:bookmarkEnd w:id="74"/>
    </w:p>
    <w:p w14:paraId="7DA988ED" w14:textId="238AA042" w:rsidR="00BF7D4E" w:rsidRPr="00BF7D4E" w:rsidRDefault="00BF7D4E" w:rsidP="00252AEA">
      <w:pPr>
        <w:pStyle w:val="05Paragraph"/>
      </w:pPr>
      <w:r w:rsidRPr="00BF7D4E">
        <w:t xml:space="preserve">As discussed in </w:t>
      </w:r>
      <w:r w:rsidR="00724257">
        <w:t>C</w:t>
      </w:r>
      <w:r w:rsidRPr="00BF7D4E">
        <w:t xml:space="preserve">hapter 2, the VPS Executive Classification Framework uses a work level assessment methodology to classify each SES in one of three levels. The executive classification framework does not apply to public service body Heads. </w:t>
      </w:r>
    </w:p>
    <w:p w14:paraId="6BF6EB66" w14:textId="77777777" w:rsidR="00BF7D4E" w:rsidRPr="00BF7D4E" w:rsidRDefault="00BF7D4E" w:rsidP="00252AEA">
      <w:pPr>
        <w:pStyle w:val="05Paragraph"/>
      </w:pPr>
      <w:r w:rsidRPr="00BF7D4E">
        <w:lastRenderedPageBreak/>
        <w:t>The classification level to which an executive role is assigned is determined by a work value score for that role. Work value scores are calculated by assessing each executive role against eight standards, with a score of 1, 3, 5 or 7 against each.</w:t>
      </w:r>
      <w:r w:rsidRPr="00BF7D4E">
        <w:rPr>
          <w:vertAlign w:val="superscript"/>
        </w:rPr>
        <w:footnoteReference w:id="97"/>
      </w:r>
      <w:r w:rsidRPr="00BF7D4E">
        <w:t xml:space="preserve"> The final tally is a work value score which determines the appropriate classification level for the role. The highest level is SES-3, followed by SES-2 and SES-1 (Table 3.2). </w:t>
      </w:r>
    </w:p>
    <w:p w14:paraId="7AB19945" w14:textId="77777777" w:rsidR="00BF7D4E" w:rsidRPr="00BF7D4E" w:rsidRDefault="00BF7D4E" w:rsidP="00252AEA">
      <w:pPr>
        <w:pStyle w:val="05Paragraph"/>
      </w:pPr>
      <w:r w:rsidRPr="00BF7D4E">
        <w:t>The framework also includes standard position titles for each classification level. There is flexibility for non-standard titles to be used to accommodate the diverse nature of the VPS. However, employers are encouraged to aim for an 80/20 standard to non-standard ratio.</w:t>
      </w:r>
      <w:r w:rsidRPr="00BF7D4E">
        <w:rPr>
          <w:vertAlign w:val="superscript"/>
        </w:rPr>
        <w:footnoteReference w:id="98"/>
      </w:r>
    </w:p>
    <w:p w14:paraId="0A51D798" w14:textId="77777777" w:rsidR="00BF7D4E" w:rsidRPr="00252AEA" w:rsidRDefault="00BF7D4E" w:rsidP="00144BE8">
      <w:pPr>
        <w:pStyle w:val="08Figuretableboxheading"/>
      </w:pPr>
      <w:bookmarkStart w:id="75" w:name="_Toc170393533"/>
      <w:r w:rsidRPr="00BA2A1B">
        <w:t>Table 3.2: VPS executive classification levels, standard titles and work value scores</w:t>
      </w:r>
      <w:bookmarkEnd w:id="75"/>
    </w:p>
    <w:tbl>
      <w:tblPr>
        <w:tblStyle w:val="ListTable3-Accent23"/>
        <w:tblW w:w="0" w:type="auto"/>
        <w:tblBorders>
          <w:left w:val="none" w:sz="0" w:space="0" w:color="auto"/>
          <w:right w:val="none" w:sz="0" w:space="0" w:color="auto"/>
          <w:insideH w:val="single" w:sz="4" w:space="0" w:color="148A5D"/>
        </w:tblBorders>
        <w:tblLook w:val="04A0" w:firstRow="1" w:lastRow="0" w:firstColumn="1" w:lastColumn="0" w:noHBand="0" w:noVBand="1"/>
      </w:tblPr>
      <w:tblGrid>
        <w:gridCol w:w="2834"/>
        <w:gridCol w:w="2835"/>
        <w:gridCol w:w="2835"/>
      </w:tblGrid>
      <w:tr w:rsidR="00BF7D4E" w:rsidRPr="00BF7D4E" w14:paraId="044A1FE5" w14:textId="77777777" w:rsidTr="00BD250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4" w:type="dxa"/>
          </w:tcPr>
          <w:p w14:paraId="00C88883" w14:textId="77777777" w:rsidR="00BF7D4E" w:rsidRPr="00252AEA" w:rsidRDefault="00BF7D4E" w:rsidP="00252AEA">
            <w:pPr>
              <w:pStyle w:val="10Tabletext"/>
              <w:rPr>
                <w:color w:val="FFFFFF" w:themeColor="background1"/>
              </w:rPr>
            </w:pPr>
            <w:r w:rsidRPr="00252AEA">
              <w:rPr>
                <w:color w:val="FFFFFF" w:themeColor="background1"/>
              </w:rPr>
              <w:t>Classification</w:t>
            </w:r>
          </w:p>
        </w:tc>
        <w:tc>
          <w:tcPr>
            <w:tcW w:w="2835" w:type="dxa"/>
          </w:tcPr>
          <w:p w14:paraId="2829B619" w14:textId="77777777" w:rsidR="00BF7D4E" w:rsidRPr="00252AEA" w:rsidRDefault="00BF7D4E" w:rsidP="00493FA5">
            <w:pPr>
              <w:pStyle w:val="10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252AEA">
              <w:rPr>
                <w:color w:val="FFFFFF" w:themeColor="background1"/>
              </w:rPr>
              <w:t>Standard title</w:t>
            </w:r>
          </w:p>
        </w:tc>
        <w:tc>
          <w:tcPr>
            <w:tcW w:w="2835" w:type="dxa"/>
          </w:tcPr>
          <w:p w14:paraId="633BB2E0" w14:textId="77777777" w:rsidR="00BF7D4E" w:rsidRPr="00252AEA" w:rsidRDefault="00BF7D4E" w:rsidP="00252AEA">
            <w:pPr>
              <w:pStyle w:val="10Tabletext"/>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252AEA">
              <w:rPr>
                <w:color w:val="FFFFFF" w:themeColor="background1"/>
              </w:rPr>
              <w:t>Work value score range</w:t>
            </w:r>
          </w:p>
        </w:tc>
      </w:tr>
      <w:tr w:rsidR="00BF7D4E" w:rsidRPr="00BF7D4E" w14:paraId="489A7B95" w14:textId="77777777" w:rsidTr="00252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4" w:type="dxa"/>
          </w:tcPr>
          <w:p w14:paraId="2AB64E30" w14:textId="77777777" w:rsidR="00BF7D4E" w:rsidRPr="00BF7D4E" w:rsidRDefault="00BF7D4E" w:rsidP="00252AEA">
            <w:pPr>
              <w:pStyle w:val="10Tabletext"/>
              <w:rPr>
                <w:color w:val="4D4D4D"/>
              </w:rPr>
            </w:pPr>
            <w:r w:rsidRPr="00BF7D4E">
              <w:rPr>
                <w:color w:val="4D4D4D"/>
              </w:rPr>
              <w:t>SES-1</w:t>
            </w:r>
          </w:p>
        </w:tc>
        <w:tc>
          <w:tcPr>
            <w:tcW w:w="2835" w:type="dxa"/>
          </w:tcPr>
          <w:p w14:paraId="2EE2518B" w14:textId="77777777" w:rsidR="00BF7D4E" w:rsidRPr="00BF7D4E" w:rsidRDefault="00BF7D4E" w:rsidP="00493FA5">
            <w:pPr>
              <w:pStyle w:val="10Tabletext"/>
              <w:cnfStyle w:val="000000100000" w:firstRow="0" w:lastRow="0" w:firstColumn="0" w:lastColumn="0" w:oddVBand="0" w:evenVBand="0" w:oddHBand="1" w:evenHBand="0" w:firstRowFirstColumn="0" w:firstRowLastColumn="0" w:lastRowFirstColumn="0" w:lastRowLastColumn="0"/>
              <w:rPr>
                <w:color w:val="4D4D4D"/>
              </w:rPr>
            </w:pPr>
            <w:r w:rsidRPr="00BF7D4E">
              <w:rPr>
                <w:color w:val="4D4D4D"/>
              </w:rPr>
              <w:t>Director</w:t>
            </w:r>
          </w:p>
        </w:tc>
        <w:tc>
          <w:tcPr>
            <w:tcW w:w="2835" w:type="dxa"/>
          </w:tcPr>
          <w:p w14:paraId="3B5F0DA0" w14:textId="77777777" w:rsidR="00BF7D4E" w:rsidRPr="00BF7D4E" w:rsidRDefault="00BF7D4E" w:rsidP="00252AEA">
            <w:pPr>
              <w:pStyle w:val="10Tabletext"/>
              <w:jc w:val="right"/>
              <w:cnfStyle w:val="000000100000" w:firstRow="0" w:lastRow="0" w:firstColumn="0" w:lastColumn="0" w:oddVBand="0" w:evenVBand="0" w:oddHBand="1" w:evenHBand="0" w:firstRowFirstColumn="0" w:firstRowLastColumn="0" w:lastRowFirstColumn="0" w:lastRowLastColumn="0"/>
              <w:rPr>
                <w:color w:val="4D4D4D"/>
              </w:rPr>
            </w:pPr>
            <w:r w:rsidRPr="00BF7D4E">
              <w:rPr>
                <w:color w:val="4D4D4D"/>
              </w:rPr>
              <w:t>21 to 35</w:t>
            </w:r>
          </w:p>
        </w:tc>
      </w:tr>
      <w:tr w:rsidR="00BF7D4E" w:rsidRPr="00BF7D4E" w14:paraId="55D597BE" w14:textId="77777777" w:rsidTr="00252AEA">
        <w:tc>
          <w:tcPr>
            <w:cnfStyle w:val="001000000000" w:firstRow="0" w:lastRow="0" w:firstColumn="1" w:lastColumn="0" w:oddVBand="0" w:evenVBand="0" w:oddHBand="0" w:evenHBand="0" w:firstRowFirstColumn="0" w:firstRowLastColumn="0" w:lastRowFirstColumn="0" w:lastRowLastColumn="0"/>
            <w:tcW w:w="2834" w:type="dxa"/>
          </w:tcPr>
          <w:p w14:paraId="6983CF67" w14:textId="77777777" w:rsidR="00BF7D4E" w:rsidRPr="00BF7D4E" w:rsidRDefault="00BF7D4E" w:rsidP="00252AEA">
            <w:pPr>
              <w:pStyle w:val="10Tabletext"/>
              <w:rPr>
                <w:color w:val="4D4D4D"/>
              </w:rPr>
            </w:pPr>
            <w:r w:rsidRPr="00BF7D4E">
              <w:rPr>
                <w:color w:val="4D4D4D"/>
              </w:rPr>
              <w:t>SES-2</w:t>
            </w:r>
          </w:p>
        </w:tc>
        <w:tc>
          <w:tcPr>
            <w:tcW w:w="2835" w:type="dxa"/>
          </w:tcPr>
          <w:p w14:paraId="00B89F2E" w14:textId="77777777" w:rsidR="00BF7D4E" w:rsidRPr="00BF7D4E" w:rsidRDefault="00BF7D4E" w:rsidP="00493FA5">
            <w:pPr>
              <w:pStyle w:val="10Tabletext"/>
              <w:cnfStyle w:val="000000000000" w:firstRow="0" w:lastRow="0" w:firstColumn="0" w:lastColumn="0" w:oddVBand="0" w:evenVBand="0" w:oddHBand="0" w:evenHBand="0" w:firstRowFirstColumn="0" w:firstRowLastColumn="0" w:lastRowFirstColumn="0" w:lastRowLastColumn="0"/>
              <w:rPr>
                <w:color w:val="4D4D4D"/>
              </w:rPr>
            </w:pPr>
            <w:r w:rsidRPr="00BF7D4E">
              <w:rPr>
                <w:color w:val="4D4D4D"/>
              </w:rPr>
              <w:t>Executive Director</w:t>
            </w:r>
          </w:p>
        </w:tc>
        <w:tc>
          <w:tcPr>
            <w:tcW w:w="2835" w:type="dxa"/>
          </w:tcPr>
          <w:p w14:paraId="45BF4562" w14:textId="77777777" w:rsidR="00BF7D4E" w:rsidRPr="00BF7D4E" w:rsidRDefault="00BF7D4E" w:rsidP="00252AEA">
            <w:pPr>
              <w:pStyle w:val="10Tabletext"/>
              <w:jc w:val="right"/>
              <w:cnfStyle w:val="000000000000" w:firstRow="0" w:lastRow="0" w:firstColumn="0" w:lastColumn="0" w:oddVBand="0" w:evenVBand="0" w:oddHBand="0" w:evenHBand="0" w:firstRowFirstColumn="0" w:firstRowLastColumn="0" w:lastRowFirstColumn="0" w:lastRowLastColumn="0"/>
              <w:rPr>
                <w:color w:val="4D4D4D"/>
              </w:rPr>
            </w:pPr>
            <w:r w:rsidRPr="00BF7D4E">
              <w:rPr>
                <w:color w:val="4D4D4D"/>
              </w:rPr>
              <w:t>36 to 47</w:t>
            </w:r>
          </w:p>
        </w:tc>
      </w:tr>
      <w:tr w:rsidR="00BF7D4E" w:rsidRPr="00BF7D4E" w14:paraId="4D7E416F" w14:textId="77777777" w:rsidTr="00252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4" w:type="dxa"/>
          </w:tcPr>
          <w:p w14:paraId="7E2B42D7" w14:textId="77777777" w:rsidR="00BF7D4E" w:rsidRPr="00BF7D4E" w:rsidRDefault="00BF7D4E" w:rsidP="00252AEA">
            <w:pPr>
              <w:pStyle w:val="10Tabletext"/>
              <w:rPr>
                <w:color w:val="4D4D4D"/>
              </w:rPr>
            </w:pPr>
            <w:r w:rsidRPr="00BF7D4E">
              <w:rPr>
                <w:color w:val="4D4D4D"/>
              </w:rPr>
              <w:t>SES-3</w:t>
            </w:r>
          </w:p>
        </w:tc>
        <w:tc>
          <w:tcPr>
            <w:tcW w:w="2835" w:type="dxa"/>
          </w:tcPr>
          <w:p w14:paraId="5CB024BF" w14:textId="77777777" w:rsidR="00BF7D4E" w:rsidRPr="00BF7D4E" w:rsidRDefault="00BF7D4E" w:rsidP="00493FA5">
            <w:pPr>
              <w:pStyle w:val="10Tabletext"/>
              <w:cnfStyle w:val="000000100000" w:firstRow="0" w:lastRow="0" w:firstColumn="0" w:lastColumn="0" w:oddVBand="0" w:evenVBand="0" w:oddHBand="1" w:evenHBand="0" w:firstRowFirstColumn="0" w:firstRowLastColumn="0" w:lastRowFirstColumn="0" w:lastRowLastColumn="0"/>
              <w:rPr>
                <w:color w:val="4D4D4D"/>
              </w:rPr>
            </w:pPr>
            <w:r w:rsidRPr="00BF7D4E">
              <w:rPr>
                <w:color w:val="4D4D4D"/>
              </w:rPr>
              <w:t>Deputy Secretary</w:t>
            </w:r>
          </w:p>
        </w:tc>
        <w:tc>
          <w:tcPr>
            <w:tcW w:w="2835" w:type="dxa"/>
          </w:tcPr>
          <w:p w14:paraId="6C7E89ED" w14:textId="77777777" w:rsidR="00BF7D4E" w:rsidRPr="00BF7D4E" w:rsidRDefault="00BF7D4E" w:rsidP="00252AEA">
            <w:pPr>
              <w:pStyle w:val="10Tabletext"/>
              <w:jc w:val="right"/>
              <w:cnfStyle w:val="000000100000" w:firstRow="0" w:lastRow="0" w:firstColumn="0" w:lastColumn="0" w:oddVBand="0" w:evenVBand="0" w:oddHBand="1" w:evenHBand="0" w:firstRowFirstColumn="0" w:firstRowLastColumn="0" w:lastRowFirstColumn="0" w:lastRowLastColumn="0"/>
              <w:rPr>
                <w:color w:val="4D4D4D"/>
              </w:rPr>
            </w:pPr>
            <w:r w:rsidRPr="00BF7D4E">
              <w:rPr>
                <w:color w:val="4D4D4D"/>
              </w:rPr>
              <w:t>48 to 56</w:t>
            </w:r>
          </w:p>
        </w:tc>
      </w:tr>
    </w:tbl>
    <w:p w14:paraId="7FA10E5F" w14:textId="3A7D76AB" w:rsidR="00BF7D4E" w:rsidRPr="00BF7D4E" w:rsidRDefault="00BF7D4E" w:rsidP="00136B3A">
      <w:pPr>
        <w:pStyle w:val="09Sourcesandnotesfortablesfiguresboxes"/>
      </w:pPr>
      <w:r w:rsidRPr="00BF7D4E">
        <w:t>Source</w:t>
      </w:r>
      <w:r w:rsidRPr="00E73E8D">
        <w:t>: VPSC</w:t>
      </w:r>
      <w:r w:rsidR="001D5C5B" w:rsidRPr="00E73E8D">
        <w:t xml:space="preserve"> (2024</w:t>
      </w:r>
      <w:r w:rsidR="00D63138">
        <w:t>h</w:t>
      </w:r>
      <w:r w:rsidR="001D5C5B" w:rsidRPr="00E73E8D">
        <w:t>)</w:t>
      </w:r>
      <w:r w:rsidRPr="00E73E8D">
        <w:t>.</w:t>
      </w:r>
    </w:p>
    <w:p w14:paraId="60B1448D" w14:textId="77777777" w:rsidR="00BF7D4E" w:rsidRPr="00BF7D4E" w:rsidRDefault="00BF7D4E" w:rsidP="00252AEA">
      <w:pPr>
        <w:pStyle w:val="05Paragraph"/>
      </w:pPr>
      <w:r w:rsidRPr="00BF7D4E">
        <w:t>While the number of executives has increased from June 2019 to June 2023, the proportion of executives in each band has been broadly stable. Table 3.3 compares the distribution of SES (and AO Head) positions between June 2019 and June 2023.</w:t>
      </w:r>
    </w:p>
    <w:p w14:paraId="0B9FC0C0" w14:textId="77777777" w:rsidR="00BF7D4E" w:rsidRPr="00BF7D4E" w:rsidRDefault="00BF7D4E" w:rsidP="00144BE8">
      <w:pPr>
        <w:pStyle w:val="08Figuretableboxheading"/>
        <w:rPr>
          <w:rFonts w:eastAsia="Calibri"/>
          <w:color w:val="4D4D4D"/>
        </w:rPr>
      </w:pPr>
      <w:bookmarkStart w:id="76" w:name="_Toc170393534"/>
      <w:r w:rsidRPr="00BF7D4E">
        <w:t>Table 3.3: Distribution of SES and AO Head roles, 2019 to 2023</w:t>
      </w:r>
      <w:bookmarkEnd w:id="76"/>
    </w:p>
    <w:tbl>
      <w:tblPr>
        <w:tblStyle w:val="ListTable3-Accent23"/>
        <w:tblW w:w="0" w:type="auto"/>
        <w:tblBorders>
          <w:left w:val="none" w:sz="0" w:space="0" w:color="auto"/>
          <w:right w:val="none" w:sz="0" w:space="0" w:color="auto"/>
          <w:insideH w:val="single" w:sz="4" w:space="0" w:color="148A5D"/>
        </w:tblBorders>
        <w:tblLook w:val="04A0" w:firstRow="1" w:lastRow="0" w:firstColumn="1" w:lastColumn="0" w:noHBand="0" w:noVBand="1"/>
      </w:tblPr>
      <w:tblGrid>
        <w:gridCol w:w="2127"/>
        <w:gridCol w:w="1594"/>
        <w:gridCol w:w="1594"/>
        <w:gridCol w:w="1594"/>
        <w:gridCol w:w="1595"/>
      </w:tblGrid>
      <w:tr w:rsidR="00BF7D4E" w:rsidRPr="00BF7D4E" w14:paraId="636835D7" w14:textId="77777777" w:rsidTr="00BD250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vMerge w:val="restart"/>
          </w:tcPr>
          <w:p w14:paraId="0AB22BF8" w14:textId="77777777" w:rsidR="00BF7D4E" w:rsidRPr="00252AEA" w:rsidRDefault="00BF7D4E" w:rsidP="00252AEA">
            <w:pPr>
              <w:pStyle w:val="10Tabletext"/>
              <w:rPr>
                <w:color w:val="FFFFFF" w:themeColor="background1"/>
              </w:rPr>
            </w:pPr>
            <w:r w:rsidRPr="00252AEA">
              <w:rPr>
                <w:color w:val="FFFFFF" w:themeColor="background1"/>
              </w:rPr>
              <w:t>Classification</w:t>
            </w:r>
          </w:p>
        </w:tc>
        <w:tc>
          <w:tcPr>
            <w:tcW w:w="3188" w:type="dxa"/>
            <w:gridSpan w:val="2"/>
          </w:tcPr>
          <w:p w14:paraId="704D6EA1" w14:textId="77777777" w:rsidR="00BF7D4E" w:rsidRPr="00252AEA" w:rsidRDefault="00BF7D4E" w:rsidP="00415CC3">
            <w:pPr>
              <w:pStyle w:val="10Tabletex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252AEA">
              <w:rPr>
                <w:color w:val="FFFFFF" w:themeColor="background1"/>
              </w:rPr>
              <w:t>June 2019</w:t>
            </w:r>
          </w:p>
        </w:tc>
        <w:tc>
          <w:tcPr>
            <w:tcW w:w="3189" w:type="dxa"/>
            <w:gridSpan w:val="2"/>
          </w:tcPr>
          <w:p w14:paraId="659A16C3" w14:textId="77777777" w:rsidR="00BF7D4E" w:rsidRPr="00252AEA" w:rsidRDefault="00BF7D4E" w:rsidP="00415CC3">
            <w:pPr>
              <w:pStyle w:val="10Tabletex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252AEA">
              <w:rPr>
                <w:color w:val="FFFFFF" w:themeColor="background1"/>
              </w:rPr>
              <w:t>June 2023</w:t>
            </w:r>
          </w:p>
        </w:tc>
      </w:tr>
      <w:tr w:rsidR="00BF7D4E" w:rsidRPr="00BF7D4E" w14:paraId="392455D9" w14:textId="77777777" w:rsidTr="00BF7D4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127" w:type="dxa"/>
            <w:vMerge/>
            <w:tcBorders>
              <w:bottom w:val="nil"/>
            </w:tcBorders>
            <w:shd w:val="clear" w:color="auto" w:fill="148A5D"/>
          </w:tcPr>
          <w:p w14:paraId="2FE674BD" w14:textId="77777777" w:rsidR="00BF7D4E" w:rsidRPr="00252AEA" w:rsidRDefault="00BF7D4E" w:rsidP="00252AEA">
            <w:pPr>
              <w:pStyle w:val="10Tabletext"/>
              <w:rPr>
                <w:color w:val="FFFFFF" w:themeColor="background1"/>
              </w:rPr>
            </w:pPr>
          </w:p>
        </w:tc>
        <w:tc>
          <w:tcPr>
            <w:tcW w:w="1594" w:type="dxa"/>
            <w:shd w:val="clear" w:color="auto" w:fill="148A5D"/>
          </w:tcPr>
          <w:p w14:paraId="37194543" w14:textId="77777777" w:rsidR="00BF7D4E" w:rsidRPr="00252AEA" w:rsidRDefault="00BF7D4E" w:rsidP="00252AEA">
            <w:pPr>
              <w:pStyle w:val="10Tabletext"/>
              <w:jc w:val="right"/>
              <w:cnfStyle w:val="000000100000" w:firstRow="0" w:lastRow="0" w:firstColumn="0" w:lastColumn="0" w:oddVBand="0" w:evenVBand="0" w:oddHBand="1" w:evenHBand="0" w:firstRowFirstColumn="0" w:firstRowLastColumn="0" w:lastRowFirstColumn="0" w:lastRowLastColumn="0"/>
              <w:rPr>
                <w:b/>
                <w:bCs w:val="0"/>
                <w:color w:val="FFFFFF" w:themeColor="background1"/>
              </w:rPr>
            </w:pPr>
            <w:r w:rsidRPr="00252AEA">
              <w:rPr>
                <w:b/>
                <w:bCs w:val="0"/>
                <w:color w:val="FFFFFF" w:themeColor="background1"/>
              </w:rPr>
              <w:t>Number</w:t>
            </w:r>
          </w:p>
        </w:tc>
        <w:tc>
          <w:tcPr>
            <w:tcW w:w="1594" w:type="dxa"/>
            <w:shd w:val="clear" w:color="auto" w:fill="148A5D"/>
          </w:tcPr>
          <w:p w14:paraId="5F82E392" w14:textId="6DE03936" w:rsidR="00BF7D4E" w:rsidRPr="00252AEA" w:rsidRDefault="00BF7D4E" w:rsidP="00252AEA">
            <w:pPr>
              <w:pStyle w:val="10Tabletext"/>
              <w:jc w:val="right"/>
              <w:cnfStyle w:val="000000100000" w:firstRow="0" w:lastRow="0" w:firstColumn="0" w:lastColumn="0" w:oddVBand="0" w:evenVBand="0" w:oddHBand="1" w:evenHBand="0" w:firstRowFirstColumn="0" w:firstRowLastColumn="0" w:lastRowFirstColumn="0" w:lastRowLastColumn="0"/>
              <w:rPr>
                <w:b/>
                <w:bCs w:val="0"/>
                <w:color w:val="FFFFFF" w:themeColor="background1"/>
              </w:rPr>
            </w:pPr>
            <w:r w:rsidRPr="00252AEA">
              <w:rPr>
                <w:b/>
                <w:bCs w:val="0"/>
                <w:color w:val="FFFFFF" w:themeColor="background1"/>
              </w:rPr>
              <w:t>Per</w:t>
            </w:r>
            <w:r w:rsidR="00E81F02">
              <w:rPr>
                <w:b/>
                <w:bCs w:val="0"/>
                <w:color w:val="FFFFFF" w:themeColor="background1"/>
              </w:rPr>
              <w:t xml:space="preserve"> </w:t>
            </w:r>
            <w:r w:rsidRPr="00252AEA">
              <w:rPr>
                <w:b/>
                <w:bCs w:val="0"/>
                <w:color w:val="FFFFFF" w:themeColor="background1"/>
              </w:rPr>
              <w:t>cent</w:t>
            </w:r>
          </w:p>
        </w:tc>
        <w:tc>
          <w:tcPr>
            <w:tcW w:w="1594" w:type="dxa"/>
            <w:shd w:val="clear" w:color="auto" w:fill="148A5D"/>
          </w:tcPr>
          <w:p w14:paraId="3B6135C6" w14:textId="77777777" w:rsidR="00BF7D4E" w:rsidRPr="00252AEA" w:rsidRDefault="00BF7D4E" w:rsidP="00252AEA">
            <w:pPr>
              <w:pStyle w:val="10Tabletext"/>
              <w:jc w:val="right"/>
              <w:cnfStyle w:val="000000100000" w:firstRow="0" w:lastRow="0" w:firstColumn="0" w:lastColumn="0" w:oddVBand="0" w:evenVBand="0" w:oddHBand="1" w:evenHBand="0" w:firstRowFirstColumn="0" w:firstRowLastColumn="0" w:lastRowFirstColumn="0" w:lastRowLastColumn="0"/>
              <w:rPr>
                <w:b/>
                <w:bCs w:val="0"/>
                <w:color w:val="FFFFFF" w:themeColor="background1"/>
              </w:rPr>
            </w:pPr>
            <w:r w:rsidRPr="00252AEA">
              <w:rPr>
                <w:b/>
                <w:bCs w:val="0"/>
                <w:color w:val="FFFFFF" w:themeColor="background1"/>
              </w:rPr>
              <w:t>Number</w:t>
            </w:r>
          </w:p>
        </w:tc>
        <w:tc>
          <w:tcPr>
            <w:tcW w:w="1595" w:type="dxa"/>
            <w:shd w:val="clear" w:color="auto" w:fill="148A5D"/>
          </w:tcPr>
          <w:p w14:paraId="1B58CFB0" w14:textId="2AFC3E37" w:rsidR="00BF7D4E" w:rsidRPr="00252AEA" w:rsidRDefault="00BF7D4E" w:rsidP="00252AEA">
            <w:pPr>
              <w:pStyle w:val="10Tabletext"/>
              <w:jc w:val="right"/>
              <w:cnfStyle w:val="000000100000" w:firstRow="0" w:lastRow="0" w:firstColumn="0" w:lastColumn="0" w:oddVBand="0" w:evenVBand="0" w:oddHBand="1" w:evenHBand="0" w:firstRowFirstColumn="0" w:firstRowLastColumn="0" w:lastRowFirstColumn="0" w:lastRowLastColumn="0"/>
              <w:rPr>
                <w:b/>
                <w:bCs w:val="0"/>
                <w:color w:val="FFFFFF" w:themeColor="background1"/>
              </w:rPr>
            </w:pPr>
            <w:r w:rsidRPr="00252AEA">
              <w:rPr>
                <w:b/>
                <w:bCs w:val="0"/>
                <w:color w:val="FFFFFF" w:themeColor="background1"/>
              </w:rPr>
              <w:t>Per</w:t>
            </w:r>
            <w:r w:rsidR="00E81F02">
              <w:rPr>
                <w:b/>
                <w:bCs w:val="0"/>
                <w:color w:val="FFFFFF" w:themeColor="background1"/>
              </w:rPr>
              <w:t xml:space="preserve"> </w:t>
            </w:r>
            <w:r w:rsidRPr="00252AEA">
              <w:rPr>
                <w:b/>
                <w:bCs w:val="0"/>
                <w:color w:val="FFFFFF" w:themeColor="background1"/>
              </w:rPr>
              <w:t>cen</w:t>
            </w:r>
            <w:r w:rsidR="00354DB0">
              <w:rPr>
                <w:b/>
                <w:bCs w:val="0"/>
                <w:color w:val="FFFFFF" w:themeColor="background1"/>
              </w:rPr>
              <w:t>t</w:t>
            </w:r>
          </w:p>
        </w:tc>
      </w:tr>
      <w:tr w:rsidR="00BF7D4E" w:rsidRPr="00BF7D4E" w14:paraId="515B8849" w14:textId="77777777" w:rsidTr="00BF7D4E">
        <w:tc>
          <w:tcPr>
            <w:cnfStyle w:val="001000000000" w:firstRow="0" w:lastRow="0" w:firstColumn="1" w:lastColumn="0" w:oddVBand="0" w:evenVBand="0" w:oddHBand="0" w:evenHBand="0" w:firstRowFirstColumn="0" w:firstRowLastColumn="0" w:lastRowFirstColumn="0" w:lastRowLastColumn="0"/>
            <w:tcW w:w="2127" w:type="dxa"/>
          </w:tcPr>
          <w:p w14:paraId="41FE478A" w14:textId="77777777" w:rsidR="00BF7D4E" w:rsidRPr="00BF7D4E" w:rsidRDefault="00BF7D4E" w:rsidP="00252AEA">
            <w:pPr>
              <w:pStyle w:val="10Tabletext"/>
              <w:rPr>
                <w:color w:val="4D4D4D"/>
              </w:rPr>
            </w:pPr>
            <w:r w:rsidRPr="00BF7D4E">
              <w:rPr>
                <w:color w:val="4D4D4D"/>
              </w:rPr>
              <w:t>SES-1 / AO Head-1</w:t>
            </w:r>
          </w:p>
        </w:tc>
        <w:tc>
          <w:tcPr>
            <w:tcW w:w="1594" w:type="dxa"/>
          </w:tcPr>
          <w:p w14:paraId="530B4D93" w14:textId="77777777" w:rsidR="00BF7D4E" w:rsidRPr="00BF7D4E" w:rsidRDefault="00BF7D4E" w:rsidP="00252AEA">
            <w:pPr>
              <w:pStyle w:val="10Tabletext"/>
              <w:jc w:val="right"/>
              <w:cnfStyle w:val="000000000000" w:firstRow="0" w:lastRow="0" w:firstColumn="0" w:lastColumn="0" w:oddVBand="0" w:evenVBand="0" w:oddHBand="0" w:evenHBand="0" w:firstRowFirstColumn="0" w:firstRowLastColumn="0" w:lastRowFirstColumn="0" w:lastRowLastColumn="0"/>
              <w:rPr>
                <w:color w:val="4D4D4D"/>
              </w:rPr>
            </w:pPr>
            <w:r w:rsidRPr="00BF7D4E">
              <w:rPr>
                <w:color w:val="4D4D4D"/>
              </w:rPr>
              <w:t>529</w:t>
            </w:r>
          </w:p>
        </w:tc>
        <w:tc>
          <w:tcPr>
            <w:tcW w:w="1594" w:type="dxa"/>
          </w:tcPr>
          <w:p w14:paraId="73ABF570" w14:textId="721B3E74" w:rsidR="00BF7D4E" w:rsidRPr="00BF7D4E" w:rsidRDefault="00BF7D4E" w:rsidP="00252AEA">
            <w:pPr>
              <w:pStyle w:val="10Tabletext"/>
              <w:jc w:val="right"/>
              <w:cnfStyle w:val="000000000000" w:firstRow="0" w:lastRow="0" w:firstColumn="0" w:lastColumn="0" w:oddVBand="0" w:evenVBand="0" w:oddHBand="0" w:evenHBand="0" w:firstRowFirstColumn="0" w:firstRowLastColumn="0" w:lastRowFirstColumn="0" w:lastRowLastColumn="0"/>
              <w:rPr>
                <w:color w:val="4D4D4D"/>
              </w:rPr>
            </w:pPr>
            <w:r w:rsidRPr="00BF7D4E">
              <w:rPr>
                <w:color w:val="4D4D4D"/>
              </w:rPr>
              <w:t>52</w:t>
            </w:r>
          </w:p>
        </w:tc>
        <w:tc>
          <w:tcPr>
            <w:tcW w:w="1594" w:type="dxa"/>
          </w:tcPr>
          <w:p w14:paraId="26F3BF40" w14:textId="77777777" w:rsidR="00BF7D4E" w:rsidRPr="00BF7D4E" w:rsidRDefault="00BF7D4E" w:rsidP="00252AEA">
            <w:pPr>
              <w:pStyle w:val="10Tabletext"/>
              <w:jc w:val="right"/>
              <w:cnfStyle w:val="000000000000" w:firstRow="0" w:lastRow="0" w:firstColumn="0" w:lastColumn="0" w:oddVBand="0" w:evenVBand="0" w:oddHBand="0" w:evenHBand="0" w:firstRowFirstColumn="0" w:firstRowLastColumn="0" w:lastRowFirstColumn="0" w:lastRowLastColumn="0"/>
              <w:rPr>
                <w:color w:val="4D4D4D"/>
              </w:rPr>
            </w:pPr>
            <w:r w:rsidRPr="00BF7D4E">
              <w:rPr>
                <w:color w:val="4D4D4D"/>
              </w:rPr>
              <w:t>917</w:t>
            </w:r>
          </w:p>
        </w:tc>
        <w:tc>
          <w:tcPr>
            <w:tcW w:w="1595" w:type="dxa"/>
          </w:tcPr>
          <w:p w14:paraId="6FFCD3F0" w14:textId="2D81A28C" w:rsidR="00BF7D4E" w:rsidRPr="00BF7D4E" w:rsidRDefault="00BF7D4E" w:rsidP="00252AEA">
            <w:pPr>
              <w:pStyle w:val="10Tabletext"/>
              <w:jc w:val="right"/>
              <w:cnfStyle w:val="000000000000" w:firstRow="0" w:lastRow="0" w:firstColumn="0" w:lastColumn="0" w:oddVBand="0" w:evenVBand="0" w:oddHBand="0" w:evenHBand="0" w:firstRowFirstColumn="0" w:firstRowLastColumn="0" w:lastRowFirstColumn="0" w:lastRowLastColumn="0"/>
              <w:rPr>
                <w:color w:val="4D4D4D"/>
              </w:rPr>
            </w:pPr>
            <w:r w:rsidRPr="00BF7D4E">
              <w:rPr>
                <w:color w:val="4D4D4D"/>
              </w:rPr>
              <w:t>56</w:t>
            </w:r>
          </w:p>
        </w:tc>
      </w:tr>
      <w:tr w:rsidR="00BF7D4E" w:rsidRPr="00BF7D4E" w14:paraId="33815273" w14:textId="77777777" w:rsidTr="00BF7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F883A27" w14:textId="77777777" w:rsidR="00BF7D4E" w:rsidRPr="00BF7D4E" w:rsidRDefault="00BF7D4E" w:rsidP="00252AEA">
            <w:pPr>
              <w:pStyle w:val="10Tabletext"/>
              <w:rPr>
                <w:color w:val="4D4D4D"/>
              </w:rPr>
            </w:pPr>
            <w:r w:rsidRPr="00BF7D4E">
              <w:rPr>
                <w:color w:val="4D4D4D"/>
              </w:rPr>
              <w:t>SES-2 / AO Head-2</w:t>
            </w:r>
          </w:p>
        </w:tc>
        <w:tc>
          <w:tcPr>
            <w:tcW w:w="1594" w:type="dxa"/>
          </w:tcPr>
          <w:p w14:paraId="682BB7A4" w14:textId="77777777" w:rsidR="00BF7D4E" w:rsidRPr="00BF7D4E" w:rsidRDefault="00BF7D4E" w:rsidP="00252AEA">
            <w:pPr>
              <w:pStyle w:val="10Tabletext"/>
              <w:jc w:val="right"/>
              <w:cnfStyle w:val="000000100000" w:firstRow="0" w:lastRow="0" w:firstColumn="0" w:lastColumn="0" w:oddVBand="0" w:evenVBand="0" w:oddHBand="1" w:evenHBand="0" w:firstRowFirstColumn="0" w:firstRowLastColumn="0" w:lastRowFirstColumn="0" w:lastRowLastColumn="0"/>
              <w:rPr>
                <w:color w:val="4D4D4D"/>
              </w:rPr>
            </w:pPr>
            <w:r w:rsidRPr="00BF7D4E">
              <w:rPr>
                <w:color w:val="4D4D4D"/>
              </w:rPr>
              <w:t>430</w:t>
            </w:r>
          </w:p>
        </w:tc>
        <w:tc>
          <w:tcPr>
            <w:tcW w:w="1594" w:type="dxa"/>
          </w:tcPr>
          <w:p w14:paraId="703107BC" w14:textId="060595AC" w:rsidR="00BF7D4E" w:rsidRPr="00BF7D4E" w:rsidRDefault="00BF7D4E" w:rsidP="00252AEA">
            <w:pPr>
              <w:pStyle w:val="10Tabletext"/>
              <w:jc w:val="right"/>
              <w:cnfStyle w:val="000000100000" w:firstRow="0" w:lastRow="0" w:firstColumn="0" w:lastColumn="0" w:oddVBand="0" w:evenVBand="0" w:oddHBand="1" w:evenHBand="0" w:firstRowFirstColumn="0" w:firstRowLastColumn="0" w:lastRowFirstColumn="0" w:lastRowLastColumn="0"/>
              <w:rPr>
                <w:color w:val="4D4D4D"/>
              </w:rPr>
            </w:pPr>
            <w:r w:rsidRPr="00BF7D4E">
              <w:rPr>
                <w:color w:val="4D4D4D"/>
              </w:rPr>
              <w:t>43</w:t>
            </w:r>
          </w:p>
        </w:tc>
        <w:tc>
          <w:tcPr>
            <w:tcW w:w="1594" w:type="dxa"/>
          </w:tcPr>
          <w:p w14:paraId="2402AC7D" w14:textId="77777777" w:rsidR="00BF7D4E" w:rsidRPr="00BF7D4E" w:rsidRDefault="00BF7D4E" w:rsidP="00252AEA">
            <w:pPr>
              <w:pStyle w:val="10Tabletext"/>
              <w:jc w:val="right"/>
              <w:cnfStyle w:val="000000100000" w:firstRow="0" w:lastRow="0" w:firstColumn="0" w:lastColumn="0" w:oddVBand="0" w:evenVBand="0" w:oddHBand="1" w:evenHBand="0" w:firstRowFirstColumn="0" w:firstRowLastColumn="0" w:lastRowFirstColumn="0" w:lastRowLastColumn="0"/>
              <w:rPr>
                <w:color w:val="4D4D4D"/>
              </w:rPr>
            </w:pPr>
            <w:r w:rsidRPr="00BF7D4E">
              <w:rPr>
                <w:color w:val="4D4D4D"/>
              </w:rPr>
              <w:t>633</w:t>
            </w:r>
          </w:p>
        </w:tc>
        <w:tc>
          <w:tcPr>
            <w:tcW w:w="1595" w:type="dxa"/>
          </w:tcPr>
          <w:p w14:paraId="159FEE30" w14:textId="47D252F1" w:rsidR="00BF7D4E" w:rsidRPr="00BF7D4E" w:rsidRDefault="00BF7D4E" w:rsidP="00252AEA">
            <w:pPr>
              <w:pStyle w:val="10Tabletext"/>
              <w:jc w:val="right"/>
              <w:cnfStyle w:val="000000100000" w:firstRow="0" w:lastRow="0" w:firstColumn="0" w:lastColumn="0" w:oddVBand="0" w:evenVBand="0" w:oddHBand="1" w:evenHBand="0" w:firstRowFirstColumn="0" w:firstRowLastColumn="0" w:lastRowFirstColumn="0" w:lastRowLastColumn="0"/>
              <w:rPr>
                <w:color w:val="4D4D4D"/>
              </w:rPr>
            </w:pPr>
            <w:r w:rsidRPr="00BF7D4E">
              <w:rPr>
                <w:color w:val="4D4D4D"/>
              </w:rPr>
              <w:t>39</w:t>
            </w:r>
          </w:p>
        </w:tc>
      </w:tr>
      <w:tr w:rsidR="00BF7D4E" w:rsidRPr="00BF7D4E" w14:paraId="62E99342" w14:textId="77777777" w:rsidTr="00BF7D4E">
        <w:tc>
          <w:tcPr>
            <w:cnfStyle w:val="001000000000" w:firstRow="0" w:lastRow="0" w:firstColumn="1" w:lastColumn="0" w:oddVBand="0" w:evenVBand="0" w:oddHBand="0" w:evenHBand="0" w:firstRowFirstColumn="0" w:firstRowLastColumn="0" w:lastRowFirstColumn="0" w:lastRowLastColumn="0"/>
            <w:tcW w:w="2127" w:type="dxa"/>
          </w:tcPr>
          <w:p w14:paraId="0344C34C" w14:textId="77777777" w:rsidR="00BF7D4E" w:rsidRPr="00BF7D4E" w:rsidRDefault="00BF7D4E" w:rsidP="00252AEA">
            <w:pPr>
              <w:pStyle w:val="10Tabletext"/>
              <w:rPr>
                <w:color w:val="4D4D4D"/>
              </w:rPr>
            </w:pPr>
            <w:r w:rsidRPr="00BF7D4E">
              <w:rPr>
                <w:color w:val="4D4D4D"/>
              </w:rPr>
              <w:t>SES-3 / AO Head-3</w:t>
            </w:r>
          </w:p>
        </w:tc>
        <w:tc>
          <w:tcPr>
            <w:tcW w:w="1594" w:type="dxa"/>
          </w:tcPr>
          <w:p w14:paraId="0004F2F6" w14:textId="77777777" w:rsidR="00BF7D4E" w:rsidRPr="00BF7D4E" w:rsidRDefault="00BF7D4E" w:rsidP="00252AEA">
            <w:pPr>
              <w:pStyle w:val="10Tabletext"/>
              <w:jc w:val="right"/>
              <w:cnfStyle w:val="000000000000" w:firstRow="0" w:lastRow="0" w:firstColumn="0" w:lastColumn="0" w:oddVBand="0" w:evenVBand="0" w:oddHBand="0" w:evenHBand="0" w:firstRowFirstColumn="0" w:firstRowLastColumn="0" w:lastRowFirstColumn="0" w:lastRowLastColumn="0"/>
              <w:rPr>
                <w:color w:val="4D4D4D"/>
              </w:rPr>
            </w:pPr>
            <w:r w:rsidRPr="00BF7D4E">
              <w:rPr>
                <w:color w:val="4D4D4D"/>
              </w:rPr>
              <w:t>53</w:t>
            </w:r>
          </w:p>
        </w:tc>
        <w:tc>
          <w:tcPr>
            <w:tcW w:w="1594" w:type="dxa"/>
          </w:tcPr>
          <w:p w14:paraId="58E96B42" w14:textId="5C076D5B" w:rsidR="00BF7D4E" w:rsidRPr="00BF7D4E" w:rsidRDefault="00BF7D4E" w:rsidP="00252AEA">
            <w:pPr>
              <w:pStyle w:val="10Tabletext"/>
              <w:jc w:val="right"/>
              <w:cnfStyle w:val="000000000000" w:firstRow="0" w:lastRow="0" w:firstColumn="0" w:lastColumn="0" w:oddVBand="0" w:evenVBand="0" w:oddHBand="0" w:evenHBand="0" w:firstRowFirstColumn="0" w:firstRowLastColumn="0" w:lastRowFirstColumn="0" w:lastRowLastColumn="0"/>
              <w:rPr>
                <w:color w:val="4D4D4D"/>
              </w:rPr>
            </w:pPr>
            <w:r w:rsidRPr="00BF7D4E">
              <w:rPr>
                <w:color w:val="4D4D4D"/>
              </w:rPr>
              <w:t>5</w:t>
            </w:r>
          </w:p>
        </w:tc>
        <w:tc>
          <w:tcPr>
            <w:tcW w:w="1594" w:type="dxa"/>
          </w:tcPr>
          <w:p w14:paraId="0DC4B40B" w14:textId="77777777" w:rsidR="00BF7D4E" w:rsidRPr="00BF7D4E" w:rsidRDefault="00BF7D4E" w:rsidP="00252AEA">
            <w:pPr>
              <w:pStyle w:val="10Tabletext"/>
              <w:jc w:val="right"/>
              <w:cnfStyle w:val="000000000000" w:firstRow="0" w:lastRow="0" w:firstColumn="0" w:lastColumn="0" w:oddVBand="0" w:evenVBand="0" w:oddHBand="0" w:evenHBand="0" w:firstRowFirstColumn="0" w:firstRowLastColumn="0" w:lastRowFirstColumn="0" w:lastRowLastColumn="0"/>
              <w:rPr>
                <w:color w:val="4D4D4D"/>
              </w:rPr>
            </w:pPr>
            <w:r w:rsidRPr="00BF7D4E">
              <w:rPr>
                <w:color w:val="4D4D4D"/>
              </w:rPr>
              <w:t>96</w:t>
            </w:r>
          </w:p>
        </w:tc>
        <w:tc>
          <w:tcPr>
            <w:tcW w:w="1595" w:type="dxa"/>
          </w:tcPr>
          <w:p w14:paraId="4E3BB05C" w14:textId="788DFB11" w:rsidR="00BF7D4E" w:rsidRPr="00BF7D4E" w:rsidRDefault="00BF7D4E" w:rsidP="00252AEA">
            <w:pPr>
              <w:pStyle w:val="10Tabletext"/>
              <w:jc w:val="right"/>
              <w:cnfStyle w:val="000000000000" w:firstRow="0" w:lastRow="0" w:firstColumn="0" w:lastColumn="0" w:oddVBand="0" w:evenVBand="0" w:oddHBand="0" w:evenHBand="0" w:firstRowFirstColumn="0" w:firstRowLastColumn="0" w:lastRowFirstColumn="0" w:lastRowLastColumn="0"/>
              <w:rPr>
                <w:color w:val="4D4D4D"/>
              </w:rPr>
            </w:pPr>
            <w:r w:rsidRPr="00BF7D4E">
              <w:rPr>
                <w:color w:val="4D4D4D"/>
              </w:rPr>
              <w:t>6</w:t>
            </w:r>
          </w:p>
        </w:tc>
      </w:tr>
    </w:tbl>
    <w:p w14:paraId="35C34303" w14:textId="0ABF0191" w:rsidR="00BF7D4E" w:rsidRPr="00BF7D4E" w:rsidRDefault="00BF7D4E" w:rsidP="00252AEA">
      <w:pPr>
        <w:pStyle w:val="09Sourcesandnotesfortablesfiguresboxes"/>
      </w:pPr>
      <w:r w:rsidRPr="00BF7D4E">
        <w:t xml:space="preserve">Notes: </w:t>
      </w:r>
      <w:r w:rsidR="00D829C0">
        <w:t xml:space="preserve">The number of executives refers to those employed in </w:t>
      </w:r>
      <w:r w:rsidR="00793D50">
        <w:t xml:space="preserve">departments, AOs and the VPSC. </w:t>
      </w:r>
      <w:r w:rsidRPr="00BF7D4E">
        <w:t xml:space="preserve">In 2019, SES-1 positions were known as executive officer band 3 or EO-3s, SES-2s were known as EO-2s, SES-3s were known as EO-1s. The VPSC executive workforce data collection does not separately report the number of AO Heads and consolidates these with the equivalent SES position (e.g. an AO Head-1 position is reported as a SES-1 position). The number of positions as reported as of the </w:t>
      </w:r>
      <w:r w:rsidR="00542FDD">
        <w:t>l</w:t>
      </w:r>
      <w:r w:rsidRPr="00BF7D4E">
        <w:t>ast pay period in June 2019 and June 2023.</w:t>
      </w:r>
    </w:p>
    <w:p w14:paraId="1EEEA37B" w14:textId="4AD52E7E" w:rsidR="00BF7D4E" w:rsidRPr="00BF7D4E" w:rsidRDefault="00BF7D4E" w:rsidP="00252AEA">
      <w:pPr>
        <w:pStyle w:val="09Sourcesandnotesfortablesfiguresboxes"/>
      </w:pPr>
      <w:r w:rsidRPr="003218B0">
        <w:t xml:space="preserve">Sources: </w:t>
      </w:r>
      <w:r w:rsidR="00F12EC8" w:rsidRPr="003218B0">
        <w:t xml:space="preserve">Tribunal </w:t>
      </w:r>
      <w:r w:rsidRPr="003218B0">
        <w:t>(2020</w:t>
      </w:r>
      <w:r w:rsidR="00897D44" w:rsidRPr="003218B0">
        <w:t>a</w:t>
      </w:r>
      <w:r w:rsidRPr="003218B0">
        <w:t>), p. 48</w:t>
      </w:r>
      <w:r w:rsidR="003218B0" w:rsidRPr="002923E0">
        <w:t>;</w:t>
      </w:r>
      <w:r w:rsidR="003218B0" w:rsidRPr="003218B0">
        <w:t xml:space="preserve"> Tribunal analysis of VPSC data.</w:t>
      </w:r>
    </w:p>
    <w:p w14:paraId="440273E9" w14:textId="6B4675D6" w:rsidR="00BF7D4E" w:rsidRPr="00BF7D4E" w:rsidRDefault="00BF7D4E" w:rsidP="00252AEA">
      <w:pPr>
        <w:pStyle w:val="05Paragraph"/>
      </w:pPr>
      <w:r w:rsidRPr="00BF7D4E">
        <w:t>Figure 3.1 shows the number of departmental executives (headcount) within each classification level as of the last pay period in June 2023. The greatest number of executives were employed by DH (209), D</w:t>
      </w:r>
      <w:r w:rsidR="004604F6">
        <w:t>FFH</w:t>
      </w:r>
      <w:r w:rsidRPr="00BF7D4E">
        <w:t xml:space="preserve"> (20</w:t>
      </w:r>
      <w:r w:rsidR="001760B4">
        <w:t>4</w:t>
      </w:r>
      <w:r w:rsidRPr="00BF7D4E">
        <w:t xml:space="preserve">) and DEECA (201). </w:t>
      </w:r>
    </w:p>
    <w:p w14:paraId="2D257D66" w14:textId="77777777" w:rsidR="00BF7D4E" w:rsidRDefault="00BF7D4E" w:rsidP="00144BE8">
      <w:pPr>
        <w:pStyle w:val="08Figuretableboxheading"/>
      </w:pPr>
      <w:bookmarkStart w:id="77" w:name="_Toc170393535"/>
      <w:r w:rsidRPr="00427E24">
        <w:lastRenderedPageBreak/>
        <w:t>Figure 3.1: number of executives (headcount) by classification band and department, June 2023</w:t>
      </w:r>
      <w:bookmarkEnd w:id="77"/>
    </w:p>
    <w:p w14:paraId="19DD1685" w14:textId="2C6DF622" w:rsidR="00BA1D83" w:rsidRPr="00C72543" w:rsidRDefault="00BA1D83" w:rsidP="00144BE8">
      <w:pPr>
        <w:pStyle w:val="08Figuretableboxheading"/>
      </w:pPr>
      <w:r>
        <w:rPr>
          <w:noProof/>
        </w:rPr>
        <w:drawing>
          <wp:inline distT="0" distB="0" distL="0" distR="0" wp14:anchorId="1A14B096" wp14:editId="278B7756">
            <wp:extent cx="5414010" cy="2334895"/>
            <wp:effectExtent l="0" t="0" r="0" b="8255"/>
            <wp:docPr id="19850788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14010" cy="2334895"/>
                    </a:xfrm>
                    <a:prstGeom prst="rect">
                      <a:avLst/>
                    </a:prstGeom>
                    <a:noFill/>
                  </pic:spPr>
                </pic:pic>
              </a:graphicData>
            </a:graphic>
          </wp:inline>
        </w:drawing>
      </w:r>
    </w:p>
    <w:p w14:paraId="0217D9CB" w14:textId="77777777" w:rsidR="00BF7D4E" w:rsidRPr="00C72543" w:rsidRDefault="00BF7D4E" w:rsidP="00427E24">
      <w:pPr>
        <w:pStyle w:val="09Sourcesandnotesfortablesfiguresboxes"/>
      </w:pPr>
      <w:r w:rsidRPr="00427E24">
        <w:t xml:space="preserve">Note: numbers are correct as of last pay period in June </w:t>
      </w:r>
      <w:r w:rsidRPr="00C72543">
        <w:t>2023 and do not include acting arrangements.</w:t>
      </w:r>
    </w:p>
    <w:p w14:paraId="680AEEE6" w14:textId="44431314" w:rsidR="00BF7D4E" w:rsidRPr="00C72543" w:rsidRDefault="00BF7D4E" w:rsidP="00427E24">
      <w:pPr>
        <w:pStyle w:val="09Sourcesandnotesfortablesfiguresboxes"/>
      </w:pPr>
      <w:r w:rsidRPr="00427E24">
        <w:t xml:space="preserve">Source: </w:t>
      </w:r>
      <w:r w:rsidR="003218B0" w:rsidRPr="003218B0">
        <w:t>Tribunal analysis of VPSC data.</w:t>
      </w:r>
    </w:p>
    <w:p w14:paraId="067BE991" w14:textId="2B5CA731" w:rsidR="00BF7D4E" w:rsidRPr="00BF7D4E" w:rsidRDefault="00620D51" w:rsidP="00620D51">
      <w:pPr>
        <w:pStyle w:val="02VIRTHeading2"/>
      </w:pPr>
      <w:bookmarkStart w:id="78" w:name="_Toc170396221"/>
      <w:r>
        <w:t>3.3</w:t>
      </w:r>
      <w:r>
        <w:tab/>
      </w:r>
      <w:r w:rsidR="00BF7D4E" w:rsidRPr="00BF7D4E">
        <w:t>Executives are paid a total remuneration package</w:t>
      </w:r>
      <w:bookmarkEnd w:id="78"/>
    </w:p>
    <w:p w14:paraId="5ABC1B64" w14:textId="469C4173" w:rsidR="00BF7D4E" w:rsidRPr="00BF7D4E" w:rsidRDefault="00BF7D4E" w:rsidP="00BF7D4E">
      <w:pPr>
        <w:spacing w:after="0"/>
        <w:rPr>
          <w:rFonts w:eastAsia="Calibri" w:cs="Calibri Light"/>
          <w:color w:val="000000"/>
          <w:szCs w:val="26"/>
        </w:rPr>
      </w:pPr>
      <w:r w:rsidRPr="00BF7D4E">
        <w:rPr>
          <w:rFonts w:eastAsia="Calibri" w:cs="Calibri Light"/>
          <w:color w:val="000000"/>
          <w:szCs w:val="26"/>
        </w:rPr>
        <w:t xml:space="preserve">The </w:t>
      </w:r>
      <w:r w:rsidR="00C52438">
        <w:rPr>
          <w:rFonts w:eastAsia="Calibri" w:cs="Calibri Light"/>
          <w:color w:val="000000"/>
          <w:szCs w:val="26"/>
        </w:rPr>
        <w:t>VPS</w:t>
      </w:r>
      <w:r w:rsidRPr="00BF7D4E">
        <w:rPr>
          <w:rFonts w:eastAsia="Calibri" w:cs="Calibri Light"/>
          <w:color w:val="000000"/>
          <w:szCs w:val="26"/>
        </w:rPr>
        <w:t xml:space="preserve"> Handbook defines the components of an executive’s </w:t>
      </w:r>
      <w:r w:rsidR="00DF7203">
        <w:rPr>
          <w:rFonts w:eastAsia="Calibri" w:cs="Calibri Light"/>
          <w:color w:val="000000"/>
          <w:szCs w:val="26"/>
        </w:rPr>
        <w:t>t</w:t>
      </w:r>
      <w:r w:rsidRPr="00BF7D4E">
        <w:rPr>
          <w:rFonts w:eastAsia="Calibri" w:cs="Calibri Light"/>
          <w:color w:val="000000"/>
          <w:szCs w:val="26"/>
        </w:rPr>
        <w:t xml:space="preserve">otal </w:t>
      </w:r>
      <w:r w:rsidR="00DF7203">
        <w:rPr>
          <w:rFonts w:eastAsia="Calibri" w:cs="Calibri Light"/>
          <w:color w:val="000000"/>
          <w:szCs w:val="26"/>
        </w:rPr>
        <w:t>r</w:t>
      </w:r>
      <w:r w:rsidRPr="00BF7D4E">
        <w:rPr>
          <w:rFonts w:eastAsia="Calibri" w:cs="Calibri Light"/>
          <w:color w:val="000000"/>
          <w:szCs w:val="26"/>
        </w:rPr>
        <w:t xml:space="preserve">emuneration </w:t>
      </w:r>
      <w:r w:rsidR="00DF7203">
        <w:rPr>
          <w:rFonts w:eastAsia="Calibri" w:cs="Calibri Light"/>
          <w:color w:val="000000"/>
          <w:szCs w:val="26"/>
        </w:rPr>
        <w:t>p</w:t>
      </w:r>
      <w:r w:rsidRPr="00BF7D4E">
        <w:rPr>
          <w:rFonts w:eastAsia="Calibri" w:cs="Calibri Light"/>
          <w:color w:val="000000"/>
          <w:szCs w:val="26"/>
        </w:rPr>
        <w:t>ackage (TRP) as the sum of:</w:t>
      </w:r>
      <w:r w:rsidRPr="00BF7D4E">
        <w:rPr>
          <w:rFonts w:eastAsia="Calibri" w:cs="Calibri Light"/>
          <w:color w:val="000000"/>
          <w:szCs w:val="26"/>
          <w:vertAlign w:val="superscript"/>
        </w:rPr>
        <w:footnoteReference w:id="99"/>
      </w:r>
    </w:p>
    <w:p w14:paraId="7D73C29C" w14:textId="77777777" w:rsidR="00BF7D4E" w:rsidRPr="00BF7D4E" w:rsidRDefault="00BF7D4E" w:rsidP="00410DD0">
      <w:pPr>
        <w:pStyle w:val="06VIRTBulletpoints"/>
      </w:pPr>
      <w:r w:rsidRPr="00BF7D4E">
        <w:t>base salary</w:t>
      </w:r>
    </w:p>
    <w:p w14:paraId="5CFDE177" w14:textId="77777777" w:rsidR="00BF7D4E" w:rsidRPr="00BF7D4E" w:rsidRDefault="00BF7D4E" w:rsidP="00410DD0">
      <w:pPr>
        <w:pStyle w:val="06VIRTBulletpoints"/>
      </w:pPr>
      <w:r w:rsidRPr="00BF7D4E">
        <w:t>employer superannuation contributions (see Box 3.2)</w:t>
      </w:r>
    </w:p>
    <w:p w14:paraId="12BF89BF" w14:textId="77777777" w:rsidR="00BF7D4E" w:rsidRPr="00BF7D4E" w:rsidRDefault="00BF7D4E" w:rsidP="00410DD0">
      <w:pPr>
        <w:pStyle w:val="06VIRTBulletpoints"/>
      </w:pPr>
      <w:r w:rsidRPr="00BF7D4E">
        <w:t>employment benefits (non-salary benefits) – the executive meets the full cost of any benefits</w:t>
      </w:r>
    </w:p>
    <w:p w14:paraId="59140CFF" w14:textId="77777777" w:rsidR="00BF7D4E" w:rsidRPr="00BF7D4E" w:rsidRDefault="00BF7D4E" w:rsidP="00410DD0">
      <w:pPr>
        <w:pStyle w:val="06VIRTBulletpoints"/>
      </w:pPr>
      <w:r w:rsidRPr="00BF7D4E">
        <w:t>the annual cost to the employer of providing the non-monetary benefits, including any fringe benefits tax payable.</w:t>
      </w:r>
    </w:p>
    <w:p w14:paraId="71437DB5" w14:textId="77777777" w:rsidR="00BF7D4E" w:rsidRPr="00BF7D4E" w:rsidRDefault="00BF7D4E" w:rsidP="00C72543">
      <w:pPr>
        <w:pStyle w:val="05Paragraph"/>
      </w:pPr>
      <w:r w:rsidRPr="00BF7D4E">
        <w:t>Employers are required to make superannuation contributions in accordance with Commonwealth law.</w:t>
      </w:r>
    </w:p>
    <w:p w14:paraId="453A783F" w14:textId="77777777" w:rsidR="00BF7D4E" w:rsidRPr="00BF7D4E" w:rsidRDefault="00BF7D4E" w:rsidP="00BF7D4E">
      <w:pPr>
        <w:spacing w:before="0" w:after="160" w:line="259" w:lineRule="auto"/>
        <w:jc w:val="left"/>
        <w:rPr>
          <w:rFonts w:eastAsia="Calibri" w:cs="Arial"/>
          <w:b/>
          <w:color w:val="26664E"/>
          <w:sz w:val="24"/>
          <w:szCs w:val="20"/>
        </w:rPr>
      </w:pPr>
      <w:r w:rsidRPr="00BF7D4E">
        <w:rPr>
          <w:rFonts w:ascii="Calibri" w:eastAsia="Calibri" w:hAnsi="Calibri" w:cs="Times New Roman"/>
          <w:color w:val="auto"/>
          <w:sz w:val="22"/>
        </w:rPr>
        <w:br w:type="page"/>
      </w:r>
    </w:p>
    <w:p w14:paraId="6F23ED83" w14:textId="77777777" w:rsidR="00BF7D4E" w:rsidRDefault="00BF7D4E" w:rsidP="00144BE8">
      <w:pPr>
        <w:pStyle w:val="08Figuretableboxheading"/>
      </w:pPr>
      <w:bookmarkStart w:id="79" w:name="_Toc170393536"/>
      <w:r w:rsidRPr="007B3BED">
        <w:lastRenderedPageBreak/>
        <w:t>Box 3.2: Employer superannuation contributions for executives who are members of an accumulation scheme</w:t>
      </w:r>
      <w:bookmarkEnd w:id="79"/>
    </w:p>
    <w:p w14:paraId="2B0DE516" w14:textId="06CFC6E5" w:rsidR="003C584D" w:rsidRDefault="003C584D" w:rsidP="002B0279">
      <w:pPr>
        <w:pStyle w:val="09Sourcesandnotesfortablesfiguresboxes"/>
      </w:pPr>
      <w:r w:rsidRPr="000B5528">
        <w:rPr>
          <w:rFonts w:eastAsia="Rockwell" w:cs="Calibri Light"/>
          <w:noProof/>
          <w:color w:val="000000"/>
        </w:rPr>
        <mc:AlternateContent>
          <mc:Choice Requires="wps">
            <w:drawing>
              <wp:inline distT="0" distB="0" distL="0" distR="0" wp14:anchorId="6C0E00D4" wp14:editId="4AA0C8B5">
                <wp:extent cx="5400040" cy="3289465"/>
                <wp:effectExtent l="0" t="0" r="10160" b="25400"/>
                <wp:docPr id="844938728" name="Text Box 844938728"/>
                <wp:cNvGraphicFramePr/>
                <a:graphic xmlns:a="http://schemas.openxmlformats.org/drawingml/2006/main">
                  <a:graphicData uri="http://schemas.microsoft.com/office/word/2010/wordprocessingShape">
                    <wps:wsp>
                      <wps:cNvSpPr txBox="1"/>
                      <wps:spPr>
                        <a:xfrm>
                          <a:off x="0" y="0"/>
                          <a:ext cx="5400040" cy="3289465"/>
                        </a:xfrm>
                        <a:prstGeom prst="rect">
                          <a:avLst/>
                        </a:prstGeom>
                        <a:noFill/>
                        <a:ln w="19050">
                          <a:solidFill>
                            <a:srgbClr val="148A5D"/>
                          </a:solidFill>
                        </a:ln>
                      </wps:spPr>
                      <wps:txbx>
                        <w:txbxContent>
                          <w:p w14:paraId="150F4BC6" w14:textId="77777777" w:rsidR="0026026E" w:rsidRPr="0026026E" w:rsidRDefault="0026026E" w:rsidP="0026026E">
                            <w:pPr>
                              <w:pStyle w:val="12BoxText"/>
                            </w:pPr>
                            <w:r w:rsidRPr="0026026E">
                              <w:t>The superannuation guarantee (SG) and maximum superannuation contribution base (MSCB) apply to executives who are members of an accumulation scheme.</w:t>
                            </w:r>
                          </w:p>
                          <w:p w14:paraId="06DAB93C" w14:textId="77777777" w:rsidR="0026026E" w:rsidRPr="0026026E" w:rsidRDefault="0026026E" w:rsidP="0026026E">
                            <w:pPr>
                              <w:pStyle w:val="12BoxText"/>
                            </w:pPr>
                            <w:r w:rsidRPr="0026026E">
                              <w:t>The SG is the minimum amount of employer superannuation contributions to which an employee is entitled, expressed as a percentage of the employee’s ‘ordinary time earnings’. The MSCB serves to limit the ‘ordinary time earnings’ that are used to calculate an employee’s superannuation entitlements – that is, earnings over the MSCB are not counted for the purpose of calculating entitlements.</w:t>
                            </w:r>
                          </w:p>
                          <w:p w14:paraId="1000DF28" w14:textId="77777777" w:rsidR="0026026E" w:rsidRPr="0026026E" w:rsidRDefault="0026026E" w:rsidP="0026026E">
                            <w:pPr>
                              <w:pStyle w:val="12BoxText"/>
                            </w:pPr>
                            <w:r w:rsidRPr="0026026E">
                              <w:t>The superannuation entitlements of executives in an accumulation scheme may change from year to year due to the indexation of the MSCB or changes to the SG rate.</w:t>
                            </w:r>
                          </w:p>
                          <w:p w14:paraId="0C7DC964" w14:textId="77777777" w:rsidR="0026026E" w:rsidRPr="0026026E" w:rsidRDefault="0026026E" w:rsidP="0026026E">
                            <w:pPr>
                              <w:pStyle w:val="12BoxText"/>
                            </w:pPr>
                            <w:r w:rsidRPr="0026026E">
                              <w:t>On 1 July 2024:</w:t>
                            </w:r>
                          </w:p>
                          <w:p w14:paraId="50A3BC39" w14:textId="02355434" w:rsidR="0026026E" w:rsidRPr="0026026E" w:rsidRDefault="0026026E" w:rsidP="00305E3F">
                            <w:pPr>
                              <w:pStyle w:val="13Boxbullets"/>
                            </w:pPr>
                            <w:r w:rsidRPr="0026026E">
                              <w:t>the SG increases from 11 per cent to 11.5 per cent</w:t>
                            </w:r>
                          </w:p>
                          <w:p w14:paraId="3478A7B5" w14:textId="1F65A761" w:rsidR="0026026E" w:rsidRPr="0026026E" w:rsidRDefault="0026026E" w:rsidP="00305E3F">
                            <w:pPr>
                              <w:pStyle w:val="13Boxbullets"/>
                            </w:pPr>
                            <w:r w:rsidRPr="0026026E">
                              <w:t>the MSCB increases from $249,080 per annum to $260,280 per annum.</w:t>
                            </w:r>
                          </w:p>
                          <w:p w14:paraId="066832C6" w14:textId="13C68BCB" w:rsidR="003C584D" w:rsidRPr="0026026E" w:rsidRDefault="0026026E" w:rsidP="0026026E">
                            <w:pPr>
                              <w:pStyle w:val="12BoxText"/>
                            </w:pPr>
                            <w:r w:rsidRPr="0026026E">
                              <w:t>The VPS Handbook states that ‘VPS employers who use the VPS contract must bear the cost’ of such increases in superannuation entitlements. This means that the salary and other components of TRP cannot be reduced to offset changes to Commonwealth superannuation obligations.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C0E00D4" id="Text Box 844938728" o:spid="_x0000_s1030" type="#_x0000_t202" style="width:425.2pt;height:2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" filled="f" strokecolor="#148a5d" strokeweight="1.5pt">
                <v:textbox>
                  <w:txbxContent>
                    <w:p w14:paraId="150F4BC6" w14:textId="77777777" w:rsidR="0026026E" w:rsidRPr="0026026E" w:rsidRDefault="0026026E" w:rsidP="0026026E">
                      <w:pPr>
                        <w:pStyle w:val="12BoxText"/>
                      </w:pPr>
                      <w:r w:rsidRPr="0026026E">
                        <w:t>The superannuation guarantee (SG) and maximum superannuation contribution base (MSCB) apply to executives who are members of an accumulation scheme.</w:t>
                      </w:r>
                    </w:p>
                    <w:p w14:paraId="06DAB93C" w14:textId="77777777" w:rsidR="0026026E" w:rsidRPr="0026026E" w:rsidRDefault="0026026E" w:rsidP="0026026E">
                      <w:pPr>
                        <w:pStyle w:val="12BoxText"/>
                      </w:pPr>
                      <w:r w:rsidRPr="0026026E">
                        <w:t>The SG is the minimum amount of employer superannuation contributions to which an employee is entitled, expressed as a percentage of the employee’s ‘ordinary time earnings’. The MSCB serves to limit the ‘ordinary time earnings’ that are used to calculate an employee’s superannuation entitlements – that is, earnings over the MSCB are not counted for the purpose of calculating entitlements.</w:t>
                      </w:r>
                    </w:p>
                    <w:p w14:paraId="1000DF28" w14:textId="77777777" w:rsidR="0026026E" w:rsidRPr="0026026E" w:rsidRDefault="0026026E" w:rsidP="0026026E">
                      <w:pPr>
                        <w:pStyle w:val="12BoxText"/>
                      </w:pPr>
                      <w:r w:rsidRPr="0026026E">
                        <w:t>The superannuation entitlements of executives in an accumulation scheme may change from year to year due to the indexation of the MSCB or changes to the SG rate.</w:t>
                      </w:r>
                    </w:p>
                    <w:p w14:paraId="0C7DC964" w14:textId="77777777" w:rsidR="0026026E" w:rsidRPr="0026026E" w:rsidRDefault="0026026E" w:rsidP="0026026E">
                      <w:pPr>
                        <w:pStyle w:val="12BoxText"/>
                      </w:pPr>
                      <w:r w:rsidRPr="0026026E">
                        <w:t>On 1 July 2024:</w:t>
                      </w:r>
                    </w:p>
                    <w:p w14:paraId="50A3BC39" w14:textId="02355434" w:rsidR="0026026E" w:rsidRPr="0026026E" w:rsidRDefault="0026026E" w:rsidP="00305E3F">
                      <w:pPr>
                        <w:pStyle w:val="13Boxbullets"/>
                      </w:pPr>
                      <w:r w:rsidRPr="0026026E">
                        <w:t>the SG increases from 11 per cent to 11.5 per cent</w:t>
                      </w:r>
                    </w:p>
                    <w:p w14:paraId="3478A7B5" w14:textId="1F65A761" w:rsidR="0026026E" w:rsidRPr="0026026E" w:rsidRDefault="0026026E" w:rsidP="00305E3F">
                      <w:pPr>
                        <w:pStyle w:val="13Boxbullets"/>
                      </w:pPr>
                      <w:r w:rsidRPr="0026026E">
                        <w:t>the MSCB increases from $249,080 per annum to $260,280 per annum.</w:t>
                      </w:r>
                    </w:p>
                    <w:p w14:paraId="066832C6" w14:textId="13C68BCB" w:rsidR="003C584D" w:rsidRPr="0026026E" w:rsidRDefault="0026026E" w:rsidP="0026026E">
                      <w:pPr>
                        <w:pStyle w:val="12BoxText"/>
                      </w:pPr>
                      <w:r w:rsidRPr="0026026E">
                        <w:t>The VPS Handbook states that ‘VPS employers who use the VPS contract must bear the cost’ of such increases in superannuation entitlements. This means that the salary and other components of TRP cannot be reduced to offset changes to Commonwealth superannuation obligations.</w:t>
                      </w:r>
                    </w:p>
                  </w:txbxContent>
                </v:textbox>
                <w10:anchorlock/>
              </v:shape>
            </w:pict>
          </mc:Fallback>
        </mc:AlternateContent>
      </w:r>
    </w:p>
    <w:p w14:paraId="2563C61C" w14:textId="712250F9" w:rsidR="002B0279" w:rsidRPr="00BF7D4E" w:rsidRDefault="002B0279" w:rsidP="002B0279">
      <w:pPr>
        <w:pStyle w:val="09Sourcesandnotesfortablesfiguresboxes"/>
        <w:rPr>
          <w:rFonts w:eastAsia="Calibri" w:cs="Times New Roman"/>
          <w:color w:val="000000"/>
        </w:rPr>
      </w:pPr>
      <w:r w:rsidRPr="00BF7D4E">
        <w:t xml:space="preserve">Sources: </w:t>
      </w:r>
      <w:r w:rsidRPr="00BF7D4E">
        <w:rPr>
          <w:rFonts w:eastAsia="Calibri" w:cs="Times New Roman"/>
          <w:i/>
          <w:color w:val="000000"/>
        </w:rPr>
        <w:t>Superannuation Guarantee (Administration) Act 1992</w:t>
      </w:r>
      <w:r w:rsidRPr="00BF7D4E">
        <w:rPr>
          <w:rFonts w:eastAsia="Calibri" w:cs="Times New Roman"/>
          <w:color w:val="000000"/>
        </w:rPr>
        <w:t xml:space="preserve"> (Cth); </w:t>
      </w:r>
      <w:r w:rsidRPr="00E73E8D">
        <w:rPr>
          <w:rFonts w:eastAsia="Calibri" w:cs="Times New Roman"/>
          <w:color w:val="000000"/>
        </w:rPr>
        <w:t>VPSC (2022</w:t>
      </w:r>
      <w:r w:rsidR="00EC34F8" w:rsidRPr="00E73E8D">
        <w:rPr>
          <w:rFonts w:eastAsia="Calibri" w:cs="Times New Roman"/>
          <w:color w:val="000000"/>
        </w:rPr>
        <w:t>e</w:t>
      </w:r>
      <w:r w:rsidRPr="00E73E8D">
        <w:rPr>
          <w:rFonts w:eastAsia="Calibri" w:cs="Times New Roman"/>
          <w:color w:val="000000"/>
        </w:rPr>
        <w:t>)</w:t>
      </w:r>
      <w:r w:rsidRPr="00EC34F8">
        <w:rPr>
          <w:rFonts w:eastAsia="Calibri" w:cs="Times New Roman"/>
          <w:color w:val="000000"/>
        </w:rPr>
        <w:t>.</w:t>
      </w:r>
    </w:p>
    <w:p w14:paraId="3D268F0B" w14:textId="77777777" w:rsidR="00BF7D4E" w:rsidRPr="00BF7D4E" w:rsidRDefault="00BF7D4E" w:rsidP="003A7715">
      <w:pPr>
        <w:pStyle w:val="05Paragraph"/>
      </w:pPr>
      <w:r w:rsidRPr="00BF7D4E">
        <w:t>Executives can also include non-salary benefits as part of their TRP. These include a motor vehicle obtained through the Executive Motor Vehicle Scheme (Box 3.3).</w:t>
      </w:r>
    </w:p>
    <w:p w14:paraId="0B4A6068" w14:textId="77777777" w:rsidR="00BF7D4E" w:rsidRDefault="00BF7D4E" w:rsidP="00144BE8">
      <w:pPr>
        <w:pStyle w:val="08Figuretableboxheading"/>
      </w:pPr>
      <w:bookmarkStart w:id="80" w:name="_Toc170393537"/>
      <w:r w:rsidRPr="00991FB6">
        <w:t>Box 3.3: Executive Motor Vehicle Scheme</w:t>
      </w:r>
      <w:bookmarkEnd w:id="80"/>
    </w:p>
    <w:p w14:paraId="0801EA75" w14:textId="0BD24C60" w:rsidR="000F722D" w:rsidRDefault="000F722D" w:rsidP="00663E86">
      <w:pPr>
        <w:pStyle w:val="05Paragraph"/>
      </w:pPr>
      <w:r w:rsidRPr="000B5528">
        <w:rPr>
          <w:rFonts w:eastAsia="Rockwell" w:cs="Calibri Light"/>
          <w:noProof/>
          <w:color w:val="000000"/>
          <w:sz w:val="18"/>
        </w:rPr>
        <mc:AlternateContent>
          <mc:Choice Requires="wps">
            <w:drawing>
              <wp:inline distT="0" distB="0" distL="0" distR="0" wp14:anchorId="1DC8C5FC" wp14:editId="12F18462">
                <wp:extent cx="5400040" cy="3016333"/>
                <wp:effectExtent l="0" t="0" r="10160" b="12700"/>
                <wp:docPr id="471052219" name="Text Box 471052219"/>
                <wp:cNvGraphicFramePr/>
                <a:graphic xmlns:a="http://schemas.openxmlformats.org/drawingml/2006/main">
                  <a:graphicData uri="http://schemas.microsoft.com/office/word/2010/wordprocessingShape">
                    <wps:wsp>
                      <wps:cNvSpPr txBox="1"/>
                      <wps:spPr>
                        <a:xfrm>
                          <a:off x="0" y="0"/>
                          <a:ext cx="5400040" cy="3016333"/>
                        </a:xfrm>
                        <a:prstGeom prst="rect">
                          <a:avLst/>
                        </a:prstGeom>
                        <a:noFill/>
                        <a:ln w="19050">
                          <a:solidFill>
                            <a:srgbClr val="148A5D"/>
                          </a:solidFill>
                        </a:ln>
                      </wps:spPr>
                      <wps:txbx>
                        <w:txbxContent>
                          <w:p w14:paraId="0DEEBB54" w14:textId="77777777" w:rsidR="001F5A09" w:rsidRPr="00E52B03" w:rsidRDefault="001F5A09" w:rsidP="00817EE4">
                            <w:pPr>
                              <w:pStyle w:val="12BoxText"/>
                            </w:pPr>
                            <w:r w:rsidRPr="00E52B03">
                              <w:t>Executives can access a motor vehicle for business and private use under a salary sacrifice arrangement. Executives are required to contribute towards the cost of the private use of the executive vehicle.</w:t>
                            </w:r>
                          </w:p>
                          <w:p w14:paraId="1A953EEA" w14:textId="77777777" w:rsidR="001F5A09" w:rsidRPr="00E52B03" w:rsidRDefault="001F5A09" w:rsidP="00817EE4">
                            <w:pPr>
                              <w:pStyle w:val="12BoxText"/>
                            </w:pPr>
                            <w:r w:rsidRPr="00E52B03">
                              <w:t>Executives who choose to use the Executive Motor Vehicle Scheme are responsible for:</w:t>
                            </w:r>
                          </w:p>
                          <w:p w14:paraId="6A9B4FBA" w14:textId="6F05A8F9" w:rsidR="001F5A09" w:rsidRPr="00E52B03" w:rsidRDefault="001F5A09" w:rsidP="00E52B03">
                            <w:pPr>
                              <w:pStyle w:val="13Boxbullets"/>
                            </w:pPr>
                            <w:r w:rsidRPr="00E52B03">
                              <w:t>two thirds of the approved costs of the vehicle plus any accessories agreed with the employer through a salary sacrifice plan</w:t>
                            </w:r>
                          </w:p>
                          <w:p w14:paraId="634E7FAA" w14:textId="7438B6E6" w:rsidR="001F5A09" w:rsidRPr="00E52B03" w:rsidRDefault="001F5A09" w:rsidP="00E52B03">
                            <w:pPr>
                              <w:pStyle w:val="13Boxbullets"/>
                            </w:pPr>
                            <w:r w:rsidRPr="00E52B03">
                              <w:t>paying all e-TAGs and tolls</w:t>
                            </w:r>
                          </w:p>
                          <w:p w14:paraId="55848894" w14:textId="789B9B12" w:rsidR="001F5A09" w:rsidRPr="00E52B03" w:rsidRDefault="001F5A09" w:rsidP="00E52B03">
                            <w:pPr>
                              <w:pStyle w:val="13Boxbullets"/>
                            </w:pPr>
                            <w:r w:rsidRPr="00E52B03">
                              <w:t>paying the associated fringe benefits tax</w:t>
                            </w:r>
                          </w:p>
                          <w:p w14:paraId="58787E37" w14:textId="017B6885" w:rsidR="001F5A09" w:rsidRPr="00E52B03" w:rsidRDefault="001F5A09" w:rsidP="00E52B03">
                            <w:pPr>
                              <w:pStyle w:val="13Boxbullets"/>
                            </w:pPr>
                            <w:r w:rsidRPr="00E52B03">
                              <w:t>ensuring the vehicle is available for business use during business hours, if required.</w:t>
                            </w:r>
                          </w:p>
                          <w:p w14:paraId="218EE5C4" w14:textId="77777777" w:rsidR="001F5A09" w:rsidRPr="00E52B03" w:rsidRDefault="001F5A09" w:rsidP="00E52B03">
                            <w:pPr>
                              <w:pStyle w:val="12BoxText"/>
                            </w:pPr>
                            <w:r w:rsidRPr="00E52B03">
                              <w:t>Employers are responsible for:</w:t>
                            </w:r>
                          </w:p>
                          <w:p w14:paraId="02114542" w14:textId="40228381" w:rsidR="001F5A09" w:rsidRPr="00E52B03" w:rsidRDefault="001F5A09" w:rsidP="00E52B03">
                            <w:pPr>
                              <w:pStyle w:val="13Boxbullets"/>
                            </w:pPr>
                            <w:r w:rsidRPr="00E52B03">
                              <w:t>meeting one third of the approved costs for business use</w:t>
                            </w:r>
                          </w:p>
                          <w:p w14:paraId="6B9A992A" w14:textId="5ACBADDE" w:rsidR="001F5A09" w:rsidRPr="00E52B03" w:rsidRDefault="001F5A09" w:rsidP="00E52B03">
                            <w:pPr>
                              <w:pStyle w:val="13Boxbullets"/>
                            </w:pPr>
                            <w:r w:rsidRPr="00E52B03">
                              <w:t>arranging provision of fuel cards</w:t>
                            </w:r>
                          </w:p>
                          <w:p w14:paraId="24F2D633" w14:textId="28C2D55F" w:rsidR="001F5A09" w:rsidRPr="00E52B03" w:rsidRDefault="001F5A09" w:rsidP="00E52B03">
                            <w:pPr>
                              <w:pStyle w:val="13Boxbullets"/>
                            </w:pPr>
                            <w:r w:rsidRPr="00E52B03">
                              <w:t>providing car parking at work sites</w:t>
                            </w:r>
                          </w:p>
                          <w:p w14:paraId="13D88893" w14:textId="13AD5595" w:rsidR="000F722D" w:rsidRPr="00E52B03" w:rsidRDefault="001F5A09" w:rsidP="00663E86">
                            <w:pPr>
                              <w:pStyle w:val="13Boxbullets"/>
                            </w:pPr>
                            <w:r w:rsidRPr="00E52B03">
                              <w:t>maintenance, insurance and servicing of the vehicle, and arranging accident management services and manufacturer’s roadside assistance.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DC8C5FC" id="Text Box 471052219" o:spid="_x0000_s1031" type="#_x0000_t202" style="width:425.2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" filled="f" strokecolor="#148a5d" strokeweight="1.5pt">
                <v:textbox>
                  <w:txbxContent>
                    <w:p w14:paraId="0DEEBB54" w14:textId="77777777" w:rsidR="001F5A09" w:rsidRPr="00E52B03" w:rsidRDefault="001F5A09" w:rsidP="00817EE4">
                      <w:pPr>
                        <w:pStyle w:val="12BoxText"/>
                      </w:pPr>
                      <w:r w:rsidRPr="00E52B03">
                        <w:t>Executives can access a motor vehicle for business and private use under a salary sacrifice arrangement. Executives are required to contribute towards the cost of the private use of the executive vehicle.</w:t>
                      </w:r>
                    </w:p>
                    <w:p w14:paraId="1A953EEA" w14:textId="77777777" w:rsidR="001F5A09" w:rsidRPr="00E52B03" w:rsidRDefault="001F5A09" w:rsidP="00817EE4">
                      <w:pPr>
                        <w:pStyle w:val="12BoxText"/>
                      </w:pPr>
                      <w:r w:rsidRPr="00E52B03">
                        <w:t>Executives who choose to use the Executive Motor Vehicle Scheme are responsible for:</w:t>
                      </w:r>
                    </w:p>
                    <w:p w14:paraId="6A9B4FBA" w14:textId="6F05A8F9" w:rsidR="001F5A09" w:rsidRPr="00E52B03" w:rsidRDefault="001F5A09" w:rsidP="00E52B03">
                      <w:pPr>
                        <w:pStyle w:val="13Boxbullets"/>
                      </w:pPr>
                      <w:r w:rsidRPr="00E52B03">
                        <w:t>two thirds of the approved costs of the vehicle plus any accessories agreed with the employer through a salary sacrifice plan</w:t>
                      </w:r>
                    </w:p>
                    <w:p w14:paraId="634E7FAA" w14:textId="7438B6E6" w:rsidR="001F5A09" w:rsidRPr="00E52B03" w:rsidRDefault="001F5A09" w:rsidP="00E52B03">
                      <w:pPr>
                        <w:pStyle w:val="13Boxbullets"/>
                      </w:pPr>
                      <w:r w:rsidRPr="00E52B03">
                        <w:t>paying all e-TAGs and tolls</w:t>
                      </w:r>
                    </w:p>
                    <w:p w14:paraId="55848894" w14:textId="789B9B12" w:rsidR="001F5A09" w:rsidRPr="00E52B03" w:rsidRDefault="001F5A09" w:rsidP="00E52B03">
                      <w:pPr>
                        <w:pStyle w:val="13Boxbullets"/>
                      </w:pPr>
                      <w:r w:rsidRPr="00E52B03">
                        <w:t>paying the associated fringe benefits tax</w:t>
                      </w:r>
                    </w:p>
                    <w:p w14:paraId="58787E37" w14:textId="017B6885" w:rsidR="001F5A09" w:rsidRPr="00E52B03" w:rsidRDefault="001F5A09" w:rsidP="00E52B03">
                      <w:pPr>
                        <w:pStyle w:val="13Boxbullets"/>
                      </w:pPr>
                      <w:r w:rsidRPr="00E52B03">
                        <w:t>ensuring the vehicle is available for business use during business hours, if required.</w:t>
                      </w:r>
                    </w:p>
                    <w:p w14:paraId="218EE5C4" w14:textId="77777777" w:rsidR="001F5A09" w:rsidRPr="00E52B03" w:rsidRDefault="001F5A09" w:rsidP="00E52B03">
                      <w:pPr>
                        <w:pStyle w:val="12BoxText"/>
                      </w:pPr>
                      <w:r w:rsidRPr="00E52B03">
                        <w:t>Employers are responsible for:</w:t>
                      </w:r>
                    </w:p>
                    <w:p w14:paraId="02114542" w14:textId="40228381" w:rsidR="001F5A09" w:rsidRPr="00E52B03" w:rsidRDefault="001F5A09" w:rsidP="00E52B03">
                      <w:pPr>
                        <w:pStyle w:val="13Boxbullets"/>
                      </w:pPr>
                      <w:r w:rsidRPr="00E52B03">
                        <w:t>meeting one third of the approved costs for business use</w:t>
                      </w:r>
                    </w:p>
                    <w:p w14:paraId="6B9A992A" w14:textId="5ACBADDE" w:rsidR="001F5A09" w:rsidRPr="00E52B03" w:rsidRDefault="001F5A09" w:rsidP="00E52B03">
                      <w:pPr>
                        <w:pStyle w:val="13Boxbullets"/>
                      </w:pPr>
                      <w:r w:rsidRPr="00E52B03">
                        <w:t>arranging provision of fuel cards</w:t>
                      </w:r>
                    </w:p>
                    <w:p w14:paraId="24F2D633" w14:textId="28C2D55F" w:rsidR="001F5A09" w:rsidRPr="00E52B03" w:rsidRDefault="001F5A09" w:rsidP="00E52B03">
                      <w:pPr>
                        <w:pStyle w:val="13Boxbullets"/>
                      </w:pPr>
                      <w:r w:rsidRPr="00E52B03">
                        <w:t>providing car parking at work sites</w:t>
                      </w:r>
                    </w:p>
                    <w:p w14:paraId="13D88893" w14:textId="13AD5595" w:rsidR="000F722D" w:rsidRPr="00E52B03" w:rsidRDefault="001F5A09" w:rsidP="00663E86">
                      <w:pPr>
                        <w:pStyle w:val="13Boxbullets"/>
                      </w:pPr>
                      <w:r w:rsidRPr="00E52B03">
                        <w:t>maintenance, insurance and servicing of the vehicle, and arranging accident management services and manufacturer’s roadside assistance.</w:t>
                      </w:r>
                    </w:p>
                  </w:txbxContent>
                </v:textbox>
                <w10:anchorlock/>
              </v:shape>
            </w:pict>
          </mc:Fallback>
        </mc:AlternateContent>
      </w:r>
    </w:p>
    <w:p w14:paraId="6FE8CDFA" w14:textId="4667277B" w:rsidR="003A7715" w:rsidRPr="00BF7D4E" w:rsidRDefault="003A7715" w:rsidP="003A7715">
      <w:pPr>
        <w:pStyle w:val="09Sourcesandnotesfortablesfiguresboxes"/>
        <w:rPr>
          <w:rFonts w:eastAsia="Calibri" w:cs="Times New Roman"/>
          <w:color w:val="000000"/>
        </w:rPr>
      </w:pPr>
      <w:r w:rsidRPr="00E73E8D">
        <w:t>Source: VPSC (2022</w:t>
      </w:r>
      <w:r w:rsidR="00B07895" w:rsidRPr="00E73E8D">
        <w:t>e</w:t>
      </w:r>
      <w:r w:rsidRPr="00E73E8D">
        <w:t>)</w:t>
      </w:r>
      <w:r w:rsidRPr="00E73E8D">
        <w:rPr>
          <w:rFonts w:eastAsia="Calibri" w:cs="Times New Roman"/>
          <w:color w:val="000000"/>
        </w:rPr>
        <w:t>.</w:t>
      </w:r>
    </w:p>
    <w:p w14:paraId="7015D649" w14:textId="57C6D856" w:rsidR="00BF7D4E" w:rsidRPr="00BF7D4E" w:rsidRDefault="00620D51" w:rsidP="00620D51">
      <w:pPr>
        <w:pStyle w:val="02VIRTHeading2"/>
      </w:pPr>
      <w:bookmarkStart w:id="81" w:name="_Toc170396222"/>
      <w:r>
        <w:lastRenderedPageBreak/>
        <w:t>3.4</w:t>
      </w:r>
      <w:r>
        <w:tab/>
      </w:r>
      <w:r w:rsidR="00BF7D4E" w:rsidRPr="00BF7D4E">
        <w:t>The Tribunal sets the value of the remuneration bands</w:t>
      </w:r>
      <w:bookmarkEnd w:id="81"/>
    </w:p>
    <w:p w14:paraId="10CA9DF2" w14:textId="77777777" w:rsidR="00BF7D4E" w:rsidRPr="00BF7D4E" w:rsidRDefault="00BF7D4E" w:rsidP="00493FA5">
      <w:pPr>
        <w:pStyle w:val="05Paragraph"/>
      </w:pPr>
      <w:r w:rsidRPr="00BF7D4E">
        <w:t>The remuneration band structure for the SES set by the Tribunal consists of three distinct and contiguous bands aligned to the executive classification framework (Table 3.4).</w:t>
      </w:r>
    </w:p>
    <w:p w14:paraId="4819F4DA" w14:textId="77777777" w:rsidR="00BF7D4E" w:rsidRPr="00BF7D4E" w:rsidRDefault="00BF7D4E" w:rsidP="00144BE8">
      <w:pPr>
        <w:pStyle w:val="08Figuretableboxheading"/>
        <w:rPr>
          <w:rFonts w:eastAsia="Calibri"/>
          <w:color w:val="4D4D4D"/>
        </w:rPr>
      </w:pPr>
      <w:bookmarkStart w:id="82" w:name="_Toc170393538"/>
      <w:r w:rsidRPr="00BF7D4E">
        <w:t>Table 3.4: Values of the remuneration bands for the SES from 1 July 2023</w:t>
      </w:r>
      <w:bookmarkEnd w:id="82"/>
    </w:p>
    <w:tbl>
      <w:tblPr>
        <w:tblStyle w:val="ListTable3-Accent23"/>
        <w:tblW w:w="8503" w:type="dxa"/>
        <w:tblLook w:val="04A0" w:firstRow="1" w:lastRow="0" w:firstColumn="1" w:lastColumn="0" w:noHBand="0" w:noVBand="1"/>
      </w:tblPr>
      <w:tblGrid>
        <w:gridCol w:w="3821"/>
        <w:gridCol w:w="2341"/>
        <w:gridCol w:w="2341"/>
      </w:tblGrid>
      <w:tr w:rsidR="00BF7D4E" w:rsidRPr="00BF7D4E" w14:paraId="15754D84" w14:textId="77777777" w:rsidTr="00BD250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21" w:type="dxa"/>
            <w:tcBorders>
              <w:bottom w:val="single" w:sz="4" w:space="0" w:color="148A5D"/>
            </w:tcBorders>
          </w:tcPr>
          <w:p w14:paraId="26D321EB" w14:textId="77777777" w:rsidR="00BF7D4E" w:rsidRPr="00493FA5" w:rsidRDefault="00BF7D4E" w:rsidP="00493FA5">
            <w:pPr>
              <w:pStyle w:val="10Tabletext"/>
              <w:rPr>
                <w:color w:val="FFFFFF" w:themeColor="background1"/>
              </w:rPr>
            </w:pPr>
            <w:r w:rsidRPr="00493FA5">
              <w:rPr>
                <w:color w:val="FFFFFF" w:themeColor="background1"/>
              </w:rPr>
              <w:t>Classification</w:t>
            </w:r>
          </w:p>
        </w:tc>
        <w:tc>
          <w:tcPr>
            <w:tcW w:w="2341" w:type="dxa"/>
            <w:tcBorders>
              <w:bottom w:val="single" w:sz="4" w:space="0" w:color="148A5D"/>
            </w:tcBorders>
          </w:tcPr>
          <w:p w14:paraId="0CC8FC3B" w14:textId="7CA21732" w:rsidR="00BF7D4E" w:rsidRPr="00493FA5" w:rsidRDefault="00BF7D4E" w:rsidP="00493FA5">
            <w:pPr>
              <w:pStyle w:val="10Tabletext"/>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493FA5">
              <w:rPr>
                <w:color w:val="FFFFFF" w:themeColor="background1"/>
              </w:rPr>
              <w:t>Base of band</w:t>
            </w:r>
            <w:r w:rsidR="004025D2">
              <w:rPr>
                <w:color w:val="FFFFFF" w:themeColor="background1"/>
              </w:rPr>
              <w:t xml:space="preserve"> TRP</w:t>
            </w:r>
            <w:r w:rsidRPr="00493FA5">
              <w:rPr>
                <w:color w:val="FFFFFF" w:themeColor="background1"/>
              </w:rPr>
              <w:br/>
            </w:r>
            <w:r w:rsidR="00EF638B">
              <w:rPr>
                <w:color w:val="FFFFFF" w:themeColor="background1"/>
              </w:rPr>
              <w:t>(</w:t>
            </w:r>
            <w:r w:rsidR="004025D2">
              <w:rPr>
                <w:color w:val="FFFFFF" w:themeColor="background1"/>
              </w:rPr>
              <w:t>$</w:t>
            </w:r>
            <w:r w:rsidR="00EF638B">
              <w:rPr>
                <w:color w:val="FFFFFF" w:themeColor="background1"/>
              </w:rPr>
              <w:t xml:space="preserve"> p.a.)</w:t>
            </w:r>
          </w:p>
        </w:tc>
        <w:tc>
          <w:tcPr>
            <w:tcW w:w="2341" w:type="dxa"/>
            <w:tcBorders>
              <w:bottom w:val="single" w:sz="4" w:space="0" w:color="148A5D"/>
            </w:tcBorders>
          </w:tcPr>
          <w:p w14:paraId="15811E55" w14:textId="7160CC5D" w:rsidR="00BF7D4E" w:rsidRPr="00493FA5" w:rsidRDefault="00BF7D4E" w:rsidP="00493FA5">
            <w:pPr>
              <w:pStyle w:val="10Tabletext"/>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493FA5">
              <w:rPr>
                <w:color w:val="FFFFFF" w:themeColor="background1"/>
              </w:rPr>
              <w:t>Top of band</w:t>
            </w:r>
            <w:r w:rsidR="004025D2">
              <w:rPr>
                <w:color w:val="FFFFFF" w:themeColor="background1"/>
              </w:rPr>
              <w:t xml:space="preserve"> TRP</w:t>
            </w:r>
            <w:r w:rsidRPr="00493FA5">
              <w:rPr>
                <w:color w:val="FFFFFF" w:themeColor="background1"/>
              </w:rPr>
              <w:br/>
            </w:r>
            <w:r w:rsidR="00EF638B">
              <w:rPr>
                <w:color w:val="FFFFFF" w:themeColor="background1"/>
              </w:rPr>
              <w:t>(</w:t>
            </w:r>
            <w:r w:rsidR="004025D2">
              <w:rPr>
                <w:color w:val="FFFFFF" w:themeColor="background1"/>
              </w:rPr>
              <w:t>$</w:t>
            </w:r>
            <w:r w:rsidR="00EF638B">
              <w:rPr>
                <w:color w:val="FFFFFF" w:themeColor="background1"/>
              </w:rPr>
              <w:t xml:space="preserve"> p.a.)</w:t>
            </w:r>
          </w:p>
        </w:tc>
      </w:tr>
      <w:tr w:rsidR="00BF7D4E" w:rsidRPr="00BF7D4E" w14:paraId="4D9B2673" w14:textId="77777777" w:rsidTr="00BF7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1" w:type="dxa"/>
            <w:tcBorders>
              <w:left w:val="nil"/>
            </w:tcBorders>
          </w:tcPr>
          <w:p w14:paraId="502B81FD" w14:textId="77777777" w:rsidR="00BF7D4E" w:rsidRPr="00BF7D4E" w:rsidRDefault="00BF7D4E" w:rsidP="00493FA5">
            <w:pPr>
              <w:pStyle w:val="10Tabletext"/>
              <w:rPr>
                <w:color w:val="4D4D4D"/>
              </w:rPr>
            </w:pPr>
            <w:r w:rsidRPr="00BF7D4E">
              <w:rPr>
                <w:color w:val="4D4D4D"/>
              </w:rPr>
              <w:t>SES-1</w:t>
            </w:r>
          </w:p>
        </w:tc>
        <w:tc>
          <w:tcPr>
            <w:tcW w:w="2341" w:type="dxa"/>
          </w:tcPr>
          <w:p w14:paraId="3026BA3A" w14:textId="24BC7AE3" w:rsidR="00BF7D4E" w:rsidRPr="00BF7D4E" w:rsidRDefault="00BF7D4E" w:rsidP="00493FA5">
            <w:pPr>
              <w:pStyle w:val="10Tabletext"/>
              <w:jc w:val="right"/>
              <w:cnfStyle w:val="000000100000" w:firstRow="0" w:lastRow="0" w:firstColumn="0" w:lastColumn="0" w:oddVBand="0" w:evenVBand="0" w:oddHBand="1" w:evenHBand="0" w:firstRowFirstColumn="0" w:firstRowLastColumn="0" w:lastRowFirstColumn="0" w:lastRowLastColumn="0"/>
              <w:rPr>
                <w:color w:val="4D4D4D"/>
              </w:rPr>
            </w:pPr>
            <w:r w:rsidRPr="00BF7D4E">
              <w:rPr>
                <w:color w:val="4D4D4D"/>
              </w:rPr>
              <w:t>216,376</w:t>
            </w:r>
          </w:p>
        </w:tc>
        <w:tc>
          <w:tcPr>
            <w:tcW w:w="2341" w:type="dxa"/>
            <w:tcBorders>
              <w:right w:val="nil"/>
            </w:tcBorders>
          </w:tcPr>
          <w:p w14:paraId="58C30B73" w14:textId="7C4FC0CC" w:rsidR="00BF7D4E" w:rsidRPr="00BF7D4E" w:rsidRDefault="00BF7D4E" w:rsidP="00493FA5">
            <w:pPr>
              <w:pStyle w:val="10Tabletext"/>
              <w:jc w:val="right"/>
              <w:cnfStyle w:val="000000100000" w:firstRow="0" w:lastRow="0" w:firstColumn="0" w:lastColumn="0" w:oddVBand="0" w:evenVBand="0" w:oddHBand="1" w:evenHBand="0" w:firstRowFirstColumn="0" w:firstRowLastColumn="0" w:lastRowFirstColumn="0" w:lastRowLastColumn="0"/>
              <w:rPr>
                <w:color w:val="4D4D4D"/>
              </w:rPr>
            </w:pPr>
            <w:r w:rsidRPr="00BF7D4E">
              <w:rPr>
                <w:color w:val="4D4D4D"/>
              </w:rPr>
              <w:t>279,238</w:t>
            </w:r>
          </w:p>
        </w:tc>
      </w:tr>
      <w:tr w:rsidR="00BF7D4E" w:rsidRPr="00BF7D4E" w14:paraId="3D83EF83" w14:textId="77777777" w:rsidTr="00BF7D4E">
        <w:tc>
          <w:tcPr>
            <w:cnfStyle w:val="001000000000" w:firstRow="0" w:lastRow="0" w:firstColumn="1" w:lastColumn="0" w:oddVBand="0" w:evenVBand="0" w:oddHBand="0" w:evenHBand="0" w:firstRowFirstColumn="0" w:firstRowLastColumn="0" w:lastRowFirstColumn="0" w:lastRowLastColumn="0"/>
            <w:tcW w:w="3821" w:type="dxa"/>
            <w:tcBorders>
              <w:top w:val="single" w:sz="4" w:space="0" w:color="148A5D"/>
              <w:left w:val="nil"/>
              <w:bottom w:val="single" w:sz="4" w:space="0" w:color="148A5D"/>
            </w:tcBorders>
          </w:tcPr>
          <w:p w14:paraId="541EE44A" w14:textId="77777777" w:rsidR="00BF7D4E" w:rsidRPr="00BF7D4E" w:rsidRDefault="00BF7D4E" w:rsidP="00493FA5">
            <w:pPr>
              <w:pStyle w:val="10Tabletext"/>
              <w:rPr>
                <w:color w:val="4D4D4D"/>
              </w:rPr>
            </w:pPr>
            <w:r w:rsidRPr="00BF7D4E">
              <w:rPr>
                <w:color w:val="4D4D4D"/>
              </w:rPr>
              <w:t>SES-2</w:t>
            </w:r>
          </w:p>
        </w:tc>
        <w:tc>
          <w:tcPr>
            <w:tcW w:w="2341" w:type="dxa"/>
            <w:tcBorders>
              <w:top w:val="single" w:sz="4" w:space="0" w:color="148A5D"/>
              <w:bottom w:val="single" w:sz="4" w:space="0" w:color="148A5D"/>
            </w:tcBorders>
          </w:tcPr>
          <w:p w14:paraId="4028D4E8" w14:textId="008AFEAB" w:rsidR="00BF7D4E" w:rsidRPr="00BF7D4E" w:rsidRDefault="00BF7D4E" w:rsidP="00493FA5">
            <w:pPr>
              <w:pStyle w:val="10Tabletext"/>
              <w:jc w:val="right"/>
              <w:cnfStyle w:val="000000000000" w:firstRow="0" w:lastRow="0" w:firstColumn="0" w:lastColumn="0" w:oddVBand="0" w:evenVBand="0" w:oddHBand="0" w:evenHBand="0" w:firstRowFirstColumn="0" w:firstRowLastColumn="0" w:lastRowFirstColumn="0" w:lastRowLastColumn="0"/>
              <w:rPr>
                <w:color w:val="4D4D4D"/>
              </w:rPr>
            </w:pPr>
            <w:r w:rsidRPr="00BF7D4E">
              <w:rPr>
                <w:color w:val="4D4D4D"/>
              </w:rPr>
              <w:t>279,239</w:t>
            </w:r>
          </w:p>
        </w:tc>
        <w:tc>
          <w:tcPr>
            <w:tcW w:w="2341" w:type="dxa"/>
            <w:tcBorders>
              <w:top w:val="single" w:sz="4" w:space="0" w:color="148A5D"/>
              <w:bottom w:val="single" w:sz="4" w:space="0" w:color="148A5D"/>
              <w:right w:val="nil"/>
            </w:tcBorders>
          </w:tcPr>
          <w:p w14:paraId="797CA2F1" w14:textId="4183EAF0" w:rsidR="00BF7D4E" w:rsidRPr="00BF7D4E" w:rsidRDefault="00BF7D4E" w:rsidP="00493FA5">
            <w:pPr>
              <w:pStyle w:val="10Tabletext"/>
              <w:jc w:val="right"/>
              <w:cnfStyle w:val="000000000000" w:firstRow="0" w:lastRow="0" w:firstColumn="0" w:lastColumn="0" w:oddVBand="0" w:evenVBand="0" w:oddHBand="0" w:evenHBand="0" w:firstRowFirstColumn="0" w:firstRowLastColumn="0" w:lastRowFirstColumn="0" w:lastRowLastColumn="0"/>
              <w:rPr>
                <w:color w:val="4D4D4D"/>
              </w:rPr>
            </w:pPr>
            <w:r w:rsidRPr="00BF7D4E">
              <w:rPr>
                <w:color w:val="4D4D4D"/>
              </w:rPr>
              <w:t>401,017</w:t>
            </w:r>
          </w:p>
        </w:tc>
      </w:tr>
      <w:tr w:rsidR="00BF7D4E" w:rsidRPr="00BF7D4E" w14:paraId="0C8FFFE2" w14:textId="77777777" w:rsidTr="00BF7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1" w:type="dxa"/>
            <w:tcBorders>
              <w:left w:val="nil"/>
            </w:tcBorders>
          </w:tcPr>
          <w:p w14:paraId="09884717" w14:textId="77777777" w:rsidR="00BF7D4E" w:rsidRPr="00BF7D4E" w:rsidRDefault="00BF7D4E" w:rsidP="00493FA5">
            <w:pPr>
              <w:pStyle w:val="10Tabletext"/>
              <w:rPr>
                <w:color w:val="4D4D4D"/>
              </w:rPr>
            </w:pPr>
            <w:r w:rsidRPr="00BF7D4E">
              <w:rPr>
                <w:color w:val="4D4D4D"/>
              </w:rPr>
              <w:t>SES-3</w:t>
            </w:r>
          </w:p>
        </w:tc>
        <w:tc>
          <w:tcPr>
            <w:tcW w:w="2341" w:type="dxa"/>
          </w:tcPr>
          <w:p w14:paraId="4C1BF04E" w14:textId="7CD8C576" w:rsidR="00BF7D4E" w:rsidRPr="00BF7D4E" w:rsidRDefault="00BF7D4E" w:rsidP="00493FA5">
            <w:pPr>
              <w:pStyle w:val="10Tabletext"/>
              <w:jc w:val="right"/>
              <w:cnfStyle w:val="000000100000" w:firstRow="0" w:lastRow="0" w:firstColumn="0" w:lastColumn="0" w:oddVBand="0" w:evenVBand="0" w:oddHBand="1" w:evenHBand="0" w:firstRowFirstColumn="0" w:firstRowLastColumn="0" w:lastRowFirstColumn="0" w:lastRowLastColumn="0"/>
              <w:rPr>
                <w:color w:val="4D4D4D"/>
              </w:rPr>
            </w:pPr>
            <w:r w:rsidRPr="00BF7D4E">
              <w:rPr>
                <w:color w:val="4D4D4D"/>
              </w:rPr>
              <w:t>401,018</w:t>
            </w:r>
          </w:p>
        </w:tc>
        <w:tc>
          <w:tcPr>
            <w:tcW w:w="2341" w:type="dxa"/>
            <w:tcBorders>
              <w:right w:val="nil"/>
            </w:tcBorders>
          </w:tcPr>
          <w:p w14:paraId="66DECDF4" w14:textId="01569847" w:rsidR="00BF7D4E" w:rsidRPr="00BF7D4E" w:rsidRDefault="00BF7D4E" w:rsidP="00493FA5">
            <w:pPr>
              <w:pStyle w:val="10Tabletext"/>
              <w:jc w:val="right"/>
              <w:cnfStyle w:val="000000100000" w:firstRow="0" w:lastRow="0" w:firstColumn="0" w:lastColumn="0" w:oddVBand="0" w:evenVBand="0" w:oddHBand="1" w:evenHBand="0" w:firstRowFirstColumn="0" w:firstRowLastColumn="0" w:lastRowFirstColumn="0" w:lastRowLastColumn="0"/>
              <w:rPr>
                <w:color w:val="4D4D4D"/>
              </w:rPr>
            </w:pPr>
            <w:r w:rsidRPr="00BF7D4E">
              <w:rPr>
                <w:color w:val="4D4D4D"/>
              </w:rPr>
              <w:t>533,431</w:t>
            </w:r>
          </w:p>
        </w:tc>
      </w:tr>
    </w:tbl>
    <w:p w14:paraId="0B582658" w14:textId="5E15CF2D" w:rsidR="00BF7D4E" w:rsidRPr="001B4994" w:rsidRDefault="00BF7D4E" w:rsidP="003A7715">
      <w:pPr>
        <w:pStyle w:val="09Sourcesandnotesfortablesfiguresboxes"/>
      </w:pPr>
      <w:r w:rsidRPr="003A7715">
        <w:t xml:space="preserve">Source: </w:t>
      </w:r>
      <w:r w:rsidR="00E04463">
        <w:t>Tribunal (2023</w:t>
      </w:r>
      <w:r w:rsidR="00E77FEB">
        <w:t>b</w:t>
      </w:r>
      <w:r w:rsidR="00E04463">
        <w:t>)</w:t>
      </w:r>
      <w:r w:rsidRPr="003A7715">
        <w:t>.</w:t>
      </w:r>
    </w:p>
    <w:p w14:paraId="4FC3BC02" w14:textId="435D2A80" w:rsidR="00BF7D4E" w:rsidRPr="00BF7D4E" w:rsidRDefault="00BF7D4E" w:rsidP="001B4994">
      <w:pPr>
        <w:pStyle w:val="05Paragraph"/>
      </w:pPr>
      <w:r w:rsidRPr="00BF7D4E">
        <w:t xml:space="preserve">In its 2020 </w:t>
      </w:r>
      <w:r w:rsidR="00F46A03">
        <w:t xml:space="preserve">VPS </w:t>
      </w:r>
      <w:r w:rsidRPr="00BF7D4E">
        <w:t xml:space="preserve">Determination, the Tribunal considered how public service body Heads should be classified for remuneration purposes. The Tribunal decided to establish an additional band for Secretaries and the </w:t>
      </w:r>
      <w:r w:rsidR="00BC4061" w:rsidRPr="00BC4061">
        <w:t xml:space="preserve">Victorian Public Sector </w:t>
      </w:r>
      <w:r w:rsidRPr="00BF7D4E">
        <w:t>Commissioner above the SES bands, as well as three additional bands for AO Heads.</w:t>
      </w:r>
      <w:r w:rsidRPr="00BF7D4E">
        <w:rPr>
          <w:vertAlign w:val="superscript"/>
        </w:rPr>
        <w:footnoteReference w:id="100"/>
      </w:r>
    </w:p>
    <w:p w14:paraId="231081DA" w14:textId="2C426991" w:rsidR="00BF7D4E" w:rsidRPr="00BF7D4E" w:rsidRDefault="00BF7D4E" w:rsidP="001B4994">
      <w:pPr>
        <w:pStyle w:val="05Paragraph"/>
      </w:pPr>
      <w:r w:rsidRPr="00BF7D4E">
        <w:t xml:space="preserve">The Tribunal has traditionally maintained a gap between the top of the SES-3 band and the base of the band for Secretaries and the </w:t>
      </w:r>
      <w:r w:rsidR="00BC4061" w:rsidRPr="00BC4061">
        <w:t xml:space="preserve">Victorian Public Sector </w:t>
      </w:r>
      <w:r w:rsidRPr="00BF7D4E">
        <w:t xml:space="preserve">Commissioner. This gap reflects the greater roles and responsibilities of Secretaries and the </w:t>
      </w:r>
      <w:r w:rsidR="00BC4061" w:rsidRPr="00BC4061">
        <w:t xml:space="preserve">Victorian Public Sector </w:t>
      </w:r>
      <w:r w:rsidRPr="00BF7D4E">
        <w:t>Commissioner and provides an incentive for advancement.</w:t>
      </w:r>
      <w:r w:rsidRPr="00BF7D4E">
        <w:rPr>
          <w:vertAlign w:val="superscript"/>
        </w:rPr>
        <w:footnoteReference w:id="101"/>
      </w:r>
      <w:r w:rsidRPr="00BF7D4E">
        <w:t xml:space="preserve"> As of 1 July 2023, this gap was around 8 per cent. </w:t>
      </w:r>
    </w:p>
    <w:p w14:paraId="4B525BF7" w14:textId="709B0C18" w:rsidR="00BF7D4E" w:rsidRPr="00BF7D4E" w:rsidRDefault="00BF7D4E" w:rsidP="001B4994">
      <w:pPr>
        <w:pStyle w:val="05Paragraph"/>
      </w:pPr>
      <w:r w:rsidRPr="00BF7D4E">
        <w:t xml:space="preserve">Table 3.5 shows the current value of the remuneration band for Secretaries and the </w:t>
      </w:r>
      <w:r w:rsidR="00BC4061" w:rsidRPr="00BC4061">
        <w:t xml:space="preserve">Victorian Public Sector </w:t>
      </w:r>
      <w:r w:rsidRPr="00BF7D4E">
        <w:t>Commissioner.</w:t>
      </w:r>
    </w:p>
    <w:p w14:paraId="319EEF6B" w14:textId="77777777" w:rsidR="00BF7D4E" w:rsidRPr="001B4994" w:rsidRDefault="00BF7D4E" w:rsidP="00144BE8">
      <w:pPr>
        <w:pStyle w:val="08Figuretableboxheading"/>
      </w:pPr>
      <w:bookmarkStart w:id="83" w:name="_Toc170393539"/>
      <w:r w:rsidRPr="003A7715">
        <w:t>Table 3.5: Value of remuneration band for Secretaries and the Victorian Public Sector Commissioner from 1 July 2023</w:t>
      </w:r>
      <w:bookmarkEnd w:id="83"/>
    </w:p>
    <w:tbl>
      <w:tblPr>
        <w:tblStyle w:val="ListTable3-Accent23"/>
        <w:tblW w:w="8505" w:type="dxa"/>
        <w:tblLook w:val="04A0" w:firstRow="1" w:lastRow="0" w:firstColumn="1" w:lastColumn="0" w:noHBand="0" w:noVBand="1"/>
      </w:tblPr>
      <w:tblGrid>
        <w:gridCol w:w="3823"/>
        <w:gridCol w:w="2341"/>
        <w:gridCol w:w="2341"/>
      </w:tblGrid>
      <w:tr w:rsidR="00BF7D4E" w:rsidRPr="00BF7D4E" w14:paraId="1B6227EB" w14:textId="77777777" w:rsidTr="002100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23" w:type="dxa"/>
            <w:tcBorders>
              <w:bottom w:val="single" w:sz="4" w:space="0" w:color="148A5D"/>
            </w:tcBorders>
          </w:tcPr>
          <w:p w14:paraId="3953A9CC" w14:textId="77777777" w:rsidR="00BF7D4E" w:rsidRPr="001B4994" w:rsidRDefault="00BF7D4E" w:rsidP="001B4994">
            <w:pPr>
              <w:pStyle w:val="10Tabletext"/>
              <w:rPr>
                <w:color w:val="FFFFFF" w:themeColor="background1"/>
              </w:rPr>
            </w:pPr>
            <w:r w:rsidRPr="001B4994">
              <w:rPr>
                <w:color w:val="FFFFFF" w:themeColor="background1"/>
              </w:rPr>
              <w:t>Classification</w:t>
            </w:r>
          </w:p>
        </w:tc>
        <w:tc>
          <w:tcPr>
            <w:tcW w:w="2341" w:type="dxa"/>
          </w:tcPr>
          <w:p w14:paraId="59A5CD5A" w14:textId="048531EA" w:rsidR="00BF7D4E" w:rsidRPr="001B4994" w:rsidRDefault="00BF7D4E" w:rsidP="001B4994">
            <w:pPr>
              <w:pStyle w:val="10Tabletext"/>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1B4994">
              <w:rPr>
                <w:color w:val="FFFFFF" w:themeColor="background1"/>
              </w:rPr>
              <w:t>Base of band</w:t>
            </w:r>
            <w:r w:rsidR="00B34CAC" w:rsidRPr="001B4994">
              <w:rPr>
                <w:color w:val="FFFFFF" w:themeColor="background1"/>
              </w:rPr>
              <w:t xml:space="preserve"> TRP</w:t>
            </w:r>
            <w:r w:rsidRPr="001B4994">
              <w:rPr>
                <w:color w:val="FFFFFF" w:themeColor="background1"/>
              </w:rPr>
              <w:br/>
            </w:r>
            <w:r w:rsidR="0088626B">
              <w:rPr>
                <w:color w:val="FFFFFF" w:themeColor="background1"/>
              </w:rPr>
              <w:t>(</w:t>
            </w:r>
            <w:r w:rsidR="00B34CAC" w:rsidRPr="001B4994">
              <w:rPr>
                <w:color w:val="FFFFFF" w:themeColor="background1"/>
              </w:rPr>
              <w:t>$</w:t>
            </w:r>
            <w:r w:rsidR="003C20F4">
              <w:rPr>
                <w:color w:val="FFFFFF" w:themeColor="background1"/>
              </w:rPr>
              <w:t xml:space="preserve"> </w:t>
            </w:r>
            <w:r w:rsidR="0088626B">
              <w:rPr>
                <w:color w:val="FFFFFF" w:themeColor="background1"/>
              </w:rPr>
              <w:t>p.a.)</w:t>
            </w:r>
          </w:p>
        </w:tc>
        <w:tc>
          <w:tcPr>
            <w:tcW w:w="2341" w:type="dxa"/>
            <w:tcBorders>
              <w:bottom w:val="single" w:sz="4" w:space="0" w:color="148A5D"/>
            </w:tcBorders>
          </w:tcPr>
          <w:p w14:paraId="48C3D228" w14:textId="298D034C" w:rsidR="00BF7D4E" w:rsidRPr="001B4994" w:rsidRDefault="00BF7D4E" w:rsidP="001B4994">
            <w:pPr>
              <w:pStyle w:val="10Tabletext"/>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1B4994">
              <w:rPr>
                <w:color w:val="FFFFFF" w:themeColor="background1"/>
              </w:rPr>
              <w:t>Top of band</w:t>
            </w:r>
            <w:r w:rsidR="00B34CAC" w:rsidRPr="001B4994">
              <w:rPr>
                <w:color w:val="FFFFFF" w:themeColor="background1"/>
              </w:rPr>
              <w:t xml:space="preserve"> TRP</w:t>
            </w:r>
            <w:r w:rsidR="0088626B">
              <w:rPr>
                <w:color w:val="FFFFFF" w:themeColor="background1"/>
              </w:rPr>
              <w:br/>
              <w:t>(</w:t>
            </w:r>
            <w:r w:rsidR="00B34CAC" w:rsidRPr="001B4994">
              <w:rPr>
                <w:color w:val="FFFFFF" w:themeColor="background1"/>
              </w:rPr>
              <w:t>$</w:t>
            </w:r>
            <w:r w:rsidR="0088626B">
              <w:rPr>
                <w:color w:val="FFFFFF" w:themeColor="background1"/>
              </w:rPr>
              <w:t xml:space="preserve"> p.a.)</w:t>
            </w:r>
          </w:p>
        </w:tc>
      </w:tr>
      <w:tr w:rsidR="00BF7D4E" w:rsidRPr="00BF7D4E" w14:paraId="4524D890" w14:textId="77777777" w:rsidTr="00BF7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Borders>
              <w:left w:val="nil"/>
            </w:tcBorders>
          </w:tcPr>
          <w:p w14:paraId="1FA21E9E" w14:textId="77777777" w:rsidR="00BF7D4E" w:rsidRPr="00BF7D4E" w:rsidRDefault="00BF7D4E" w:rsidP="001B4994">
            <w:pPr>
              <w:pStyle w:val="10Tabletext"/>
              <w:rPr>
                <w:color w:val="4D4D4D"/>
              </w:rPr>
            </w:pPr>
            <w:r w:rsidRPr="00BF7D4E">
              <w:rPr>
                <w:color w:val="4D4D4D"/>
              </w:rPr>
              <w:t xml:space="preserve">Department Secretary or </w:t>
            </w:r>
            <w:r w:rsidRPr="00BF7D4E">
              <w:rPr>
                <w:color w:val="4D4D4D"/>
              </w:rPr>
              <w:br/>
              <w:t>Victorian Public Sector Commissioner</w:t>
            </w:r>
          </w:p>
        </w:tc>
        <w:tc>
          <w:tcPr>
            <w:tcW w:w="2341" w:type="dxa"/>
            <w:tcBorders>
              <w:right w:val="nil"/>
            </w:tcBorders>
          </w:tcPr>
          <w:p w14:paraId="297D4860" w14:textId="68E87DD4" w:rsidR="00BF7D4E" w:rsidRPr="00BF7D4E" w:rsidRDefault="00BF7D4E" w:rsidP="001B4994">
            <w:pPr>
              <w:pStyle w:val="10Tabletext"/>
              <w:jc w:val="right"/>
              <w:cnfStyle w:val="000000100000" w:firstRow="0" w:lastRow="0" w:firstColumn="0" w:lastColumn="0" w:oddVBand="0" w:evenVBand="0" w:oddHBand="1" w:evenHBand="0" w:firstRowFirstColumn="0" w:firstRowLastColumn="0" w:lastRowFirstColumn="0" w:lastRowLastColumn="0"/>
              <w:rPr>
                <w:color w:val="4D4D4D"/>
              </w:rPr>
            </w:pPr>
            <w:r w:rsidRPr="00BF7D4E">
              <w:rPr>
                <w:color w:val="4D4D4D"/>
              </w:rPr>
              <w:t>577,716</w:t>
            </w:r>
          </w:p>
        </w:tc>
        <w:tc>
          <w:tcPr>
            <w:tcW w:w="2341" w:type="dxa"/>
            <w:tcBorders>
              <w:left w:val="nil"/>
              <w:right w:val="nil"/>
            </w:tcBorders>
          </w:tcPr>
          <w:p w14:paraId="464E4E76" w14:textId="06B8EF80" w:rsidR="00BF7D4E" w:rsidRPr="00BF7D4E" w:rsidRDefault="00BF7D4E" w:rsidP="001B4994">
            <w:pPr>
              <w:pStyle w:val="10Tabletext"/>
              <w:jc w:val="right"/>
              <w:cnfStyle w:val="000000100000" w:firstRow="0" w:lastRow="0" w:firstColumn="0" w:lastColumn="0" w:oddVBand="0" w:evenVBand="0" w:oddHBand="1" w:evenHBand="0" w:firstRowFirstColumn="0" w:firstRowLastColumn="0" w:lastRowFirstColumn="0" w:lastRowLastColumn="0"/>
              <w:rPr>
                <w:color w:val="4D4D4D"/>
              </w:rPr>
            </w:pPr>
            <w:r w:rsidRPr="00BF7D4E">
              <w:rPr>
                <w:color w:val="4D4D4D"/>
              </w:rPr>
              <w:t>778,492</w:t>
            </w:r>
          </w:p>
        </w:tc>
      </w:tr>
    </w:tbl>
    <w:p w14:paraId="3194E208" w14:textId="09376F76" w:rsidR="00BF7D4E" w:rsidRPr="001B4994" w:rsidRDefault="00BF7D4E" w:rsidP="00B34CAC">
      <w:pPr>
        <w:pStyle w:val="09Sourcesandnotesfortablesfiguresboxes"/>
      </w:pPr>
      <w:r w:rsidRPr="00B34CAC">
        <w:t xml:space="preserve">Source: </w:t>
      </w:r>
      <w:r w:rsidR="00E04463">
        <w:t>Tribunal (</w:t>
      </w:r>
      <w:r w:rsidRPr="001B4994">
        <w:t>2023</w:t>
      </w:r>
      <w:r w:rsidR="00E77FEB">
        <w:t>b</w:t>
      </w:r>
      <w:r w:rsidR="00E04463">
        <w:t>)</w:t>
      </w:r>
      <w:r w:rsidRPr="001B4994">
        <w:t>.</w:t>
      </w:r>
    </w:p>
    <w:p w14:paraId="37B01EF4" w14:textId="6EFC348F" w:rsidR="00BF7D4E" w:rsidRPr="00BF7D4E" w:rsidRDefault="00BF7D4E" w:rsidP="001B4994">
      <w:pPr>
        <w:pStyle w:val="05Paragraph"/>
      </w:pPr>
      <w:r w:rsidRPr="00BF7D4E">
        <w:lastRenderedPageBreak/>
        <w:t xml:space="preserve">A comparison of the values of remuneration bands for non-executive VPS staff with the values of the SES remuneration bands is set out in </w:t>
      </w:r>
      <w:r w:rsidR="00724257">
        <w:t>C</w:t>
      </w:r>
      <w:r w:rsidRPr="00BF7D4E">
        <w:t>hapter 4.</w:t>
      </w:r>
    </w:p>
    <w:p w14:paraId="7AA04C81" w14:textId="77777777" w:rsidR="00BF7D4E" w:rsidRPr="00BF7D4E" w:rsidRDefault="00BF7D4E" w:rsidP="001B4994">
      <w:pPr>
        <w:pStyle w:val="05Paragraph"/>
      </w:pPr>
      <w:r w:rsidRPr="00BF7D4E">
        <w:t>In making its 2020 VPS Determination, the Tribunal decided to align the remuneration bands for AO Heads with the SES remuneration bands. At that time, the Tribunal mapped the remuneration for AO Heads against the existing SES remuneration bands (then referred to as ‘subordinate executives’). It found that almost all AO Heads were paid within the existing subordinate executive remuneration bands.</w:t>
      </w:r>
      <w:r w:rsidRPr="00BF7D4E">
        <w:rPr>
          <w:vertAlign w:val="superscript"/>
        </w:rPr>
        <w:footnoteReference w:id="102"/>
      </w:r>
    </w:p>
    <w:p w14:paraId="72A3F735" w14:textId="77777777" w:rsidR="00BF7D4E" w:rsidRPr="00BF7D4E" w:rsidRDefault="00BF7D4E" w:rsidP="001B4994">
      <w:pPr>
        <w:pStyle w:val="05Paragraph"/>
      </w:pPr>
      <w:r w:rsidRPr="00BF7D4E">
        <w:t>Following consultation, the Tribunal decided to formally align the remuneration bands for AO Heads with the SES remuneration bands to:</w:t>
      </w:r>
      <w:r w:rsidRPr="00BF7D4E">
        <w:rPr>
          <w:vertAlign w:val="superscript"/>
        </w:rPr>
        <w:footnoteReference w:id="103"/>
      </w:r>
      <w:r w:rsidRPr="00BF7D4E">
        <w:t xml:space="preserve"> </w:t>
      </w:r>
    </w:p>
    <w:p w14:paraId="174FA052" w14:textId="77777777" w:rsidR="00BF7D4E" w:rsidRPr="00E04463" w:rsidRDefault="00BF7D4E" w:rsidP="00E04463">
      <w:pPr>
        <w:pStyle w:val="06VIRTBulletpoints"/>
      </w:pPr>
      <w:r w:rsidRPr="00E04463">
        <w:t>reflect the diversity in their roles</w:t>
      </w:r>
    </w:p>
    <w:p w14:paraId="64C62B33" w14:textId="77777777" w:rsidR="00BF7D4E" w:rsidRPr="00E04463" w:rsidRDefault="00BF7D4E" w:rsidP="00E04463">
      <w:pPr>
        <w:pStyle w:val="06VIRTBulletpoints"/>
      </w:pPr>
      <w:r w:rsidRPr="00E04463">
        <w:t>promote ease of administration</w:t>
      </w:r>
    </w:p>
    <w:p w14:paraId="21743353" w14:textId="77777777" w:rsidR="00BF7D4E" w:rsidRPr="00E04463" w:rsidRDefault="00BF7D4E" w:rsidP="00E04463">
      <w:pPr>
        <w:pStyle w:val="06VIRTBulletpoints"/>
      </w:pPr>
      <w:r w:rsidRPr="00E04463">
        <w:t>facilitate the movement of executives between AOs and other public service bodies.</w:t>
      </w:r>
    </w:p>
    <w:p w14:paraId="01E1AAEF" w14:textId="77777777" w:rsidR="00BF7D4E" w:rsidRPr="00BF7D4E" w:rsidRDefault="00BF7D4E" w:rsidP="001B4994">
      <w:pPr>
        <w:pStyle w:val="05Paragraph"/>
      </w:pPr>
      <w:r w:rsidRPr="00BF7D4E">
        <w:t>The current values of the remuneration bands for AO Heads are shown in Table 3.6.</w:t>
      </w:r>
    </w:p>
    <w:p w14:paraId="496733A4" w14:textId="77777777" w:rsidR="00BF7D4E" w:rsidRPr="001B4994" w:rsidRDefault="00BF7D4E" w:rsidP="00144BE8">
      <w:pPr>
        <w:pStyle w:val="08Figuretableboxheading"/>
      </w:pPr>
      <w:bookmarkStart w:id="84" w:name="_Toc170393540"/>
      <w:r w:rsidRPr="00E04463">
        <w:t>Table 3.6: Values of remuneration bands for AO Heads from 1 July 2023</w:t>
      </w:r>
      <w:bookmarkEnd w:id="84"/>
    </w:p>
    <w:tbl>
      <w:tblPr>
        <w:tblStyle w:val="ListTable3-Accent23"/>
        <w:tblW w:w="8503" w:type="dxa"/>
        <w:tblLook w:val="04A0" w:firstRow="1" w:lastRow="0" w:firstColumn="1" w:lastColumn="0" w:noHBand="0" w:noVBand="1"/>
      </w:tblPr>
      <w:tblGrid>
        <w:gridCol w:w="3821"/>
        <w:gridCol w:w="2341"/>
        <w:gridCol w:w="2341"/>
      </w:tblGrid>
      <w:tr w:rsidR="00BF7D4E" w:rsidRPr="00BF7D4E" w14:paraId="0F0D301E" w14:textId="77777777" w:rsidTr="002100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21" w:type="dxa"/>
            <w:tcBorders>
              <w:top w:val="single" w:sz="4" w:space="0" w:color="148A5D"/>
              <w:left w:val="nil"/>
              <w:bottom w:val="single" w:sz="4" w:space="0" w:color="148A5D"/>
            </w:tcBorders>
          </w:tcPr>
          <w:p w14:paraId="173509DA" w14:textId="77777777" w:rsidR="00BF7D4E" w:rsidRPr="001B4994" w:rsidRDefault="00BF7D4E" w:rsidP="001B4994">
            <w:pPr>
              <w:pStyle w:val="10Tabletext"/>
              <w:rPr>
                <w:color w:val="FFFFFF" w:themeColor="background1"/>
              </w:rPr>
            </w:pPr>
            <w:r w:rsidRPr="001B4994">
              <w:rPr>
                <w:color w:val="FFFFFF" w:themeColor="background1"/>
              </w:rPr>
              <w:t>Classification</w:t>
            </w:r>
          </w:p>
        </w:tc>
        <w:tc>
          <w:tcPr>
            <w:tcW w:w="2341" w:type="dxa"/>
          </w:tcPr>
          <w:p w14:paraId="68C7B08E" w14:textId="04D89CA7" w:rsidR="00BF7D4E" w:rsidRPr="001B4994" w:rsidRDefault="00BF7D4E" w:rsidP="001B4994">
            <w:pPr>
              <w:pStyle w:val="10Tabletext"/>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1B4994">
              <w:rPr>
                <w:color w:val="FFFFFF" w:themeColor="background1"/>
              </w:rPr>
              <w:t>Base of band</w:t>
            </w:r>
            <w:r w:rsidR="00E04463">
              <w:rPr>
                <w:color w:val="FFFFFF" w:themeColor="background1"/>
              </w:rPr>
              <w:t xml:space="preserve"> TRP</w:t>
            </w:r>
            <w:r w:rsidRPr="001B4994">
              <w:rPr>
                <w:color w:val="FFFFFF" w:themeColor="background1"/>
              </w:rPr>
              <w:br/>
            </w:r>
            <w:r w:rsidR="0088626B">
              <w:rPr>
                <w:color w:val="FFFFFF" w:themeColor="background1"/>
              </w:rPr>
              <w:t>(</w:t>
            </w:r>
            <w:r w:rsidR="00E04463">
              <w:rPr>
                <w:color w:val="FFFFFF" w:themeColor="background1"/>
              </w:rPr>
              <w:t>$</w:t>
            </w:r>
            <w:r w:rsidR="0088626B">
              <w:rPr>
                <w:color w:val="FFFFFF" w:themeColor="background1"/>
              </w:rPr>
              <w:t xml:space="preserve"> p.a.)</w:t>
            </w:r>
          </w:p>
        </w:tc>
        <w:tc>
          <w:tcPr>
            <w:tcW w:w="2341" w:type="dxa"/>
            <w:tcBorders>
              <w:top w:val="single" w:sz="4" w:space="0" w:color="148A5D"/>
              <w:bottom w:val="single" w:sz="4" w:space="0" w:color="148A5D"/>
              <w:right w:val="nil"/>
            </w:tcBorders>
          </w:tcPr>
          <w:p w14:paraId="4FCD38E9" w14:textId="04FE7772" w:rsidR="00BF7D4E" w:rsidRPr="001B4994" w:rsidRDefault="00BF7D4E" w:rsidP="001B4994">
            <w:pPr>
              <w:pStyle w:val="10Tabletext"/>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1B4994">
              <w:rPr>
                <w:color w:val="FFFFFF" w:themeColor="background1"/>
              </w:rPr>
              <w:t>Top of band</w:t>
            </w:r>
            <w:r w:rsidR="00E04463">
              <w:rPr>
                <w:color w:val="FFFFFF" w:themeColor="background1"/>
              </w:rPr>
              <w:t xml:space="preserve"> TRP</w:t>
            </w:r>
            <w:r w:rsidRPr="001B4994">
              <w:rPr>
                <w:color w:val="FFFFFF" w:themeColor="background1"/>
              </w:rPr>
              <w:br/>
            </w:r>
            <w:r w:rsidR="00F079FB">
              <w:rPr>
                <w:color w:val="FFFFFF" w:themeColor="background1"/>
              </w:rPr>
              <w:t>(</w:t>
            </w:r>
            <w:r w:rsidR="00E04463">
              <w:rPr>
                <w:color w:val="FFFFFF" w:themeColor="background1"/>
              </w:rPr>
              <w:t>$</w:t>
            </w:r>
            <w:r w:rsidR="00F079FB">
              <w:rPr>
                <w:color w:val="FFFFFF" w:themeColor="background1"/>
              </w:rPr>
              <w:t xml:space="preserve"> p.a.)</w:t>
            </w:r>
          </w:p>
        </w:tc>
      </w:tr>
      <w:tr w:rsidR="00BF7D4E" w:rsidRPr="00BF7D4E" w14:paraId="669ADE9B" w14:textId="77777777" w:rsidTr="00BF7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1" w:type="dxa"/>
            <w:tcBorders>
              <w:left w:val="nil"/>
            </w:tcBorders>
          </w:tcPr>
          <w:p w14:paraId="07FBB0D7" w14:textId="77777777" w:rsidR="00BF7D4E" w:rsidRPr="00BF7D4E" w:rsidRDefault="00BF7D4E" w:rsidP="001B4994">
            <w:pPr>
              <w:pStyle w:val="10Tabletext"/>
              <w:rPr>
                <w:color w:val="4D4D4D"/>
              </w:rPr>
            </w:pPr>
            <w:r w:rsidRPr="00BF7D4E">
              <w:rPr>
                <w:color w:val="4D4D4D"/>
              </w:rPr>
              <w:t>AO Head-1</w:t>
            </w:r>
          </w:p>
        </w:tc>
        <w:tc>
          <w:tcPr>
            <w:tcW w:w="2341" w:type="dxa"/>
          </w:tcPr>
          <w:p w14:paraId="5DBBD596" w14:textId="66097E3C" w:rsidR="00BF7D4E" w:rsidRPr="00BF7D4E" w:rsidRDefault="00BF7D4E" w:rsidP="001B4994">
            <w:pPr>
              <w:pStyle w:val="10Tabletext"/>
              <w:jc w:val="right"/>
              <w:cnfStyle w:val="000000100000" w:firstRow="0" w:lastRow="0" w:firstColumn="0" w:lastColumn="0" w:oddVBand="0" w:evenVBand="0" w:oddHBand="1" w:evenHBand="0" w:firstRowFirstColumn="0" w:firstRowLastColumn="0" w:lastRowFirstColumn="0" w:lastRowLastColumn="0"/>
              <w:rPr>
                <w:color w:val="4D4D4D"/>
              </w:rPr>
            </w:pPr>
            <w:r w:rsidRPr="00BF7D4E">
              <w:rPr>
                <w:color w:val="4D4D4D"/>
              </w:rPr>
              <w:t>216,376</w:t>
            </w:r>
          </w:p>
        </w:tc>
        <w:tc>
          <w:tcPr>
            <w:tcW w:w="2341" w:type="dxa"/>
            <w:tcBorders>
              <w:right w:val="nil"/>
            </w:tcBorders>
          </w:tcPr>
          <w:p w14:paraId="09FDBF27" w14:textId="42A4CA15" w:rsidR="00BF7D4E" w:rsidRPr="00BF7D4E" w:rsidRDefault="00BF7D4E" w:rsidP="001B4994">
            <w:pPr>
              <w:pStyle w:val="10Tabletext"/>
              <w:jc w:val="right"/>
              <w:cnfStyle w:val="000000100000" w:firstRow="0" w:lastRow="0" w:firstColumn="0" w:lastColumn="0" w:oddVBand="0" w:evenVBand="0" w:oddHBand="1" w:evenHBand="0" w:firstRowFirstColumn="0" w:firstRowLastColumn="0" w:lastRowFirstColumn="0" w:lastRowLastColumn="0"/>
              <w:rPr>
                <w:color w:val="4D4D4D"/>
              </w:rPr>
            </w:pPr>
            <w:r w:rsidRPr="00BF7D4E">
              <w:rPr>
                <w:color w:val="4D4D4D"/>
              </w:rPr>
              <w:t>279,238</w:t>
            </w:r>
          </w:p>
        </w:tc>
      </w:tr>
      <w:tr w:rsidR="00BF7D4E" w:rsidRPr="00BF7D4E" w14:paraId="4F817D70" w14:textId="77777777" w:rsidTr="00BF7D4E">
        <w:tc>
          <w:tcPr>
            <w:cnfStyle w:val="001000000000" w:firstRow="0" w:lastRow="0" w:firstColumn="1" w:lastColumn="0" w:oddVBand="0" w:evenVBand="0" w:oddHBand="0" w:evenHBand="0" w:firstRowFirstColumn="0" w:firstRowLastColumn="0" w:lastRowFirstColumn="0" w:lastRowLastColumn="0"/>
            <w:tcW w:w="3821" w:type="dxa"/>
            <w:tcBorders>
              <w:top w:val="single" w:sz="4" w:space="0" w:color="148A5D"/>
              <w:left w:val="nil"/>
              <w:bottom w:val="single" w:sz="4" w:space="0" w:color="148A5D"/>
            </w:tcBorders>
          </w:tcPr>
          <w:p w14:paraId="5E5ADD4A" w14:textId="77777777" w:rsidR="00BF7D4E" w:rsidRPr="00BF7D4E" w:rsidRDefault="00BF7D4E" w:rsidP="001B4994">
            <w:pPr>
              <w:pStyle w:val="10Tabletext"/>
              <w:rPr>
                <w:color w:val="4D4D4D"/>
              </w:rPr>
            </w:pPr>
            <w:r w:rsidRPr="00BF7D4E">
              <w:rPr>
                <w:color w:val="4D4D4D"/>
              </w:rPr>
              <w:t>AO Head-2</w:t>
            </w:r>
          </w:p>
        </w:tc>
        <w:tc>
          <w:tcPr>
            <w:tcW w:w="2341" w:type="dxa"/>
          </w:tcPr>
          <w:p w14:paraId="5EE838D2" w14:textId="750E55E9" w:rsidR="00BF7D4E" w:rsidRPr="00BF7D4E" w:rsidRDefault="00BF7D4E" w:rsidP="001B4994">
            <w:pPr>
              <w:pStyle w:val="10Tabletext"/>
              <w:jc w:val="right"/>
              <w:cnfStyle w:val="000000000000" w:firstRow="0" w:lastRow="0" w:firstColumn="0" w:lastColumn="0" w:oddVBand="0" w:evenVBand="0" w:oddHBand="0" w:evenHBand="0" w:firstRowFirstColumn="0" w:firstRowLastColumn="0" w:lastRowFirstColumn="0" w:lastRowLastColumn="0"/>
              <w:rPr>
                <w:color w:val="4D4D4D"/>
              </w:rPr>
            </w:pPr>
            <w:r w:rsidRPr="00BF7D4E">
              <w:rPr>
                <w:color w:val="4D4D4D"/>
              </w:rPr>
              <w:t>279,239</w:t>
            </w:r>
          </w:p>
        </w:tc>
        <w:tc>
          <w:tcPr>
            <w:tcW w:w="2341" w:type="dxa"/>
            <w:tcBorders>
              <w:top w:val="single" w:sz="4" w:space="0" w:color="148A5D"/>
              <w:bottom w:val="single" w:sz="4" w:space="0" w:color="148A5D"/>
              <w:right w:val="nil"/>
            </w:tcBorders>
          </w:tcPr>
          <w:p w14:paraId="0DD8C16F" w14:textId="2E49C876" w:rsidR="00BF7D4E" w:rsidRPr="00BF7D4E" w:rsidRDefault="00BF7D4E" w:rsidP="001B4994">
            <w:pPr>
              <w:pStyle w:val="10Tabletext"/>
              <w:jc w:val="right"/>
              <w:cnfStyle w:val="000000000000" w:firstRow="0" w:lastRow="0" w:firstColumn="0" w:lastColumn="0" w:oddVBand="0" w:evenVBand="0" w:oddHBand="0" w:evenHBand="0" w:firstRowFirstColumn="0" w:firstRowLastColumn="0" w:lastRowFirstColumn="0" w:lastRowLastColumn="0"/>
              <w:rPr>
                <w:color w:val="4D4D4D"/>
              </w:rPr>
            </w:pPr>
            <w:r w:rsidRPr="00BF7D4E">
              <w:rPr>
                <w:color w:val="4D4D4D"/>
              </w:rPr>
              <w:t>401,017</w:t>
            </w:r>
          </w:p>
        </w:tc>
      </w:tr>
      <w:tr w:rsidR="00BF7D4E" w:rsidRPr="00BF7D4E" w14:paraId="438AF975" w14:textId="77777777" w:rsidTr="00BF7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1" w:type="dxa"/>
            <w:tcBorders>
              <w:left w:val="nil"/>
            </w:tcBorders>
          </w:tcPr>
          <w:p w14:paraId="35B621C8" w14:textId="77777777" w:rsidR="00BF7D4E" w:rsidRPr="00BF7D4E" w:rsidRDefault="00BF7D4E" w:rsidP="001B4994">
            <w:pPr>
              <w:pStyle w:val="10Tabletext"/>
              <w:rPr>
                <w:color w:val="4D4D4D"/>
              </w:rPr>
            </w:pPr>
            <w:r w:rsidRPr="00BF7D4E">
              <w:rPr>
                <w:color w:val="4D4D4D"/>
              </w:rPr>
              <w:t>AO Head-3</w:t>
            </w:r>
          </w:p>
        </w:tc>
        <w:tc>
          <w:tcPr>
            <w:tcW w:w="2341" w:type="dxa"/>
          </w:tcPr>
          <w:p w14:paraId="273AC54F" w14:textId="37E34DDA" w:rsidR="00BF7D4E" w:rsidRPr="00BF7D4E" w:rsidRDefault="00BF7D4E" w:rsidP="001B4994">
            <w:pPr>
              <w:pStyle w:val="10Tabletext"/>
              <w:jc w:val="right"/>
              <w:cnfStyle w:val="000000100000" w:firstRow="0" w:lastRow="0" w:firstColumn="0" w:lastColumn="0" w:oddVBand="0" w:evenVBand="0" w:oddHBand="1" w:evenHBand="0" w:firstRowFirstColumn="0" w:firstRowLastColumn="0" w:lastRowFirstColumn="0" w:lastRowLastColumn="0"/>
              <w:rPr>
                <w:color w:val="4D4D4D"/>
              </w:rPr>
            </w:pPr>
            <w:r w:rsidRPr="00BF7D4E">
              <w:rPr>
                <w:color w:val="4D4D4D"/>
              </w:rPr>
              <w:t>401,018</w:t>
            </w:r>
          </w:p>
        </w:tc>
        <w:tc>
          <w:tcPr>
            <w:tcW w:w="2341" w:type="dxa"/>
            <w:tcBorders>
              <w:right w:val="nil"/>
            </w:tcBorders>
          </w:tcPr>
          <w:p w14:paraId="14B01E66" w14:textId="2CC6003F" w:rsidR="00BF7D4E" w:rsidRPr="00BF7D4E" w:rsidRDefault="00BF7D4E" w:rsidP="001B4994">
            <w:pPr>
              <w:pStyle w:val="10Tabletext"/>
              <w:jc w:val="right"/>
              <w:cnfStyle w:val="000000100000" w:firstRow="0" w:lastRow="0" w:firstColumn="0" w:lastColumn="0" w:oddVBand="0" w:evenVBand="0" w:oddHBand="1" w:evenHBand="0" w:firstRowFirstColumn="0" w:firstRowLastColumn="0" w:lastRowFirstColumn="0" w:lastRowLastColumn="0"/>
              <w:rPr>
                <w:color w:val="4D4D4D"/>
              </w:rPr>
            </w:pPr>
            <w:r w:rsidRPr="00BF7D4E">
              <w:rPr>
                <w:color w:val="4D4D4D"/>
              </w:rPr>
              <w:t>533,431</w:t>
            </w:r>
          </w:p>
        </w:tc>
      </w:tr>
    </w:tbl>
    <w:p w14:paraId="4590E581" w14:textId="065D5524" w:rsidR="00BF7D4E" w:rsidRPr="001B4994" w:rsidRDefault="00BF7D4E" w:rsidP="00E04463">
      <w:pPr>
        <w:pStyle w:val="09Sourcesandnotesfortablesfiguresboxes"/>
      </w:pPr>
      <w:r w:rsidRPr="00E04463">
        <w:t xml:space="preserve">Source: </w:t>
      </w:r>
      <w:r w:rsidR="00E04463" w:rsidRPr="00E04463">
        <w:t>Tribunal (2023</w:t>
      </w:r>
      <w:r w:rsidR="00E77FEB">
        <w:t>b</w:t>
      </w:r>
      <w:r w:rsidR="00E04463" w:rsidRPr="00E04463">
        <w:t>).</w:t>
      </w:r>
    </w:p>
    <w:p w14:paraId="302DC64E" w14:textId="77777777" w:rsidR="00BF7D4E" w:rsidRPr="00BF7D4E" w:rsidRDefault="00BF7D4E" w:rsidP="001B4994">
      <w:pPr>
        <w:pStyle w:val="05Paragraph"/>
      </w:pPr>
      <w:r w:rsidRPr="00BF7D4E">
        <w:t>Figure 3.2 illustrates the current values of the remuneration bands for the SES and public service body Heads.</w:t>
      </w:r>
    </w:p>
    <w:p w14:paraId="671D66A4" w14:textId="77777777" w:rsidR="00BF7D4E" w:rsidRPr="00BF7D4E" w:rsidRDefault="00BF7D4E" w:rsidP="00BF7D4E">
      <w:pPr>
        <w:spacing w:before="0" w:after="0" w:line="240" w:lineRule="auto"/>
        <w:jc w:val="left"/>
        <w:rPr>
          <w:rFonts w:eastAsia="Calibri" w:cs="Times New Roman"/>
          <w:color w:val="4D4D4D"/>
          <w:sz w:val="18"/>
          <w:szCs w:val="20"/>
        </w:rPr>
      </w:pPr>
    </w:p>
    <w:p w14:paraId="6DF78647" w14:textId="77777777" w:rsidR="00BF7D4E" w:rsidRPr="00BF7D4E" w:rsidRDefault="00BF7D4E" w:rsidP="00BF7D4E">
      <w:pPr>
        <w:spacing w:before="0" w:after="0" w:line="240" w:lineRule="auto"/>
        <w:jc w:val="left"/>
        <w:rPr>
          <w:rFonts w:ascii="Calibri" w:eastAsia="Calibri" w:hAnsi="Calibri" w:cs="Times New Roman"/>
          <w:color w:val="auto"/>
          <w:sz w:val="22"/>
        </w:rPr>
        <w:sectPr w:rsidR="00BF7D4E" w:rsidRPr="00BF7D4E" w:rsidSect="0045464D">
          <w:pgSz w:w="11906" w:h="16838"/>
          <w:pgMar w:top="1701" w:right="1701" w:bottom="1559" w:left="1701" w:header="708" w:footer="708" w:gutter="0"/>
          <w:cols w:space="708"/>
          <w:titlePg/>
          <w:docGrid w:linePitch="360"/>
        </w:sectPr>
      </w:pPr>
    </w:p>
    <w:p w14:paraId="4BE756CA" w14:textId="77777777" w:rsidR="00BF7D4E" w:rsidRPr="00BF7D4E" w:rsidRDefault="00BF7D4E" w:rsidP="00144BE8">
      <w:pPr>
        <w:pStyle w:val="08Figuretableboxheading"/>
      </w:pPr>
      <w:bookmarkStart w:id="85" w:name="_Toc170393541"/>
      <w:r w:rsidRPr="00BF7D4E">
        <w:lastRenderedPageBreak/>
        <w:t>Figure 3.2: Values of the VPS executive remuneration bands from 1 July 2023</w:t>
      </w:r>
      <w:bookmarkEnd w:id="85"/>
    </w:p>
    <w:p w14:paraId="04F96D1C" w14:textId="42EED0F6" w:rsidR="00BF7D4E" w:rsidRPr="00BF7D4E" w:rsidRDefault="00BF7D4E" w:rsidP="00BF7D4E">
      <w:pPr>
        <w:spacing w:before="0" w:after="160" w:line="259" w:lineRule="auto"/>
        <w:jc w:val="left"/>
        <w:rPr>
          <w:rFonts w:ascii="Calibri" w:eastAsia="Calibri" w:hAnsi="Calibri" w:cs="Times New Roman"/>
          <w:color w:val="auto"/>
          <w:sz w:val="22"/>
        </w:rPr>
        <w:sectPr w:rsidR="00BF7D4E" w:rsidRPr="00BF7D4E" w:rsidSect="00BF7D4E">
          <w:pgSz w:w="16838" w:h="11906" w:orient="landscape"/>
          <w:pgMar w:top="1701" w:right="1701" w:bottom="1701" w:left="1559" w:header="708" w:footer="708" w:gutter="0"/>
          <w:cols w:space="708"/>
          <w:titlePg/>
          <w:docGrid w:linePitch="360"/>
        </w:sectPr>
      </w:pPr>
      <w:r w:rsidRPr="00BF7D4E">
        <w:rPr>
          <w:rFonts w:ascii="Calibri" w:eastAsia="Calibri" w:hAnsi="Calibri" w:cs="Times New Roman"/>
          <w:noProof/>
          <w:color w:val="auto"/>
          <w:sz w:val="22"/>
        </w:rPr>
        <mc:AlternateContent>
          <mc:Choice Requires="wps">
            <w:drawing>
              <wp:anchor distT="45720" distB="45720" distL="114300" distR="114300" simplePos="0" relativeHeight="251658244" behindDoc="0" locked="0" layoutInCell="1" allowOverlap="1" wp14:anchorId="5F38946A" wp14:editId="2B8C9834">
                <wp:simplePos x="0" y="0"/>
                <wp:positionH relativeFrom="column">
                  <wp:posOffset>4728447</wp:posOffset>
                </wp:positionH>
                <wp:positionV relativeFrom="paragraph">
                  <wp:posOffset>2102532</wp:posOffset>
                </wp:positionV>
                <wp:extent cx="552288" cy="566382"/>
                <wp:effectExtent l="0" t="0" r="19685" b="2476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288" cy="566382"/>
                        </a:xfrm>
                        <a:prstGeom prst="rect">
                          <a:avLst/>
                        </a:prstGeom>
                        <a:noFill/>
                        <a:ln w="19050">
                          <a:solidFill>
                            <a:sysClr val="windowText" lastClr="000000"/>
                          </a:solidFill>
                          <a:miter lim="800000"/>
                          <a:headEnd/>
                          <a:tailEnd/>
                        </a:ln>
                      </wps:spPr>
                      <wps:txbx>
                        <w:txbxContent>
                          <w:p w14:paraId="20402A3E" w14:textId="77777777" w:rsidR="00BF7D4E" w:rsidRPr="00FA1CD2" w:rsidRDefault="00BF7D4E" w:rsidP="00E17AA9">
                            <w:pPr>
                              <w:spacing w:before="0"/>
                              <w:jc w:val="center"/>
                              <w:rPr>
                                <w:b/>
                                <w:bCs/>
                              </w:rPr>
                            </w:pPr>
                            <w:r w:rsidRPr="00FA1CD2">
                              <w:rPr>
                                <w:b/>
                                <w:bCs/>
                              </w:rPr>
                              <w:t>8%</w:t>
                            </w:r>
                            <w:r w:rsidRPr="00FA1CD2">
                              <w:rPr>
                                <w:b/>
                                <w:bCs/>
                              </w:rPr>
                              <w:br/>
                              <w:t>gap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8946A" id="Text Box 21" o:spid="_x0000_s1032" type="#_x0000_t202" style="position:absolute;margin-left:372.3pt;margin-top:165.55pt;width:43.5pt;height:44.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" filled="f" strokecolor="windowText" strokeweight="1.5pt">
                <v:textbox>
                  <w:txbxContent>
                    <w:p w14:paraId="20402A3E" w14:textId="77777777" w:rsidR="00BF7D4E" w:rsidRPr="00FA1CD2" w:rsidRDefault="00BF7D4E" w:rsidP="00E17AA9">
                      <w:pPr>
                        <w:spacing w:before="0"/>
                        <w:jc w:val="center"/>
                        <w:rPr>
                          <w:b/>
                          <w:bCs/>
                        </w:rPr>
                      </w:pPr>
                      <w:r w:rsidRPr="00FA1CD2">
                        <w:rPr>
                          <w:b/>
                          <w:bCs/>
                        </w:rPr>
                        <w:t>8%</w:t>
                      </w:r>
                      <w:r w:rsidRPr="00FA1CD2">
                        <w:rPr>
                          <w:b/>
                          <w:bCs/>
                        </w:rPr>
                        <w:br/>
                        <w:t>gap</w:t>
                      </w:r>
                    </w:p>
                  </w:txbxContent>
                </v:textbox>
              </v:shape>
            </w:pict>
          </mc:Fallback>
        </mc:AlternateContent>
      </w:r>
      <w:r w:rsidRPr="00BF7D4E">
        <w:rPr>
          <w:rFonts w:ascii="Calibri" w:eastAsia="Calibri" w:hAnsi="Calibri" w:cs="Times New Roman"/>
          <w:noProof/>
          <w:color w:val="auto"/>
          <w:sz w:val="22"/>
        </w:rPr>
        <mc:AlternateContent>
          <mc:Choice Requires="wps">
            <w:drawing>
              <wp:anchor distT="45720" distB="45720" distL="114300" distR="114300" simplePos="0" relativeHeight="251658243" behindDoc="0" locked="0" layoutInCell="1" allowOverlap="1" wp14:anchorId="2D03096E" wp14:editId="688D7AF4">
                <wp:simplePos x="0" y="0"/>
                <wp:positionH relativeFrom="column">
                  <wp:posOffset>5485765</wp:posOffset>
                </wp:positionH>
                <wp:positionV relativeFrom="paragraph">
                  <wp:posOffset>1713230</wp:posOffset>
                </wp:positionV>
                <wp:extent cx="2343150" cy="1139825"/>
                <wp:effectExtent l="0" t="0" r="0" b="31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139825"/>
                        </a:xfrm>
                        <a:prstGeom prst="rect">
                          <a:avLst/>
                        </a:prstGeom>
                        <a:noFill/>
                        <a:ln w="9525">
                          <a:noFill/>
                          <a:miter lim="800000"/>
                          <a:headEnd/>
                          <a:tailEnd/>
                        </a:ln>
                      </wps:spPr>
                      <wps:txbx>
                        <w:txbxContent>
                          <w:p w14:paraId="58A1531B" w14:textId="77777777" w:rsidR="00BF7D4E" w:rsidRPr="00BF7D4E" w:rsidRDefault="00BF7D4E" w:rsidP="00BF7D4E">
                            <w:pPr>
                              <w:spacing w:after="0"/>
                              <w:jc w:val="center"/>
                              <w:rPr>
                                <w:color w:val="FFFFFF"/>
                                <w:sz w:val="20"/>
                                <w:szCs w:val="20"/>
                              </w:rPr>
                            </w:pPr>
                            <w:r w:rsidRPr="00BF7D4E">
                              <w:rPr>
                                <w:color w:val="FFFFFF"/>
                              </w:rPr>
                              <w:t xml:space="preserve">Department Secretary or </w:t>
                            </w:r>
                            <w:r w:rsidRPr="00BF7D4E">
                              <w:rPr>
                                <w:color w:val="FFFFFF"/>
                              </w:rPr>
                              <w:br/>
                              <w:t>Victorian Public Sector Commissioner</w:t>
                            </w:r>
                            <w:r w:rsidRPr="00BF7D4E">
                              <w:rPr>
                                <w:color w:val="FFFFFF"/>
                              </w:rPr>
                              <w:br/>
                            </w:r>
                          </w:p>
                          <w:p w14:paraId="3FFE27B2" w14:textId="77777777" w:rsidR="00BF7D4E" w:rsidRPr="00BF7D4E" w:rsidRDefault="00BF7D4E" w:rsidP="00BF7D4E">
                            <w:pPr>
                              <w:jc w:val="center"/>
                              <w:rPr>
                                <w:color w:val="FFFFFF"/>
                              </w:rPr>
                            </w:pPr>
                            <w:r w:rsidRPr="00BF7D4E">
                              <w:rPr>
                                <w:color w:val="FFFFFF"/>
                                <w:sz w:val="20"/>
                                <w:szCs w:val="20"/>
                              </w:rPr>
                              <w:t xml:space="preserve">$577,716 </w:t>
                            </w:r>
                            <w:r w:rsidRPr="00BF7D4E">
                              <w:rPr>
                                <w:color w:val="FFFFFF"/>
                                <w:sz w:val="20"/>
                                <w:szCs w:val="20"/>
                              </w:rPr>
                              <w:br/>
                              <w:t xml:space="preserve">to </w:t>
                            </w:r>
                            <w:r w:rsidRPr="00BF7D4E">
                              <w:rPr>
                                <w:color w:val="FFFFFF"/>
                                <w:sz w:val="20"/>
                                <w:szCs w:val="20"/>
                              </w:rPr>
                              <w:br/>
                              <w:t>$778,492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3096E" id="Text Box 26" o:spid="_x0000_s1033" type="#_x0000_t202" style="position:absolute;margin-left:431.95pt;margin-top:134.9pt;width:184.5pt;height:89.7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" filled="f" stroked="f">
                <v:textbox>
                  <w:txbxContent>
                    <w:p w14:paraId="58A1531B" w14:textId="77777777" w:rsidR="00BF7D4E" w:rsidRPr="00BF7D4E" w:rsidRDefault="00BF7D4E" w:rsidP="00BF7D4E">
                      <w:pPr>
                        <w:spacing w:after="0"/>
                        <w:jc w:val="center"/>
                        <w:rPr>
                          <w:color w:val="FFFFFF"/>
                          <w:sz w:val="20"/>
                          <w:szCs w:val="20"/>
                        </w:rPr>
                      </w:pPr>
                      <w:r w:rsidRPr="00BF7D4E">
                        <w:rPr>
                          <w:color w:val="FFFFFF"/>
                        </w:rPr>
                        <w:t xml:space="preserve">Department Secretary or </w:t>
                      </w:r>
                      <w:r w:rsidRPr="00BF7D4E">
                        <w:rPr>
                          <w:color w:val="FFFFFF"/>
                        </w:rPr>
                        <w:br/>
                        <w:t>Victorian Public Sector Commissioner</w:t>
                      </w:r>
                      <w:r w:rsidRPr="00BF7D4E">
                        <w:rPr>
                          <w:color w:val="FFFFFF"/>
                        </w:rPr>
                        <w:br/>
                      </w:r>
                    </w:p>
                    <w:p w14:paraId="3FFE27B2" w14:textId="77777777" w:rsidR="00BF7D4E" w:rsidRPr="00BF7D4E" w:rsidRDefault="00BF7D4E" w:rsidP="00BF7D4E">
                      <w:pPr>
                        <w:jc w:val="center"/>
                        <w:rPr>
                          <w:color w:val="FFFFFF"/>
                        </w:rPr>
                      </w:pPr>
                      <w:r w:rsidRPr="00BF7D4E">
                        <w:rPr>
                          <w:color w:val="FFFFFF"/>
                          <w:sz w:val="20"/>
                          <w:szCs w:val="20"/>
                        </w:rPr>
                        <w:t xml:space="preserve">$577,716 </w:t>
                      </w:r>
                      <w:r w:rsidRPr="00BF7D4E">
                        <w:rPr>
                          <w:color w:val="FFFFFF"/>
                          <w:sz w:val="20"/>
                          <w:szCs w:val="20"/>
                        </w:rPr>
                        <w:br/>
                        <w:t xml:space="preserve">to </w:t>
                      </w:r>
                      <w:r w:rsidRPr="00BF7D4E">
                        <w:rPr>
                          <w:color w:val="FFFFFF"/>
                          <w:sz w:val="20"/>
                          <w:szCs w:val="20"/>
                        </w:rPr>
                        <w:br/>
                        <w:t>$778,492</w:t>
                      </w:r>
                    </w:p>
                  </w:txbxContent>
                </v:textbox>
              </v:shape>
            </w:pict>
          </mc:Fallback>
        </mc:AlternateContent>
      </w:r>
      <w:r w:rsidRPr="00BF7D4E">
        <w:rPr>
          <w:rFonts w:ascii="Calibri" w:eastAsia="Calibri" w:hAnsi="Calibri" w:cs="Times New Roman"/>
          <w:noProof/>
          <w:color w:val="auto"/>
          <w:sz w:val="22"/>
        </w:rPr>
        <mc:AlternateContent>
          <mc:Choice Requires="wps">
            <w:drawing>
              <wp:anchor distT="45720" distB="45720" distL="114300" distR="114300" simplePos="0" relativeHeight="251658242" behindDoc="0" locked="0" layoutInCell="1" allowOverlap="1" wp14:anchorId="16B2D31C" wp14:editId="6559A54C">
                <wp:simplePos x="0" y="0"/>
                <wp:positionH relativeFrom="column">
                  <wp:posOffset>457835</wp:posOffset>
                </wp:positionH>
                <wp:positionV relativeFrom="paragraph">
                  <wp:posOffset>1743710</wp:posOffset>
                </wp:positionV>
                <wp:extent cx="4324350" cy="108585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1085850"/>
                        </a:xfrm>
                        <a:prstGeom prst="rect">
                          <a:avLst/>
                        </a:prstGeom>
                        <a:noFill/>
                        <a:ln w="9525">
                          <a:noFill/>
                          <a:miter lim="800000"/>
                          <a:headEnd/>
                          <a:tailEnd/>
                        </a:ln>
                      </wps:spPr>
                      <wps:txbx>
                        <w:txbxContent>
                          <w:tbl>
                            <w:tblPr>
                              <w:tblStyle w:val="TableGrid"/>
                              <w:tblW w:w="66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1"/>
                              <w:gridCol w:w="2551"/>
                              <w:gridCol w:w="2721"/>
                            </w:tblGrid>
                            <w:tr w:rsidR="00BF7D4E" w14:paraId="35D09024" w14:textId="77777777">
                              <w:tc>
                                <w:tcPr>
                                  <w:tcW w:w="1361" w:type="dxa"/>
                                </w:tcPr>
                                <w:p w14:paraId="1445BF4B" w14:textId="77777777" w:rsidR="00BF7D4E" w:rsidRPr="00BF7D4E" w:rsidRDefault="00BF7D4E">
                                  <w:pPr>
                                    <w:ind w:right="-114"/>
                                    <w:jc w:val="center"/>
                                    <w:rPr>
                                      <w:color w:val="FFFFFF"/>
                                    </w:rPr>
                                  </w:pPr>
                                  <w:r w:rsidRPr="00BF7D4E">
                                    <w:rPr>
                                      <w:color w:val="FFFFFF"/>
                                    </w:rPr>
                                    <w:t xml:space="preserve">SES-1 or </w:t>
                                  </w:r>
                                  <w:r w:rsidRPr="00BF7D4E">
                                    <w:rPr>
                                      <w:color w:val="FFFFFF"/>
                                    </w:rPr>
                                    <w:br/>
                                    <w:t>AO Head-1</w:t>
                                  </w:r>
                                </w:p>
                                <w:p w14:paraId="52C85BBD" w14:textId="77777777" w:rsidR="00BF7D4E" w:rsidRPr="00BF7D4E" w:rsidRDefault="00BF7D4E">
                                  <w:pPr>
                                    <w:ind w:right="-114"/>
                                    <w:jc w:val="center"/>
                                    <w:rPr>
                                      <w:color w:val="FFFFFF"/>
                                    </w:rPr>
                                  </w:pPr>
                                </w:p>
                                <w:p w14:paraId="6B74440A" w14:textId="77777777" w:rsidR="00BF7D4E" w:rsidRPr="00BF7D4E" w:rsidRDefault="00BF7D4E">
                                  <w:pPr>
                                    <w:ind w:right="-114"/>
                                    <w:jc w:val="center"/>
                                    <w:rPr>
                                      <w:color w:val="FFFFFF"/>
                                    </w:rPr>
                                  </w:pPr>
                                  <w:r w:rsidRPr="00BF7D4E">
                                    <w:rPr>
                                      <w:color w:val="FFFFFF"/>
                                      <w:sz w:val="20"/>
                                      <w:szCs w:val="20"/>
                                    </w:rPr>
                                    <w:t xml:space="preserve">$216,376 </w:t>
                                  </w:r>
                                  <w:r w:rsidRPr="00BF7D4E">
                                    <w:rPr>
                                      <w:color w:val="FFFFFF"/>
                                      <w:sz w:val="20"/>
                                      <w:szCs w:val="20"/>
                                    </w:rPr>
                                    <w:br/>
                                    <w:t xml:space="preserve">to </w:t>
                                  </w:r>
                                  <w:r w:rsidRPr="00BF7D4E">
                                    <w:rPr>
                                      <w:color w:val="FFFFFF"/>
                                      <w:sz w:val="20"/>
                                      <w:szCs w:val="20"/>
                                    </w:rPr>
                                    <w:br/>
                                    <w:t>$279,238</w:t>
                                  </w:r>
                                </w:p>
                              </w:tc>
                              <w:tc>
                                <w:tcPr>
                                  <w:tcW w:w="2551" w:type="dxa"/>
                                </w:tcPr>
                                <w:p w14:paraId="6663206D" w14:textId="77777777" w:rsidR="00BF7D4E" w:rsidRPr="00BF7D4E" w:rsidRDefault="00BF7D4E">
                                  <w:pPr>
                                    <w:jc w:val="center"/>
                                    <w:rPr>
                                      <w:color w:val="FFFFFF"/>
                                    </w:rPr>
                                  </w:pPr>
                                  <w:r w:rsidRPr="00BF7D4E">
                                    <w:rPr>
                                      <w:color w:val="FFFFFF"/>
                                    </w:rPr>
                                    <w:t xml:space="preserve">SES-2 or </w:t>
                                  </w:r>
                                  <w:r w:rsidRPr="00BF7D4E">
                                    <w:rPr>
                                      <w:color w:val="FFFFFF"/>
                                    </w:rPr>
                                    <w:br/>
                                    <w:t>AO Head-2</w:t>
                                  </w:r>
                                </w:p>
                                <w:p w14:paraId="03DFEBEA" w14:textId="77777777" w:rsidR="00BF7D4E" w:rsidRPr="00BF7D4E" w:rsidRDefault="00BF7D4E">
                                  <w:pPr>
                                    <w:jc w:val="center"/>
                                    <w:rPr>
                                      <w:color w:val="FFFFFF"/>
                                    </w:rPr>
                                  </w:pPr>
                                </w:p>
                                <w:p w14:paraId="406A1C37" w14:textId="77777777" w:rsidR="00BF7D4E" w:rsidRPr="00BF7D4E" w:rsidRDefault="00BF7D4E">
                                  <w:pPr>
                                    <w:jc w:val="center"/>
                                    <w:rPr>
                                      <w:color w:val="FFFFFF"/>
                                    </w:rPr>
                                  </w:pPr>
                                  <w:r w:rsidRPr="00BF7D4E">
                                    <w:rPr>
                                      <w:color w:val="FFFFFF"/>
                                      <w:sz w:val="20"/>
                                      <w:szCs w:val="20"/>
                                    </w:rPr>
                                    <w:t xml:space="preserve">$279,239 </w:t>
                                  </w:r>
                                  <w:r w:rsidRPr="00BF7D4E">
                                    <w:rPr>
                                      <w:color w:val="FFFFFF"/>
                                      <w:sz w:val="20"/>
                                      <w:szCs w:val="20"/>
                                    </w:rPr>
                                    <w:br/>
                                    <w:t xml:space="preserve">to </w:t>
                                  </w:r>
                                  <w:r w:rsidRPr="00BF7D4E">
                                    <w:rPr>
                                      <w:color w:val="FFFFFF"/>
                                      <w:sz w:val="20"/>
                                      <w:szCs w:val="20"/>
                                    </w:rPr>
                                    <w:br/>
                                    <w:t>$401,017</w:t>
                                  </w:r>
                                </w:p>
                              </w:tc>
                              <w:tc>
                                <w:tcPr>
                                  <w:tcW w:w="2721" w:type="dxa"/>
                                </w:tcPr>
                                <w:p w14:paraId="41C94A43" w14:textId="77777777" w:rsidR="00BF7D4E" w:rsidRPr="00BF7D4E" w:rsidRDefault="00BF7D4E">
                                  <w:pPr>
                                    <w:jc w:val="center"/>
                                    <w:rPr>
                                      <w:color w:val="FFFFFF"/>
                                    </w:rPr>
                                  </w:pPr>
                                  <w:r w:rsidRPr="00BF7D4E">
                                    <w:rPr>
                                      <w:color w:val="FFFFFF"/>
                                    </w:rPr>
                                    <w:t xml:space="preserve">SES-3 or </w:t>
                                  </w:r>
                                  <w:r w:rsidRPr="00BF7D4E">
                                    <w:rPr>
                                      <w:color w:val="FFFFFF"/>
                                    </w:rPr>
                                    <w:br/>
                                    <w:t>AO Head-3</w:t>
                                  </w:r>
                                </w:p>
                                <w:p w14:paraId="6232D5D6" w14:textId="77777777" w:rsidR="00BF7D4E" w:rsidRPr="00BF7D4E" w:rsidRDefault="00BF7D4E">
                                  <w:pPr>
                                    <w:jc w:val="center"/>
                                    <w:rPr>
                                      <w:color w:val="FFFFFF"/>
                                    </w:rPr>
                                  </w:pPr>
                                </w:p>
                                <w:p w14:paraId="5342695A" w14:textId="77777777" w:rsidR="00BF7D4E" w:rsidRPr="00BF7D4E" w:rsidRDefault="00BF7D4E">
                                  <w:pPr>
                                    <w:jc w:val="center"/>
                                    <w:rPr>
                                      <w:color w:val="FFFFFF"/>
                                    </w:rPr>
                                  </w:pPr>
                                  <w:r w:rsidRPr="00BF7D4E">
                                    <w:rPr>
                                      <w:color w:val="FFFFFF"/>
                                      <w:sz w:val="20"/>
                                      <w:szCs w:val="20"/>
                                    </w:rPr>
                                    <w:t xml:space="preserve">$401,018 </w:t>
                                  </w:r>
                                  <w:r w:rsidRPr="00BF7D4E">
                                    <w:rPr>
                                      <w:color w:val="FFFFFF"/>
                                      <w:sz w:val="20"/>
                                      <w:szCs w:val="20"/>
                                    </w:rPr>
                                    <w:br/>
                                    <w:t xml:space="preserve">to </w:t>
                                  </w:r>
                                  <w:r w:rsidRPr="00BF7D4E">
                                    <w:rPr>
                                      <w:color w:val="FFFFFF"/>
                                      <w:sz w:val="20"/>
                                      <w:szCs w:val="20"/>
                                    </w:rPr>
                                    <w:br/>
                                    <w:t>$533,431</w:t>
                                  </w:r>
                                </w:p>
                              </w:tc>
                            </w:tr>
                          </w:tbl>
                          <w:p w14:paraId="1D3684E1" w14:textId="77777777" w:rsidR="00BF7D4E" w:rsidRDefault="00BF7D4E" w:rsidP="00BF7D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2D31C" id="Text Box 22" o:spid="_x0000_s1034" type="#_x0000_t202" style="position:absolute;margin-left:36.05pt;margin-top:137.3pt;width:340.5pt;height:85.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" filled="f" stroked="f">
                <v:textbox>
                  <w:txbxContent>
                    <w:tbl>
                      <w:tblPr>
                        <w:tblStyle w:val="TableGrid"/>
                        <w:tblW w:w="66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1"/>
                        <w:gridCol w:w="2551"/>
                        <w:gridCol w:w="2721"/>
                      </w:tblGrid>
                      <w:tr w:rsidR="00BF7D4E" w14:paraId="35D09024" w14:textId="77777777">
                        <w:tc>
                          <w:tcPr>
                            <w:tcW w:w="1361" w:type="dxa"/>
                          </w:tcPr>
                          <w:p w14:paraId="1445BF4B" w14:textId="77777777" w:rsidR="00BF7D4E" w:rsidRPr="00BF7D4E" w:rsidRDefault="00BF7D4E">
                            <w:pPr>
                              <w:ind w:right="-114"/>
                              <w:jc w:val="center"/>
                              <w:rPr>
                                <w:color w:val="FFFFFF"/>
                              </w:rPr>
                            </w:pPr>
                            <w:r w:rsidRPr="00BF7D4E">
                              <w:rPr>
                                <w:color w:val="FFFFFF"/>
                              </w:rPr>
                              <w:t xml:space="preserve">SES-1 or </w:t>
                            </w:r>
                            <w:r w:rsidRPr="00BF7D4E">
                              <w:rPr>
                                <w:color w:val="FFFFFF"/>
                              </w:rPr>
                              <w:br/>
                              <w:t>AO Head-1</w:t>
                            </w:r>
                          </w:p>
                          <w:p w14:paraId="52C85BBD" w14:textId="77777777" w:rsidR="00BF7D4E" w:rsidRPr="00BF7D4E" w:rsidRDefault="00BF7D4E">
                            <w:pPr>
                              <w:ind w:right="-114"/>
                              <w:jc w:val="center"/>
                              <w:rPr>
                                <w:color w:val="FFFFFF"/>
                              </w:rPr>
                            </w:pPr>
                          </w:p>
                          <w:p w14:paraId="6B74440A" w14:textId="77777777" w:rsidR="00BF7D4E" w:rsidRPr="00BF7D4E" w:rsidRDefault="00BF7D4E">
                            <w:pPr>
                              <w:ind w:right="-114"/>
                              <w:jc w:val="center"/>
                              <w:rPr>
                                <w:color w:val="FFFFFF"/>
                              </w:rPr>
                            </w:pPr>
                            <w:r w:rsidRPr="00BF7D4E">
                              <w:rPr>
                                <w:color w:val="FFFFFF"/>
                                <w:sz w:val="20"/>
                                <w:szCs w:val="20"/>
                              </w:rPr>
                              <w:t xml:space="preserve">$216,376 </w:t>
                            </w:r>
                            <w:r w:rsidRPr="00BF7D4E">
                              <w:rPr>
                                <w:color w:val="FFFFFF"/>
                                <w:sz w:val="20"/>
                                <w:szCs w:val="20"/>
                              </w:rPr>
                              <w:br/>
                              <w:t xml:space="preserve">to </w:t>
                            </w:r>
                            <w:r w:rsidRPr="00BF7D4E">
                              <w:rPr>
                                <w:color w:val="FFFFFF"/>
                                <w:sz w:val="20"/>
                                <w:szCs w:val="20"/>
                              </w:rPr>
                              <w:br/>
                              <w:t>$279,238</w:t>
                            </w:r>
                          </w:p>
                        </w:tc>
                        <w:tc>
                          <w:tcPr>
                            <w:tcW w:w="2551" w:type="dxa"/>
                          </w:tcPr>
                          <w:p w14:paraId="6663206D" w14:textId="77777777" w:rsidR="00BF7D4E" w:rsidRPr="00BF7D4E" w:rsidRDefault="00BF7D4E">
                            <w:pPr>
                              <w:jc w:val="center"/>
                              <w:rPr>
                                <w:color w:val="FFFFFF"/>
                              </w:rPr>
                            </w:pPr>
                            <w:r w:rsidRPr="00BF7D4E">
                              <w:rPr>
                                <w:color w:val="FFFFFF"/>
                              </w:rPr>
                              <w:t xml:space="preserve">SES-2 or </w:t>
                            </w:r>
                            <w:r w:rsidRPr="00BF7D4E">
                              <w:rPr>
                                <w:color w:val="FFFFFF"/>
                              </w:rPr>
                              <w:br/>
                              <w:t>AO Head-2</w:t>
                            </w:r>
                          </w:p>
                          <w:p w14:paraId="03DFEBEA" w14:textId="77777777" w:rsidR="00BF7D4E" w:rsidRPr="00BF7D4E" w:rsidRDefault="00BF7D4E">
                            <w:pPr>
                              <w:jc w:val="center"/>
                              <w:rPr>
                                <w:color w:val="FFFFFF"/>
                              </w:rPr>
                            </w:pPr>
                          </w:p>
                          <w:p w14:paraId="406A1C37" w14:textId="77777777" w:rsidR="00BF7D4E" w:rsidRPr="00BF7D4E" w:rsidRDefault="00BF7D4E">
                            <w:pPr>
                              <w:jc w:val="center"/>
                              <w:rPr>
                                <w:color w:val="FFFFFF"/>
                              </w:rPr>
                            </w:pPr>
                            <w:r w:rsidRPr="00BF7D4E">
                              <w:rPr>
                                <w:color w:val="FFFFFF"/>
                                <w:sz w:val="20"/>
                                <w:szCs w:val="20"/>
                              </w:rPr>
                              <w:t xml:space="preserve">$279,239 </w:t>
                            </w:r>
                            <w:r w:rsidRPr="00BF7D4E">
                              <w:rPr>
                                <w:color w:val="FFFFFF"/>
                                <w:sz w:val="20"/>
                                <w:szCs w:val="20"/>
                              </w:rPr>
                              <w:br/>
                              <w:t xml:space="preserve">to </w:t>
                            </w:r>
                            <w:r w:rsidRPr="00BF7D4E">
                              <w:rPr>
                                <w:color w:val="FFFFFF"/>
                                <w:sz w:val="20"/>
                                <w:szCs w:val="20"/>
                              </w:rPr>
                              <w:br/>
                              <w:t>$401,017</w:t>
                            </w:r>
                          </w:p>
                        </w:tc>
                        <w:tc>
                          <w:tcPr>
                            <w:tcW w:w="2721" w:type="dxa"/>
                          </w:tcPr>
                          <w:p w14:paraId="41C94A43" w14:textId="77777777" w:rsidR="00BF7D4E" w:rsidRPr="00BF7D4E" w:rsidRDefault="00BF7D4E">
                            <w:pPr>
                              <w:jc w:val="center"/>
                              <w:rPr>
                                <w:color w:val="FFFFFF"/>
                              </w:rPr>
                            </w:pPr>
                            <w:r w:rsidRPr="00BF7D4E">
                              <w:rPr>
                                <w:color w:val="FFFFFF"/>
                              </w:rPr>
                              <w:t xml:space="preserve">SES-3 or </w:t>
                            </w:r>
                            <w:r w:rsidRPr="00BF7D4E">
                              <w:rPr>
                                <w:color w:val="FFFFFF"/>
                              </w:rPr>
                              <w:br/>
                              <w:t>AO Head-3</w:t>
                            </w:r>
                          </w:p>
                          <w:p w14:paraId="6232D5D6" w14:textId="77777777" w:rsidR="00BF7D4E" w:rsidRPr="00BF7D4E" w:rsidRDefault="00BF7D4E">
                            <w:pPr>
                              <w:jc w:val="center"/>
                              <w:rPr>
                                <w:color w:val="FFFFFF"/>
                              </w:rPr>
                            </w:pPr>
                          </w:p>
                          <w:p w14:paraId="5342695A" w14:textId="77777777" w:rsidR="00BF7D4E" w:rsidRPr="00BF7D4E" w:rsidRDefault="00BF7D4E">
                            <w:pPr>
                              <w:jc w:val="center"/>
                              <w:rPr>
                                <w:color w:val="FFFFFF"/>
                              </w:rPr>
                            </w:pPr>
                            <w:r w:rsidRPr="00BF7D4E">
                              <w:rPr>
                                <w:color w:val="FFFFFF"/>
                                <w:sz w:val="20"/>
                                <w:szCs w:val="20"/>
                              </w:rPr>
                              <w:t xml:space="preserve">$401,018 </w:t>
                            </w:r>
                            <w:r w:rsidRPr="00BF7D4E">
                              <w:rPr>
                                <w:color w:val="FFFFFF"/>
                                <w:sz w:val="20"/>
                                <w:szCs w:val="20"/>
                              </w:rPr>
                              <w:br/>
                              <w:t xml:space="preserve">to </w:t>
                            </w:r>
                            <w:r w:rsidRPr="00BF7D4E">
                              <w:rPr>
                                <w:color w:val="FFFFFF"/>
                                <w:sz w:val="20"/>
                                <w:szCs w:val="20"/>
                              </w:rPr>
                              <w:br/>
                              <w:t>$533,431</w:t>
                            </w:r>
                          </w:p>
                        </w:tc>
                      </w:tr>
                    </w:tbl>
                    <w:p w14:paraId="1D3684E1" w14:textId="77777777" w:rsidR="00BF7D4E" w:rsidRDefault="00BF7D4E" w:rsidP="00BF7D4E"/>
                  </w:txbxContent>
                </v:textbox>
              </v:shape>
            </w:pict>
          </mc:Fallback>
        </mc:AlternateContent>
      </w:r>
      <w:r w:rsidRPr="00BF7D4E">
        <w:rPr>
          <w:rFonts w:ascii="Calibri" w:eastAsia="Calibri" w:hAnsi="Calibri" w:cs="Times New Roman"/>
          <w:noProof/>
          <w:color w:val="auto"/>
          <w:sz w:val="22"/>
        </w:rPr>
        <w:drawing>
          <wp:inline distT="0" distB="0" distL="0" distR="0" wp14:anchorId="3B27436E" wp14:editId="51E006A3">
            <wp:extent cx="8569842" cy="4837814"/>
            <wp:effectExtent l="0" t="0" r="3175" b="1270"/>
            <wp:docPr id="1478333891" name="Chart 14783338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3D39CC">
        <w:rPr>
          <w:rStyle w:val="09SourcesandnotesfortablesfiguresboxesChar"/>
        </w:rPr>
        <w:t xml:space="preserve">Source: </w:t>
      </w:r>
      <w:r w:rsidR="003D39CC" w:rsidRPr="003D39CC">
        <w:rPr>
          <w:rStyle w:val="09SourcesandnotesfortablesfiguresboxesChar"/>
        </w:rPr>
        <w:t xml:space="preserve">Tribunal </w:t>
      </w:r>
      <w:r w:rsidRPr="003D39CC">
        <w:rPr>
          <w:rStyle w:val="09SourcesandnotesfortablesfiguresboxesChar"/>
        </w:rPr>
        <w:t>(2023</w:t>
      </w:r>
      <w:r w:rsidR="002B350D">
        <w:rPr>
          <w:rStyle w:val="09SourcesandnotesfortablesfiguresboxesChar"/>
        </w:rPr>
        <w:t>b</w:t>
      </w:r>
      <w:r w:rsidRPr="003D39CC">
        <w:rPr>
          <w:rStyle w:val="09SourcesandnotesfortablesfiguresboxesChar"/>
        </w:rPr>
        <w:t>)</w:t>
      </w:r>
      <w:r w:rsidR="003D39CC" w:rsidRPr="00CF0E06">
        <w:rPr>
          <w:rStyle w:val="09SourcesandnotesfortablesfiguresboxesChar"/>
        </w:rPr>
        <w:t>.</w:t>
      </w:r>
    </w:p>
    <w:p w14:paraId="6FDB89F6" w14:textId="02C758CC" w:rsidR="00BF7D4E" w:rsidRPr="00BF7D4E" w:rsidRDefault="00620D51" w:rsidP="00620D51">
      <w:pPr>
        <w:pStyle w:val="02VIRTHeading2"/>
      </w:pPr>
      <w:bookmarkStart w:id="86" w:name="_Toc170396223"/>
      <w:r>
        <w:lastRenderedPageBreak/>
        <w:t>3.5</w:t>
      </w:r>
      <w:r>
        <w:tab/>
      </w:r>
      <w:r w:rsidR="00BF7D4E" w:rsidRPr="00BF7D4E">
        <w:t>Employers set the remuneration of individual executives</w:t>
      </w:r>
      <w:bookmarkEnd w:id="86"/>
    </w:p>
    <w:p w14:paraId="54488473" w14:textId="77777777" w:rsidR="00BF7D4E" w:rsidRPr="00BF7D4E" w:rsidRDefault="00BF7D4E" w:rsidP="002B350D">
      <w:pPr>
        <w:pStyle w:val="05Paragraph"/>
      </w:pPr>
      <w:r w:rsidRPr="00BF7D4E">
        <w:t>The PAA provides that an executive’s remuneration must fall within the relevant remuneration band set by the Tribunal, unless an employer seeks and considers the Tribunal’s advice on a proposal to pay an executive above the top of the relevant band.</w:t>
      </w:r>
      <w:r w:rsidRPr="00BF7D4E">
        <w:rPr>
          <w:vertAlign w:val="superscript"/>
        </w:rPr>
        <w:footnoteReference w:id="104"/>
      </w:r>
    </w:p>
    <w:p w14:paraId="7D0E00C5" w14:textId="77777777" w:rsidR="00BF7D4E" w:rsidRPr="00BF7D4E" w:rsidRDefault="00BF7D4E" w:rsidP="002B350D">
      <w:pPr>
        <w:pStyle w:val="05Paragraph"/>
      </w:pPr>
      <w:r w:rsidRPr="00BF7D4E">
        <w:t>The Tribunal has issued guidelines with respect to the placement of public service body Heads and other executives within the remuneration bands.</w:t>
      </w:r>
      <w:r w:rsidRPr="00BF7D4E">
        <w:rPr>
          <w:vertAlign w:val="superscript"/>
        </w:rPr>
        <w:footnoteReference w:id="105"/>
      </w:r>
      <w:r w:rsidRPr="00BF7D4E">
        <w:t xml:space="preserve"> Prior to this Determination, the Tribunal’s guidelines referred to several factors which employers should consider:</w:t>
      </w:r>
      <w:r w:rsidRPr="00BF7D4E">
        <w:rPr>
          <w:vertAlign w:val="superscript"/>
        </w:rPr>
        <w:footnoteReference w:id="106"/>
      </w:r>
    </w:p>
    <w:p w14:paraId="1D409355" w14:textId="77777777" w:rsidR="00BF7D4E" w:rsidRPr="00BF7D4E" w:rsidRDefault="00BF7D4E" w:rsidP="00A742E1">
      <w:pPr>
        <w:pStyle w:val="06VIRTBulletpoints"/>
      </w:pPr>
      <w:r w:rsidRPr="00BF7D4E">
        <w:t>the work value score for the role</w:t>
      </w:r>
    </w:p>
    <w:p w14:paraId="5160F0D4" w14:textId="77777777" w:rsidR="00BF7D4E" w:rsidRPr="00BF7D4E" w:rsidRDefault="00BF7D4E" w:rsidP="00A742E1">
      <w:pPr>
        <w:pStyle w:val="06VIRTBulletpoints"/>
      </w:pPr>
      <w:r w:rsidRPr="00BF7D4E">
        <w:t>the experience, knowledge and capability of the individual</w:t>
      </w:r>
    </w:p>
    <w:p w14:paraId="0F03E3C3" w14:textId="77777777" w:rsidR="00BF7D4E" w:rsidRPr="00BF7D4E" w:rsidRDefault="00BF7D4E" w:rsidP="00A742E1">
      <w:pPr>
        <w:pStyle w:val="06VIRTBulletpoints"/>
      </w:pPr>
      <w:r w:rsidRPr="00BF7D4E">
        <w:t>the remuneration relativities of other executives within the organisation</w:t>
      </w:r>
    </w:p>
    <w:p w14:paraId="23457527" w14:textId="77777777" w:rsidR="00BF7D4E" w:rsidRPr="00BF7D4E" w:rsidRDefault="00BF7D4E" w:rsidP="00A742E1">
      <w:pPr>
        <w:pStyle w:val="06VIRTBulletpoints"/>
      </w:pPr>
      <w:r w:rsidRPr="00BF7D4E">
        <w:t>the remuneration of the line manager (if within the same band)</w:t>
      </w:r>
    </w:p>
    <w:p w14:paraId="3AAC0D52" w14:textId="77777777" w:rsidR="00BF7D4E" w:rsidRPr="00BF7D4E" w:rsidRDefault="00BF7D4E" w:rsidP="00A742E1">
      <w:pPr>
        <w:pStyle w:val="06VIRTBulletpoints"/>
      </w:pPr>
      <w:r w:rsidRPr="00BF7D4E">
        <w:t>the current remuneration of the individual</w:t>
      </w:r>
    </w:p>
    <w:p w14:paraId="7587C672" w14:textId="77777777" w:rsidR="00BF7D4E" w:rsidRPr="00BF7D4E" w:rsidRDefault="00BF7D4E" w:rsidP="00A742E1">
      <w:pPr>
        <w:pStyle w:val="06VIRTBulletpoints"/>
      </w:pPr>
      <w:r w:rsidRPr="00BF7D4E">
        <w:t>labour market pressures on the position.</w:t>
      </w:r>
    </w:p>
    <w:p w14:paraId="74D50470" w14:textId="77777777" w:rsidR="00BF7D4E" w:rsidRPr="00BF7D4E" w:rsidRDefault="00BF7D4E" w:rsidP="002B350D">
      <w:pPr>
        <w:pStyle w:val="05Paragraph"/>
      </w:pPr>
      <w:r w:rsidRPr="00BF7D4E">
        <w:t>Following consultation for this Determination, the guidelines have been revised. A summary of these revisions is provided in Chapter 8.</w:t>
      </w:r>
    </w:p>
    <w:p w14:paraId="2B1834CD" w14:textId="77777777" w:rsidR="00BF7D4E" w:rsidRPr="00BF7D4E" w:rsidRDefault="00BF7D4E" w:rsidP="002B350D">
      <w:pPr>
        <w:pStyle w:val="03VIRTHeading3"/>
      </w:pPr>
      <w:r w:rsidRPr="00BF7D4E">
        <w:t>There are opportunities to adjust individual executive TRPs</w:t>
      </w:r>
    </w:p>
    <w:p w14:paraId="5AAE568A" w14:textId="77777777" w:rsidR="00BF7D4E" w:rsidRPr="00BF7D4E" w:rsidRDefault="00BF7D4E" w:rsidP="002B350D">
      <w:pPr>
        <w:pStyle w:val="05Paragraph"/>
      </w:pPr>
      <w:r w:rsidRPr="00BF7D4E">
        <w:t>Unlike eligible VPS employees covered by the VPS EA, there is no formal process for executives who meet performance criteria to progress through the relevant remuneration band.</w:t>
      </w:r>
    </w:p>
    <w:p w14:paraId="6D3AE391" w14:textId="366F94F5" w:rsidR="00BF7D4E" w:rsidRPr="00BF7D4E" w:rsidRDefault="00BF7D4E" w:rsidP="00533667">
      <w:pPr>
        <w:pStyle w:val="05Paragraph"/>
        <w:keepNext/>
      </w:pPr>
      <w:r w:rsidRPr="00BF7D4E">
        <w:t xml:space="preserve">An executive’s remuneration may be adjusted annually by their employer up to a maximum rate set by the Premier. This is known as the </w:t>
      </w:r>
      <w:r>
        <w:t xml:space="preserve">‘Premier’s annual </w:t>
      </w:r>
      <w:r>
        <w:lastRenderedPageBreak/>
        <w:t xml:space="preserve">adjustment </w:t>
      </w:r>
      <w:r w:rsidRPr="00BF7D4E">
        <w:t>guideline rate’</w:t>
      </w:r>
      <w:r>
        <w:t xml:space="preserve"> (guideline rate)</w:t>
      </w:r>
      <w:r w:rsidRPr="00BF7D4E">
        <w:t>. Employers have discretion as to whether to pass on the guideline rate to executives who have been:</w:t>
      </w:r>
      <w:r w:rsidRPr="00BF7D4E">
        <w:rPr>
          <w:vertAlign w:val="superscript"/>
        </w:rPr>
        <w:footnoteReference w:id="107"/>
      </w:r>
    </w:p>
    <w:p w14:paraId="0739200D" w14:textId="77777777" w:rsidR="00BF7D4E" w:rsidRPr="00BF7D4E" w:rsidRDefault="00BF7D4E" w:rsidP="00AF77FD">
      <w:pPr>
        <w:pStyle w:val="06VIRTBulletpoints"/>
      </w:pPr>
      <w:r w:rsidRPr="00BF7D4E">
        <w:t>appointed within six months of the date the guideline rate takes effect</w:t>
      </w:r>
    </w:p>
    <w:p w14:paraId="358F3544" w14:textId="77777777" w:rsidR="00BF7D4E" w:rsidRPr="00BF7D4E" w:rsidRDefault="00BF7D4E" w:rsidP="00AF77FD">
      <w:pPr>
        <w:pStyle w:val="06VIRTBulletpoints"/>
      </w:pPr>
      <w:r w:rsidRPr="00BF7D4E">
        <w:t xml:space="preserve">recently granted a remuneration uplift. </w:t>
      </w:r>
    </w:p>
    <w:p w14:paraId="51FB416D" w14:textId="77777777" w:rsidR="00BF7D4E" w:rsidRPr="00BF7D4E" w:rsidRDefault="00BF7D4E" w:rsidP="002B350D">
      <w:pPr>
        <w:pStyle w:val="05Paragraph"/>
      </w:pPr>
      <w:r w:rsidRPr="00BF7D4E">
        <w:t>The standard executive contract provides for an annual review of an executive’s remuneration.</w:t>
      </w:r>
      <w:r w:rsidRPr="00BF7D4E">
        <w:rPr>
          <w:vertAlign w:val="superscript"/>
        </w:rPr>
        <w:footnoteReference w:id="108"/>
      </w:r>
      <w:r w:rsidRPr="00BF7D4E">
        <w:t xml:space="preserve"> An employer may also agree to undertake a remuneration review ‘at any time’ in recognition of changes in responsibility, accountability or for retention purposes.</w:t>
      </w:r>
      <w:r w:rsidRPr="00BF7D4E">
        <w:rPr>
          <w:vertAlign w:val="superscript"/>
        </w:rPr>
        <w:footnoteReference w:id="109"/>
      </w:r>
    </w:p>
    <w:p w14:paraId="2F09D6A1" w14:textId="77777777" w:rsidR="00BF7D4E" w:rsidRPr="00BF7D4E" w:rsidRDefault="00BF7D4E" w:rsidP="002B350D">
      <w:pPr>
        <w:pStyle w:val="03VIRTHeading3"/>
      </w:pPr>
      <w:r w:rsidRPr="00BF7D4E">
        <w:t xml:space="preserve">Executives may be paid above the relevant remuneration band </w:t>
      </w:r>
    </w:p>
    <w:p w14:paraId="277BA4C6" w14:textId="77777777" w:rsidR="00BF7D4E" w:rsidRPr="00BF7D4E" w:rsidRDefault="00BF7D4E" w:rsidP="002B350D">
      <w:pPr>
        <w:pStyle w:val="05Paragraph"/>
      </w:pPr>
      <w:r w:rsidRPr="00BF7D4E">
        <w:t>If an employer proposes to pay an executive above the maximum of the remuneration band, it must seek and consider the advice of the Tribunal.</w:t>
      </w:r>
      <w:r w:rsidRPr="00BF7D4E">
        <w:rPr>
          <w:vertAlign w:val="superscript"/>
        </w:rPr>
        <w:footnoteReference w:id="110"/>
      </w:r>
      <w:r w:rsidRPr="00BF7D4E">
        <w:t xml:space="preserve"> This includes mid-contract adjustments, reappointments, new appointments and temporary appointments. Employers are also required to request the Tribunal’s advice when passing on the guideline rate if this would result in an executive being paid (or continuing to be paid) above the relevant remuneration band.</w:t>
      </w:r>
    </w:p>
    <w:p w14:paraId="4D6D01F1" w14:textId="77777777" w:rsidR="00BF7D4E" w:rsidRPr="00BF7D4E" w:rsidRDefault="00BF7D4E" w:rsidP="002B350D">
      <w:pPr>
        <w:pStyle w:val="05Paragraph"/>
      </w:pPr>
      <w:r w:rsidRPr="00BF7D4E">
        <w:t>As of 30 June 2023, around 3 per cent of VPS executives were paid above the band, with most of these executives classified at the SES-2 band and employed in the transport infrastructure sector. Table 3.7 shows the number and proportion of executives paid above the relevant band for each classification.</w:t>
      </w:r>
    </w:p>
    <w:p w14:paraId="69F0555D" w14:textId="77777777" w:rsidR="00BF7D4E" w:rsidRPr="00BF7D4E" w:rsidRDefault="00BF7D4E" w:rsidP="00144BE8">
      <w:pPr>
        <w:pStyle w:val="08Figuretableboxheading"/>
      </w:pPr>
      <w:bookmarkStart w:id="87" w:name="_Toc170393542"/>
      <w:r w:rsidRPr="00BF7D4E">
        <w:t>Table 3.7: Number and proportion of VPS executives paid above the relevant remuneration band as of 30 June 2023</w:t>
      </w:r>
      <w:bookmarkEnd w:id="87"/>
    </w:p>
    <w:tbl>
      <w:tblPr>
        <w:tblStyle w:val="ListTable3-Accent23"/>
        <w:tblW w:w="8505" w:type="dxa"/>
        <w:tblBorders>
          <w:left w:val="none" w:sz="0" w:space="0" w:color="auto"/>
          <w:right w:val="none" w:sz="0" w:space="0" w:color="auto"/>
          <w:insideH w:val="single" w:sz="4" w:space="0" w:color="148A5D"/>
        </w:tblBorders>
        <w:tblLook w:val="04A0" w:firstRow="1" w:lastRow="0" w:firstColumn="1" w:lastColumn="0" w:noHBand="0" w:noVBand="1"/>
      </w:tblPr>
      <w:tblGrid>
        <w:gridCol w:w="3686"/>
        <w:gridCol w:w="2268"/>
        <w:gridCol w:w="2551"/>
      </w:tblGrid>
      <w:tr w:rsidR="00BF7D4E" w:rsidRPr="00BF7D4E" w14:paraId="44286036" w14:textId="77777777" w:rsidTr="002100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86" w:type="dxa"/>
          </w:tcPr>
          <w:p w14:paraId="4407B052" w14:textId="77777777" w:rsidR="00BF7D4E" w:rsidRPr="002B350D" w:rsidRDefault="00BF7D4E" w:rsidP="002B350D">
            <w:pPr>
              <w:pStyle w:val="10Tabletext"/>
              <w:rPr>
                <w:color w:val="FFFFFF" w:themeColor="background1"/>
              </w:rPr>
            </w:pPr>
            <w:r w:rsidRPr="002B350D">
              <w:rPr>
                <w:color w:val="FFFFFF" w:themeColor="background1"/>
              </w:rPr>
              <w:t>Classification</w:t>
            </w:r>
          </w:p>
        </w:tc>
        <w:tc>
          <w:tcPr>
            <w:tcW w:w="2268" w:type="dxa"/>
          </w:tcPr>
          <w:p w14:paraId="760403F7" w14:textId="77777777" w:rsidR="00BF7D4E" w:rsidRPr="002B350D" w:rsidRDefault="00BF7D4E" w:rsidP="002B350D">
            <w:pPr>
              <w:pStyle w:val="10Tabletext"/>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2B350D">
              <w:rPr>
                <w:color w:val="FFFFFF" w:themeColor="background1"/>
              </w:rPr>
              <w:t>Number of executives paid above the band</w:t>
            </w:r>
          </w:p>
        </w:tc>
        <w:tc>
          <w:tcPr>
            <w:tcW w:w="2551" w:type="dxa"/>
          </w:tcPr>
          <w:p w14:paraId="13191431" w14:textId="77777777" w:rsidR="00BF7D4E" w:rsidRPr="002B350D" w:rsidRDefault="00BF7D4E" w:rsidP="002B350D">
            <w:pPr>
              <w:pStyle w:val="10Tabletext"/>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2B350D">
              <w:rPr>
                <w:color w:val="FFFFFF" w:themeColor="background1"/>
              </w:rPr>
              <w:t>Proportion of executives paid above the band (%)</w:t>
            </w:r>
          </w:p>
        </w:tc>
      </w:tr>
      <w:tr w:rsidR="00BF7D4E" w:rsidRPr="00BF7D4E" w14:paraId="0B80BA36" w14:textId="77777777" w:rsidTr="00BF7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5BFFCB3C" w14:textId="77777777" w:rsidR="00BF7D4E" w:rsidRPr="00BF7D4E" w:rsidRDefault="00BF7D4E" w:rsidP="002B350D">
            <w:pPr>
              <w:pStyle w:val="10Tabletext"/>
              <w:rPr>
                <w:color w:val="4D4D4D"/>
              </w:rPr>
            </w:pPr>
            <w:r w:rsidRPr="00BF7D4E">
              <w:rPr>
                <w:color w:val="4D4D4D"/>
              </w:rPr>
              <w:t>SES-1</w:t>
            </w:r>
          </w:p>
        </w:tc>
        <w:tc>
          <w:tcPr>
            <w:tcW w:w="2268" w:type="dxa"/>
          </w:tcPr>
          <w:p w14:paraId="7F24B1E8" w14:textId="77777777" w:rsidR="00BF7D4E" w:rsidRPr="00BF7D4E" w:rsidRDefault="00BF7D4E" w:rsidP="002B350D">
            <w:pPr>
              <w:pStyle w:val="10Tabletext"/>
              <w:jc w:val="right"/>
              <w:cnfStyle w:val="000000100000" w:firstRow="0" w:lastRow="0" w:firstColumn="0" w:lastColumn="0" w:oddVBand="0" w:evenVBand="0" w:oddHBand="1" w:evenHBand="0" w:firstRowFirstColumn="0" w:firstRowLastColumn="0" w:lastRowFirstColumn="0" w:lastRowLastColumn="0"/>
              <w:rPr>
                <w:color w:val="4D4D4D"/>
              </w:rPr>
            </w:pPr>
            <w:r w:rsidRPr="00BF7D4E">
              <w:rPr>
                <w:color w:val="4D4D4D"/>
              </w:rPr>
              <w:t>7</w:t>
            </w:r>
          </w:p>
        </w:tc>
        <w:tc>
          <w:tcPr>
            <w:tcW w:w="2551" w:type="dxa"/>
          </w:tcPr>
          <w:p w14:paraId="3DCA0DD0" w14:textId="77777777" w:rsidR="00BF7D4E" w:rsidRPr="00BF7D4E" w:rsidRDefault="00BF7D4E" w:rsidP="002B350D">
            <w:pPr>
              <w:pStyle w:val="10Tabletext"/>
              <w:jc w:val="right"/>
              <w:cnfStyle w:val="000000100000" w:firstRow="0" w:lastRow="0" w:firstColumn="0" w:lastColumn="0" w:oddVBand="0" w:evenVBand="0" w:oddHBand="1" w:evenHBand="0" w:firstRowFirstColumn="0" w:firstRowLastColumn="0" w:lastRowFirstColumn="0" w:lastRowLastColumn="0"/>
              <w:rPr>
                <w:color w:val="4D4D4D"/>
              </w:rPr>
            </w:pPr>
            <w:r w:rsidRPr="00BF7D4E">
              <w:rPr>
                <w:color w:val="4D4D4D"/>
              </w:rPr>
              <w:t>0.8</w:t>
            </w:r>
          </w:p>
        </w:tc>
      </w:tr>
      <w:tr w:rsidR="00BF7D4E" w:rsidRPr="00BF7D4E" w14:paraId="063C1521" w14:textId="77777777" w:rsidTr="00BF7D4E">
        <w:tc>
          <w:tcPr>
            <w:cnfStyle w:val="001000000000" w:firstRow="0" w:lastRow="0" w:firstColumn="1" w:lastColumn="0" w:oddVBand="0" w:evenVBand="0" w:oddHBand="0" w:evenHBand="0" w:firstRowFirstColumn="0" w:firstRowLastColumn="0" w:lastRowFirstColumn="0" w:lastRowLastColumn="0"/>
            <w:tcW w:w="3686" w:type="dxa"/>
          </w:tcPr>
          <w:p w14:paraId="64744E55" w14:textId="77777777" w:rsidR="00BF7D4E" w:rsidRPr="00BF7D4E" w:rsidRDefault="00BF7D4E" w:rsidP="002B350D">
            <w:pPr>
              <w:pStyle w:val="10Tabletext"/>
              <w:rPr>
                <w:color w:val="4D4D4D"/>
              </w:rPr>
            </w:pPr>
            <w:r w:rsidRPr="00BF7D4E">
              <w:rPr>
                <w:color w:val="4D4D4D"/>
              </w:rPr>
              <w:t>AO Head-1</w:t>
            </w:r>
          </w:p>
        </w:tc>
        <w:tc>
          <w:tcPr>
            <w:tcW w:w="2268" w:type="dxa"/>
          </w:tcPr>
          <w:p w14:paraId="5CEDECDE" w14:textId="77777777" w:rsidR="00BF7D4E" w:rsidRPr="00BF7D4E" w:rsidRDefault="00BF7D4E" w:rsidP="002B350D">
            <w:pPr>
              <w:pStyle w:val="10Tabletext"/>
              <w:jc w:val="right"/>
              <w:cnfStyle w:val="000000000000" w:firstRow="0" w:lastRow="0" w:firstColumn="0" w:lastColumn="0" w:oddVBand="0" w:evenVBand="0" w:oddHBand="0" w:evenHBand="0" w:firstRowFirstColumn="0" w:firstRowLastColumn="0" w:lastRowFirstColumn="0" w:lastRowLastColumn="0"/>
              <w:rPr>
                <w:color w:val="4D4D4D"/>
              </w:rPr>
            </w:pPr>
            <w:r w:rsidRPr="00BF7D4E">
              <w:rPr>
                <w:color w:val="4D4D4D"/>
              </w:rPr>
              <w:t>nil</w:t>
            </w:r>
          </w:p>
        </w:tc>
        <w:tc>
          <w:tcPr>
            <w:tcW w:w="2551" w:type="dxa"/>
          </w:tcPr>
          <w:p w14:paraId="2EA4E042" w14:textId="77777777" w:rsidR="00BF7D4E" w:rsidRPr="00BF7D4E" w:rsidRDefault="00BF7D4E" w:rsidP="002B350D">
            <w:pPr>
              <w:pStyle w:val="10Tabletext"/>
              <w:jc w:val="right"/>
              <w:cnfStyle w:val="000000000000" w:firstRow="0" w:lastRow="0" w:firstColumn="0" w:lastColumn="0" w:oddVBand="0" w:evenVBand="0" w:oddHBand="0" w:evenHBand="0" w:firstRowFirstColumn="0" w:firstRowLastColumn="0" w:lastRowFirstColumn="0" w:lastRowLastColumn="0"/>
              <w:rPr>
                <w:color w:val="4D4D4D"/>
              </w:rPr>
            </w:pPr>
            <w:r w:rsidRPr="00BF7D4E">
              <w:rPr>
                <w:color w:val="4D4D4D"/>
              </w:rPr>
              <w:t>nil</w:t>
            </w:r>
          </w:p>
        </w:tc>
      </w:tr>
      <w:tr w:rsidR="00BF7D4E" w:rsidRPr="00BF7D4E" w14:paraId="21262687" w14:textId="77777777" w:rsidTr="00BF7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4A033B99" w14:textId="77777777" w:rsidR="00BF7D4E" w:rsidRPr="00BF7D4E" w:rsidRDefault="00BF7D4E" w:rsidP="002B350D">
            <w:pPr>
              <w:pStyle w:val="10Tabletext"/>
              <w:rPr>
                <w:color w:val="4D4D4D"/>
              </w:rPr>
            </w:pPr>
            <w:r w:rsidRPr="00BF7D4E">
              <w:rPr>
                <w:color w:val="4D4D4D"/>
              </w:rPr>
              <w:t>SES-2</w:t>
            </w:r>
          </w:p>
        </w:tc>
        <w:tc>
          <w:tcPr>
            <w:tcW w:w="2268" w:type="dxa"/>
          </w:tcPr>
          <w:p w14:paraId="791247A7" w14:textId="77777777" w:rsidR="00BF7D4E" w:rsidRPr="00BF7D4E" w:rsidRDefault="00BF7D4E" w:rsidP="002B350D">
            <w:pPr>
              <w:pStyle w:val="10Tabletext"/>
              <w:jc w:val="right"/>
              <w:cnfStyle w:val="000000100000" w:firstRow="0" w:lastRow="0" w:firstColumn="0" w:lastColumn="0" w:oddVBand="0" w:evenVBand="0" w:oddHBand="1" w:evenHBand="0" w:firstRowFirstColumn="0" w:firstRowLastColumn="0" w:lastRowFirstColumn="0" w:lastRowLastColumn="0"/>
              <w:rPr>
                <w:color w:val="4D4D4D"/>
              </w:rPr>
            </w:pPr>
            <w:r w:rsidRPr="00BF7D4E">
              <w:rPr>
                <w:color w:val="4D4D4D"/>
              </w:rPr>
              <w:t>31</w:t>
            </w:r>
          </w:p>
        </w:tc>
        <w:tc>
          <w:tcPr>
            <w:tcW w:w="2551" w:type="dxa"/>
          </w:tcPr>
          <w:p w14:paraId="4D53C129" w14:textId="77777777" w:rsidR="00BF7D4E" w:rsidRPr="00BF7D4E" w:rsidRDefault="00BF7D4E" w:rsidP="002B350D">
            <w:pPr>
              <w:pStyle w:val="10Tabletext"/>
              <w:jc w:val="right"/>
              <w:cnfStyle w:val="000000100000" w:firstRow="0" w:lastRow="0" w:firstColumn="0" w:lastColumn="0" w:oddVBand="0" w:evenVBand="0" w:oddHBand="1" w:evenHBand="0" w:firstRowFirstColumn="0" w:firstRowLastColumn="0" w:lastRowFirstColumn="0" w:lastRowLastColumn="0"/>
              <w:rPr>
                <w:color w:val="4D4D4D"/>
              </w:rPr>
            </w:pPr>
            <w:r w:rsidRPr="00BF7D4E">
              <w:rPr>
                <w:color w:val="4D4D4D"/>
              </w:rPr>
              <w:t>4.9</w:t>
            </w:r>
          </w:p>
        </w:tc>
      </w:tr>
      <w:tr w:rsidR="00BF7D4E" w:rsidRPr="00BF7D4E" w14:paraId="3592BC52" w14:textId="77777777" w:rsidTr="00BF7D4E">
        <w:tc>
          <w:tcPr>
            <w:cnfStyle w:val="001000000000" w:firstRow="0" w:lastRow="0" w:firstColumn="1" w:lastColumn="0" w:oddVBand="0" w:evenVBand="0" w:oddHBand="0" w:evenHBand="0" w:firstRowFirstColumn="0" w:firstRowLastColumn="0" w:lastRowFirstColumn="0" w:lastRowLastColumn="0"/>
            <w:tcW w:w="3686" w:type="dxa"/>
          </w:tcPr>
          <w:p w14:paraId="4FA0BA58" w14:textId="77777777" w:rsidR="00BF7D4E" w:rsidRPr="00BF7D4E" w:rsidRDefault="00BF7D4E" w:rsidP="002B350D">
            <w:pPr>
              <w:pStyle w:val="10Tabletext"/>
              <w:rPr>
                <w:color w:val="4D4D4D"/>
              </w:rPr>
            </w:pPr>
            <w:r w:rsidRPr="00BF7D4E">
              <w:rPr>
                <w:color w:val="4D4D4D"/>
              </w:rPr>
              <w:t>AO Head-2</w:t>
            </w:r>
          </w:p>
        </w:tc>
        <w:tc>
          <w:tcPr>
            <w:tcW w:w="2268" w:type="dxa"/>
          </w:tcPr>
          <w:p w14:paraId="6419AFBD" w14:textId="77777777" w:rsidR="00BF7D4E" w:rsidRPr="00BF7D4E" w:rsidRDefault="00BF7D4E" w:rsidP="002B350D">
            <w:pPr>
              <w:pStyle w:val="10Tabletext"/>
              <w:jc w:val="right"/>
              <w:cnfStyle w:val="000000000000" w:firstRow="0" w:lastRow="0" w:firstColumn="0" w:lastColumn="0" w:oddVBand="0" w:evenVBand="0" w:oddHBand="0" w:evenHBand="0" w:firstRowFirstColumn="0" w:firstRowLastColumn="0" w:lastRowFirstColumn="0" w:lastRowLastColumn="0"/>
              <w:rPr>
                <w:color w:val="4D4D4D"/>
              </w:rPr>
            </w:pPr>
            <w:r w:rsidRPr="00BF7D4E">
              <w:rPr>
                <w:color w:val="4D4D4D"/>
              </w:rPr>
              <w:t>nil</w:t>
            </w:r>
          </w:p>
        </w:tc>
        <w:tc>
          <w:tcPr>
            <w:tcW w:w="2551" w:type="dxa"/>
          </w:tcPr>
          <w:p w14:paraId="4877C378" w14:textId="77777777" w:rsidR="00BF7D4E" w:rsidRPr="00BF7D4E" w:rsidRDefault="00BF7D4E" w:rsidP="002B350D">
            <w:pPr>
              <w:pStyle w:val="10Tabletext"/>
              <w:jc w:val="right"/>
              <w:cnfStyle w:val="000000000000" w:firstRow="0" w:lastRow="0" w:firstColumn="0" w:lastColumn="0" w:oddVBand="0" w:evenVBand="0" w:oddHBand="0" w:evenHBand="0" w:firstRowFirstColumn="0" w:firstRowLastColumn="0" w:lastRowFirstColumn="0" w:lastRowLastColumn="0"/>
              <w:rPr>
                <w:color w:val="4D4D4D"/>
              </w:rPr>
            </w:pPr>
            <w:r w:rsidRPr="00BF7D4E">
              <w:rPr>
                <w:color w:val="4D4D4D"/>
              </w:rPr>
              <w:t>nil</w:t>
            </w:r>
          </w:p>
        </w:tc>
      </w:tr>
      <w:tr w:rsidR="00BF7D4E" w:rsidRPr="00BF7D4E" w14:paraId="0B06188D" w14:textId="77777777" w:rsidTr="00BF7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594F5494" w14:textId="77777777" w:rsidR="00BF7D4E" w:rsidRPr="00BF7D4E" w:rsidRDefault="00BF7D4E" w:rsidP="002B350D">
            <w:pPr>
              <w:pStyle w:val="10Tabletext"/>
              <w:rPr>
                <w:color w:val="4D4D4D"/>
              </w:rPr>
            </w:pPr>
            <w:r w:rsidRPr="00BF7D4E">
              <w:rPr>
                <w:color w:val="4D4D4D"/>
              </w:rPr>
              <w:t>SES-3</w:t>
            </w:r>
          </w:p>
        </w:tc>
        <w:tc>
          <w:tcPr>
            <w:tcW w:w="2268" w:type="dxa"/>
          </w:tcPr>
          <w:p w14:paraId="536C93D9" w14:textId="77777777" w:rsidR="00BF7D4E" w:rsidRPr="00BF7D4E" w:rsidRDefault="00BF7D4E" w:rsidP="002B350D">
            <w:pPr>
              <w:pStyle w:val="10Tabletext"/>
              <w:jc w:val="right"/>
              <w:cnfStyle w:val="000000100000" w:firstRow="0" w:lastRow="0" w:firstColumn="0" w:lastColumn="0" w:oddVBand="0" w:evenVBand="0" w:oddHBand="1" w:evenHBand="0" w:firstRowFirstColumn="0" w:firstRowLastColumn="0" w:lastRowFirstColumn="0" w:lastRowLastColumn="0"/>
              <w:rPr>
                <w:color w:val="4D4D4D"/>
              </w:rPr>
            </w:pPr>
            <w:r w:rsidRPr="00BF7D4E">
              <w:rPr>
                <w:color w:val="4D4D4D"/>
              </w:rPr>
              <w:t>6</w:t>
            </w:r>
          </w:p>
        </w:tc>
        <w:tc>
          <w:tcPr>
            <w:tcW w:w="2551" w:type="dxa"/>
          </w:tcPr>
          <w:p w14:paraId="0770BCC2" w14:textId="77777777" w:rsidR="00BF7D4E" w:rsidRPr="00BF7D4E" w:rsidRDefault="00BF7D4E" w:rsidP="002B350D">
            <w:pPr>
              <w:pStyle w:val="10Tabletext"/>
              <w:jc w:val="right"/>
              <w:cnfStyle w:val="000000100000" w:firstRow="0" w:lastRow="0" w:firstColumn="0" w:lastColumn="0" w:oddVBand="0" w:evenVBand="0" w:oddHBand="1" w:evenHBand="0" w:firstRowFirstColumn="0" w:firstRowLastColumn="0" w:lastRowFirstColumn="0" w:lastRowLastColumn="0"/>
              <w:rPr>
                <w:color w:val="4D4D4D"/>
              </w:rPr>
            </w:pPr>
            <w:r w:rsidRPr="00BF7D4E">
              <w:rPr>
                <w:color w:val="4D4D4D"/>
              </w:rPr>
              <w:t>6.7</w:t>
            </w:r>
          </w:p>
        </w:tc>
      </w:tr>
      <w:tr w:rsidR="00BF7D4E" w:rsidRPr="00BF7D4E" w14:paraId="714C2B5F" w14:textId="77777777" w:rsidTr="00BF7D4E">
        <w:tc>
          <w:tcPr>
            <w:cnfStyle w:val="001000000000" w:firstRow="0" w:lastRow="0" w:firstColumn="1" w:lastColumn="0" w:oddVBand="0" w:evenVBand="0" w:oddHBand="0" w:evenHBand="0" w:firstRowFirstColumn="0" w:firstRowLastColumn="0" w:lastRowFirstColumn="0" w:lastRowLastColumn="0"/>
            <w:tcW w:w="3686" w:type="dxa"/>
          </w:tcPr>
          <w:p w14:paraId="03E883F0" w14:textId="77777777" w:rsidR="00BF7D4E" w:rsidRPr="00BF7D4E" w:rsidRDefault="00BF7D4E" w:rsidP="002B350D">
            <w:pPr>
              <w:pStyle w:val="10Tabletext"/>
              <w:rPr>
                <w:color w:val="4D4D4D"/>
              </w:rPr>
            </w:pPr>
            <w:r w:rsidRPr="00BF7D4E">
              <w:rPr>
                <w:color w:val="4D4D4D"/>
              </w:rPr>
              <w:t>AO Head-3</w:t>
            </w:r>
          </w:p>
        </w:tc>
        <w:tc>
          <w:tcPr>
            <w:tcW w:w="2268" w:type="dxa"/>
          </w:tcPr>
          <w:p w14:paraId="0A1A2FD5" w14:textId="77777777" w:rsidR="00BF7D4E" w:rsidRPr="00BF7D4E" w:rsidRDefault="00BF7D4E" w:rsidP="002B350D">
            <w:pPr>
              <w:pStyle w:val="10Tabletext"/>
              <w:jc w:val="right"/>
              <w:cnfStyle w:val="000000000000" w:firstRow="0" w:lastRow="0" w:firstColumn="0" w:lastColumn="0" w:oddVBand="0" w:evenVBand="0" w:oddHBand="0" w:evenHBand="0" w:firstRowFirstColumn="0" w:firstRowLastColumn="0" w:lastRowFirstColumn="0" w:lastRowLastColumn="0"/>
              <w:rPr>
                <w:color w:val="4D4D4D"/>
              </w:rPr>
            </w:pPr>
            <w:r w:rsidRPr="00BF7D4E">
              <w:rPr>
                <w:color w:val="4D4D4D"/>
              </w:rPr>
              <w:t>1</w:t>
            </w:r>
          </w:p>
        </w:tc>
        <w:tc>
          <w:tcPr>
            <w:tcW w:w="2551" w:type="dxa"/>
          </w:tcPr>
          <w:p w14:paraId="29A9C736" w14:textId="77777777" w:rsidR="00BF7D4E" w:rsidRPr="00BF7D4E" w:rsidRDefault="00BF7D4E" w:rsidP="002B350D">
            <w:pPr>
              <w:pStyle w:val="10Tabletext"/>
              <w:jc w:val="right"/>
              <w:cnfStyle w:val="000000000000" w:firstRow="0" w:lastRow="0" w:firstColumn="0" w:lastColumn="0" w:oddVBand="0" w:evenVBand="0" w:oddHBand="0" w:evenHBand="0" w:firstRowFirstColumn="0" w:firstRowLastColumn="0" w:lastRowFirstColumn="0" w:lastRowLastColumn="0"/>
              <w:rPr>
                <w:color w:val="4D4D4D"/>
              </w:rPr>
            </w:pPr>
            <w:r w:rsidRPr="00BF7D4E">
              <w:rPr>
                <w:color w:val="4D4D4D"/>
              </w:rPr>
              <w:t>14.3</w:t>
            </w:r>
          </w:p>
        </w:tc>
      </w:tr>
      <w:tr w:rsidR="00BF7D4E" w:rsidRPr="00BF7D4E" w14:paraId="0251C0DF" w14:textId="77777777" w:rsidTr="00BF7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1228C3AA" w14:textId="77777777" w:rsidR="00BF7D4E" w:rsidRPr="00BF7D4E" w:rsidRDefault="00BF7D4E" w:rsidP="002B350D">
            <w:pPr>
              <w:pStyle w:val="10Tabletext"/>
              <w:rPr>
                <w:color w:val="4D4D4D"/>
              </w:rPr>
            </w:pPr>
            <w:r w:rsidRPr="00BF7D4E">
              <w:rPr>
                <w:color w:val="4D4D4D"/>
              </w:rPr>
              <w:t xml:space="preserve">Department Secretary or </w:t>
            </w:r>
            <w:r w:rsidRPr="00BF7D4E">
              <w:rPr>
                <w:color w:val="4D4D4D"/>
              </w:rPr>
              <w:br/>
              <w:t>Victorian Public Sector Commissioner</w:t>
            </w:r>
          </w:p>
        </w:tc>
        <w:tc>
          <w:tcPr>
            <w:tcW w:w="2268" w:type="dxa"/>
          </w:tcPr>
          <w:p w14:paraId="40E716D1" w14:textId="77777777" w:rsidR="00BF7D4E" w:rsidRPr="00BF7D4E" w:rsidRDefault="00BF7D4E" w:rsidP="002B350D">
            <w:pPr>
              <w:pStyle w:val="10Tabletext"/>
              <w:jc w:val="right"/>
              <w:cnfStyle w:val="000000100000" w:firstRow="0" w:lastRow="0" w:firstColumn="0" w:lastColumn="0" w:oddVBand="0" w:evenVBand="0" w:oddHBand="1" w:evenHBand="0" w:firstRowFirstColumn="0" w:firstRowLastColumn="0" w:lastRowFirstColumn="0" w:lastRowLastColumn="0"/>
              <w:rPr>
                <w:color w:val="4D4D4D"/>
              </w:rPr>
            </w:pPr>
            <w:r w:rsidRPr="00BF7D4E">
              <w:rPr>
                <w:color w:val="4D4D4D"/>
              </w:rPr>
              <w:t>nil</w:t>
            </w:r>
          </w:p>
        </w:tc>
        <w:tc>
          <w:tcPr>
            <w:tcW w:w="2551" w:type="dxa"/>
          </w:tcPr>
          <w:p w14:paraId="7C632364" w14:textId="77777777" w:rsidR="00BF7D4E" w:rsidRPr="00BF7D4E" w:rsidRDefault="00BF7D4E" w:rsidP="002B350D">
            <w:pPr>
              <w:pStyle w:val="10Tabletext"/>
              <w:jc w:val="right"/>
              <w:cnfStyle w:val="000000100000" w:firstRow="0" w:lastRow="0" w:firstColumn="0" w:lastColumn="0" w:oddVBand="0" w:evenVBand="0" w:oddHBand="1" w:evenHBand="0" w:firstRowFirstColumn="0" w:firstRowLastColumn="0" w:lastRowFirstColumn="0" w:lastRowLastColumn="0"/>
              <w:rPr>
                <w:color w:val="4D4D4D"/>
              </w:rPr>
            </w:pPr>
            <w:r w:rsidRPr="00BF7D4E">
              <w:rPr>
                <w:color w:val="4D4D4D"/>
              </w:rPr>
              <w:t>nil</w:t>
            </w:r>
          </w:p>
        </w:tc>
      </w:tr>
    </w:tbl>
    <w:p w14:paraId="1560E323" w14:textId="432DFF72" w:rsidR="00BF7D4E" w:rsidRPr="00BF7D4E" w:rsidRDefault="00BF7D4E" w:rsidP="004D1ABE">
      <w:pPr>
        <w:pStyle w:val="09Sourcesandnotesfortablesfiguresboxes"/>
      </w:pPr>
      <w:r w:rsidRPr="00BF7D4E">
        <w:t xml:space="preserve">Source: </w:t>
      </w:r>
      <w:r w:rsidR="003218B0" w:rsidRPr="003218B0">
        <w:t>Tribunal analysis of VPSC</w:t>
      </w:r>
      <w:r w:rsidR="00DD4E51">
        <w:t xml:space="preserve"> data</w:t>
      </w:r>
      <w:r w:rsidR="003218B0" w:rsidRPr="003218B0">
        <w:t>.</w:t>
      </w:r>
    </w:p>
    <w:p w14:paraId="40F66B11" w14:textId="77777777" w:rsidR="00BF7D4E" w:rsidRPr="00BF7D4E" w:rsidRDefault="00BF7D4E" w:rsidP="004D1ABE">
      <w:pPr>
        <w:pStyle w:val="05Paragraph"/>
      </w:pPr>
      <w:r w:rsidRPr="00BF7D4E">
        <w:lastRenderedPageBreak/>
        <w:t>Since the payment above the band process was established in 2020, the Tribunal’s advice has most often been sought for VPS executive roles in the major transport infrastructure portfolio. These types of roles accounted for 75 per cent of the requests received over the past four years (Figure 3.3).</w:t>
      </w:r>
    </w:p>
    <w:p w14:paraId="4876423E" w14:textId="095A55E8" w:rsidR="00BF7D4E" w:rsidRDefault="00BF7D4E" w:rsidP="00144BE8">
      <w:pPr>
        <w:pStyle w:val="08Figuretableboxheading"/>
      </w:pPr>
      <w:bookmarkStart w:id="88" w:name="_Toc170393543"/>
      <w:r w:rsidRPr="00BF7D4E">
        <w:t>Figure 3.3: Requests for Tribunal advice, VPS executives, 2020</w:t>
      </w:r>
      <w:r w:rsidR="00130343">
        <w:t>-</w:t>
      </w:r>
      <w:r w:rsidRPr="00BF7D4E">
        <w:t>21 to 2023</w:t>
      </w:r>
      <w:r w:rsidR="00130343">
        <w:t>-</w:t>
      </w:r>
      <w:r w:rsidRPr="00BF7D4E">
        <w:t>24*</w:t>
      </w:r>
      <w:bookmarkEnd w:id="88"/>
    </w:p>
    <w:p w14:paraId="4D5B1FE0" w14:textId="000E9D83" w:rsidR="00BA1D83" w:rsidRPr="00BF7D4E" w:rsidRDefault="00BA1D83" w:rsidP="00144BE8">
      <w:pPr>
        <w:pStyle w:val="08Figuretableboxheading"/>
      </w:pPr>
      <w:r>
        <w:rPr>
          <w:noProof/>
        </w:rPr>
        <w:drawing>
          <wp:inline distT="0" distB="0" distL="0" distR="0" wp14:anchorId="1C3379B3" wp14:editId="500C39B4">
            <wp:extent cx="5414010" cy="2542540"/>
            <wp:effectExtent l="0" t="0" r="0" b="0"/>
            <wp:docPr id="18486095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14010" cy="2542540"/>
                    </a:xfrm>
                    <a:prstGeom prst="rect">
                      <a:avLst/>
                    </a:prstGeom>
                    <a:noFill/>
                  </pic:spPr>
                </pic:pic>
              </a:graphicData>
            </a:graphic>
          </wp:inline>
        </w:drawing>
      </w:r>
    </w:p>
    <w:p w14:paraId="2D736310" w14:textId="77777777" w:rsidR="00BF7D4E" w:rsidRPr="004D1ABE" w:rsidRDefault="00BF7D4E" w:rsidP="009C50F5">
      <w:pPr>
        <w:pStyle w:val="09Sourcesandnotesfortablesfiguresboxes"/>
      </w:pPr>
      <w:r w:rsidRPr="009C50F5">
        <w:t>*Financial year to 11 June 2024.</w:t>
      </w:r>
    </w:p>
    <w:p w14:paraId="3EAC1D2D" w14:textId="4341A032" w:rsidR="00BF7D4E" w:rsidRPr="004D1ABE" w:rsidRDefault="00BF7D4E" w:rsidP="009C50F5">
      <w:pPr>
        <w:pStyle w:val="09Sourcesandnotesfortablesfiguresboxes"/>
      </w:pPr>
      <w:r w:rsidRPr="009C50F5">
        <w:t>Note</w:t>
      </w:r>
      <w:r w:rsidR="009C50F5">
        <w:t>s</w:t>
      </w:r>
      <w:r w:rsidRPr="009C50F5">
        <w:t xml:space="preserve">: Includes requests for advice for new </w:t>
      </w:r>
      <w:r w:rsidRPr="004D1ABE">
        <w:t>appointments, re-appointments and mid-contract adjustments</w:t>
      </w:r>
      <w:r w:rsidR="009C50F5">
        <w:t>. T</w:t>
      </w:r>
      <w:r w:rsidR="00CC2C34" w:rsidRPr="004D1ABE">
        <w:t xml:space="preserve">he Suburban Rail Loop Authority </w:t>
      </w:r>
      <w:r w:rsidRPr="004D1ABE">
        <w:t xml:space="preserve">became a public entity during December 2021 </w:t>
      </w:r>
      <w:r w:rsidR="0089209C" w:rsidRPr="004D1ABE">
        <w:t xml:space="preserve">and </w:t>
      </w:r>
      <w:r w:rsidR="009C50F5">
        <w:t xml:space="preserve">is </w:t>
      </w:r>
      <w:r w:rsidR="0089209C" w:rsidRPr="004D1ABE">
        <w:t xml:space="preserve">included in the data for </w:t>
      </w:r>
      <w:r w:rsidRPr="004D1ABE">
        <w:t>2020-21 and part of 2021-22.</w:t>
      </w:r>
    </w:p>
    <w:p w14:paraId="6BE8224F" w14:textId="0E7DF048" w:rsidR="00BF7D4E" w:rsidRPr="000A1EC1" w:rsidRDefault="00BF7D4E" w:rsidP="009C50F5">
      <w:pPr>
        <w:pStyle w:val="09Sourcesandnotesfortablesfiguresboxes"/>
      </w:pPr>
      <w:r w:rsidRPr="009C50F5">
        <w:t xml:space="preserve">Sources: </w:t>
      </w:r>
      <w:r w:rsidR="000A50E2">
        <w:t>Tribunal (2021)</w:t>
      </w:r>
      <w:r w:rsidR="004D1ABE">
        <w:t xml:space="preserve">; </w:t>
      </w:r>
      <w:r w:rsidR="00CF5004">
        <w:t>Tribunal (</w:t>
      </w:r>
      <w:r w:rsidRPr="004D1ABE">
        <w:t>2022</w:t>
      </w:r>
      <w:r w:rsidR="00CF5004">
        <w:t>)</w:t>
      </w:r>
      <w:r w:rsidRPr="004D1ABE">
        <w:t>;</w:t>
      </w:r>
      <w:r w:rsidR="004D1ABE" w:rsidRPr="004D1ABE" w:rsidDel="004D1ABE">
        <w:t xml:space="preserve"> </w:t>
      </w:r>
      <w:r w:rsidR="00CF5004">
        <w:t>Tribunal</w:t>
      </w:r>
      <w:r w:rsidR="000A1EC1">
        <w:t xml:space="preserve"> </w:t>
      </w:r>
      <w:r w:rsidR="00AD7622">
        <w:t>(</w:t>
      </w:r>
      <w:r w:rsidRPr="000A1EC1">
        <w:t>2023</w:t>
      </w:r>
      <w:r w:rsidR="00E77FEB">
        <w:t>a</w:t>
      </w:r>
      <w:r w:rsidR="00AD7622">
        <w:t>)</w:t>
      </w:r>
      <w:r w:rsidRPr="000A1EC1">
        <w:t xml:space="preserve">; </w:t>
      </w:r>
      <w:r w:rsidR="00AD7622">
        <w:t>Tribunal</w:t>
      </w:r>
      <w:r>
        <w:t xml:space="preserve"> </w:t>
      </w:r>
      <w:r w:rsidRPr="004525EE">
        <w:t>data.</w:t>
      </w:r>
    </w:p>
    <w:p w14:paraId="43791E2B" w14:textId="40C19D0D" w:rsidR="00BF7D4E" w:rsidRPr="00BF7D4E" w:rsidRDefault="005E2B43" w:rsidP="00103088">
      <w:pPr>
        <w:pStyle w:val="02VIRTHeading2"/>
      </w:pPr>
      <w:bookmarkStart w:id="89" w:name="_Toc170396224"/>
      <w:r>
        <w:t>3.6</w:t>
      </w:r>
      <w:r>
        <w:tab/>
      </w:r>
      <w:r w:rsidR="00BF7D4E" w:rsidRPr="00BF7D4E">
        <w:t>Summary</w:t>
      </w:r>
      <w:bookmarkEnd w:id="89"/>
    </w:p>
    <w:p w14:paraId="18874000" w14:textId="4EEB0FE4" w:rsidR="00BF7D4E" w:rsidRPr="00BF7D4E" w:rsidRDefault="00BF7D4E" w:rsidP="00BF7D4E">
      <w:pPr>
        <w:spacing w:after="0"/>
        <w:rPr>
          <w:rFonts w:eastAsia="Calibri" w:cs="Calibri Light"/>
          <w:color w:val="000000"/>
          <w:szCs w:val="26"/>
        </w:rPr>
      </w:pPr>
      <w:r w:rsidRPr="00BF7D4E">
        <w:rPr>
          <w:rFonts w:eastAsia="Calibri" w:cs="Calibri Light"/>
          <w:color w:val="000000"/>
          <w:szCs w:val="26"/>
        </w:rPr>
        <w:t xml:space="preserve">Executive employment policy is governed by the PAA, the </w:t>
      </w:r>
      <w:r w:rsidR="00B43081">
        <w:rPr>
          <w:rFonts w:eastAsia="Calibri" w:cs="Calibri Light"/>
          <w:color w:val="000000"/>
          <w:szCs w:val="26"/>
        </w:rPr>
        <w:t>VPS</w:t>
      </w:r>
      <w:r w:rsidRPr="00BF7D4E">
        <w:rPr>
          <w:rFonts w:eastAsia="Calibri" w:cs="Calibri Light"/>
          <w:color w:val="000000"/>
          <w:szCs w:val="26"/>
        </w:rPr>
        <w:t xml:space="preserve"> Handbook, the standard executive employment contract and the executive classification framework.</w:t>
      </w:r>
    </w:p>
    <w:p w14:paraId="17AEF474" w14:textId="00C7C327" w:rsidR="00BF7D4E" w:rsidRPr="00BF7D4E" w:rsidRDefault="00BF7D4E" w:rsidP="00BF7D4E">
      <w:pPr>
        <w:spacing w:after="0"/>
        <w:rPr>
          <w:rFonts w:eastAsia="Calibri" w:cs="Calibri Light"/>
          <w:color w:val="000000"/>
          <w:szCs w:val="26"/>
        </w:rPr>
      </w:pPr>
      <w:r w:rsidRPr="00BF7D4E">
        <w:rPr>
          <w:rFonts w:eastAsia="Calibri" w:cs="Calibri Light"/>
          <w:color w:val="000000"/>
          <w:szCs w:val="26"/>
        </w:rPr>
        <w:t xml:space="preserve">The Tribunal is responsible for determining the values of the remuneration bands for executives. The remuneration band structure for the SES consists of three distinct and contiguous bands aligned to the VPS Executive Classification Framework. The Tribunal has also established an additional classification and remuneration band for Secretaries and the </w:t>
      </w:r>
      <w:r w:rsidR="00391B9F" w:rsidRPr="00391B9F">
        <w:rPr>
          <w:rFonts w:eastAsia="Calibri" w:cs="Calibri Light"/>
          <w:color w:val="000000"/>
          <w:szCs w:val="26"/>
        </w:rPr>
        <w:t xml:space="preserve">Victorian Public Sector </w:t>
      </w:r>
      <w:r w:rsidRPr="00BF7D4E">
        <w:rPr>
          <w:rFonts w:eastAsia="Calibri" w:cs="Calibri Light"/>
          <w:color w:val="000000"/>
          <w:szCs w:val="26"/>
        </w:rPr>
        <w:t>Commissioner above the SES bands, as well as three additional bands for AO Heads.</w:t>
      </w:r>
    </w:p>
    <w:p w14:paraId="2DE4BF50" w14:textId="77777777" w:rsidR="00BF7D4E" w:rsidRPr="00BF7D4E" w:rsidRDefault="00BF7D4E" w:rsidP="00BF7D4E">
      <w:pPr>
        <w:spacing w:after="0"/>
        <w:rPr>
          <w:rFonts w:eastAsia="Calibri" w:cs="Calibri Light"/>
          <w:color w:val="000000"/>
          <w:szCs w:val="26"/>
        </w:rPr>
      </w:pPr>
      <w:r w:rsidRPr="00BF7D4E">
        <w:rPr>
          <w:rFonts w:eastAsia="Calibri" w:cs="Calibri Light"/>
          <w:color w:val="000000"/>
          <w:szCs w:val="26"/>
        </w:rPr>
        <w:t>Employers retain the power to set an individual executive’s remuneration. There are opportunities to adjust an executive’s remuneration, including through the application of the guideline rate.</w:t>
      </w:r>
    </w:p>
    <w:p w14:paraId="244F45D1" w14:textId="410C7A54" w:rsidR="00BF7D4E" w:rsidRDefault="00BF7D4E">
      <w:pPr>
        <w:spacing w:before="0" w:after="80" w:line="240" w:lineRule="auto"/>
        <w:jc w:val="left"/>
        <w:rPr>
          <w:color w:val="auto"/>
        </w:rPr>
      </w:pPr>
      <w:r>
        <w:rPr>
          <w:color w:val="auto"/>
        </w:rPr>
        <w:br w:type="page"/>
      </w:r>
    </w:p>
    <w:p w14:paraId="421039B6" w14:textId="1E220B1A" w:rsidR="00CF4260" w:rsidRPr="00134CFE" w:rsidRDefault="000B5528" w:rsidP="006154BC">
      <w:pPr>
        <w:pStyle w:val="01Chapterheading"/>
      </w:pPr>
      <w:bookmarkStart w:id="90" w:name="_Toc169878476"/>
      <w:bookmarkStart w:id="91" w:name="_Toc170396225"/>
      <w:r w:rsidRPr="00EB174D">
        <w:lastRenderedPageBreak/>
        <w:t>4</w:t>
      </w:r>
      <w:r w:rsidR="00BB3FD7" w:rsidRPr="00EB174D">
        <w:tab/>
      </w:r>
      <w:r w:rsidRPr="00EB174D">
        <w:t>Labour market considerations</w:t>
      </w:r>
      <w:r w:rsidR="00CF4260">
        <w:br/>
      </w:r>
      <w:r w:rsidR="00CF4260" w:rsidRPr="00C02C39">
        <w:rPr>
          <w:noProof/>
        </w:rPr>
        <w:drawing>
          <wp:inline distT="0" distB="0" distL="0" distR="0" wp14:anchorId="0382D21D" wp14:editId="4CC35197">
            <wp:extent cx="2222500" cy="253365"/>
            <wp:effectExtent l="0" t="0" r="6350" b="0"/>
            <wp:docPr id="1199415049" name="Picture 1199415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23">
                      <a:extLst>
                        <a:ext uri="{28A0092B-C50C-407E-A947-70E740481C1C}">
                          <a14:useLocalDpi xmlns:a14="http://schemas.microsoft.com/office/drawing/2010/main" val="0"/>
                        </a:ext>
                      </a:extLst>
                    </a:blip>
                    <a:stretch>
                      <a:fillRect/>
                    </a:stretch>
                  </pic:blipFill>
                  <pic:spPr>
                    <a:xfrm>
                      <a:off x="0" y="0"/>
                      <a:ext cx="2222500" cy="253365"/>
                    </a:xfrm>
                    <a:prstGeom prst="rect">
                      <a:avLst/>
                    </a:prstGeom>
                  </pic:spPr>
                </pic:pic>
              </a:graphicData>
            </a:graphic>
          </wp:inline>
        </w:drawing>
      </w:r>
      <w:bookmarkEnd w:id="90"/>
      <w:bookmarkEnd w:id="91"/>
    </w:p>
    <w:p w14:paraId="4BA37EDD" w14:textId="206212BA" w:rsidR="000B5528" w:rsidRPr="000B5528" w:rsidRDefault="000B5528" w:rsidP="00866D40">
      <w:pPr>
        <w:pStyle w:val="05Paragraph"/>
        <w:rPr>
          <w:noProof/>
          <w:lang w:eastAsia="en-AU"/>
        </w:rPr>
      </w:pPr>
      <w:r w:rsidRPr="000B5528">
        <w:rPr>
          <w:noProof/>
          <w:lang w:eastAsia="en-AU"/>
        </w:rPr>
        <w:t>In making its Determination, the Tribunal sought to understand the key characteristics of the VPS executive labour market.</w:t>
      </w:r>
    </w:p>
    <w:p w14:paraId="5A46B488" w14:textId="77777777" w:rsidR="000B5528" w:rsidRPr="000B5528" w:rsidRDefault="000B5528" w:rsidP="00866D40">
      <w:pPr>
        <w:pStyle w:val="05Paragraph"/>
        <w:rPr>
          <w:noProof/>
          <w:lang w:eastAsia="en-AU"/>
        </w:rPr>
      </w:pPr>
      <w:r w:rsidRPr="000B5528">
        <w:rPr>
          <w:noProof/>
          <w:lang w:eastAsia="en-AU"/>
        </w:rPr>
        <w:t>Stated simply, labour markets match the supply of labour from employees with the demand for that labour from employers. In the VPS context, this means the supply of individuals with the necessary skills, experience and willingness to take on an executive role, and the demand for their services from VPS employers and market competitors.</w:t>
      </w:r>
    </w:p>
    <w:p w14:paraId="6588B3D9" w14:textId="77777777" w:rsidR="000B5528" w:rsidRPr="000B5528" w:rsidRDefault="000B5528" w:rsidP="00866D40">
      <w:pPr>
        <w:pStyle w:val="05Paragraph"/>
        <w:rPr>
          <w:noProof/>
          <w:lang w:eastAsia="en-AU"/>
        </w:rPr>
      </w:pPr>
      <w:r w:rsidRPr="000B5528">
        <w:rPr>
          <w:noProof/>
          <w:lang w:eastAsia="en-AU"/>
        </w:rPr>
        <w:t>This chapter examines:</w:t>
      </w:r>
    </w:p>
    <w:p w14:paraId="486881FE" w14:textId="77777777" w:rsidR="000B5528" w:rsidRPr="000B5528" w:rsidRDefault="000B5528" w:rsidP="00193394">
      <w:pPr>
        <w:pStyle w:val="06VIRTBulletpoints"/>
        <w:rPr>
          <w:noProof/>
          <w:lang w:eastAsia="en-AU"/>
        </w:rPr>
      </w:pPr>
      <w:r w:rsidRPr="000B5528">
        <w:rPr>
          <w:noProof/>
          <w:lang w:eastAsia="en-AU"/>
        </w:rPr>
        <w:t>demand and supply conditions in the broader labour market, where the VPS competes with other employers for executive talent</w:t>
      </w:r>
    </w:p>
    <w:p w14:paraId="6C4FD845" w14:textId="77777777" w:rsidR="000B5528" w:rsidRPr="000B5528" w:rsidRDefault="000B5528" w:rsidP="00193394">
      <w:pPr>
        <w:pStyle w:val="06VIRTBulletpoints"/>
        <w:rPr>
          <w:noProof/>
          <w:lang w:eastAsia="en-AU"/>
        </w:rPr>
      </w:pPr>
      <w:r w:rsidRPr="000B5528">
        <w:rPr>
          <w:noProof/>
          <w:lang w:eastAsia="en-AU"/>
        </w:rPr>
        <w:t>indicators of demand and supply in the market for VPS executives, including trends in executive numbers and available data on advertisements and applications for executive roles</w:t>
      </w:r>
    </w:p>
    <w:p w14:paraId="4E28B797" w14:textId="77777777" w:rsidR="000B5528" w:rsidRPr="000B5528" w:rsidRDefault="000B5528" w:rsidP="00193394">
      <w:pPr>
        <w:pStyle w:val="06VIRTBulletpoints"/>
        <w:rPr>
          <w:noProof/>
          <w:lang w:eastAsia="en-AU"/>
        </w:rPr>
      </w:pPr>
      <w:r w:rsidRPr="000B5528">
        <w:rPr>
          <w:noProof/>
          <w:lang w:eastAsia="en-AU"/>
        </w:rPr>
        <w:t>how the existing values of the remuneration bands influence the supply of executives</w:t>
      </w:r>
    </w:p>
    <w:p w14:paraId="0B1804AF" w14:textId="77777777" w:rsidR="000B5528" w:rsidRPr="000B5528" w:rsidRDefault="000B5528" w:rsidP="00193394">
      <w:pPr>
        <w:pStyle w:val="06VIRTBulletpoints"/>
        <w:rPr>
          <w:noProof/>
          <w:lang w:eastAsia="en-AU"/>
        </w:rPr>
      </w:pPr>
      <w:r w:rsidRPr="000B5528">
        <w:rPr>
          <w:noProof/>
          <w:lang w:eastAsia="en-AU"/>
        </w:rPr>
        <w:t>remuneration benchmarking and advice from Mercer Consulting (Australia) Pty Ltd (Mercer), which the Tribunal commissioned to inform the Determination.</w:t>
      </w:r>
    </w:p>
    <w:p w14:paraId="33786579" w14:textId="29D2F3A4" w:rsidR="000B5528" w:rsidRPr="000B5528" w:rsidRDefault="000B5528" w:rsidP="00866D40">
      <w:pPr>
        <w:pStyle w:val="05Paragraph"/>
      </w:pPr>
      <w:r w:rsidRPr="000B5528">
        <w:t xml:space="preserve">The various data, observations and analyses set out in this chapter, along with the jurisdictional comparisons in </w:t>
      </w:r>
      <w:r w:rsidR="002315B8">
        <w:t>C</w:t>
      </w:r>
      <w:r w:rsidRPr="000B5528">
        <w:t xml:space="preserve">hapter 5 and economic and financial analysis in </w:t>
      </w:r>
      <w:r w:rsidR="002315B8">
        <w:t>C</w:t>
      </w:r>
      <w:r w:rsidRPr="000B5528">
        <w:t xml:space="preserve">hapter 6, will be brought together in </w:t>
      </w:r>
      <w:r w:rsidR="002315B8">
        <w:t>C</w:t>
      </w:r>
      <w:r w:rsidRPr="000B5528">
        <w:t>hapter 7 to explain the Tribunal’s decision on the values of the remuneration bands.</w:t>
      </w:r>
    </w:p>
    <w:p w14:paraId="2CD999C4" w14:textId="6168B96F" w:rsidR="000B5528" w:rsidRPr="000B5528" w:rsidRDefault="00245258" w:rsidP="00866D40">
      <w:pPr>
        <w:pStyle w:val="02VIRTHeading2"/>
      </w:pPr>
      <w:bookmarkStart w:id="92" w:name="_Toc170396226"/>
      <w:r>
        <w:t>4.1</w:t>
      </w:r>
      <w:r>
        <w:tab/>
      </w:r>
      <w:r w:rsidR="000B5528" w:rsidRPr="000B5528">
        <w:t>Conditions in the broader labour market are tight</w:t>
      </w:r>
      <w:bookmarkEnd w:id="92"/>
    </w:p>
    <w:p w14:paraId="32ECC0A2" w14:textId="77777777" w:rsidR="000B5528" w:rsidRPr="000B5528" w:rsidRDefault="000B5528" w:rsidP="00866D40">
      <w:pPr>
        <w:pStyle w:val="05Paragraph"/>
      </w:pPr>
      <w:r w:rsidRPr="000B5528">
        <w:t xml:space="preserve">The ‘market’ for VPS executives is influenced by conditions in the broader labour market. This is because, to a certain extent, the VPS competes for executive talent </w:t>
      </w:r>
      <w:r w:rsidRPr="000B5528">
        <w:lastRenderedPageBreak/>
        <w:t>with firms in the for-profit and not-for-profit sectors looking to employ executives with similar skills, knowledge and experience, as well as public services in other Australian jurisdictions.</w:t>
      </w:r>
    </w:p>
    <w:p w14:paraId="3FA6C4D1" w14:textId="6CE4776D" w:rsidR="000B5528" w:rsidRPr="000B5528" w:rsidRDefault="000B5528" w:rsidP="00866D40">
      <w:pPr>
        <w:pStyle w:val="05Paragraph"/>
      </w:pPr>
      <w:r w:rsidRPr="000B5528">
        <w:t>Conditions in the broader labour market are currently tight by historical standards. According to the Bank for International Settlements, a ‘tight’ labour market is one where an:</w:t>
      </w:r>
      <w:r w:rsidR="00FB0FCD" w:rsidRPr="00FB0FCD">
        <w:rPr>
          <w:iCs/>
          <w:vertAlign w:val="superscript"/>
        </w:rPr>
        <w:footnoteReference w:id="111"/>
      </w:r>
    </w:p>
    <w:p w14:paraId="7BD96814" w14:textId="7726E097" w:rsidR="000B5528" w:rsidRPr="000B5528" w:rsidRDefault="000B5528" w:rsidP="00193394">
      <w:pPr>
        <w:pStyle w:val="07VIRTBreakouttext"/>
      </w:pPr>
      <w:r w:rsidRPr="000B5528">
        <w:t>… imbalance between labour supply and labour demand manifests itself in an abundance of job opportunities along with a scarcity of workers available and willing to take those jobs.</w:t>
      </w:r>
      <w:r w:rsidRPr="000B5528">
        <w:rPr>
          <w:vertAlign w:val="superscript"/>
        </w:rPr>
        <w:t xml:space="preserve"> </w:t>
      </w:r>
    </w:p>
    <w:p w14:paraId="5E7AC585" w14:textId="445AB33A" w:rsidR="000B5528" w:rsidRPr="000B5528" w:rsidRDefault="000B5528" w:rsidP="00C63F57">
      <w:pPr>
        <w:pStyle w:val="05Paragraph"/>
      </w:pPr>
      <w:r w:rsidRPr="000B5528">
        <w:t xml:space="preserve">The </w:t>
      </w:r>
      <w:r w:rsidR="00D25EDE">
        <w:t>Bank</w:t>
      </w:r>
      <w:r w:rsidRPr="000B5528">
        <w:t xml:space="preserve"> has estimated that the demand for labour in the Australian economy grew </w:t>
      </w:r>
      <w:r w:rsidR="00D05448">
        <w:t>faster</w:t>
      </w:r>
      <w:r w:rsidRPr="000B5528">
        <w:t xml:space="preserve"> </w:t>
      </w:r>
      <w:r w:rsidR="00D05448">
        <w:t>than</w:t>
      </w:r>
      <w:r w:rsidRPr="000B5528">
        <w:t xml:space="preserve"> the labour supply between 2019 and 2023, with reduced migration during the pandemic a key factor.</w:t>
      </w:r>
      <w:r w:rsidRPr="000B5528">
        <w:rPr>
          <w:vertAlign w:val="superscript"/>
        </w:rPr>
        <w:footnoteReference w:id="112"/>
      </w:r>
    </w:p>
    <w:p w14:paraId="26F85BB4" w14:textId="37923ADC" w:rsidR="00D647B8" w:rsidRDefault="000B5528" w:rsidP="00C63F57">
      <w:pPr>
        <w:pStyle w:val="05Paragraph"/>
      </w:pPr>
      <w:r w:rsidRPr="000B5528">
        <w:t xml:space="preserve">Australian labour market conditions are tighter across a range of indicators than they were before the Tribunal made its 2020 </w:t>
      </w:r>
      <w:r w:rsidR="00774B05">
        <w:t xml:space="preserve">VPS </w:t>
      </w:r>
      <w:r w:rsidRPr="000B5528">
        <w:t xml:space="preserve">Determination, though they have eased in recent times (see </w:t>
      </w:r>
      <w:r w:rsidR="002315B8">
        <w:t>C</w:t>
      </w:r>
      <w:r w:rsidRPr="000B5528">
        <w:t>hapter 6). For example, the national unemployment rate fell from an average of 5.2 per cent in 2019 to an average of 3.7 per cent in 2023, before gradually increasing to 4.1 per cent in April 2024 (Table 4.1).</w:t>
      </w:r>
    </w:p>
    <w:p w14:paraId="20E2E0CF" w14:textId="77777777" w:rsidR="000B5528" w:rsidRPr="00C63F57" w:rsidRDefault="000B5528" w:rsidP="00144BE8">
      <w:pPr>
        <w:pStyle w:val="08Figuretableboxheading"/>
      </w:pPr>
      <w:bookmarkStart w:id="93" w:name="_Toc170393544"/>
      <w:r w:rsidRPr="00A339D8">
        <w:t>Table 4.1: Changes in selected indicators of spare capacity in the Australian labour market, 2019 to 2024</w:t>
      </w:r>
      <w:bookmarkEnd w:id="93"/>
    </w:p>
    <w:tbl>
      <w:tblPr>
        <w:tblStyle w:val="Glossary"/>
        <w:tblW w:w="8504" w:type="dxa"/>
        <w:tblLook w:val="04A0" w:firstRow="1" w:lastRow="0" w:firstColumn="1" w:lastColumn="0" w:noHBand="0" w:noVBand="1"/>
      </w:tblPr>
      <w:tblGrid>
        <w:gridCol w:w="3851"/>
        <w:gridCol w:w="1622"/>
        <w:gridCol w:w="1622"/>
        <w:gridCol w:w="1409"/>
      </w:tblGrid>
      <w:tr w:rsidR="000B5528" w:rsidRPr="000B5528" w14:paraId="4D10A246" w14:textId="77777777">
        <w:trPr>
          <w:cnfStyle w:val="100000000000" w:firstRow="1" w:lastRow="0" w:firstColumn="0" w:lastColumn="0" w:oddVBand="0" w:evenVBand="0" w:oddHBand="0" w:evenHBand="0" w:firstRowFirstColumn="0" w:firstRowLastColumn="0" w:lastRowFirstColumn="0" w:lastRowLastColumn="0"/>
        </w:trPr>
        <w:tc>
          <w:tcPr>
            <w:tcW w:w="3851" w:type="dxa"/>
          </w:tcPr>
          <w:p w14:paraId="3AD72590" w14:textId="137D0694" w:rsidR="000B5528" w:rsidRPr="00C63F57" w:rsidRDefault="000B5528" w:rsidP="00C63F57">
            <w:pPr>
              <w:pStyle w:val="10Tabletext"/>
              <w:rPr>
                <w:color w:val="FFFFFF" w:themeColor="background1"/>
              </w:rPr>
            </w:pPr>
            <w:r w:rsidRPr="00C63F57">
              <w:rPr>
                <w:color w:val="FFFFFF" w:themeColor="background1"/>
              </w:rPr>
              <w:t>Indicator</w:t>
            </w:r>
            <w:r w:rsidR="00BD5FD2" w:rsidRPr="00C63F57">
              <w:rPr>
                <w:color w:val="FFFFFF" w:themeColor="background1"/>
                <w:vertAlign w:val="superscript"/>
              </w:rPr>
              <w:t>(a)</w:t>
            </w:r>
          </w:p>
        </w:tc>
        <w:tc>
          <w:tcPr>
            <w:tcW w:w="1622" w:type="dxa"/>
          </w:tcPr>
          <w:p w14:paraId="6AC8E046" w14:textId="77777777" w:rsidR="000B5528" w:rsidRPr="00C63F57" w:rsidRDefault="000B5528" w:rsidP="00C63F57">
            <w:pPr>
              <w:pStyle w:val="10Tabletext"/>
              <w:jc w:val="right"/>
              <w:rPr>
                <w:color w:val="FFFFFF" w:themeColor="background1"/>
              </w:rPr>
            </w:pPr>
            <w:r w:rsidRPr="00C63F57">
              <w:rPr>
                <w:color w:val="FFFFFF" w:themeColor="background1"/>
              </w:rPr>
              <w:t>Average value in 2019</w:t>
            </w:r>
          </w:p>
        </w:tc>
        <w:tc>
          <w:tcPr>
            <w:tcW w:w="1622" w:type="dxa"/>
          </w:tcPr>
          <w:p w14:paraId="3750CAE7" w14:textId="77777777" w:rsidR="000B5528" w:rsidRPr="00C63F57" w:rsidRDefault="000B5528" w:rsidP="00C63F57">
            <w:pPr>
              <w:pStyle w:val="10Tabletext"/>
              <w:jc w:val="right"/>
              <w:rPr>
                <w:color w:val="FFFFFF" w:themeColor="background1"/>
              </w:rPr>
            </w:pPr>
            <w:r w:rsidRPr="00C63F57">
              <w:rPr>
                <w:color w:val="FFFFFF" w:themeColor="background1"/>
              </w:rPr>
              <w:t>Average value in 2023</w:t>
            </w:r>
          </w:p>
        </w:tc>
        <w:tc>
          <w:tcPr>
            <w:tcW w:w="1409" w:type="dxa"/>
          </w:tcPr>
          <w:p w14:paraId="3184C1EE" w14:textId="77777777" w:rsidR="000B5528" w:rsidRPr="00C63F57" w:rsidRDefault="000B5528" w:rsidP="00C63F57">
            <w:pPr>
              <w:pStyle w:val="10Tabletext"/>
              <w:jc w:val="right"/>
              <w:rPr>
                <w:color w:val="FFFFFF" w:themeColor="background1"/>
              </w:rPr>
            </w:pPr>
            <w:r w:rsidRPr="00C63F57">
              <w:rPr>
                <w:color w:val="FFFFFF" w:themeColor="background1"/>
              </w:rPr>
              <w:t>Current value</w:t>
            </w:r>
          </w:p>
        </w:tc>
      </w:tr>
      <w:tr w:rsidR="000B5528" w:rsidRPr="000B5528" w14:paraId="48BD3B13" w14:textId="77777777">
        <w:tc>
          <w:tcPr>
            <w:tcW w:w="3851" w:type="dxa"/>
          </w:tcPr>
          <w:p w14:paraId="122E36F7" w14:textId="23187F42" w:rsidR="000B5528" w:rsidRPr="000B5528" w:rsidRDefault="000B5528" w:rsidP="00C63F57">
            <w:pPr>
              <w:pStyle w:val="10Tabletext"/>
              <w:rPr>
                <w:vertAlign w:val="superscript"/>
              </w:rPr>
            </w:pPr>
            <w:r w:rsidRPr="000B5528">
              <w:t>Unemployment rate (%)</w:t>
            </w:r>
            <w:r w:rsidRPr="000B5528">
              <w:rPr>
                <w:vertAlign w:val="superscript"/>
              </w:rPr>
              <w:t>(</w:t>
            </w:r>
            <w:r w:rsidR="00F902BA">
              <w:rPr>
                <w:vertAlign w:val="superscript"/>
              </w:rPr>
              <w:t>b</w:t>
            </w:r>
            <w:r w:rsidRPr="000B5528">
              <w:rPr>
                <w:vertAlign w:val="superscript"/>
              </w:rPr>
              <w:t>)</w:t>
            </w:r>
          </w:p>
        </w:tc>
        <w:tc>
          <w:tcPr>
            <w:tcW w:w="1622" w:type="dxa"/>
          </w:tcPr>
          <w:p w14:paraId="11FF6BEA" w14:textId="77777777" w:rsidR="000B5528" w:rsidRPr="000B5528" w:rsidRDefault="000B5528" w:rsidP="00C63F57">
            <w:pPr>
              <w:pStyle w:val="10Tabletext"/>
              <w:jc w:val="right"/>
            </w:pPr>
            <w:r w:rsidRPr="000B5528">
              <w:t>5.2</w:t>
            </w:r>
          </w:p>
        </w:tc>
        <w:tc>
          <w:tcPr>
            <w:tcW w:w="1622" w:type="dxa"/>
          </w:tcPr>
          <w:p w14:paraId="0EDB9CBE" w14:textId="77777777" w:rsidR="000B5528" w:rsidRPr="000B5528" w:rsidRDefault="000B5528" w:rsidP="00C63F57">
            <w:pPr>
              <w:pStyle w:val="10Tabletext"/>
              <w:jc w:val="right"/>
              <w:rPr>
                <w:vertAlign w:val="superscript"/>
              </w:rPr>
            </w:pPr>
            <w:r w:rsidRPr="000B5528">
              <w:t>3.7</w:t>
            </w:r>
          </w:p>
        </w:tc>
        <w:tc>
          <w:tcPr>
            <w:tcW w:w="1409" w:type="dxa"/>
          </w:tcPr>
          <w:p w14:paraId="1A18E95C" w14:textId="228FF2A5" w:rsidR="000B5528" w:rsidRPr="000B5528" w:rsidRDefault="000B5528" w:rsidP="00C63F57">
            <w:pPr>
              <w:pStyle w:val="10Tabletext"/>
              <w:jc w:val="right"/>
              <w:rPr>
                <w:vertAlign w:val="superscript"/>
              </w:rPr>
            </w:pPr>
            <w:r w:rsidRPr="000B5528">
              <w:t>4.</w:t>
            </w:r>
            <w:r w:rsidR="00BB4766" w:rsidRPr="00BB4766">
              <w:t>0</w:t>
            </w:r>
            <w:r w:rsidRPr="000B5528">
              <w:rPr>
                <w:vertAlign w:val="superscript"/>
              </w:rPr>
              <w:t>(</w:t>
            </w:r>
            <w:r w:rsidR="00354C26">
              <w:rPr>
                <w:vertAlign w:val="superscript"/>
              </w:rPr>
              <w:t>d</w:t>
            </w:r>
            <w:r w:rsidRPr="000B5528">
              <w:rPr>
                <w:vertAlign w:val="superscript"/>
              </w:rPr>
              <w:t>)</w:t>
            </w:r>
          </w:p>
        </w:tc>
      </w:tr>
      <w:tr w:rsidR="000B5528" w:rsidRPr="000B5528" w14:paraId="0FE50F80" w14:textId="77777777">
        <w:tc>
          <w:tcPr>
            <w:tcW w:w="3851" w:type="dxa"/>
          </w:tcPr>
          <w:p w14:paraId="1E901AC7" w14:textId="214B3D69" w:rsidR="000B5528" w:rsidRPr="000B5528" w:rsidRDefault="000B5528" w:rsidP="00C63F57">
            <w:pPr>
              <w:pStyle w:val="10Tabletext"/>
            </w:pPr>
            <w:r w:rsidRPr="000B5528">
              <w:t>Underemployment rate (%)</w:t>
            </w:r>
            <w:r w:rsidRPr="000B5528">
              <w:rPr>
                <w:vertAlign w:val="superscript"/>
              </w:rPr>
              <w:t>(</w:t>
            </w:r>
            <w:r w:rsidR="00F902BA">
              <w:rPr>
                <w:vertAlign w:val="superscript"/>
              </w:rPr>
              <w:t>b</w:t>
            </w:r>
            <w:r w:rsidRPr="000B5528">
              <w:rPr>
                <w:vertAlign w:val="superscript"/>
              </w:rPr>
              <w:t>)</w:t>
            </w:r>
          </w:p>
        </w:tc>
        <w:tc>
          <w:tcPr>
            <w:tcW w:w="1622" w:type="dxa"/>
          </w:tcPr>
          <w:p w14:paraId="195FF3BA" w14:textId="77777777" w:rsidR="000B5528" w:rsidRPr="000B5528" w:rsidRDefault="000B5528" w:rsidP="00C63F57">
            <w:pPr>
              <w:pStyle w:val="10Tabletext"/>
              <w:jc w:val="right"/>
            </w:pPr>
            <w:r w:rsidRPr="000B5528">
              <w:t>8.3</w:t>
            </w:r>
          </w:p>
        </w:tc>
        <w:tc>
          <w:tcPr>
            <w:tcW w:w="1622" w:type="dxa"/>
          </w:tcPr>
          <w:p w14:paraId="1115D93A" w14:textId="77777777" w:rsidR="000B5528" w:rsidRPr="000B5528" w:rsidRDefault="000B5528" w:rsidP="00C63F57">
            <w:pPr>
              <w:pStyle w:val="10Tabletext"/>
              <w:jc w:val="right"/>
              <w:rPr>
                <w:vertAlign w:val="superscript"/>
              </w:rPr>
            </w:pPr>
            <w:r w:rsidRPr="000B5528">
              <w:t>6.4</w:t>
            </w:r>
          </w:p>
        </w:tc>
        <w:tc>
          <w:tcPr>
            <w:tcW w:w="1409" w:type="dxa"/>
          </w:tcPr>
          <w:p w14:paraId="0E3B3175" w14:textId="7EF6B9FE" w:rsidR="000B5528" w:rsidRPr="000B5528" w:rsidRDefault="000B5528" w:rsidP="00C63F57">
            <w:pPr>
              <w:pStyle w:val="10Tabletext"/>
              <w:jc w:val="right"/>
            </w:pPr>
            <w:r w:rsidRPr="000B5528">
              <w:t>6.</w:t>
            </w:r>
            <w:r w:rsidR="00BB4766" w:rsidRPr="00BB4766">
              <w:t>7</w:t>
            </w:r>
            <w:r w:rsidRPr="000B5528">
              <w:rPr>
                <w:vertAlign w:val="superscript"/>
              </w:rPr>
              <w:t>(</w:t>
            </w:r>
            <w:r w:rsidR="00354C26">
              <w:rPr>
                <w:vertAlign w:val="superscript"/>
              </w:rPr>
              <w:t>d</w:t>
            </w:r>
            <w:r w:rsidRPr="000B5528">
              <w:rPr>
                <w:vertAlign w:val="superscript"/>
              </w:rPr>
              <w:t>)</w:t>
            </w:r>
          </w:p>
        </w:tc>
      </w:tr>
      <w:tr w:rsidR="000B5528" w:rsidRPr="000B5528" w14:paraId="375B361C" w14:textId="77777777">
        <w:tc>
          <w:tcPr>
            <w:tcW w:w="3851" w:type="dxa"/>
          </w:tcPr>
          <w:p w14:paraId="61906B9A" w14:textId="07FC5194" w:rsidR="000B5528" w:rsidRPr="000B5528" w:rsidRDefault="000B5528" w:rsidP="00C63F57">
            <w:pPr>
              <w:pStyle w:val="10Tabletext"/>
            </w:pPr>
            <w:r w:rsidRPr="000B5528">
              <w:t>Unemployed persons per job vacancy</w:t>
            </w:r>
            <w:r w:rsidRPr="000B5528">
              <w:rPr>
                <w:vertAlign w:val="superscript"/>
              </w:rPr>
              <w:t>(</w:t>
            </w:r>
            <w:r w:rsidR="00F902BA">
              <w:rPr>
                <w:vertAlign w:val="superscript"/>
              </w:rPr>
              <w:t>b</w:t>
            </w:r>
            <w:r w:rsidRPr="000B5528">
              <w:rPr>
                <w:vertAlign w:val="superscript"/>
              </w:rPr>
              <w:t>)</w:t>
            </w:r>
          </w:p>
        </w:tc>
        <w:tc>
          <w:tcPr>
            <w:tcW w:w="1622" w:type="dxa"/>
          </w:tcPr>
          <w:p w14:paraId="7C7CE56F" w14:textId="77777777" w:rsidR="000B5528" w:rsidRPr="000B5528" w:rsidRDefault="000B5528" w:rsidP="00C63F57">
            <w:pPr>
              <w:pStyle w:val="10Tabletext"/>
              <w:jc w:val="right"/>
            </w:pPr>
            <w:r w:rsidRPr="000B5528">
              <w:t>3.1</w:t>
            </w:r>
          </w:p>
        </w:tc>
        <w:tc>
          <w:tcPr>
            <w:tcW w:w="1622" w:type="dxa"/>
          </w:tcPr>
          <w:p w14:paraId="5E7AC224" w14:textId="7FFBAD4D" w:rsidR="000B5528" w:rsidRPr="000B5528" w:rsidRDefault="000B5528" w:rsidP="00C63F57">
            <w:pPr>
              <w:pStyle w:val="10Tabletext"/>
              <w:jc w:val="right"/>
              <w:rPr>
                <w:vertAlign w:val="superscript"/>
              </w:rPr>
            </w:pPr>
            <w:r w:rsidRPr="000B5528">
              <w:t>1.</w:t>
            </w:r>
            <w:r w:rsidR="00AA2C9E">
              <w:t>3</w:t>
            </w:r>
          </w:p>
        </w:tc>
        <w:tc>
          <w:tcPr>
            <w:tcW w:w="1409" w:type="dxa"/>
          </w:tcPr>
          <w:p w14:paraId="2676D1CC" w14:textId="4B424991" w:rsidR="000B5528" w:rsidRPr="000B5528" w:rsidRDefault="00AA2C9E" w:rsidP="00C63F57">
            <w:pPr>
              <w:pStyle w:val="10Tabletext"/>
              <w:jc w:val="right"/>
            </w:pPr>
            <w:r>
              <w:t>1.5</w:t>
            </w:r>
            <w:r w:rsidR="000B5528" w:rsidRPr="000B5528">
              <w:rPr>
                <w:vertAlign w:val="superscript"/>
              </w:rPr>
              <w:t>(</w:t>
            </w:r>
            <w:r w:rsidR="00354C26">
              <w:rPr>
                <w:vertAlign w:val="superscript"/>
              </w:rPr>
              <w:t>e</w:t>
            </w:r>
            <w:r w:rsidR="000B5528" w:rsidRPr="000B5528">
              <w:rPr>
                <w:vertAlign w:val="superscript"/>
              </w:rPr>
              <w:t>)</w:t>
            </w:r>
          </w:p>
        </w:tc>
      </w:tr>
      <w:tr w:rsidR="000B5528" w:rsidRPr="000B5528" w14:paraId="58AA3AA0" w14:textId="77777777">
        <w:tc>
          <w:tcPr>
            <w:tcW w:w="3851" w:type="dxa"/>
          </w:tcPr>
          <w:p w14:paraId="41379016" w14:textId="72646D20" w:rsidR="000B5528" w:rsidRPr="000B5528" w:rsidRDefault="000B5528" w:rsidP="008C26F2">
            <w:pPr>
              <w:pStyle w:val="10Tabletext"/>
            </w:pPr>
            <w:r w:rsidRPr="000B5528">
              <w:t>Job vacancies as share of total employment</w:t>
            </w:r>
            <w:r w:rsidR="00A650AD">
              <w:t xml:space="preserve"> (%)</w:t>
            </w:r>
            <w:r w:rsidRPr="000B5528">
              <w:rPr>
                <w:vertAlign w:val="superscript"/>
              </w:rPr>
              <w:t>(</w:t>
            </w:r>
            <w:r w:rsidR="00F902BA">
              <w:rPr>
                <w:vertAlign w:val="superscript"/>
              </w:rPr>
              <w:t>c</w:t>
            </w:r>
            <w:r w:rsidRPr="000B5528">
              <w:rPr>
                <w:vertAlign w:val="superscript"/>
              </w:rPr>
              <w:t>)</w:t>
            </w:r>
          </w:p>
        </w:tc>
        <w:tc>
          <w:tcPr>
            <w:tcW w:w="1622" w:type="dxa"/>
          </w:tcPr>
          <w:p w14:paraId="0B9F7383" w14:textId="77777777" w:rsidR="000B5528" w:rsidRPr="000B5528" w:rsidRDefault="000B5528" w:rsidP="008C26F2">
            <w:pPr>
              <w:pStyle w:val="10Tabletext"/>
              <w:jc w:val="right"/>
            </w:pPr>
            <w:r w:rsidRPr="000B5528">
              <w:t>1.8</w:t>
            </w:r>
          </w:p>
        </w:tc>
        <w:tc>
          <w:tcPr>
            <w:tcW w:w="1622" w:type="dxa"/>
          </w:tcPr>
          <w:p w14:paraId="7F1F220E" w14:textId="20D621D1" w:rsidR="000B5528" w:rsidRPr="000B5528" w:rsidRDefault="00B94FD8" w:rsidP="008C26F2">
            <w:pPr>
              <w:pStyle w:val="10Tabletext"/>
              <w:jc w:val="right"/>
            </w:pPr>
            <w:r>
              <w:t>2.9</w:t>
            </w:r>
          </w:p>
        </w:tc>
        <w:tc>
          <w:tcPr>
            <w:tcW w:w="1409" w:type="dxa"/>
          </w:tcPr>
          <w:p w14:paraId="686A7F80" w14:textId="18B3A5DD" w:rsidR="000B5528" w:rsidRPr="000B5528" w:rsidRDefault="00B94FD8" w:rsidP="008C26F2">
            <w:pPr>
              <w:pStyle w:val="10Tabletext"/>
              <w:jc w:val="right"/>
              <w:rPr>
                <w:vertAlign w:val="superscript"/>
              </w:rPr>
            </w:pPr>
            <w:r>
              <w:t>2.5</w:t>
            </w:r>
            <w:r w:rsidR="008C26F2" w:rsidRPr="005850E7">
              <w:rPr>
                <w:vertAlign w:val="superscript"/>
              </w:rPr>
              <w:t>(</w:t>
            </w:r>
            <w:r w:rsidR="00354C26">
              <w:rPr>
                <w:vertAlign w:val="superscript"/>
              </w:rPr>
              <w:t>e</w:t>
            </w:r>
            <w:r w:rsidR="000B5528" w:rsidRPr="000B5528">
              <w:rPr>
                <w:vertAlign w:val="superscript"/>
              </w:rPr>
              <w:t>)</w:t>
            </w:r>
          </w:p>
        </w:tc>
      </w:tr>
      <w:tr w:rsidR="000B5528" w:rsidRPr="000B5528" w14:paraId="2859498A" w14:textId="77777777">
        <w:tc>
          <w:tcPr>
            <w:tcW w:w="3851" w:type="dxa"/>
          </w:tcPr>
          <w:p w14:paraId="1597DFE6" w14:textId="77BD4DA6" w:rsidR="000B5528" w:rsidRPr="000B5528" w:rsidRDefault="000B5528" w:rsidP="008C26F2">
            <w:pPr>
              <w:pStyle w:val="10Tabletext"/>
            </w:pPr>
            <w:r w:rsidRPr="000B5528">
              <w:t>Job advertisements as share of labour force (%)</w:t>
            </w:r>
            <w:r w:rsidRPr="000B5528">
              <w:rPr>
                <w:vertAlign w:val="superscript"/>
              </w:rPr>
              <w:t>(</w:t>
            </w:r>
            <w:r w:rsidR="00F902BA">
              <w:rPr>
                <w:vertAlign w:val="superscript"/>
              </w:rPr>
              <w:t>c</w:t>
            </w:r>
            <w:r w:rsidRPr="000B5528">
              <w:rPr>
                <w:vertAlign w:val="superscript"/>
              </w:rPr>
              <w:t>)</w:t>
            </w:r>
          </w:p>
        </w:tc>
        <w:tc>
          <w:tcPr>
            <w:tcW w:w="1622" w:type="dxa"/>
          </w:tcPr>
          <w:p w14:paraId="7E7530E0" w14:textId="77777777" w:rsidR="000B5528" w:rsidRPr="000B5528" w:rsidRDefault="000B5528" w:rsidP="008C26F2">
            <w:pPr>
              <w:pStyle w:val="10Tabletext"/>
              <w:jc w:val="right"/>
            </w:pPr>
            <w:r w:rsidRPr="000B5528">
              <w:t>1.3</w:t>
            </w:r>
          </w:p>
        </w:tc>
        <w:tc>
          <w:tcPr>
            <w:tcW w:w="1622" w:type="dxa"/>
          </w:tcPr>
          <w:p w14:paraId="70E0F5A9" w14:textId="77777777" w:rsidR="000B5528" w:rsidRPr="000B5528" w:rsidRDefault="000B5528" w:rsidP="008C26F2">
            <w:pPr>
              <w:pStyle w:val="10Tabletext"/>
              <w:jc w:val="right"/>
            </w:pPr>
            <w:r w:rsidRPr="000B5528">
              <w:t>1.9</w:t>
            </w:r>
          </w:p>
        </w:tc>
        <w:tc>
          <w:tcPr>
            <w:tcW w:w="1409" w:type="dxa"/>
          </w:tcPr>
          <w:p w14:paraId="013D5101" w14:textId="7BD1E63C" w:rsidR="000B5528" w:rsidRPr="000B5528" w:rsidRDefault="000B5528" w:rsidP="008C26F2">
            <w:pPr>
              <w:pStyle w:val="10Tabletext"/>
              <w:jc w:val="right"/>
            </w:pPr>
            <w:r w:rsidRPr="000B5528">
              <w:t>1.6</w:t>
            </w:r>
            <w:r w:rsidRPr="000B5528">
              <w:rPr>
                <w:vertAlign w:val="superscript"/>
              </w:rPr>
              <w:t>(</w:t>
            </w:r>
            <w:r w:rsidR="004A780F">
              <w:rPr>
                <w:vertAlign w:val="superscript"/>
              </w:rPr>
              <w:t>d</w:t>
            </w:r>
            <w:r w:rsidRPr="000B5528">
              <w:rPr>
                <w:vertAlign w:val="superscript"/>
              </w:rPr>
              <w:t>)</w:t>
            </w:r>
          </w:p>
        </w:tc>
      </w:tr>
    </w:tbl>
    <w:p w14:paraId="65996EFB" w14:textId="52002A2A" w:rsidR="00B94FD8" w:rsidRPr="00A75045" w:rsidRDefault="00B94FD8" w:rsidP="00B94FD8">
      <w:pPr>
        <w:pStyle w:val="09Sourcesandnotesfortablesfiguresboxes"/>
      </w:pPr>
      <w:r w:rsidRPr="00DE3B57">
        <w:t xml:space="preserve">Notes: (a) </w:t>
      </w:r>
      <w:r w:rsidR="00BD5FD2">
        <w:t>All</w:t>
      </w:r>
      <w:r w:rsidR="00A83DEE">
        <w:t xml:space="preserve"> data are seasonally adjusted. (b) </w:t>
      </w:r>
      <w:r w:rsidRPr="00DE3B57">
        <w:t>Lower value indicates a tighter labour market. (</w:t>
      </w:r>
      <w:r w:rsidR="00A83DEE">
        <w:t>c</w:t>
      </w:r>
      <w:r w:rsidRPr="00DE3B57">
        <w:t>) Higher value indicates a tighter labour market. (</w:t>
      </w:r>
      <w:r w:rsidR="00A83DEE">
        <w:t>d</w:t>
      </w:r>
      <w:r w:rsidRPr="00DE3B57">
        <w:t xml:space="preserve">) Value at </w:t>
      </w:r>
      <w:r w:rsidR="00A650AD">
        <w:t>May</w:t>
      </w:r>
      <w:r w:rsidRPr="00DE3B57">
        <w:t xml:space="preserve"> 2024. (</w:t>
      </w:r>
      <w:r w:rsidR="00A83DEE">
        <w:t>e</w:t>
      </w:r>
      <w:r w:rsidRPr="00DE3B57">
        <w:t xml:space="preserve">) Value at </w:t>
      </w:r>
      <w:r w:rsidRPr="00A75045">
        <w:t>February 2024.</w:t>
      </w:r>
    </w:p>
    <w:p w14:paraId="0466F320" w14:textId="35526676" w:rsidR="000B5528" w:rsidRPr="00DE3B57" w:rsidRDefault="000B5528" w:rsidP="00DE3B57">
      <w:pPr>
        <w:pStyle w:val="09Sourcesandnotesfortablesfiguresboxes"/>
      </w:pPr>
      <w:r w:rsidRPr="000B5528">
        <w:t xml:space="preserve">Sources: </w:t>
      </w:r>
      <w:r w:rsidR="00AB0775">
        <w:t>Australian Bureau of Statistics (</w:t>
      </w:r>
      <w:r w:rsidR="005D45F7" w:rsidRPr="005D45F7">
        <w:t>ABS</w:t>
      </w:r>
      <w:r w:rsidR="00AB0775">
        <w:t>)</w:t>
      </w:r>
      <w:r w:rsidR="005D45F7" w:rsidRPr="005D45F7">
        <w:t xml:space="preserve"> (2024d)</w:t>
      </w:r>
      <w:r w:rsidR="005D45F7">
        <w:t xml:space="preserve">; </w:t>
      </w:r>
      <w:r w:rsidR="00C11D4D" w:rsidRPr="00C11D4D">
        <w:t>ABS (2024e)</w:t>
      </w:r>
      <w:r w:rsidRPr="000B5528">
        <w:t xml:space="preserve">; </w:t>
      </w:r>
      <w:r w:rsidR="00A57C02" w:rsidRPr="00A57C02">
        <w:t xml:space="preserve">Jobs </w:t>
      </w:r>
      <w:r w:rsidR="00A57C02" w:rsidRPr="00DE3B57">
        <w:t>and Skills Australia (2024a)</w:t>
      </w:r>
      <w:r w:rsidRPr="00DE3B57">
        <w:t>.</w:t>
      </w:r>
    </w:p>
    <w:p w14:paraId="4EED193F" w14:textId="62985F82" w:rsidR="000B5528" w:rsidRPr="000B5528" w:rsidRDefault="000B5528" w:rsidP="004D7DE3">
      <w:pPr>
        <w:pStyle w:val="05Paragraph"/>
        <w:keepNext/>
      </w:pPr>
      <w:r w:rsidRPr="000B5528">
        <w:lastRenderedPageBreak/>
        <w:t xml:space="preserve">The </w:t>
      </w:r>
      <w:r w:rsidRPr="000B5528">
        <w:rPr>
          <w:i/>
          <w:iCs/>
        </w:rPr>
        <w:t>Victorian Budget 2024</w:t>
      </w:r>
      <w:r w:rsidR="00B9157D">
        <w:rPr>
          <w:i/>
          <w:iCs/>
        </w:rPr>
        <w:noBreakHyphen/>
      </w:r>
      <w:r w:rsidRPr="000B5528">
        <w:rPr>
          <w:i/>
          <w:iCs/>
        </w:rPr>
        <w:t>25</w:t>
      </w:r>
      <w:r w:rsidRPr="000B5528">
        <w:t xml:space="preserve"> </w:t>
      </w:r>
      <w:r w:rsidR="00F0013A">
        <w:t>(2024</w:t>
      </w:r>
      <w:r w:rsidR="00B9157D">
        <w:noBreakHyphen/>
      </w:r>
      <w:r w:rsidR="00F0013A">
        <w:t>25 Budget)</w:t>
      </w:r>
      <w:r w:rsidR="00C71F9F">
        <w:t xml:space="preserve"> </w:t>
      </w:r>
      <w:r w:rsidRPr="000B5528">
        <w:t>observed that the Victorian labour market remains strong, noting that:</w:t>
      </w:r>
      <w:r w:rsidR="005F4DD5" w:rsidRPr="000B5528">
        <w:rPr>
          <w:rFonts w:cs="Times New Roman (Body CS)"/>
          <w:iCs/>
          <w:spacing w:val="-6"/>
          <w:vertAlign w:val="superscript"/>
        </w:rPr>
        <w:footnoteReference w:id="113"/>
      </w:r>
    </w:p>
    <w:p w14:paraId="78EE6CC3" w14:textId="31C4DD38" w:rsidR="000B5528" w:rsidRPr="000B5528" w:rsidRDefault="000B5528" w:rsidP="0084395F">
      <w:pPr>
        <w:pStyle w:val="07VIRTBreakouttext"/>
      </w:pPr>
      <w:r w:rsidRPr="000B5528">
        <w:t>… the share of working-age Victorians in employment and labour force participation [remain</w:t>
      </w:r>
      <w:r w:rsidR="0084395F">
        <w:t>s</w:t>
      </w:r>
      <w:r w:rsidRPr="000B5528">
        <w:t xml:space="preserve">] near record high levels… [and] forward indicators of labour market demand, including job advertisements and job vacancies remain healthy and above levels seen before the COVID-19 </w:t>
      </w:r>
      <w:r w:rsidRPr="0084395F">
        <w:t>pandemic</w:t>
      </w:r>
      <w:r w:rsidRPr="000B5528">
        <w:t>.</w:t>
      </w:r>
      <w:r w:rsidRPr="000B5528">
        <w:rPr>
          <w:vertAlign w:val="superscript"/>
        </w:rPr>
        <w:t xml:space="preserve"> </w:t>
      </w:r>
    </w:p>
    <w:p w14:paraId="02E994F8" w14:textId="49119661" w:rsidR="00C8730A" w:rsidRDefault="000B5528" w:rsidP="00422880">
      <w:pPr>
        <w:pStyle w:val="05Paragraph"/>
      </w:pPr>
      <w:r w:rsidRPr="000B5528">
        <w:t xml:space="preserve">More broadly, the </w:t>
      </w:r>
      <w:r w:rsidR="005229E3">
        <w:t>Reserve Bank of Australia (</w:t>
      </w:r>
      <w:r w:rsidRPr="000B5528">
        <w:t>RBA</w:t>
      </w:r>
      <w:r w:rsidR="005229E3">
        <w:t>)</w:t>
      </w:r>
      <w:r w:rsidRPr="000B5528">
        <w:t xml:space="preserve"> has observed that the resumption of overseas migration has added to Australia’s labour supply and helped to relieve labour shortages in some industries.</w:t>
      </w:r>
      <w:r w:rsidRPr="000B5528">
        <w:rPr>
          <w:vertAlign w:val="superscript"/>
        </w:rPr>
        <w:footnoteReference w:id="114"/>
      </w:r>
      <w:r w:rsidRPr="000B5528">
        <w:t xml:space="preserve"> In 2022-23, net overseas migration was 518,000 people, with migrant arrivals up 73 per cent compared to 2021-22.</w:t>
      </w:r>
      <w:r w:rsidRPr="000B5528">
        <w:rPr>
          <w:vertAlign w:val="superscript"/>
        </w:rPr>
        <w:footnoteReference w:id="115"/>
      </w:r>
      <w:r w:rsidRPr="000B5528">
        <w:t xml:space="preserve"> On the demand side, the latest </w:t>
      </w:r>
      <w:r w:rsidRPr="000B5528">
        <w:rPr>
          <w:i/>
          <w:iCs/>
        </w:rPr>
        <w:t>Labour Market Update</w:t>
      </w:r>
      <w:r w:rsidRPr="000B5528">
        <w:t xml:space="preserve"> (March 2024) from Jobs and Skills Australia (JSA) pointed to signs that the demand for labour is softening. </w:t>
      </w:r>
    </w:p>
    <w:p w14:paraId="6DCF5DBD" w14:textId="38B41EB0" w:rsidR="000B5528" w:rsidRPr="000B5528" w:rsidRDefault="006C7CA1" w:rsidP="00940E36">
      <w:pPr>
        <w:pStyle w:val="05Paragraph"/>
      </w:pPr>
      <w:r>
        <w:t xml:space="preserve">In particular, it observed that growth in </w:t>
      </w:r>
      <w:r w:rsidR="000B5528" w:rsidRPr="000B5528">
        <w:t>full</w:t>
      </w:r>
      <w:r w:rsidR="000B5528" w:rsidRPr="000B5528">
        <w:noBreakHyphen/>
        <w:t xml:space="preserve">time employment </w:t>
      </w:r>
      <w:r w:rsidR="00D73AD8">
        <w:t>had ‘weakened</w:t>
      </w:r>
      <w:r w:rsidR="000B5528" w:rsidRPr="000B5528">
        <w:t xml:space="preserve"> </w:t>
      </w:r>
      <w:r w:rsidR="00D73AD8">
        <w:t>considerably</w:t>
      </w:r>
      <w:r w:rsidR="00940E36">
        <w:t>’</w:t>
      </w:r>
      <w:r w:rsidR="00D73AD8">
        <w:t xml:space="preserve"> </w:t>
      </w:r>
      <w:r w:rsidR="00795063">
        <w:t>over the 12 months to March 2024, compared with much stronger</w:t>
      </w:r>
      <w:r w:rsidR="00D73AD8">
        <w:t xml:space="preserve"> </w:t>
      </w:r>
      <w:r w:rsidR="000B5528" w:rsidRPr="000B5528">
        <w:t>growth in part-time employment</w:t>
      </w:r>
      <w:r w:rsidR="00980084">
        <w:t>.</w:t>
      </w:r>
      <w:r w:rsidR="000B5528" w:rsidRPr="000B5528">
        <w:t xml:space="preserve"> However, JSA noted that employers are still experiencing challenges finding suitably skilled workers to fill vacant positions.</w:t>
      </w:r>
      <w:r w:rsidR="000B5528" w:rsidRPr="000B5528">
        <w:rPr>
          <w:vertAlign w:val="superscript"/>
        </w:rPr>
        <w:footnoteReference w:id="116"/>
      </w:r>
    </w:p>
    <w:p w14:paraId="474C00E3" w14:textId="19FCEE75" w:rsidR="000B5528" w:rsidRPr="000B5528" w:rsidRDefault="000B5528" w:rsidP="00940E36">
      <w:pPr>
        <w:pStyle w:val="05Paragraph"/>
      </w:pPr>
      <w:r w:rsidRPr="000B5528">
        <w:t xml:space="preserve">Governments have developed policies and initiatives aimed at addressing labour market pressures. For example, as part of its new </w:t>
      </w:r>
      <w:r w:rsidRPr="000B5528">
        <w:rPr>
          <w:i/>
          <w:iCs/>
        </w:rPr>
        <w:t>Migration Strategy</w:t>
      </w:r>
      <w:r w:rsidRPr="000B5528">
        <w:t xml:space="preserve">, the Australian Government announced the creation of a new, three-tiered ‘Skills in Demand’ visa. In particular, the ‘Core Skills Pathway’ will focus on in-demand occupations (as identified by </w:t>
      </w:r>
      <w:r w:rsidR="00515772">
        <w:t>JSA</w:t>
      </w:r>
      <w:r w:rsidRPr="000B5528">
        <w:t>) and seek to balance Australia’s labour market needs with providing opportunities to skilled migrants.</w:t>
      </w:r>
      <w:r w:rsidRPr="000B5528">
        <w:rPr>
          <w:vertAlign w:val="superscript"/>
        </w:rPr>
        <w:footnoteReference w:id="117"/>
      </w:r>
      <w:r w:rsidRPr="000B5528">
        <w:t xml:space="preserve"> </w:t>
      </w:r>
    </w:p>
    <w:p w14:paraId="49CAED97" w14:textId="37A14450" w:rsidR="000B5528" w:rsidRPr="000B5528" w:rsidRDefault="00422880" w:rsidP="00C518B7">
      <w:pPr>
        <w:pStyle w:val="02VIRTHeading2"/>
      </w:pPr>
      <w:bookmarkStart w:id="94" w:name="_Toc170396227"/>
      <w:bookmarkStart w:id="95" w:name="_Toc59090122"/>
      <w:bookmarkStart w:id="96" w:name="_Toc97728588"/>
      <w:r>
        <w:t>4.2</w:t>
      </w:r>
      <w:r>
        <w:tab/>
      </w:r>
      <w:r w:rsidR="000B5528" w:rsidRPr="000B5528">
        <w:t>Demand for VPS executives is moderating</w:t>
      </w:r>
      <w:bookmarkEnd w:id="94"/>
    </w:p>
    <w:p w14:paraId="09098DA1" w14:textId="77777777" w:rsidR="000B5528" w:rsidRPr="000B5528" w:rsidRDefault="000B5528" w:rsidP="00C518B7">
      <w:pPr>
        <w:pStyle w:val="05Paragraph"/>
        <w:rPr>
          <w:noProof/>
          <w:lang w:eastAsia="en-AU"/>
        </w:rPr>
      </w:pPr>
      <w:r w:rsidRPr="000B5528">
        <w:rPr>
          <w:noProof/>
          <w:lang w:eastAsia="en-AU"/>
        </w:rPr>
        <w:t xml:space="preserve">The Tribunal has previously observed that the Victorian Government’s demand for executives may be influenced by factors such as its policy agenda, philosophy </w:t>
      </w:r>
      <w:r w:rsidRPr="000B5528">
        <w:rPr>
          <w:noProof/>
          <w:lang w:eastAsia="en-AU"/>
        </w:rPr>
        <w:lastRenderedPageBreak/>
        <w:t>regarding the size and role of the public service, and prevailing economic and fiscal conditions.</w:t>
      </w:r>
      <w:r w:rsidRPr="000B5528">
        <w:rPr>
          <w:noProof/>
          <w:vertAlign w:val="superscript"/>
          <w:lang w:eastAsia="en-AU"/>
        </w:rPr>
        <w:footnoteReference w:id="118"/>
      </w:r>
    </w:p>
    <w:p w14:paraId="4E8B0FD0" w14:textId="0F7AC4BE" w:rsidR="000B5528" w:rsidRPr="000B5528" w:rsidRDefault="000B5528" w:rsidP="003E0E47">
      <w:pPr>
        <w:pStyle w:val="05Paragraph"/>
      </w:pPr>
      <w:r w:rsidRPr="000B5528">
        <w:rPr>
          <w:lang w:eastAsia="en-AU"/>
        </w:rPr>
        <w:t>In</w:t>
      </w:r>
      <w:r w:rsidRPr="000B5528">
        <w:t xml:space="preserve"> its 2020 </w:t>
      </w:r>
      <w:r w:rsidR="00947664">
        <w:t xml:space="preserve">VPS </w:t>
      </w:r>
      <w:r w:rsidRPr="000B5528">
        <w:t>Determination, the Tribunal observed strong growth in the number of VPS executives over the previous four years.</w:t>
      </w:r>
      <w:r w:rsidRPr="000B5528">
        <w:rPr>
          <w:vertAlign w:val="superscript"/>
        </w:rPr>
        <w:footnoteReference w:id="119"/>
      </w:r>
      <w:r w:rsidRPr="000B5528">
        <w:t xml:space="preserve"> This trend has continued, with the number of executives employed in public service bodies increasing from around 1,000 to around 1,650 between June 2019 and June 2023.</w:t>
      </w:r>
      <w:r w:rsidRPr="000B5528">
        <w:rPr>
          <w:vertAlign w:val="superscript"/>
        </w:rPr>
        <w:footnoteReference w:id="120"/>
      </w:r>
    </w:p>
    <w:p w14:paraId="47EA6C7D" w14:textId="586B993E" w:rsidR="000B5528" w:rsidRPr="000B5528" w:rsidRDefault="000B5528" w:rsidP="00947664">
      <w:pPr>
        <w:pStyle w:val="05Paragraph"/>
      </w:pPr>
      <w:r w:rsidRPr="000B5528">
        <w:t xml:space="preserve">According to VPSC </w:t>
      </w:r>
      <w:r w:rsidRPr="00947664">
        <w:t>analysis</w:t>
      </w:r>
      <w:r w:rsidRPr="000B5528">
        <w:t>, the number of VPS executives increased between 2020 and 2021 ‘to meet demands for leadership in social policy areas and to help manage the impacts of COVID-19’.</w:t>
      </w:r>
      <w:r w:rsidRPr="000B5528">
        <w:rPr>
          <w:vertAlign w:val="superscript"/>
        </w:rPr>
        <w:footnoteReference w:id="121"/>
      </w:r>
      <w:r w:rsidRPr="000B5528">
        <w:t xml:space="preserve"> The VPSC’s submission also cited the following factors as contributing to the overall increase in VPS executive numbers over recent years:</w:t>
      </w:r>
    </w:p>
    <w:p w14:paraId="0750CDA8" w14:textId="77777777" w:rsidR="000B5528" w:rsidRPr="000B5528" w:rsidRDefault="000B5528" w:rsidP="005F4DD5">
      <w:pPr>
        <w:pStyle w:val="06VIRTBulletpoints"/>
        <w:rPr>
          <w:noProof/>
          <w:lang w:eastAsia="en-AU"/>
        </w:rPr>
      </w:pPr>
      <w:r w:rsidRPr="000B5528">
        <w:rPr>
          <w:noProof/>
          <w:lang w:eastAsia="en-AU"/>
        </w:rPr>
        <w:t>requirements for increased senior oversight, including for capital projects</w:t>
      </w:r>
    </w:p>
    <w:p w14:paraId="41EE5C21" w14:textId="77777777" w:rsidR="000B5528" w:rsidRPr="000B5528" w:rsidRDefault="000B5528" w:rsidP="005F4DD5">
      <w:pPr>
        <w:pStyle w:val="06VIRTBulletpoints"/>
        <w:rPr>
          <w:noProof/>
          <w:lang w:eastAsia="en-AU"/>
        </w:rPr>
      </w:pPr>
      <w:r w:rsidRPr="000B5528">
        <w:rPr>
          <w:noProof/>
          <w:lang w:eastAsia="en-AU"/>
        </w:rPr>
        <w:t>an increase in the use of job-share arrangements</w:t>
      </w:r>
    </w:p>
    <w:p w14:paraId="70513D5F" w14:textId="77777777" w:rsidR="000B5528" w:rsidRPr="000B5528" w:rsidRDefault="000B5528" w:rsidP="005F4DD5">
      <w:pPr>
        <w:pStyle w:val="06VIRTBulletpoints"/>
        <w:rPr>
          <w:noProof/>
          <w:lang w:eastAsia="en-AU"/>
        </w:rPr>
      </w:pPr>
      <w:r w:rsidRPr="000B5528">
        <w:rPr>
          <w:noProof/>
          <w:lang w:eastAsia="en-AU"/>
        </w:rPr>
        <w:t>reclassifications of some positions to ensure fairness and consistency.</w:t>
      </w:r>
    </w:p>
    <w:p w14:paraId="77AC481D" w14:textId="26CA73C6" w:rsidR="000B5528" w:rsidRPr="000B5528" w:rsidRDefault="000B5528" w:rsidP="00945AF7">
      <w:pPr>
        <w:pStyle w:val="05Paragraph"/>
      </w:pPr>
      <w:r w:rsidRPr="000B5528">
        <w:t xml:space="preserve">More recently, VPSC data indicates </w:t>
      </w:r>
      <w:r w:rsidRPr="00945AF7">
        <w:t>that</w:t>
      </w:r>
      <w:r w:rsidRPr="000B5528">
        <w:t xml:space="preserve"> growth in executive numbers has begun to moderate, coinciding with the winding up of many COVID-19 related programs and initiatives.</w:t>
      </w:r>
      <w:r w:rsidRPr="000B5528">
        <w:rPr>
          <w:vertAlign w:val="superscript"/>
        </w:rPr>
        <w:footnoteReference w:id="122"/>
      </w:r>
      <w:r w:rsidRPr="000B5528">
        <w:t xml:space="preserve"> Further, while exact numbers are not yet available, the Tribunal expects executive numbers to have declined since mid</w:t>
      </w:r>
      <w:r w:rsidRPr="000B5528">
        <w:noBreakHyphen/>
        <w:t>2023, consistent with the Victorian Government’s commitment to reducing the number of VPS staff and returning the size of the VPS towards pre-pandemic levels.</w:t>
      </w:r>
      <w:r w:rsidRPr="000B5528">
        <w:rPr>
          <w:vertAlign w:val="superscript"/>
        </w:rPr>
        <w:footnoteReference w:id="123"/>
      </w:r>
    </w:p>
    <w:p w14:paraId="2757823D" w14:textId="77777777" w:rsidR="000B5528" w:rsidRPr="000B5528" w:rsidRDefault="000B5528" w:rsidP="003E0E47">
      <w:pPr>
        <w:pStyle w:val="05Paragraph"/>
      </w:pPr>
      <w:r w:rsidRPr="000B5528">
        <w:t>Moderating demand for VPS executives is also evidenced by the number of advertisements for VPS executive roles. According to data provided by the VPSC, advertisements for SES roles in public service bodies increased significantly between mid-2020 and mid</w:t>
      </w:r>
      <w:r w:rsidRPr="000B5528">
        <w:noBreakHyphen/>
        <w:t>2021 (Figure 4.1). The number of job advertisements has been trending downwards since then, though recent data suggest they may be stabilising.</w:t>
      </w:r>
      <w:r w:rsidRPr="000B5528">
        <w:rPr>
          <w:vertAlign w:val="superscript"/>
        </w:rPr>
        <w:footnoteReference w:id="124"/>
      </w:r>
    </w:p>
    <w:p w14:paraId="632C21D2" w14:textId="01E6716F" w:rsidR="000B5528" w:rsidRDefault="000B5528" w:rsidP="00144BE8">
      <w:pPr>
        <w:pStyle w:val="08Figuretableboxheading"/>
      </w:pPr>
      <w:bookmarkStart w:id="97" w:name="_Toc170393545"/>
      <w:r w:rsidRPr="000B5528">
        <w:lastRenderedPageBreak/>
        <w:t xml:space="preserve">Figure 4.1: Monthly job advertisements for SES roles in public service bodies, </w:t>
      </w:r>
      <w:r w:rsidRPr="000B5528">
        <w:br/>
      </w:r>
      <w:r w:rsidR="00D23298">
        <w:t>July 2019</w:t>
      </w:r>
      <w:r w:rsidRPr="000B5528">
        <w:t xml:space="preserve"> to </w:t>
      </w:r>
      <w:r w:rsidR="00D23298">
        <w:t>March 2024</w:t>
      </w:r>
      <w:bookmarkEnd w:id="97"/>
    </w:p>
    <w:p w14:paraId="699468B6" w14:textId="609C31A1" w:rsidR="00BA1D83" w:rsidRPr="000B5528" w:rsidRDefault="00BA1D83" w:rsidP="00144BE8">
      <w:pPr>
        <w:pStyle w:val="08Figuretableboxheading"/>
      </w:pPr>
      <w:r>
        <w:rPr>
          <w:noProof/>
        </w:rPr>
        <w:drawing>
          <wp:inline distT="0" distB="0" distL="0" distR="0" wp14:anchorId="003B7F2C" wp14:editId="75B29F75">
            <wp:extent cx="5492750" cy="2566670"/>
            <wp:effectExtent l="0" t="0" r="0" b="5080"/>
            <wp:docPr id="14657257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92750" cy="2566670"/>
                    </a:xfrm>
                    <a:prstGeom prst="rect">
                      <a:avLst/>
                    </a:prstGeom>
                    <a:noFill/>
                  </pic:spPr>
                </pic:pic>
              </a:graphicData>
            </a:graphic>
          </wp:inline>
        </w:drawing>
      </w:r>
    </w:p>
    <w:p w14:paraId="1F7A153D" w14:textId="587014F7" w:rsidR="000B5528" w:rsidRPr="00DC62B9" w:rsidRDefault="000B5528" w:rsidP="00B678D6">
      <w:pPr>
        <w:pStyle w:val="09Sourcesandnotesfortablesfiguresboxes"/>
        <w:spacing w:before="120" w:after="360"/>
        <w:ind w:right="-147"/>
      </w:pPr>
      <w:r w:rsidRPr="00945AF7">
        <w:t xml:space="preserve">Note: Job advertisements that were active for less than six days have been excluded from the data, </w:t>
      </w:r>
      <w:r w:rsidRPr="00C518B7">
        <w:t xml:space="preserve">while instances where an advertisement was posted to multiple platforms in parallel have been counted as a single advertisement. The number of job advertisements in any given period may not equal the number of executive vacancies, as some </w:t>
      </w:r>
      <w:r w:rsidRPr="00DC62B9">
        <w:t>advertisements relate to multiple positions and some positions may be advertised multiple times.</w:t>
      </w:r>
    </w:p>
    <w:p w14:paraId="298D9795" w14:textId="77777777" w:rsidR="000B5528" w:rsidRPr="00C518B7" w:rsidRDefault="000B5528" w:rsidP="00945AF7">
      <w:pPr>
        <w:pStyle w:val="09Sourcesandnotesfortablesfiguresboxes"/>
      </w:pPr>
      <w:r w:rsidRPr="00DC62B9">
        <w:t>Source: Tribunal analysis of VPSC data.</w:t>
      </w:r>
    </w:p>
    <w:p w14:paraId="37FD017A" w14:textId="01040299" w:rsidR="000B5528" w:rsidRPr="000B5528" w:rsidRDefault="004D60B9" w:rsidP="00C518B7">
      <w:pPr>
        <w:pStyle w:val="02VIRTHeading2"/>
      </w:pPr>
      <w:bookmarkStart w:id="98" w:name="_Toc170396228"/>
      <w:r>
        <w:t>4.3</w:t>
      </w:r>
      <w:r>
        <w:tab/>
      </w:r>
      <w:r w:rsidR="000B5528" w:rsidRPr="000B5528">
        <w:t>The supply of VPS executives is matching demand, with some exceptions</w:t>
      </w:r>
      <w:bookmarkEnd w:id="98"/>
    </w:p>
    <w:p w14:paraId="002E70B4" w14:textId="77777777" w:rsidR="000B5528" w:rsidRPr="000B5528" w:rsidRDefault="000B5528" w:rsidP="003E0E47">
      <w:pPr>
        <w:pStyle w:val="05Paragraph"/>
      </w:pPr>
      <w:r w:rsidRPr="000B5528">
        <w:rPr>
          <w:lang w:eastAsia="en-AU"/>
        </w:rPr>
        <w:t xml:space="preserve">The Tribunal has previously noted that factors which influence the supply of executives include the </w:t>
      </w:r>
      <w:r w:rsidRPr="000B5528">
        <w:t>cost of accumulating the requisite skills, education and experience, potential remuneration for other positions, the nature of the work and other non</w:t>
      </w:r>
      <w:r w:rsidRPr="000B5528">
        <w:noBreakHyphen/>
        <w:t>monetary factors.</w:t>
      </w:r>
      <w:r w:rsidRPr="000B5528">
        <w:rPr>
          <w:vertAlign w:val="superscript"/>
        </w:rPr>
        <w:footnoteReference w:id="125"/>
      </w:r>
    </w:p>
    <w:p w14:paraId="10A65288" w14:textId="5823DE9E" w:rsidR="000B5528" w:rsidRPr="000B5528" w:rsidRDefault="000B5528" w:rsidP="003E0E47">
      <w:pPr>
        <w:pStyle w:val="05Paragraph"/>
      </w:pPr>
      <w:r w:rsidRPr="000B5528">
        <w:t>The VSB submission noted ongoing challenges in recruiting for some executive roles, associated with a tight labour market and significant government investment in large-scale initiatives. Recruitment difficulties are also evident in the broader labour market. For example, 64 per cent of Australian employers surveyed by JSA in the December quarter 2023 reported experiencing difficulties recruiting for professionals.</w:t>
      </w:r>
      <w:r w:rsidRPr="000B5528">
        <w:rPr>
          <w:vertAlign w:val="superscript"/>
        </w:rPr>
        <w:footnoteReference w:id="126"/>
      </w:r>
    </w:p>
    <w:p w14:paraId="57B8D42B" w14:textId="77777777" w:rsidR="000B5528" w:rsidRPr="000B5528" w:rsidRDefault="000B5528" w:rsidP="005B2F0B">
      <w:pPr>
        <w:pStyle w:val="05Paragraph"/>
        <w:widowControl w:val="0"/>
      </w:pPr>
      <w:r w:rsidRPr="000B5528">
        <w:t xml:space="preserve">Around two-thirds of respondents to the Tribunal’s executive questionnaire involved in executive recruitment indicated they were experiencing significant </w:t>
      </w:r>
      <w:r w:rsidRPr="000B5528">
        <w:lastRenderedPageBreak/>
        <w:t>challenges in attracting executives within the existing remuneration bands.</w:t>
      </w:r>
    </w:p>
    <w:p w14:paraId="68B056A2" w14:textId="20638305" w:rsidR="000B5528" w:rsidRPr="000B5528" w:rsidRDefault="000B5528" w:rsidP="003E0E47">
      <w:pPr>
        <w:pStyle w:val="05Paragraph"/>
      </w:pPr>
      <w:r w:rsidRPr="000B5528">
        <w:t>Respondents were also asked to nominate the functional areas in which they were experiencing significant challenges. The most common response was ‘project and program management’, which was chosen by 45 per cent of respondents who specified one or more functional area, followed by ‘policy and strategy’ (29 per cent). Other responses included ‘engineering’ (18 per cent), ‘digital and technology’ (17 per cent), ‘regulation, governance and risk’ (16 per cent) and ‘legal’ (15 per cent) (Figure 4.2).</w:t>
      </w:r>
    </w:p>
    <w:p w14:paraId="4FF86F2D" w14:textId="6403ABE6" w:rsidR="000B5528" w:rsidRDefault="000B5528" w:rsidP="00144BE8">
      <w:pPr>
        <w:pStyle w:val="08Figuretableboxheading"/>
      </w:pPr>
      <w:bookmarkStart w:id="99" w:name="_Toc170393546"/>
      <w:r w:rsidRPr="006C546D">
        <w:t>Figure 4.2: Responses from the executive questionnaire — areas of executive recruitment difficulty</w:t>
      </w:r>
      <w:bookmarkEnd w:id="99"/>
    </w:p>
    <w:p w14:paraId="2861BF79" w14:textId="534EEAFA" w:rsidR="00BA1D83" w:rsidRDefault="00BA1D83" w:rsidP="00144BE8">
      <w:pPr>
        <w:pStyle w:val="08Figuretableboxheading"/>
      </w:pPr>
      <w:r>
        <w:rPr>
          <w:noProof/>
        </w:rPr>
        <w:drawing>
          <wp:inline distT="0" distB="0" distL="0" distR="0" wp14:anchorId="6E11AE0C" wp14:editId="522E3FB5">
            <wp:extent cx="5255260" cy="2755900"/>
            <wp:effectExtent l="0" t="0" r="2540" b="6350"/>
            <wp:docPr id="7127858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55260" cy="2755900"/>
                    </a:xfrm>
                    <a:prstGeom prst="rect">
                      <a:avLst/>
                    </a:prstGeom>
                    <a:noFill/>
                  </pic:spPr>
                </pic:pic>
              </a:graphicData>
            </a:graphic>
          </wp:inline>
        </w:drawing>
      </w:r>
    </w:p>
    <w:p w14:paraId="5D5192CA" w14:textId="77777777" w:rsidR="000B5528" w:rsidRPr="00C518B7" w:rsidRDefault="000B5528" w:rsidP="006C546D">
      <w:pPr>
        <w:pStyle w:val="09Sourcesandnotesfortablesfiguresboxes"/>
      </w:pPr>
      <w:r w:rsidRPr="006C546D">
        <w:t>Notes: The figure shows responses to the question ‘What are the functional areas in which you are experiencing significant challenges in attracting VPS executives? Select all that apply.’ 215 responses were received.</w:t>
      </w:r>
    </w:p>
    <w:p w14:paraId="1D7949AB" w14:textId="77777777" w:rsidR="000B5528" w:rsidRPr="00C518B7" w:rsidRDefault="000B5528" w:rsidP="006C546D">
      <w:pPr>
        <w:pStyle w:val="09Sourcesandnotesfortablesfiguresboxes"/>
      </w:pPr>
      <w:r w:rsidRPr="006C546D">
        <w:t>Source: Tribunal analysis of responses to executive questionnaire.</w:t>
      </w:r>
    </w:p>
    <w:p w14:paraId="13822544" w14:textId="77777777" w:rsidR="000B5528" w:rsidRPr="000B5528" w:rsidRDefault="000B5528" w:rsidP="00C518B7">
      <w:pPr>
        <w:pStyle w:val="03VIRTHeading3"/>
      </w:pPr>
      <w:r w:rsidRPr="000B5528">
        <w:t>The average number of applications for executive roles is increasing</w:t>
      </w:r>
    </w:p>
    <w:p w14:paraId="02DC61B2" w14:textId="77777777" w:rsidR="000B5528" w:rsidRPr="000B5528" w:rsidRDefault="000B5528" w:rsidP="003E0E47">
      <w:pPr>
        <w:pStyle w:val="05Paragraph"/>
      </w:pPr>
      <w:r w:rsidRPr="000B5528">
        <w:t xml:space="preserve">The Tribunal obtained data from the VPSC about the number of people who applied for advertised VPS executive roles. Using this data, the Tribunal was able to approximate the supply of executive candidates to the demand from the government, subject to the limitations noted below. </w:t>
      </w:r>
    </w:p>
    <w:p w14:paraId="5B9CA1C9" w14:textId="77777777" w:rsidR="000B5528" w:rsidRPr="000B5528" w:rsidRDefault="000B5528" w:rsidP="003E0E47">
      <w:pPr>
        <w:pStyle w:val="05Paragraph"/>
      </w:pPr>
      <w:r w:rsidRPr="000B5528">
        <w:t>The data show that the average number of applications for executive roles is increasing. For example, over 2023, advertisements for SES positions in public service bodies attracted around 20 applications on average, compared to an average of around 10 applications in 2021 (Figure 4.3).</w:t>
      </w:r>
    </w:p>
    <w:p w14:paraId="22F777BC" w14:textId="77777777" w:rsidR="000B5528" w:rsidRDefault="000B5528" w:rsidP="00144BE8">
      <w:pPr>
        <w:pStyle w:val="08Figuretableboxheading"/>
      </w:pPr>
      <w:bookmarkStart w:id="100" w:name="_Toc170393547"/>
      <w:r w:rsidRPr="000B5528">
        <w:lastRenderedPageBreak/>
        <w:t>Figure 4.3: Average number of applications per advertisement for SES positions in public service bodies, June 2021 – March 2024</w:t>
      </w:r>
      <w:bookmarkEnd w:id="100"/>
    </w:p>
    <w:p w14:paraId="3E844FE9" w14:textId="71D00A60" w:rsidR="00BA1D83" w:rsidRDefault="00BA1D83" w:rsidP="00144BE8">
      <w:pPr>
        <w:pStyle w:val="08Figuretableboxheading"/>
      </w:pPr>
      <w:r>
        <w:rPr>
          <w:noProof/>
        </w:rPr>
        <w:drawing>
          <wp:inline distT="0" distB="0" distL="0" distR="0" wp14:anchorId="44CA041F" wp14:editId="3A4E884F">
            <wp:extent cx="5456555" cy="2737485"/>
            <wp:effectExtent l="0" t="0" r="0" b="5715"/>
            <wp:docPr id="967830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56555" cy="2737485"/>
                    </a:xfrm>
                    <a:prstGeom prst="rect">
                      <a:avLst/>
                    </a:prstGeom>
                    <a:noFill/>
                  </pic:spPr>
                </pic:pic>
              </a:graphicData>
            </a:graphic>
          </wp:inline>
        </w:drawing>
      </w:r>
    </w:p>
    <w:p w14:paraId="7F9A522B" w14:textId="77777777" w:rsidR="000B5528" w:rsidRPr="000B5528" w:rsidRDefault="000B5528" w:rsidP="002E6709">
      <w:pPr>
        <w:pStyle w:val="09Sourcesandnotesfortablesfiguresboxes"/>
        <w:rPr>
          <w:rFonts w:eastAsia="Rockwell" w:cs="Times New Roman"/>
          <w:color w:val="000000"/>
        </w:rPr>
      </w:pPr>
      <w:r w:rsidRPr="000B5528">
        <w:t>Note: Job advertisements that were active for less than six days have been excluded from the data. The number of job advertisements in a given financial year may not equal the number of executive vacancies, as some advertisements relate to multiple vacancies and some vacancies may be advertised multiple times.</w:t>
      </w:r>
    </w:p>
    <w:p w14:paraId="5E4F3A66" w14:textId="77777777" w:rsidR="000B5528" w:rsidRPr="000B5528" w:rsidRDefault="000B5528" w:rsidP="006A1345">
      <w:pPr>
        <w:pStyle w:val="09Sourcesandnotesfortablesfiguresboxes"/>
        <w:rPr>
          <w:rFonts w:eastAsia="Rockwell" w:cs="Times New Roman"/>
          <w:color w:val="000000"/>
        </w:rPr>
      </w:pPr>
      <w:r w:rsidRPr="000B5528">
        <w:t>Source: Tribunal analysis of VPSC data.</w:t>
      </w:r>
    </w:p>
    <w:p w14:paraId="208041C9" w14:textId="77777777" w:rsidR="000B5528" w:rsidRPr="000B5528" w:rsidRDefault="000B5528" w:rsidP="003E0E47">
      <w:pPr>
        <w:pStyle w:val="05Paragraph"/>
      </w:pPr>
      <w:r w:rsidRPr="000B5528">
        <w:t>The VPSC data also showed that:</w:t>
      </w:r>
    </w:p>
    <w:p w14:paraId="7368709E" w14:textId="77777777" w:rsidR="000B5528" w:rsidRPr="000B5528" w:rsidRDefault="000B5528" w:rsidP="006A1345">
      <w:pPr>
        <w:pStyle w:val="06VIRTBulletpoints"/>
        <w:rPr>
          <w:noProof/>
          <w:lang w:eastAsia="en-AU"/>
        </w:rPr>
      </w:pPr>
      <w:r w:rsidRPr="000B5528">
        <w:rPr>
          <w:noProof/>
          <w:lang w:eastAsia="en-AU"/>
        </w:rPr>
        <w:t>advertisements for SES-1 positions generally attracted more applicants than SES</w:t>
      </w:r>
      <w:r w:rsidRPr="000B5528">
        <w:rPr>
          <w:noProof/>
          <w:lang w:eastAsia="en-AU"/>
        </w:rPr>
        <w:noBreakHyphen/>
        <w:t>2 positions, which in turn tended to attract more applicants than SES</w:t>
      </w:r>
      <w:r w:rsidRPr="000B5528">
        <w:rPr>
          <w:noProof/>
          <w:lang w:eastAsia="en-AU"/>
        </w:rPr>
        <w:noBreakHyphen/>
        <w:t>3 positions</w:t>
      </w:r>
    </w:p>
    <w:p w14:paraId="08B54ADF" w14:textId="77777777" w:rsidR="000B5528" w:rsidRPr="000B5528" w:rsidRDefault="000B5528" w:rsidP="006A1345">
      <w:pPr>
        <w:pStyle w:val="06VIRTBulletpoints"/>
        <w:rPr>
          <w:noProof/>
          <w:lang w:eastAsia="en-AU"/>
        </w:rPr>
      </w:pPr>
      <w:r w:rsidRPr="000B5528">
        <w:rPr>
          <w:noProof/>
          <w:lang w:eastAsia="en-AU"/>
        </w:rPr>
        <w:t>advertisements for positions based in Greater Melbourne generally attracted more applicants than positions based in regional Victoria.</w:t>
      </w:r>
    </w:p>
    <w:p w14:paraId="2E060F06" w14:textId="77777777" w:rsidR="000B5528" w:rsidRPr="000B5528" w:rsidRDefault="000B5528" w:rsidP="00E311AD">
      <w:pPr>
        <w:pStyle w:val="05Paragraph"/>
      </w:pPr>
      <w:r w:rsidRPr="000B5528">
        <w:t>Advertising of executive roles is subject to the requirements of the Victorian Government’s Jobs and Skills Exchange (JSE) Recruitment Policy. This policy states that, with limited exceptions, all positions must first be advertised on the JSE, which is an internal resource for current and recently departed VPS employees. If a suitable candidate is not found, approval may be granted to advertise a position externally, in parallel with re-advertising on the JSE.</w:t>
      </w:r>
      <w:r w:rsidRPr="000B5528">
        <w:rPr>
          <w:vertAlign w:val="superscript"/>
        </w:rPr>
        <w:footnoteReference w:id="127"/>
      </w:r>
      <w:r w:rsidRPr="000B5528">
        <w:t xml:space="preserve"> The data show that job advertisements that were posted to external platforms (e.g., Careers.vic, SEEK) tended to attract more applicants than those that were advertised on the JSE only.</w:t>
      </w:r>
    </w:p>
    <w:p w14:paraId="397B33FE" w14:textId="4041EEFB" w:rsidR="000B5528" w:rsidRPr="000B5528" w:rsidRDefault="000B5528" w:rsidP="00E311AD">
      <w:pPr>
        <w:pStyle w:val="05Paragraph"/>
      </w:pPr>
      <w:r w:rsidRPr="000B5528">
        <w:t>The data on the number of applications should be treated with caution as it</w:t>
      </w:r>
      <w:r w:rsidR="00E311AD">
        <w:t xml:space="preserve"> </w:t>
      </w:r>
      <w:r w:rsidR="00995ADD">
        <w:t>includes</w:t>
      </w:r>
      <w:r w:rsidRPr="000B5528">
        <w:t xml:space="preserve"> a time period when the COVID-19 pandemic was causing significant disruptions in the labour market. Indeed, the RBA has observed that job mobility </w:t>
      </w:r>
      <w:r w:rsidRPr="000B5528">
        <w:lastRenderedPageBreak/>
        <w:t>(the proportion of employees changing jobs) fell to multi-decade lows at the onset of the pandemic and that this was likely attributable to increased risk aversion amid heightened uncertainty.</w:t>
      </w:r>
      <w:r w:rsidRPr="000B5528">
        <w:rPr>
          <w:vertAlign w:val="superscript"/>
        </w:rPr>
        <w:footnoteReference w:id="128"/>
      </w:r>
      <w:r w:rsidRPr="000B5528">
        <w:t xml:space="preserve"> In particular, these factors may explain the relatively low number of applications per SES position in 2020-21. </w:t>
      </w:r>
    </w:p>
    <w:p w14:paraId="468676CF" w14:textId="6142A612" w:rsidR="000B5528" w:rsidRPr="000B5528" w:rsidRDefault="000B5528" w:rsidP="00E311AD">
      <w:pPr>
        <w:pStyle w:val="05Paragraph"/>
      </w:pPr>
      <w:r w:rsidRPr="000B5528">
        <w:t>Further, the data do not indicate how many applicants were shortlisted or otherwise considered ‘suitable’ for a given executive role. Indeed, a given advertisement — particularly one posted to an external platform(s) — may attract a high number of applicants, and potentially many qualified applicants, yet only a small number of whom are deemed suitable for the role.</w:t>
      </w:r>
      <w:r w:rsidRPr="000B5528">
        <w:rPr>
          <w:vertAlign w:val="superscript"/>
        </w:rPr>
        <w:footnoteReference w:id="129"/>
      </w:r>
      <w:r w:rsidRPr="000B5528">
        <w:t xml:space="preserve"> For example, through its role advising on proposals to pay an executive above the relevant remuneration band, the Tribunal has heard examples where a recruitment process identified only a handful, or even a single, suitable candidate for a particular role. More broadly, data from JSA indicate that, across the organisations surveyed in 2022 and 2023, around 15</w:t>
      </w:r>
      <w:r w:rsidR="005963AE">
        <w:softHyphen/>
        <w:t>16</w:t>
      </w:r>
      <w:r w:rsidRPr="000B5528">
        <w:t xml:space="preserve"> per cent of applicants for a given vacancy were considered suitable on average.</w:t>
      </w:r>
      <w:r w:rsidRPr="000B5528">
        <w:rPr>
          <w:vertAlign w:val="superscript"/>
        </w:rPr>
        <w:footnoteReference w:id="130"/>
      </w:r>
      <w:r w:rsidRPr="000B5528">
        <w:t xml:space="preserve"> </w:t>
      </w:r>
    </w:p>
    <w:p w14:paraId="2F88AD61" w14:textId="77777777" w:rsidR="000B5528" w:rsidRPr="000B5528" w:rsidRDefault="000B5528" w:rsidP="007964F2">
      <w:pPr>
        <w:pStyle w:val="03VIRTHeading3"/>
      </w:pPr>
      <w:r w:rsidRPr="000B5528">
        <w:t>Most VPS executives continue to be recruited internally</w:t>
      </w:r>
    </w:p>
    <w:p w14:paraId="29703556" w14:textId="7845526D" w:rsidR="000B5528" w:rsidRPr="000B5528" w:rsidRDefault="000B5528" w:rsidP="003E0E47">
      <w:pPr>
        <w:pStyle w:val="05Paragraph"/>
      </w:pPr>
      <w:r w:rsidRPr="000B5528">
        <w:t xml:space="preserve">The Tribunal’s 2020 </w:t>
      </w:r>
      <w:r w:rsidR="00774B05">
        <w:t xml:space="preserve">VPS </w:t>
      </w:r>
      <w:r w:rsidRPr="000B5528">
        <w:t>Determination noted that executives may be sourced either internally (e.g. via promotion or lateral movement) or externally (e.g. from a public service in another jurisdiction or the for-profit sector). At that time, the Tribunal observed that most executives were being recruited internally, either from within the VPS or broader Victorian public sector.</w:t>
      </w:r>
      <w:r w:rsidRPr="000B5528">
        <w:rPr>
          <w:vertAlign w:val="superscript"/>
        </w:rPr>
        <w:footnoteReference w:id="131"/>
      </w:r>
    </w:p>
    <w:p w14:paraId="50BAE893" w14:textId="374EB8D4" w:rsidR="000B5528" w:rsidRPr="000B5528" w:rsidRDefault="000B5528" w:rsidP="003E0E47">
      <w:pPr>
        <w:pStyle w:val="05Paragraph"/>
      </w:pPr>
      <w:r w:rsidRPr="000B5528">
        <w:t xml:space="preserve">The Tribunal’s questionnaire indicates a continuation of this trend, with </w:t>
      </w:r>
      <w:r w:rsidR="009C537F">
        <w:t xml:space="preserve">around </w:t>
      </w:r>
      <w:r w:rsidRPr="000B5528">
        <w:t>70</w:t>
      </w:r>
      <w:r w:rsidR="009C537F">
        <w:t> </w:t>
      </w:r>
      <w:r w:rsidRPr="000B5528">
        <w:t>per cent of respondents indicating they had worked in the Victorian public sector immediately prior to their first VPS executive role. Most of these respondents held a non</w:t>
      </w:r>
      <w:r w:rsidRPr="000B5528">
        <w:noBreakHyphen/>
        <w:t>executive role in the VPS. Around 20 per cent of respondents came from the ‘for-profit’ or ‘not</w:t>
      </w:r>
      <w:r w:rsidRPr="000B5528">
        <w:noBreakHyphen/>
        <w:t>for</w:t>
      </w:r>
      <w:r w:rsidRPr="000B5528">
        <w:noBreakHyphen/>
        <w:t xml:space="preserve">profit’ sectors, while </w:t>
      </w:r>
      <w:r w:rsidR="009C537F">
        <w:t>four</w:t>
      </w:r>
      <w:r w:rsidRPr="000B5528">
        <w:t xml:space="preserve"> per cent were sourced from a public sector in another </w:t>
      </w:r>
      <w:r w:rsidR="00353D3A">
        <w:t xml:space="preserve">Australian </w:t>
      </w:r>
      <w:r w:rsidRPr="000B5528">
        <w:t>jurisdiction. The JSE Recruitment Policy may be contributing to this trend where it results in existing VPS employees having priority access to executive roles.</w:t>
      </w:r>
    </w:p>
    <w:p w14:paraId="2D79426B" w14:textId="29BC6FA5" w:rsidR="000B5528" w:rsidRPr="000B5528" w:rsidRDefault="000B5528" w:rsidP="003E0E47">
      <w:pPr>
        <w:pStyle w:val="05Paragraph"/>
      </w:pPr>
      <w:r w:rsidRPr="000B5528">
        <w:lastRenderedPageBreak/>
        <w:t>The Tribunal also analysed the previous roles of the 16 individuals who have held the position of department Secretary or Victorian Public Sector Commissioner since 2022. The vast majority (14 individuals, or 88 per cent) held senior executive positions in the VPS immediately prior to becoming Secretary or Commissioner, including 12 Deputy Secretaries and two AO Heads. The remaining two held roles in the not</w:t>
      </w:r>
      <w:r w:rsidRPr="000B5528">
        <w:noBreakHyphen/>
        <w:t>for</w:t>
      </w:r>
      <w:r w:rsidRPr="000B5528">
        <w:noBreakHyphen/>
        <w:t>profit and for-profit sectors</w:t>
      </w:r>
      <w:r w:rsidR="000E465A">
        <w:t xml:space="preserve"> respectively</w:t>
      </w:r>
      <w:r w:rsidRPr="000B5528">
        <w:t>.</w:t>
      </w:r>
    </w:p>
    <w:p w14:paraId="1FF5D5BE" w14:textId="2639C8E2" w:rsidR="000B5528" w:rsidRPr="000B5528" w:rsidRDefault="00774B05" w:rsidP="007964F2">
      <w:pPr>
        <w:pStyle w:val="02VIRTHeading2"/>
      </w:pPr>
      <w:bookmarkStart w:id="101" w:name="_Toc170396229"/>
      <w:r>
        <w:t>4.4</w:t>
      </w:r>
      <w:r>
        <w:tab/>
      </w:r>
      <w:r w:rsidR="000B5528" w:rsidRPr="000B5528">
        <w:t>How the remuneration bands influence the supply of executives</w:t>
      </w:r>
      <w:bookmarkEnd w:id="101"/>
    </w:p>
    <w:p w14:paraId="3515AFD1" w14:textId="77777777" w:rsidR="000B5528" w:rsidRPr="000B5528" w:rsidRDefault="000B5528" w:rsidP="003E0E47">
      <w:pPr>
        <w:pStyle w:val="05Paragraph"/>
      </w:pPr>
      <w:r w:rsidRPr="000B5528">
        <w:t>Remuneration is an important factor in attracting and retaining talent to the VPS executive workforce, which is necessary to carrying out the work of government and delivering the priorities of the government of the day.</w:t>
      </w:r>
    </w:p>
    <w:p w14:paraId="1C06BDF1" w14:textId="57A852EE" w:rsidR="000B5528" w:rsidRPr="000B5528" w:rsidRDefault="000B5528" w:rsidP="003E0E47">
      <w:pPr>
        <w:pStyle w:val="05Paragraph"/>
      </w:pPr>
      <w:r w:rsidRPr="000B5528">
        <w:t xml:space="preserve">The Tribunal’s 2020 </w:t>
      </w:r>
      <w:r w:rsidR="00774B05">
        <w:t xml:space="preserve">VPS </w:t>
      </w:r>
      <w:r w:rsidRPr="000B5528">
        <w:t>Determination set the minimum and maximum values of the remuneration bands with reference to the 15</w:t>
      </w:r>
      <w:r w:rsidRPr="000B5528">
        <w:rPr>
          <w:vertAlign w:val="superscript"/>
        </w:rPr>
        <w:t>th</w:t>
      </w:r>
      <w:r w:rsidRPr="000B5528">
        <w:t xml:space="preserve"> percentile of the Australian General Market (AGM).</w:t>
      </w:r>
      <w:r w:rsidR="00E03524">
        <w:rPr>
          <w:rStyle w:val="FootnoteReference"/>
        </w:rPr>
        <w:footnoteReference w:id="132"/>
      </w:r>
      <w:r w:rsidRPr="000B5528">
        <w:t xml:space="preserve"> The Tribunal subsequently made annual adjustment Determinations in 2021, 2022 and 2023, which adjusted the values of the remuneration bands each 1 July. In determining an appropriate adjustment rate, the Tribunal considered a range of factors such as the Victorian Government’s </w:t>
      </w:r>
      <w:r w:rsidR="006E2B8D">
        <w:t>w</w:t>
      </w:r>
      <w:r w:rsidRPr="000B5528">
        <w:t xml:space="preserve">ages </w:t>
      </w:r>
      <w:r w:rsidR="006E2B8D">
        <w:t>p</w:t>
      </w:r>
      <w:r w:rsidRPr="000B5528">
        <w:t>olicy, movements in prices and wages in the broader economy, the financial position and fiscal strategy of the State of Victoria and relativities with non-executive remuneration arrangements.</w:t>
      </w:r>
    </w:p>
    <w:p w14:paraId="49B1984C" w14:textId="77777777" w:rsidR="000B5528" w:rsidRPr="000B5528" w:rsidRDefault="000B5528" w:rsidP="007964F2">
      <w:pPr>
        <w:pStyle w:val="03VIRTHeading3"/>
      </w:pPr>
      <w:r w:rsidRPr="000B5528">
        <w:t>Stakeholders expressed mixed views on the competitiveness of the remuneration bands</w:t>
      </w:r>
    </w:p>
    <w:p w14:paraId="3D2C7BF8" w14:textId="148A8E97" w:rsidR="000B5528" w:rsidRPr="000B5528" w:rsidRDefault="000B5528" w:rsidP="003E0E47">
      <w:pPr>
        <w:pStyle w:val="05Paragraph"/>
      </w:pPr>
      <w:r w:rsidRPr="000B5528">
        <w:t xml:space="preserve">The Tribunal’s consultations with individual Secretaries discussed whether positioning </w:t>
      </w:r>
      <w:r w:rsidR="000E465A">
        <w:t xml:space="preserve">at </w:t>
      </w:r>
      <w:r w:rsidR="006B02F1">
        <w:t xml:space="preserve">the </w:t>
      </w:r>
      <w:r w:rsidR="000E465A">
        <w:t>lower end</w:t>
      </w:r>
      <w:r w:rsidRPr="000B5528">
        <w:t xml:space="preserve"> of the market adequately recognised the impact that a high performing public sector has on the Victorian economy and society more broadly. In considering this question, participants noted:</w:t>
      </w:r>
    </w:p>
    <w:p w14:paraId="6E9CA332" w14:textId="77777777" w:rsidR="000B5528" w:rsidRPr="000B5528" w:rsidRDefault="000B5528" w:rsidP="00693598">
      <w:pPr>
        <w:pStyle w:val="06VIRTBulletpoints"/>
        <w:rPr>
          <w:noProof/>
          <w:lang w:eastAsia="en-AU"/>
        </w:rPr>
      </w:pPr>
      <w:r w:rsidRPr="000B5528">
        <w:rPr>
          <w:noProof/>
          <w:lang w:eastAsia="en-AU"/>
        </w:rPr>
        <w:t xml:space="preserve">that remuneration for executives should be discounted in recognition of the ‘public service’ dimension of </w:t>
      </w:r>
      <w:r w:rsidRPr="003E0E47">
        <w:t>the</w:t>
      </w:r>
      <w:r w:rsidRPr="000B5528">
        <w:rPr>
          <w:noProof/>
          <w:lang w:eastAsia="en-AU"/>
        </w:rPr>
        <w:t xml:space="preserve"> role, and that the opportunity to undertake </w:t>
      </w:r>
      <w:r w:rsidRPr="000B5528">
        <w:rPr>
          <w:noProof/>
          <w:lang w:eastAsia="en-AU"/>
        </w:rPr>
        <w:lastRenderedPageBreak/>
        <w:t xml:space="preserve">important work for the benefit of the community continues to be a motivating factor in seeking </w:t>
      </w:r>
      <w:r w:rsidRPr="003E0E47">
        <w:t>employment</w:t>
      </w:r>
      <w:r w:rsidRPr="000B5528">
        <w:rPr>
          <w:noProof/>
          <w:lang w:eastAsia="en-AU"/>
        </w:rPr>
        <w:t xml:space="preserve"> in the public service</w:t>
      </w:r>
    </w:p>
    <w:p w14:paraId="0A2DA7A8" w14:textId="77777777" w:rsidR="000B5528" w:rsidRPr="000B5528" w:rsidRDefault="000B5528" w:rsidP="00693598">
      <w:pPr>
        <w:pStyle w:val="06VIRTBulletpoints"/>
        <w:rPr>
          <w:noProof/>
          <w:lang w:eastAsia="en-AU"/>
        </w:rPr>
      </w:pPr>
      <w:r w:rsidRPr="000B5528">
        <w:rPr>
          <w:noProof/>
          <w:lang w:eastAsia="en-AU"/>
        </w:rPr>
        <w:t xml:space="preserve">the social compact between government and citizens and whether lifting the values of the bands would impact trust between government and citizens. </w:t>
      </w:r>
    </w:p>
    <w:p w14:paraId="1485A07D" w14:textId="77777777" w:rsidR="000B5528" w:rsidRPr="000B5528" w:rsidRDefault="000B5528" w:rsidP="003B3DA7">
      <w:pPr>
        <w:pStyle w:val="05Paragraph"/>
      </w:pPr>
      <w:r w:rsidRPr="000B5528">
        <w:t xml:space="preserve">The consultations also highlighted that the VPS is increasingly competing with the private sector when </w:t>
      </w:r>
      <w:r w:rsidRPr="003B3DA7">
        <w:t>recruiting</w:t>
      </w:r>
      <w:r w:rsidRPr="000B5528">
        <w:t xml:space="preserve"> for certain roles (e.g. technology roles), and that this is making it challenging to attract and retain talented executives to those roles within the existing remuneration bands.</w:t>
      </w:r>
    </w:p>
    <w:p w14:paraId="656AA7AF" w14:textId="02E47D51" w:rsidR="000B5528" w:rsidRPr="000B5528" w:rsidRDefault="000B5528" w:rsidP="003B3DA7">
      <w:pPr>
        <w:pStyle w:val="05Paragraph"/>
      </w:pPr>
      <w:r w:rsidRPr="000B5528">
        <w:t xml:space="preserve">The VSB submission cited the relatively small number of payment above the bands proposals received by </w:t>
      </w:r>
      <w:r w:rsidRPr="003B3DA7">
        <w:t>the</w:t>
      </w:r>
      <w:r w:rsidRPr="000B5528">
        <w:t xml:space="preserve"> Tribunal since 2020 as evidence that the remuneration bands were generally appropriate:</w:t>
      </w:r>
    </w:p>
    <w:p w14:paraId="47AFE154" w14:textId="462020CA" w:rsidR="000B5528" w:rsidRPr="000B5528" w:rsidRDefault="000B5528" w:rsidP="003B3DA7">
      <w:pPr>
        <w:pStyle w:val="07VIRTBreakouttext"/>
        <w:rPr>
          <w:rFonts w:eastAsia="Rockwell"/>
          <w:i w:val="0"/>
        </w:rPr>
      </w:pPr>
      <w:r w:rsidRPr="000B5528">
        <w:t xml:space="preserve">The low number of requests compared to the size of the [executive] cohort in the public service </w:t>
      </w:r>
      <w:r w:rsidRPr="003B3DA7">
        <w:t>suggests</w:t>
      </w:r>
      <w:r w:rsidRPr="000B5528">
        <w:t xml:space="preserve"> that the scope of the remuneration bands is appropriately flexible for the majority of public service [executive] positions. Fewer requests also suggests the scope of the bands are generally fair, equitable and competitive for [executives].</w:t>
      </w:r>
    </w:p>
    <w:p w14:paraId="41643DEA" w14:textId="77777777" w:rsidR="000B5528" w:rsidRPr="000B5528" w:rsidRDefault="000B5528" w:rsidP="003B3DA7">
      <w:pPr>
        <w:pStyle w:val="05Paragraph"/>
      </w:pPr>
      <w:r w:rsidRPr="000B5528">
        <w:t xml:space="preserve">A majority (55 per cent) of respondents to the Tribunal’s questionnaire did not consider the existing </w:t>
      </w:r>
      <w:r w:rsidRPr="003B3DA7">
        <w:t>remuneration</w:t>
      </w:r>
      <w:r w:rsidRPr="000B5528">
        <w:t xml:space="preserve"> bands to be competitive for the type of work they do (Figure 4.4). Some respondents suggested that they could earn more working in an equivalent role in the private sector, particularly in certain industries or role types (e.g. infrastructure, legal).</w:t>
      </w:r>
    </w:p>
    <w:p w14:paraId="3DA81126" w14:textId="34DADB1B" w:rsidR="000B5528" w:rsidRDefault="000B5528" w:rsidP="00144BE8">
      <w:pPr>
        <w:pStyle w:val="08Figuretableboxheading"/>
      </w:pPr>
      <w:bookmarkStart w:id="102" w:name="_Toc170393548"/>
      <w:r w:rsidRPr="000B5528">
        <w:t>Figure 4.4: Responses to the executive questionnaire — ‘Do you consider the existing remuneration bands to be competitive for the type of work you do?’</w:t>
      </w:r>
      <w:bookmarkEnd w:id="102"/>
    </w:p>
    <w:p w14:paraId="49B6BFF2" w14:textId="3F53716D" w:rsidR="00BA1D83" w:rsidRPr="000B5528" w:rsidRDefault="00BA1D83" w:rsidP="00144BE8">
      <w:pPr>
        <w:pStyle w:val="08Figuretableboxheading"/>
        <w:rPr>
          <w:rFonts w:eastAsia="Rockwell"/>
        </w:rPr>
      </w:pPr>
      <w:r>
        <w:rPr>
          <w:rFonts w:eastAsia="Rockwell"/>
          <w:noProof/>
        </w:rPr>
        <w:drawing>
          <wp:inline distT="0" distB="0" distL="0" distR="0" wp14:anchorId="135277D7" wp14:editId="1A3A080C">
            <wp:extent cx="5389245" cy="2597150"/>
            <wp:effectExtent l="0" t="0" r="1905" b="0"/>
            <wp:docPr id="16237085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89245" cy="2597150"/>
                    </a:xfrm>
                    <a:prstGeom prst="rect">
                      <a:avLst/>
                    </a:prstGeom>
                    <a:noFill/>
                  </pic:spPr>
                </pic:pic>
              </a:graphicData>
            </a:graphic>
          </wp:inline>
        </w:drawing>
      </w:r>
    </w:p>
    <w:p w14:paraId="5F737330" w14:textId="77777777" w:rsidR="000B5528" w:rsidRPr="007964F2" w:rsidRDefault="000B5528" w:rsidP="003B3DA7">
      <w:pPr>
        <w:pStyle w:val="09Sourcesandnotesfortablesfiguresboxes"/>
      </w:pPr>
      <w:r w:rsidRPr="003B3DA7">
        <w:t>Source: Tribunal analysis of responses to executive questionnaire.</w:t>
      </w:r>
    </w:p>
    <w:p w14:paraId="6B16DF9D" w14:textId="77777777" w:rsidR="000B5528" w:rsidRPr="000B5528" w:rsidRDefault="000B5528" w:rsidP="003B3DA7">
      <w:pPr>
        <w:pStyle w:val="05Paragraph"/>
      </w:pPr>
      <w:r w:rsidRPr="000B5528">
        <w:lastRenderedPageBreak/>
        <w:t xml:space="preserve">The questionnaire also asked respondents involved in executive recruitment to identify the factors affecting </w:t>
      </w:r>
      <w:r w:rsidRPr="003B3DA7">
        <w:t>the</w:t>
      </w:r>
      <w:r w:rsidRPr="000B5528">
        <w:t xml:space="preserve"> willingness of potential candidates to apply for executive positions or accept an employment offer. ‘Total remuneration package is too low’ was chosen by around 90 per cent of respondents and was by far the most common response (Figure 4.5).</w:t>
      </w:r>
    </w:p>
    <w:p w14:paraId="678D6871" w14:textId="4B146CB4" w:rsidR="000B5528" w:rsidRDefault="000B5528" w:rsidP="00144BE8">
      <w:pPr>
        <w:pStyle w:val="08Figuretableboxheading"/>
      </w:pPr>
      <w:bookmarkStart w:id="103" w:name="_Toc170393549"/>
      <w:r w:rsidRPr="000B5528">
        <w:t>Figure 4.5: Executive questionnaire — factors affecting potential candidates’ interest in applying for, or accepting, executive employment in the VPS</w:t>
      </w:r>
      <w:bookmarkEnd w:id="103"/>
    </w:p>
    <w:p w14:paraId="306167F8" w14:textId="18AE676A" w:rsidR="00BA1D83" w:rsidRPr="000B5528" w:rsidRDefault="00BA1D83" w:rsidP="00144BE8">
      <w:pPr>
        <w:pStyle w:val="08Figuretableboxheading"/>
        <w:rPr>
          <w:rFonts w:eastAsia="Rockwell"/>
        </w:rPr>
      </w:pPr>
      <w:r>
        <w:rPr>
          <w:rFonts w:eastAsia="Rockwell"/>
          <w:noProof/>
        </w:rPr>
        <w:drawing>
          <wp:inline distT="0" distB="0" distL="0" distR="0" wp14:anchorId="2630458F" wp14:editId="64E0A1DC">
            <wp:extent cx="5456555" cy="2432685"/>
            <wp:effectExtent l="0" t="0" r="0" b="5715"/>
            <wp:docPr id="18811637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56555" cy="2432685"/>
                    </a:xfrm>
                    <a:prstGeom prst="rect">
                      <a:avLst/>
                    </a:prstGeom>
                    <a:noFill/>
                  </pic:spPr>
                </pic:pic>
              </a:graphicData>
            </a:graphic>
          </wp:inline>
        </w:drawing>
      </w:r>
    </w:p>
    <w:p w14:paraId="317B9315" w14:textId="69018355" w:rsidR="000B5528" w:rsidRPr="000B5528" w:rsidRDefault="000B5528" w:rsidP="003B3DA7">
      <w:pPr>
        <w:pStyle w:val="09Sourcesandnotesfortablesfiguresboxes"/>
        <w:rPr>
          <w:rFonts w:eastAsia="Rockwell" w:cs="Times New Roman"/>
          <w:color w:val="000000"/>
        </w:rPr>
      </w:pPr>
      <w:r w:rsidRPr="000B5528">
        <w:t xml:space="preserve">Note: The figure shows responses to the question ‘What factors do you think are affecting potential candidates' interest in applying for, or accepting employment </w:t>
      </w:r>
      <w:r w:rsidRPr="003B3DA7">
        <w:t>offers</w:t>
      </w:r>
      <w:r w:rsidRPr="000B5528">
        <w:t>? Please select all that apply.</w:t>
      </w:r>
      <w:r w:rsidR="0024509C">
        <w:t>’</w:t>
      </w:r>
      <w:r w:rsidRPr="000B5528">
        <w:t xml:space="preserve"> 216 responses were received.</w:t>
      </w:r>
    </w:p>
    <w:p w14:paraId="6CC64B57" w14:textId="77777777" w:rsidR="000B5528" w:rsidRPr="000B5528" w:rsidRDefault="000B5528" w:rsidP="001D3312">
      <w:pPr>
        <w:pStyle w:val="09Sourcesandnotesfortablesfiguresboxes"/>
        <w:rPr>
          <w:rFonts w:eastAsia="Rockwell" w:cs="Times New Roman"/>
          <w:color w:val="000000"/>
        </w:rPr>
      </w:pPr>
      <w:r w:rsidRPr="000B5528">
        <w:t>Source: Tribunal analysis of responses to executive questionnaire.</w:t>
      </w:r>
    </w:p>
    <w:p w14:paraId="0E454A16" w14:textId="77777777" w:rsidR="000B5528" w:rsidRPr="000B5528" w:rsidRDefault="000B5528" w:rsidP="003B3DA7">
      <w:pPr>
        <w:pStyle w:val="05Paragraph"/>
      </w:pPr>
      <w:r w:rsidRPr="000B5528">
        <w:t xml:space="preserve">Inadequate levels of </w:t>
      </w:r>
      <w:r w:rsidRPr="003B3DA7">
        <w:t>remuneration</w:t>
      </w:r>
      <w:r w:rsidRPr="000B5528">
        <w:t xml:space="preserve"> was also cited as a key factor by:</w:t>
      </w:r>
    </w:p>
    <w:p w14:paraId="1337DCAD" w14:textId="77777777" w:rsidR="000B5528" w:rsidRPr="00425452" w:rsidRDefault="000B5528" w:rsidP="003B3DA7">
      <w:pPr>
        <w:pStyle w:val="06VIRTBulletpoints"/>
      </w:pPr>
      <w:r w:rsidRPr="000B5528">
        <w:rPr>
          <w:noProof/>
          <w:lang w:eastAsia="en-AU"/>
        </w:rPr>
        <w:t>around two-thirds of respondents who reported an increase in the rate at which executives we</w:t>
      </w:r>
      <w:r w:rsidRPr="00425452">
        <w:t>re voluntarily departing their organisation</w:t>
      </w:r>
    </w:p>
    <w:p w14:paraId="6119928A" w14:textId="5C477513" w:rsidR="000B5528" w:rsidRPr="000B5528" w:rsidRDefault="003B5796" w:rsidP="003B3DA7">
      <w:pPr>
        <w:pStyle w:val="06VIRTBulletpoints"/>
        <w:rPr>
          <w:noProof/>
          <w:lang w:eastAsia="en-AU"/>
        </w:rPr>
      </w:pPr>
      <w:r>
        <w:t>63</w:t>
      </w:r>
      <w:r w:rsidR="000B5528" w:rsidRPr="00425452">
        <w:t xml:space="preserve"> per cent of</w:t>
      </w:r>
      <w:r w:rsidR="000B5528" w:rsidRPr="000B5528">
        <w:rPr>
          <w:noProof/>
          <w:lang w:eastAsia="en-AU"/>
        </w:rPr>
        <w:t xml:space="preserve"> executives who indicated </w:t>
      </w:r>
      <w:r w:rsidR="003B3DA7">
        <w:rPr>
          <w:noProof/>
          <w:lang w:eastAsia="en-AU"/>
        </w:rPr>
        <w:t>an intention</w:t>
      </w:r>
      <w:r w:rsidR="000B5528" w:rsidRPr="000B5528">
        <w:rPr>
          <w:noProof/>
          <w:lang w:eastAsia="en-AU"/>
        </w:rPr>
        <w:t xml:space="preserve"> to leave their role within the next year.</w:t>
      </w:r>
    </w:p>
    <w:p w14:paraId="2D17B317" w14:textId="17D0BAE1" w:rsidR="000B5528" w:rsidRPr="000B5528" w:rsidRDefault="000B5528" w:rsidP="007C0A0E">
      <w:pPr>
        <w:pStyle w:val="05Paragraph"/>
      </w:pPr>
      <w:r w:rsidRPr="000B5528">
        <w:t xml:space="preserve">Notwithstanding these responses, almost 70 per cent of executives who responded to the </w:t>
      </w:r>
      <w:r w:rsidRPr="007C0A0E">
        <w:t>questionnaire</w:t>
      </w:r>
      <w:r w:rsidRPr="000B5528">
        <w:t xml:space="preserve"> indicated </w:t>
      </w:r>
      <w:r w:rsidR="007C0A0E">
        <w:t>an intention</w:t>
      </w:r>
      <w:r w:rsidRPr="000B5528">
        <w:t xml:space="preserve"> to remain in the VPS as an executive for at least the next three years, including 47 per cent who intend to stay for over five years. Among executives who indicated </w:t>
      </w:r>
      <w:r w:rsidR="007C0A0E">
        <w:t>an intention</w:t>
      </w:r>
      <w:r w:rsidRPr="000B5528">
        <w:t xml:space="preserve"> to stay for one year or more (accounting for around 90 per cent of all respondents), the factors most influencing their decision included the intellectual challenge </w:t>
      </w:r>
      <w:r w:rsidR="003716D5">
        <w:t>provided by the role</w:t>
      </w:r>
      <w:r w:rsidRPr="000B5528">
        <w:t xml:space="preserve"> (63 per cent) and the opportunity to contribute to the community (61 per cent). Notably, around half cited remuneration as a factor in their decision to stay.</w:t>
      </w:r>
    </w:p>
    <w:p w14:paraId="013E55F9" w14:textId="77777777" w:rsidR="000B5528" w:rsidRPr="000B5528" w:rsidRDefault="000B5528" w:rsidP="004D7DE3">
      <w:pPr>
        <w:pStyle w:val="05Paragraph"/>
        <w:keepNext/>
      </w:pPr>
      <w:r w:rsidRPr="000B5528">
        <w:lastRenderedPageBreak/>
        <w:t>Responses to the executive questionnaire may also have been influenced by employer decisions about the placement of executives within the relevant band. For example, one respondent noted:</w:t>
      </w:r>
    </w:p>
    <w:p w14:paraId="4F74D20D" w14:textId="77777777" w:rsidR="000B5528" w:rsidRPr="000B5528" w:rsidRDefault="000B5528" w:rsidP="00DE0A82">
      <w:pPr>
        <w:pStyle w:val="07VIRTBreakouttext"/>
        <w:rPr>
          <w:rFonts w:eastAsia="Rockwell"/>
          <w:i w:val="0"/>
        </w:rPr>
      </w:pPr>
      <w:r w:rsidRPr="000B5528">
        <w:t xml:space="preserve">[The] bands are OK but requirement to </w:t>
      </w:r>
      <w:r w:rsidRPr="00DE0A82">
        <w:t>appoint</w:t>
      </w:r>
      <w:r w:rsidRPr="000B5528">
        <w:t xml:space="preserve"> within 10% of base makes most of the band redundant &amp; creates challenges and delays in recruitment.</w:t>
      </w:r>
    </w:p>
    <w:p w14:paraId="4FAB1716" w14:textId="56154D78" w:rsidR="000B5528" w:rsidRPr="000B5528" w:rsidRDefault="000B5528" w:rsidP="00DE0A82">
      <w:pPr>
        <w:pStyle w:val="05Paragraph"/>
      </w:pPr>
      <w:r w:rsidRPr="000B5528">
        <w:t xml:space="preserve">This suggests that it may be important to distinguish between the remuneration bands themselves and the pay </w:t>
      </w:r>
      <w:r w:rsidRPr="00DE0A82">
        <w:t>practices</w:t>
      </w:r>
      <w:r w:rsidRPr="000B5528">
        <w:t>/policies of individual employers (e.g. defaulting to paying at or near the bottom of the bands) in assessing the former’s competitiveness. Indeed, a potential candidate for an executive role may consider the advertised remuneration range (i.e. the relevant remuneration band) to be competitive, but not the specific employment offer. This may particularly be the case where the employment offer is towards the bottom of the band. Chapter</w:t>
      </w:r>
      <w:r w:rsidR="00DE0A82">
        <w:t> </w:t>
      </w:r>
      <w:r w:rsidRPr="000B5528">
        <w:t xml:space="preserve">8 discusses updates to the Tribunal’s </w:t>
      </w:r>
      <w:r w:rsidR="00FF3F63">
        <w:t>g</w:t>
      </w:r>
      <w:r w:rsidRPr="000B5528">
        <w:t>uidelines which may address this matter, including by:</w:t>
      </w:r>
    </w:p>
    <w:p w14:paraId="71A18E8A" w14:textId="33DEA06B" w:rsidR="000B5528" w:rsidRPr="000B5528" w:rsidRDefault="000B5528" w:rsidP="001D3312">
      <w:pPr>
        <w:pStyle w:val="06VIRTBulletpoints"/>
        <w:rPr>
          <w:noProof/>
          <w:lang w:eastAsia="en-AU"/>
        </w:rPr>
      </w:pPr>
      <w:r w:rsidRPr="000B5528">
        <w:rPr>
          <w:noProof/>
          <w:lang w:eastAsia="en-AU"/>
        </w:rPr>
        <w:t xml:space="preserve">clarifying that employers are not required to remunerate an individual executive at the bottom of the band </w:t>
      </w:r>
    </w:p>
    <w:p w14:paraId="5DE64562" w14:textId="77777777" w:rsidR="000B5528" w:rsidRPr="000B5528" w:rsidRDefault="000B5528" w:rsidP="001D3312">
      <w:pPr>
        <w:pStyle w:val="06VIRTBulletpoints"/>
        <w:rPr>
          <w:noProof/>
          <w:lang w:eastAsia="en-AU"/>
        </w:rPr>
      </w:pPr>
      <w:r w:rsidRPr="000B5528">
        <w:rPr>
          <w:noProof/>
          <w:lang w:eastAsia="en-AU"/>
        </w:rPr>
        <w:t>encouraging regular reviews of remuneration at an individual and workforce level, including consideration of relativities and performance.</w:t>
      </w:r>
    </w:p>
    <w:p w14:paraId="6600A72D" w14:textId="35D97C5C" w:rsidR="000B5528" w:rsidRPr="000B5528" w:rsidRDefault="00AF6E4A" w:rsidP="00425452">
      <w:pPr>
        <w:pStyle w:val="03VIRTHeading3"/>
      </w:pPr>
      <w:r>
        <w:t>R</w:t>
      </w:r>
      <w:r w:rsidR="000B5528" w:rsidRPr="000B5528">
        <w:t xml:space="preserve">emuneration relativities </w:t>
      </w:r>
      <w:r w:rsidR="000E465A">
        <w:t xml:space="preserve">are likely </w:t>
      </w:r>
      <w:r w:rsidR="000B5528" w:rsidRPr="000B5528">
        <w:t>affect</w:t>
      </w:r>
      <w:r>
        <w:t xml:space="preserve">ing </w:t>
      </w:r>
      <w:r w:rsidR="000B5528" w:rsidRPr="000B5528">
        <w:t>the supply of executives</w:t>
      </w:r>
    </w:p>
    <w:p w14:paraId="421A5CBD" w14:textId="77777777" w:rsidR="000B5528" w:rsidRPr="000B5528" w:rsidRDefault="000B5528" w:rsidP="003E0E47">
      <w:pPr>
        <w:pStyle w:val="05Paragraph"/>
      </w:pPr>
      <w:r w:rsidRPr="000B5528">
        <w:t>As discussed earlier in this chapter, the primary source of new executive talent is non</w:t>
      </w:r>
      <w:r w:rsidRPr="000B5528">
        <w:noBreakHyphen/>
        <w:t>executives moving into executive positions. The Tribunal’s previous Determinations have sought to ensure that the values of the remuneration bands, particularly at the SES-1 level, are sufficiently attractive to facilitate a steady flow of high</w:t>
      </w:r>
      <w:r w:rsidRPr="000B5528">
        <w:noBreakHyphen/>
        <w:t>performing non</w:t>
      </w:r>
      <w:r w:rsidRPr="000B5528">
        <w:noBreakHyphen/>
        <w:t>executives into executive positions.</w:t>
      </w:r>
      <w:r w:rsidRPr="000B5528">
        <w:rPr>
          <w:vertAlign w:val="superscript"/>
        </w:rPr>
        <w:footnoteReference w:id="133"/>
      </w:r>
    </w:p>
    <w:p w14:paraId="08648E03" w14:textId="414F5E99" w:rsidR="000B5528" w:rsidRPr="000B5528" w:rsidRDefault="000B5528" w:rsidP="003E0E47">
      <w:pPr>
        <w:pStyle w:val="05Paragraph"/>
      </w:pPr>
      <w:r w:rsidRPr="000B5528">
        <w:t>The Tribunal has previously used the ‘gap’ between the SES-1 band and the VPS Grade 6 (VPS</w:t>
      </w:r>
      <w:r w:rsidR="00001648">
        <w:t>-</w:t>
      </w:r>
      <w:r w:rsidRPr="000B5528">
        <w:t>6) salary band as a reference point when considering remuneration relativities between executives and non-executives.</w:t>
      </w:r>
      <w:r w:rsidRPr="000B5528">
        <w:rPr>
          <w:vertAlign w:val="superscript"/>
        </w:rPr>
        <w:footnoteReference w:id="134"/>
      </w:r>
      <w:r w:rsidRPr="000B5528">
        <w:t xml:space="preserve"> Specifically, when it made its 2020 </w:t>
      </w:r>
      <w:r w:rsidR="00774B05">
        <w:t xml:space="preserve">VPS </w:t>
      </w:r>
      <w:r w:rsidRPr="000B5528">
        <w:t xml:space="preserve">Determination, the Tribunal decided to set the value of the base of </w:t>
      </w:r>
      <w:r w:rsidRPr="000B5528">
        <w:lastRenderedPageBreak/>
        <w:t>the SES-1 band nine per cent higher than the top of the VPS</w:t>
      </w:r>
      <w:r w:rsidR="00001648">
        <w:t>-</w:t>
      </w:r>
      <w:r w:rsidRPr="000B5528">
        <w:t>6 salary range (inclusive of superannuation contributions).</w:t>
      </w:r>
      <w:r w:rsidRPr="000B5528">
        <w:rPr>
          <w:vertAlign w:val="superscript"/>
        </w:rPr>
        <w:footnoteReference w:id="135"/>
      </w:r>
    </w:p>
    <w:p w14:paraId="14A8CA48" w14:textId="77777777" w:rsidR="000B5528" w:rsidRPr="000B5528" w:rsidRDefault="000B5528" w:rsidP="000B5528">
      <w:pPr>
        <w:keepNext/>
        <w:spacing w:after="0"/>
        <w:rPr>
          <w:rFonts w:eastAsia="Rockwell" w:cs="Calibri Light"/>
          <w:color w:val="000000"/>
          <w:szCs w:val="20"/>
        </w:rPr>
      </w:pPr>
      <w:r w:rsidRPr="000B5528">
        <w:rPr>
          <w:rFonts w:eastAsia="Rockwell" w:cs="Calibri Light"/>
          <w:color w:val="000000"/>
          <w:szCs w:val="20"/>
        </w:rPr>
        <w:t>At the time, the Tribunal stated that this gap would:</w:t>
      </w:r>
      <w:r w:rsidRPr="000B5528">
        <w:rPr>
          <w:rFonts w:eastAsia="Rockwell" w:cs="Calibri Light"/>
          <w:color w:val="000000"/>
          <w:szCs w:val="20"/>
          <w:vertAlign w:val="superscript"/>
        </w:rPr>
        <w:footnoteReference w:id="136"/>
      </w:r>
    </w:p>
    <w:p w14:paraId="2A64E0AF" w14:textId="77777777" w:rsidR="000B5528" w:rsidRPr="000B5528" w:rsidRDefault="000B5528" w:rsidP="001D3312">
      <w:pPr>
        <w:pStyle w:val="07VIRTBreakouttext"/>
        <w:rPr>
          <w:rFonts w:eastAsia="Rockwell"/>
          <w:i w:val="0"/>
        </w:rPr>
      </w:pPr>
      <w:r w:rsidRPr="000B5528">
        <w:t>… increase the incentive for non</w:t>
      </w:r>
      <w:r w:rsidRPr="000B5528">
        <w:noBreakHyphen/>
        <w:t>executive VPS staff to apply for executive roles by, at least in part, compensating for the reduction in employment conditions when moving from a non</w:t>
      </w:r>
      <w:r w:rsidRPr="000B5528">
        <w:noBreakHyphen/>
        <w:t>executive to an executive role.</w:t>
      </w:r>
    </w:p>
    <w:p w14:paraId="7B0C59B6" w14:textId="305EC04B" w:rsidR="000B5528" w:rsidRPr="000B5528" w:rsidRDefault="000B5528" w:rsidP="003E0E47">
      <w:pPr>
        <w:pStyle w:val="05Paragraph"/>
      </w:pPr>
      <w:r w:rsidRPr="000B5528">
        <w:t>The Tribunal’s annual adjustment Determinations, made in 2021, 2022 and 2023, maintained a gap between the values of the VPS</w:t>
      </w:r>
      <w:r w:rsidR="00001648">
        <w:t>-</w:t>
      </w:r>
      <w:r w:rsidRPr="000B5528">
        <w:t xml:space="preserve">6 and SES-1 bands, although the value of the gap has fluctuated over time due to salary increases under the </w:t>
      </w:r>
      <w:r w:rsidR="008F7F32">
        <w:t>VPS EA 2020</w:t>
      </w:r>
      <w:r w:rsidRPr="000B5528">
        <w:t xml:space="preserve"> (Figure 4.6). Since 1 December 2023, when the last increase under the VPS</w:t>
      </w:r>
      <w:r w:rsidR="004A04A2">
        <w:t xml:space="preserve"> EA 2020</w:t>
      </w:r>
      <w:r w:rsidRPr="000B5528">
        <w:t xml:space="preserve"> took effect, the gap has been 11.5 per cent ($22,271 including superannuation).</w:t>
      </w:r>
    </w:p>
    <w:p w14:paraId="23DA878A" w14:textId="62971D80" w:rsidR="000B5528" w:rsidRPr="000B5528" w:rsidRDefault="000B5528" w:rsidP="003E0E47">
      <w:pPr>
        <w:pStyle w:val="05Paragraph"/>
      </w:pPr>
      <w:r w:rsidRPr="000B5528">
        <w:t>The Tribunal also notes that VPS</w:t>
      </w:r>
      <w:r w:rsidR="002B01EF">
        <w:t>-</w:t>
      </w:r>
      <w:r w:rsidRPr="000B5528">
        <w:t>6 employees receive other entitlements, including an annual mobility payment and a top of value range payment (paid to employees at the top of their value range who satisfy their progression criteria), that serve to reduce the effective gap in remuneration vis-à-vis executives.</w:t>
      </w:r>
    </w:p>
    <w:p w14:paraId="118E8CAE" w14:textId="32661BB6" w:rsidR="000B5528" w:rsidRPr="000B5528" w:rsidRDefault="000B5528" w:rsidP="00144BE8">
      <w:pPr>
        <w:pStyle w:val="08Figuretableboxheading"/>
      </w:pPr>
      <w:bookmarkStart w:id="104" w:name="_Toc170393550"/>
      <w:r w:rsidRPr="000B5528">
        <w:t>Figure 4.6: Percentage gap between the VPS</w:t>
      </w:r>
      <w:r w:rsidR="002B01EF">
        <w:t>-</w:t>
      </w:r>
      <w:r w:rsidRPr="000B5528">
        <w:t>6 and SES-1 bands, 2020 – 2023</w:t>
      </w:r>
      <w:bookmarkEnd w:id="104"/>
    </w:p>
    <w:p w14:paraId="24B7B6FF" w14:textId="77777777" w:rsidR="000B5528" w:rsidRPr="000B5528" w:rsidRDefault="000B5528" w:rsidP="000B5528">
      <w:pPr>
        <w:spacing w:after="0"/>
        <w:rPr>
          <w:rFonts w:eastAsia="Rockwell" w:cs="Calibri Light"/>
          <w:color w:val="000000"/>
          <w:szCs w:val="20"/>
        </w:rPr>
      </w:pPr>
      <w:r w:rsidRPr="000B5528">
        <w:rPr>
          <w:rFonts w:eastAsia="Rockwell" w:cs="Calibri Light"/>
          <w:noProof/>
          <w:color w:val="000000"/>
          <w:szCs w:val="20"/>
        </w:rPr>
        <w:drawing>
          <wp:inline distT="0" distB="0" distL="0" distR="0" wp14:anchorId="1AFC07D3" wp14:editId="51C4EBE3">
            <wp:extent cx="5400040" cy="2146935"/>
            <wp:effectExtent l="19050" t="19050" r="10160" b="24765"/>
            <wp:docPr id="1208754432" name="Picture 1" descr="A graph with arrow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54432" name="Picture 1" descr="A graph with arrows and a line&#10;&#10;Description automatically generated"/>
                    <pic:cNvPicPr/>
                  </pic:nvPicPr>
                  <pic:blipFill>
                    <a:blip r:embed="rId48"/>
                    <a:stretch>
                      <a:fillRect/>
                    </a:stretch>
                  </pic:blipFill>
                  <pic:spPr>
                    <a:xfrm>
                      <a:off x="0" y="0"/>
                      <a:ext cx="5400040" cy="2146935"/>
                    </a:xfrm>
                    <a:prstGeom prst="rect">
                      <a:avLst/>
                    </a:prstGeom>
                    <a:ln>
                      <a:solidFill>
                        <a:srgbClr val="148A5D"/>
                      </a:solidFill>
                    </a:ln>
                  </pic:spPr>
                </pic:pic>
              </a:graphicData>
            </a:graphic>
          </wp:inline>
        </w:drawing>
      </w:r>
    </w:p>
    <w:p w14:paraId="36F40890" w14:textId="7DD7D587" w:rsidR="000B5528" w:rsidRPr="000B5528" w:rsidRDefault="000B5528" w:rsidP="00B46FAA">
      <w:pPr>
        <w:pStyle w:val="09Sourcesandnotesfortablesfiguresboxes"/>
      </w:pPr>
      <w:r w:rsidRPr="000B5528">
        <w:t>Note: The red arrows indicate</w:t>
      </w:r>
      <w:r w:rsidR="00AF6E4A">
        <w:t xml:space="preserve"> the impact of</w:t>
      </w:r>
      <w:r w:rsidRPr="000B5528">
        <w:t xml:space="preserve"> a salary increase under the </w:t>
      </w:r>
      <w:r w:rsidR="00B46FAA" w:rsidRPr="00E00DB3">
        <w:rPr>
          <w:iCs/>
        </w:rPr>
        <w:t>VPS EA 2020</w:t>
      </w:r>
      <w:r w:rsidRPr="000B5528">
        <w:t>. The blue arrows indicate the</w:t>
      </w:r>
      <w:r w:rsidR="00AF6E4A">
        <w:t xml:space="preserve"> impact of the</w:t>
      </w:r>
      <w:r w:rsidRPr="000B5528">
        <w:t xml:space="preserve"> Tribunal’s annual </w:t>
      </w:r>
      <w:r w:rsidRPr="00E00DB3">
        <w:t>adjustment</w:t>
      </w:r>
      <w:r w:rsidRPr="000B5528">
        <w:t xml:space="preserve"> Determinations, which take effect on 1 July each year.</w:t>
      </w:r>
    </w:p>
    <w:p w14:paraId="4AF9516E" w14:textId="77777777" w:rsidR="000B5528" w:rsidRPr="000B5528" w:rsidRDefault="000B5528" w:rsidP="004D7DE3">
      <w:pPr>
        <w:pStyle w:val="05Paragraph"/>
        <w:keepNext/>
      </w:pPr>
      <w:r w:rsidRPr="000B5528">
        <w:lastRenderedPageBreak/>
        <w:t>The VSB submission considered it important to preserve the gap between SES and VPS</w:t>
      </w:r>
      <w:r w:rsidRPr="000B5528">
        <w:noBreakHyphen/>
        <w:t>6 remuneration:</w:t>
      </w:r>
    </w:p>
    <w:p w14:paraId="59B5CFFC" w14:textId="2F301168" w:rsidR="000B5528" w:rsidRPr="000B5528" w:rsidRDefault="000B5528" w:rsidP="001D3312">
      <w:pPr>
        <w:pStyle w:val="07VIRTBreakouttext"/>
        <w:rPr>
          <w:rFonts w:eastAsia="Rockwell"/>
          <w:i w:val="0"/>
        </w:rPr>
      </w:pPr>
      <w:r w:rsidRPr="000B5528">
        <w:t>To ensure [executives] receive an appropriate premium for foregoing an ongoing role, executive roles are attractive to VPS staff, from both a remuneration and non-monetary benefits perspective, and there is a sufficient pipeline of talent to fill executive roles, remuneration arrangements for the SES-1 remuneration band should preserve an appropriate gap between VPS-6 and SES-1 remuneration levels.</w:t>
      </w:r>
    </w:p>
    <w:p w14:paraId="2EF8ED62" w14:textId="079C0663" w:rsidR="000B5528" w:rsidRPr="000B5528" w:rsidRDefault="000B5528" w:rsidP="003E0E47">
      <w:pPr>
        <w:pStyle w:val="05Paragraph"/>
      </w:pPr>
      <w:r w:rsidRPr="000B5528">
        <w:t>The Tribunal’s questionnaire asked current executives if they consider the difference in remuneration between executives and non</w:t>
      </w:r>
      <w:r w:rsidRPr="000B5528">
        <w:noBreakHyphen/>
        <w:t xml:space="preserve">executives to be appropriate. A majority (57 per cent) of respondents responded in the negative, while around </w:t>
      </w:r>
      <w:r w:rsidR="00932D09">
        <w:t>10</w:t>
      </w:r>
      <w:r w:rsidRPr="000B5528">
        <w:t xml:space="preserve"> per cent were not sure.</w:t>
      </w:r>
    </w:p>
    <w:p w14:paraId="1EB7A597" w14:textId="77777777" w:rsidR="000B5528" w:rsidRPr="000B5528" w:rsidRDefault="000B5528" w:rsidP="003E0E47">
      <w:pPr>
        <w:pStyle w:val="05Paragraph"/>
      </w:pPr>
      <w:r w:rsidRPr="000B5528">
        <w:t>Many respondents felt that the difference in remuneration between the non</w:t>
      </w:r>
      <w:r w:rsidRPr="000B5528">
        <w:noBreakHyphen/>
        <w:t>executive and SES</w:t>
      </w:r>
      <w:r w:rsidRPr="000B5528">
        <w:noBreakHyphen/>
        <w:t>1 levels does not reflect the additional responsibilities, workload and risk associated with taking on an executive role.</w:t>
      </w:r>
    </w:p>
    <w:p w14:paraId="0658554B" w14:textId="77777777" w:rsidR="000B5528" w:rsidRPr="000B5528" w:rsidRDefault="000B5528" w:rsidP="00E00DB3">
      <w:pPr>
        <w:pStyle w:val="05Paragraph"/>
        <w:keepNext/>
      </w:pPr>
      <w:r w:rsidRPr="000B5528">
        <w:t>For example, one executive stated:</w:t>
      </w:r>
    </w:p>
    <w:p w14:paraId="05CCE402" w14:textId="77777777" w:rsidR="000B5528" w:rsidRPr="000B5528" w:rsidRDefault="000B5528" w:rsidP="001D3312">
      <w:pPr>
        <w:pStyle w:val="07VIRTBreakouttext"/>
        <w:rPr>
          <w:rFonts w:eastAsia="Rockwell"/>
          <w:i w:val="0"/>
        </w:rPr>
      </w:pPr>
      <w:r w:rsidRPr="000B5528">
        <w:t>The level of personal responsibility and risk, and required commitment (hours, availability etc) is considerably higher for executives [than non</w:t>
      </w:r>
      <w:r w:rsidRPr="000B5528">
        <w:noBreakHyphen/>
        <w:t>executives] and the difference in [the remuneration] bands does not feel adequate to address this.</w:t>
      </w:r>
    </w:p>
    <w:p w14:paraId="2053D853" w14:textId="77777777" w:rsidR="000B5528" w:rsidRPr="000B5528" w:rsidRDefault="000B5528" w:rsidP="003E0E47">
      <w:pPr>
        <w:pStyle w:val="05Paragraph"/>
      </w:pPr>
      <w:r w:rsidRPr="000B5528">
        <w:t>Similarly, many respondents considered that the difference in remuneration did not adequately compensate for the reduction in employment conditions upon becoming an executive (e.g. fixed-term contracts, no leave loading). According to one executive:</w:t>
      </w:r>
    </w:p>
    <w:p w14:paraId="4B9EB973" w14:textId="21FC6FA3" w:rsidR="000B5528" w:rsidRPr="000B5528" w:rsidRDefault="000B5528" w:rsidP="001D3312">
      <w:pPr>
        <w:pStyle w:val="07VIRTBreakouttext"/>
        <w:rPr>
          <w:rFonts w:eastAsia="Rockwell"/>
          <w:i w:val="0"/>
        </w:rPr>
      </w:pPr>
      <w:r w:rsidRPr="000B5528">
        <w:t xml:space="preserve">Conditions of employment are much better for non-executive VPS employees. Frequent comments I hear from talented up and coming VPS staff is </w:t>
      </w:r>
      <w:r w:rsidR="00AF6E4A">
        <w:t>‘</w:t>
      </w:r>
      <w:r w:rsidRPr="000B5528">
        <w:t>why would you take an exec role in the VPS when you have the certainty of a VPS</w:t>
      </w:r>
      <w:r w:rsidR="00AF6E4A">
        <w:t>-</w:t>
      </w:r>
      <w:r w:rsidRPr="000B5528">
        <w:t>6 role?'.</w:t>
      </w:r>
    </w:p>
    <w:p w14:paraId="233D4DB1" w14:textId="1219837D" w:rsidR="000B5528" w:rsidRPr="000B5528" w:rsidRDefault="000B5528" w:rsidP="003E0E47">
      <w:pPr>
        <w:pStyle w:val="05Paragraph"/>
      </w:pPr>
      <w:r w:rsidRPr="000B5528">
        <w:t xml:space="preserve">The VPS </w:t>
      </w:r>
      <w:r w:rsidR="00B46FAA">
        <w:t>EA 2020</w:t>
      </w:r>
      <w:r w:rsidRPr="000B5528">
        <w:t xml:space="preserve"> also provides for a VPS Grade 7 salary band for Senior Technical Specialists (STS), which sits above the VPS</w:t>
      </w:r>
      <w:r w:rsidR="002B01EF">
        <w:t>-</w:t>
      </w:r>
      <w:r w:rsidRPr="000B5528">
        <w:t>6 band.</w:t>
      </w:r>
      <w:r w:rsidRPr="000B5528">
        <w:rPr>
          <w:vertAlign w:val="superscript"/>
        </w:rPr>
        <w:footnoteReference w:id="137"/>
      </w:r>
      <w:r w:rsidRPr="000B5528">
        <w:t xml:space="preserve"> STS employees are entitled to the same employment conditions as other non</w:t>
      </w:r>
      <w:r w:rsidRPr="000B5528">
        <w:noBreakHyphen/>
        <w:t xml:space="preserve">executives. Adjusting for </w:t>
      </w:r>
      <w:r w:rsidRPr="000B5528">
        <w:lastRenderedPageBreak/>
        <w:t>superannuation payable to non-executives, there is a considerable overlap between the STS ($197,012 - $267,940) and SES-1 ($216,376 - $279,328) bands, and a relatively small gap (4.2 per cent) between the former and the top of the SES-1 band (Figure 4.7).</w:t>
      </w:r>
    </w:p>
    <w:p w14:paraId="01DA3BC6" w14:textId="0D0AD2B4" w:rsidR="000B5528" w:rsidRDefault="000B5528" w:rsidP="00144BE8">
      <w:pPr>
        <w:pStyle w:val="08Figuretableboxheading"/>
      </w:pPr>
      <w:bookmarkStart w:id="105" w:name="_Toc170393551"/>
      <w:r w:rsidRPr="000B5528">
        <w:t>Figure 4.7: Comparison of current VPS executive and non-executive remuneration bands, as at 1 December 2023</w:t>
      </w:r>
      <w:bookmarkEnd w:id="105"/>
    </w:p>
    <w:p w14:paraId="0660A12D" w14:textId="3C868FBD" w:rsidR="00BA1D83" w:rsidRPr="000B5528" w:rsidRDefault="00BA1D83" w:rsidP="00144BE8">
      <w:pPr>
        <w:pStyle w:val="08Figuretableboxheading"/>
        <w:rPr>
          <w:rFonts w:eastAsia="Rockwell"/>
        </w:rPr>
      </w:pPr>
      <w:r>
        <w:rPr>
          <w:rFonts w:eastAsia="Rockwell"/>
          <w:noProof/>
        </w:rPr>
        <w:drawing>
          <wp:inline distT="0" distB="0" distL="0" distR="0" wp14:anchorId="4BEEC420" wp14:editId="3259DD2B">
            <wp:extent cx="5377180" cy="2707005"/>
            <wp:effectExtent l="0" t="0" r="0" b="0"/>
            <wp:docPr id="5638441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77180" cy="2707005"/>
                    </a:xfrm>
                    <a:prstGeom prst="rect">
                      <a:avLst/>
                    </a:prstGeom>
                    <a:noFill/>
                  </pic:spPr>
                </pic:pic>
              </a:graphicData>
            </a:graphic>
          </wp:inline>
        </w:drawing>
      </w:r>
    </w:p>
    <w:p w14:paraId="581DF900" w14:textId="25D02C6A" w:rsidR="000B5528" w:rsidRPr="000B5528" w:rsidRDefault="000B5528" w:rsidP="00BA1D83">
      <w:pPr>
        <w:pStyle w:val="09Sourcesandnotesfortablesfiguresboxes"/>
        <w:rPr>
          <w:rFonts w:eastAsia="Rockwell" w:cs="Times New Roman"/>
          <w:color w:val="000000"/>
        </w:rPr>
      </w:pPr>
      <w:r w:rsidRPr="000B5528">
        <w:rPr>
          <w:rFonts w:eastAsia="Rockwell" w:cs="Arial"/>
          <w:noProof/>
          <w:color w:val="4D4D4D"/>
        </w:rPr>
        <mc:AlternateContent>
          <mc:Choice Requires="wps">
            <w:drawing>
              <wp:anchor distT="0" distB="0" distL="114300" distR="114300" simplePos="0" relativeHeight="251658245" behindDoc="0" locked="0" layoutInCell="1" allowOverlap="1" wp14:anchorId="0A9A5330" wp14:editId="5D76053E">
                <wp:simplePos x="0" y="0"/>
                <wp:positionH relativeFrom="column">
                  <wp:posOffset>2636520</wp:posOffset>
                </wp:positionH>
                <wp:positionV relativeFrom="paragraph">
                  <wp:posOffset>849630</wp:posOffset>
                </wp:positionV>
                <wp:extent cx="320040" cy="0"/>
                <wp:effectExtent l="38100" t="76200" r="22860" b="95250"/>
                <wp:wrapNone/>
                <wp:docPr id="706496175" name="Straight Arrow Connector 6"/>
                <wp:cNvGraphicFramePr/>
                <a:graphic xmlns:a="http://schemas.openxmlformats.org/drawingml/2006/main">
                  <a:graphicData uri="http://schemas.microsoft.com/office/word/2010/wordprocessingShape">
                    <wps:wsp>
                      <wps:cNvCnPr/>
                      <wps:spPr>
                        <a:xfrm>
                          <a:off x="0" y="0"/>
                          <a:ext cx="320040" cy="0"/>
                        </a:xfrm>
                        <a:prstGeom prst="straightConnector1">
                          <a:avLst/>
                        </a:prstGeom>
                        <a:noFill/>
                        <a:ln w="25400" cap="flat" cmpd="sng" algn="ctr">
                          <a:solidFill>
                            <a:srgbClr val="26664E"/>
                          </a:solidFill>
                          <a:prstDash val="solid"/>
                          <a:headEnd type="triangle"/>
                          <a:tailEnd type="triangle"/>
                        </a:ln>
                        <a:effectLst/>
                      </wps:spPr>
                      <wps:bodyPr/>
                    </wps:wsp>
                  </a:graphicData>
                </a:graphic>
              </wp:anchor>
            </w:drawing>
          </mc:Choice>
          <mc:Fallback>
            <w:pict>
              <v:shapetype w14:anchorId="2C41A207" id="_x0000_t32" coordsize="21600,21600" o:spt="32" o:oned="t" path="m,l21600,21600e" filled="f">
                <v:path arrowok="t" fillok="f" o:connecttype="none"/>
                <o:lock v:ext="edit" shapetype="t"/>
              </v:shapetype>
              <v:shape id="Straight Arrow Connector 6" o:spid="_x0000_s1026" type="#_x0000_t32" style="position:absolute;margin-left:207.6pt;margin-top:66.9pt;width:25.2pt;height:0;z-index:25165824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" strokecolor="#26664e" strokeweight="2pt">
                <v:stroke startarrow="block" endarrow="block"/>
              </v:shape>
            </w:pict>
          </mc:Fallback>
        </mc:AlternateContent>
      </w:r>
      <w:r w:rsidRPr="000B5528">
        <w:t>Note: The employer superannuation contribution has been added to the</w:t>
      </w:r>
      <w:r w:rsidR="009033CB">
        <w:t xml:space="preserve"> VPS</w:t>
      </w:r>
      <w:r w:rsidR="00D1363C">
        <w:t xml:space="preserve">-6 and STS </w:t>
      </w:r>
      <w:r w:rsidRPr="000B5528">
        <w:t>salary ranges for comparison.</w:t>
      </w:r>
    </w:p>
    <w:p w14:paraId="10E660D3" w14:textId="6FC34D29" w:rsidR="000B5528" w:rsidRPr="000B5528" w:rsidRDefault="000B5528" w:rsidP="001D3312">
      <w:pPr>
        <w:pStyle w:val="09Sourcesandnotesfortablesfiguresboxes"/>
        <w:rPr>
          <w:rFonts w:eastAsia="Rockwell" w:cs="Times New Roman"/>
          <w:color w:val="000000"/>
        </w:rPr>
      </w:pPr>
      <w:r w:rsidRPr="000B5528">
        <w:t xml:space="preserve">Sources: </w:t>
      </w:r>
      <w:r w:rsidRPr="004147CC">
        <w:t xml:space="preserve">VPS </w:t>
      </w:r>
      <w:r w:rsidR="00042E9D" w:rsidRPr="004147CC">
        <w:t>EA</w:t>
      </w:r>
      <w:r w:rsidRPr="004147CC">
        <w:t xml:space="preserve"> 2020</w:t>
      </w:r>
      <w:r w:rsidR="006427C3">
        <w:t>;</w:t>
      </w:r>
      <w:r w:rsidRPr="000B5528">
        <w:t xml:space="preserve"> </w:t>
      </w:r>
      <w:r w:rsidR="00EB2156">
        <w:t xml:space="preserve">Tribunal </w:t>
      </w:r>
      <w:r w:rsidRPr="000B5528">
        <w:t>(2023</w:t>
      </w:r>
      <w:r w:rsidR="00EB2156">
        <w:t>b</w:t>
      </w:r>
      <w:r w:rsidRPr="000B5528">
        <w:t>)</w:t>
      </w:r>
      <w:r w:rsidRPr="000B5528">
        <w:rPr>
          <w:rFonts w:eastAsia="Rockwell" w:cs="Times New Roman"/>
          <w:color w:val="000000"/>
        </w:rPr>
        <w:t>.</w:t>
      </w:r>
    </w:p>
    <w:p w14:paraId="711D40BD" w14:textId="0D94D5C3" w:rsidR="000B5528" w:rsidRPr="000B5528" w:rsidRDefault="000B5528" w:rsidP="003E0E47">
      <w:pPr>
        <w:pStyle w:val="05Paragraph"/>
      </w:pPr>
      <w:r w:rsidRPr="000B5528">
        <w:t>Between June 2020 and June 2023, the number of STS employees in public service bodies that were paid at or above the base of the SES-1 band increased from 44</w:t>
      </w:r>
      <w:r w:rsidR="006E4421">
        <w:t>6</w:t>
      </w:r>
      <w:r w:rsidRPr="000B5528">
        <w:t xml:space="preserve"> to 65</w:t>
      </w:r>
      <w:r w:rsidR="006E4421">
        <w:t>3</w:t>
      </w:r>
      <w:r w:rsidRPr="000B5528">
        <w:t xml:space="preserve"> (Figure 4.8), but declined as a proportion of all STS employees (from 92 per cent to 78 per cent).</w:t>
      </w:r>
    </w:p>
    <w:p w14:paraId="21D95A94" w14:textId="22F31F69" w:rsidR="00F940A9" w:rsidRDefault="00F940A9">
      <w:pPr>
        <w:spacing w:before="0" w:after="80" w:line="240" w:lineRule="auto"/>
        <w:jc w:val="left"/>
        <w:rPr>
          <w:rFonts w:cs="Arial"/>
          <w:color w:val="auto"/>
          <w:szCs w:val="20"/>
        </w:rPr>
      </w:pPr>
    </w:p>
    <w:p w14:paraId="0A497472" w14:textId="5977E657" w:rsidR="000B5528" w:rsidRDefault="000B5528" w:rsidP="00144BE8">
      <w:pPr>
        <w:pStyle w:val="08Figuretableboxheading"/>
      </w:pPr>
      <w:bookmarkStart w:id="106" w:name="_Toc170393552"/>
      <w:r w:rsidRPr="000B5528">
        <w:lastRenderedPageBreak/>
        <w:t>Figure 4.8: Number of STS employees in public service bodies paid at or above the base of the SES-1 band, June 2020 – June 2023</w:t>
      </w:r>
      <w:bookmarkEnd w:id="106"/>
    </w:p>
    <w:p w14:paraId="6C9ED70F" w14:textId="521C1BFF" w:rsidR="007C0434" w:rsidRDefault="007C0434" w:rsidP="00144BE8">
      <w:pPr>
        <w:pStyle w:val="08Figuretableboxheading"/>
      </w:pPr>
      <w:r>
        <w:rPr>
          <w:noProof/>
        </w:rPr>
        <w:drawing>
          <wp:inline distT="0" distB="0" distL="0" distR="0" wp14:anchorId="24F7FE68" wp14:editId="2ED8E6D4">
            <wp:extent cx="5377180" cy="2426335"/>
            <wp:effectExtent l="0" t="0" r="0" b="0"/>
            <wp:docPr id="14519334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77180" cy="2426335"/>
                    </a:xfrm>
                    <a:prstGeom prst="rect">
                      <a:avLst/>
                    </a:prstGeom>
                    <a:noFill/>
                  </pic:spPr>
                </pic:pic>
              </a:graphicData>
            </a:graphic>
          </wp:inline>
        </w:drawing>
      </w:r>
    </w:p>
    <w:p w14:paraId="1FBFF97D" w14:textId="77777777" w:rsidR="000B5528" w:rsidRDefault="000B5528" w:rsidP="001D3312">
      <w:pPr>
        <w:pStyle w:val="09Sourcesandnotesfortablesfiguresboxes"/>
        <w:rPr>
          <w:rFonts w:eastAsia="Rockwell" w:cs="Times New Roman"/>
          <w:color w:val="000000"/>
        </w:rPr>
      </w:pPr>
      <w:r w:rsidRPr="000B5528">
        <w:t xml:space="preserve">Note: To enable a like-for-like comparison with the base of the SES-1 band (which is inclusive of </w:t>
      </w:r>
      <w:r w:rsidRPr="000B5528">
        <w:rPr>
          <w:rFonts w:eastAsia="Rockwell" w:cs="Times New Roman"/>
          <w:color w:val="000000"/>
        </w:rPr>
        <w:t>superannuation), superannuation was added to the base salary reported for each STS employee.</w:t>
      </w:r>
    </w:p>
    <w:p w14:paraId="5AF209F7" w14:textId="486F6462" w:rsidR="00156262" w:rsidRPr="000B5528" w:rsidRDefault="00156262" w:rsidP="001D3312">
      <w:pPr>
        <w:pStyle w:val="09Sourcesandnotesfortablesfiguresboxes"/>
        <w:rPr>
          <w:rFonts w:eastAsia="Rockwell" w:cs="Times New Roman"/>
          <w:color w:val="000000"/>
        </w:rPr>
      </w:pPr>
      <w:r w:rsidRPr="000B5528">
        <w:t>Source: Tribunal analysis of VPSC data.</w:t>
      </w:r>
    </w:p>
    <w:p w14:paraId="22D2E084" w14:textId="1F45DAFE" w:rsidR="000B5528" w:rsidRPr="000B5528" w:rsidRDefault="000B5528" w:rsidP="003E0E47">
      <w:pPr>
        <w:pStyle w:val="05Paragraph"/>
      </w:pPr>
      <w:r w:rsidRPr="000B5528">
        <w:t>The Tribunal has not previously considered the relativity between the STS and SES bands. This is because STS employees are considered to be:</w:t>
      </w:r>
      <w:r w:rsidR="001D3312" w:rsidRPr="000B5528">
        <w:rPr>
          <w:rFonts w:eastAsia="Rockwell" w:cs="Times New Roman (Body CS)"/>
          <w:spacing w:val="-6"/>
          <w:vertAlign w:val="superscript"/>
        </w:rPr>
        <w:footnoteReference w:id="138"/>
      </w:r>
    </w:p>
    <w:p w14:paraId="0EFBF2F6" w14:textId="44ABCC55" w:rsidR="000B5528" w:rsidRPr="000B5528" w:rsidRDefault="000B5528" w:rsidP="001D3312">
      <w:pPr>
        <w:pStyle w:val="07VIRTBreakouttext"/>
      </w:pPr>
      <w:r w:rsidRPr="000B5528">
        <w:t>… experts in specific fields of work, whose roles primarily involve specialist work rather than people management, and whose knowledge is rare and therefore highly valued (beyond the market value of a VPS</w:t>
      </w:r>
      <w:r w:rsidR="002D1FD4">
        <w:t>-</w:t>
      </w:r>
      <w:r w:rsidRPr="000B5528">
        <w:t>6).</w:t>
      </w:r>
    </w:p>
    <w:p w14:paraId="72A47406" w14:textId="39EBF5C2" w:rsidR="000B5528" w:rsidRPr="000B5528" w:rsidRDefault="003354FF" w:rsidP="004147CC">
      <w:pPr>
        <w:pStyle w:val="02VIRTHeading2"/>
      </w:pPr>
      <w:bookmarkStart w:id="107" w:name="_Toc170396230"/>
      <w:r>
        <w:t>4.5</w:t>
      </w:r>
      <w:r>
        <w:tab/>
      </w:r>
      <w:r w:rsidR="000B5528" w:rsidRPr="000B5528">
        <w:t>The remuneration bands are positioned towards the lower end of the market</w:t>
      </w:r>
      <w:bookmarkEnd w:id="107"/>
    </w:p>
    <w:p w14:paraId="2A03EDE9" w14:textId="3F67F95E" w:rsidR="000B5528" w:rsidRPr="000B5528" w:rsidRDefault="000B5528" w:rsidP="003E0E47">
      <w:pPr>
        <w:pStyle w:val="05Paragraph"/>
      </w:pPr>
      <w:r w:rsidRPr="000B5528">
        <w:t xml:space="preserve">To support the making of the Determination, the Tribunal commissioned Mercer to undertake work value assessments and remuneration benchmarking for VPS executive roles, including Secretaries and the </w:t>
      </w:r>
      <w:r w:rsidR="00391B9F" w:rsidRPr="00391B9F">
        <w:t xml:space="preserve">Victorian Public Sector </w:t>
      </w:r>
      <w:r w:rsidRPr="000B5528">
        <w:t>Commissioner, and provide advice on market positioning. The key findings are summarised below.</w:t>
      </w:r>
    </w:p>
    <w:p w14:paraId="73CAD47D" w14:textId="1492DE11" w:rsidR="000B5528" w:rsidRPr="000B5528" w:rsidRDefault="000B5528" w:rsidP="003E0E47">
      <w:pPr>
        <w:pStyle w:val="05Paragraph"/>
      </w:pPr>
      <w:r w:rsidRPr="000B5528">
        <w:t xml:space="preserve">In 2019, Mercer undertook work value assessments for each SES level using its proprietary job evaluation system to inform the Tribunal’s 2020 </w:t>
      </w:r>
      <w:r w:rsidR="00CA6145">
        <w:t>VPS</w:t>
      </w:r>
      <w:r w:rsidRPr="000B5528">
        <w:t xml:space="preserve"> Determination (Box 4.1). These assessments were based on the work value descriptors in the VPS Executive Classification Framework and resulted in notional </w:t>
      </w:r>
      <w:r w:rsidRPr="000B5528">
        <w:lastRenderedPageBreak/>
        <w:t xml:space="preserve">‘low’ and ‘high’ work value scores for each level. Mercer then used the notional work value assessments to develop contiguous work value ranges for each level. Mercer also undertook desktop work value assessments for the roles of Secretaries and the </w:t>
      </w:r>
      <w:r w:rsidR="00391B9F" w:rsidRPr="00391B9F">
        <w:t xml:space="preserve">Victorian Public Sector </w:t>
      </w:r>
      <w:r w:rsidRPr="000B5528">
        <w:t>Commissioner, which were used to develop a single work value range for this cohort.</w:t>
      </w:r>
    </w:p>
    <w:p w14:paraId="4746BF3D" w14:textId="215A149F" w:rsidR="000B5528" w:rsidRPr="000B5528" w:rsidRDefault="000B5528" w:rsidP="00144BE8">
      <w:pPr>
        <w:pStyle w:val="08Figuretableboxheading"/>
      </w:pPr>
      <w:bookmarkStart w:id="108" w:name="_Toc170393553"/>
      <w:r w:rsidRPr="000B5528">
        <w:t>Box 4.1: Overview of M</w:t>
      </w:r>
      <w:r w:rsidR="00AA4A73">
        <w:t xml:space="preserve">ercer </w:t>
      </w:r>
      <w:r w:rsidRPr="000B5528">
        <w:t>CED Job Evaluation System</w:t>
      </w:r>
      <w:bookmarkEnd w:id="108"/>
    </w:p>
    <w:p w14:paraId="00235C82" w14:textId="77777777" w:rsidR="000B5528" w:rsidRPr="000B5528" w:rsidRDefault="000B5528" w:rsidP="000B5528">
      <w:pPr>
        <w:spacing w:after="0"/>
        <w:rPr>
          <w:rFonts w:eastAsia="Rockwell" w:cs="Calibri Light"/>
          <w:color w:val="000000"/>
          <w:szCs w:val="20"/>
        </w:rPr>
      </w:pPr>
      <w:r w:rsidRPr="000B5528">
        <w:rPr>
          <w:rFonts w:eastAsia="Rockwell" w:cs="Calibri Light"/>
          <w:noProof/>
          <w:color w:val="000000"/>
          <w:sz w:val="18"/>
          <w:szCs w:val="20"/>
        </w:rPr>
        <mc:AlternateContent>
          <mc:Choice Requires="wps">
            <w:drawing>
              <wp:inline distT="0" distB="0" distL="0" distR="0" wp14:anchorId="6BE671D5" wp14:editId="09C75643">
                <wp:extent cx="5400040" cy="2560320"/>
                <wp:effectExtent l="0" t="0" r="10160" b="11430"/>
                <wp:docPr id="280" name="Text Box 280"/>
                <wp:cNvGraphicFramePr/>
                <a:graphic xmlns:a="http://schemas.openxmlformats.org/drawingml/2006/main">
                  <a:graphicData uri="http://schemas.microsoft.com/office/word/2010/wordprocessingShape">
                    <wps:wsp>
                      <wps:cNvSpPr txBox="1"/>
                      <wps:spPr>
                        <a:xfrm>
                          <a:off x="0" y="0"/>
                          <a:ext cx="5400040" cy="2560320"/>
                        </a:xfrm>
                        <a:prstGeom prst="rect">
                          <a:avLst/>
                        </a:prstGeom>
                        <a:noFill/>
                        <a:ln w="19050">
                          <a:solidFill>
                            <a:srgbClr val="148A5D"/>
                          </a:solidFill>
                        </a:ln>
                      </wps:spPr>
                      <wps:txbx>
                        <w:txbxContent>
                          <w:p w14:paraId="704B44C9" w14:textId="425E2DB2" w:rsidR="000B5528" w:rsidRPr="00817EE4" w:rsidRDefault="000B5528" w:rsidP="00817EE4">
                            <w:pPr>
                              <w:pStyle w:val="12BoxText"/>
                            </w:pPr>
                            <w:r w:rsidRPr="00817EE4">
                              <w:t>Mercer’s CED Job Evaluation System is used to measure the relative ‘size’ or ‘worth’ of individual jobs/positions in terms of work value points (the VPS Executive Classification Framework is another such system, developed for internal use by the VPS).</w:t>
                            </w:r>
                          </w:p>
                          <w:p w14:paraId="129AB5B4" w14:textId="64BA8FB3" w:rsidR="000B5528" w:rsidRPr="00817EE4" w:rsidRDefault="000B5528" w:rsidP="00817EE4">
                            <w:pPr>
                              <w:pStyle w:val="12BoxText"/>
                            </w:pPr>
                            <w:r w:rsidRPr="00817EE4">
                              <w:t>Points are assigned according to how a position is assessed against eight sub-factors, which are grouped into the following primary factors:</w:t>
                            </w:r>
                          </w:p>
                          <w:p w14:paraId="54397668" w14:textId="77777777" w:rsidR="000B5528" w:rsidRPr="00817EE4" w:rsidRDefault="000B5528" w:rsidP="00817EE4">
                            <w:pPr>
                              <w:pStyle w:val="13Boxbullets"/>
                            </w:pPr>
                            <w:r w:rsidRPr="00817EE4">
                              <w:t xml:space="preserve">The </w:t>
                            </w:r>
                            <w:r w:rsidRPr="00817EE4">
                              <w:rPr>
                                <w:b/>
                                <w:bCs/>
                              </w:rPr>
                              <w:t>judgement</w:t>
                            </w:r>
                            <w:r w:rsidRPr="00817EE4">
                              <w:t xml:space="preserve"> factor evaluates reasoning components of a job, focusing on the task definition and complexity, the constraining within which employees need to resolve problems and other thinking challenges of the position.</w:t>
                            </w:r>
                          </w:p>
                          <w:p w14:paraId="3B806094" w14:textId="77777777" w:rsidR="000B5528" w:rsidRPr="00817EE4" w:rsidRDefault="000B5528" w:rsidP="00817EE4">
                            <w:pPr>
                              <w:pStyle w:val="13Boxbullets"/>
                            </w:pPr>
                            <w:r w:rsidRPr="00817EE4">
                              <w:t xml:space="preserve">The </w:t>
                            </w:r>
                            <w:r w:rsidRPr="00817EE4">
                              <w:rPr>
                                <w:b/>
                                <w:bCs/>
                              </w:rPr>
                              <w:t>expertise</w:t>
                            </w:r>
                            <w:r w:rsidRPr="00817EE4">
                              <w:t xml:space="preserve"> factor measures the requirements of the position for education, training and work experience, the diversity of individual tasks as well as interpersonal skills.</w:t>
                            </w:r>
                          </w:p>
                          <w:p w14:paraId="4705DDB7" w14:textId="77777777" w:rsidR="000B5528" w:rsidRPr="00817EE4" w:rsidRDefault="000B5528" w:rsidP="00817EE4">
                            <w:pPr>
                              <w:pStyle w:val="13Boxbullets"/>
                            </w:pPr>
                            <w:r w:rsidRPr="00817EE4">
                              <w:t xml:space="preserve">The </w:t>
                            </w:r>
                            <w:r w:rsidRPr="00817EE4">
                              <w:rPr>
                                <w:b/>
                                <w:bCs/>
                              </w:rPr>
                              <w:t>accountability</w:t>
                            </w:r>
                            <w:r w:rsidRPr="00817EE4">
                              <w:t xml:space="preserve"> factor evaluates the nature of the position’s authority and involvement in managing the organisation’s resources. It includes the influence of the position’s advice and accountability for results of decisions.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E671D5" id="Text Box 280" o:spid="_x0000_s1035" type="#_x0000_t202" style="width:425.2pt;height:20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" filled="f" strokecolor="#148a5d" strokeweight="1.5pt">
                <v:textbox>
                  <w:txbxContent>
                    <w:p w14:paraId="704B44C9" w14:textId="425E2DB2" w:rsidR="000B5528" w:rsidRPr="00817EE4" w:rsidRDefault="000B5528" w:rsidP="00817EE4">
                      <w:pPr>
                        <w:pStyle w:val="12BoxText"/>
                      </w:pPr>
                      <w:r w:rsidRPr="00817EE4">
                        <w:t>Mercer’s CED Job Evaluation System is used to measure the relative ‘size’ or ‘worth’ of individual jobs/positions in terms of work value points (the VPS Executive Classification Framework is another such system, developed for internal use by the VPS).</w:t>
                      </w:r>
                    </w:p>
                    <w:p w14:paraId="129AB5B4" w14:textId="64BA8FB3" w:rsidR="000B5528" w:rsidRPr="00817EE4" w:rsidRDefault="000B5528" w:rsidP="00817EE4">
                      <w:pPr>
                        <w:pStyle w:val="12BoxText"/>
                      </w:pPr>
                      <w:r w:rsidRPr="00817EE4">
                        <w:t>Points are assigned according to how a position is assessed against eight sub-factors, which are grouped into the following primary factors:</w:t>
                      </w:r>
                    </w:p>
                    <w:p w14:paraId="54397668" w14:textId="77777777" w:rsidR="000B5528" w:rsidRPr="00817EE4" w:rsidRDefault="000B5528" w:rsidP="00817EE4">
                      <w:pPr>
                        <w:pStyle w:val="13Boxbullets"/>
                      </w:pPr>
                      <w:r w:rsidRPr="00817EE4">
                        <w:t xml:space="preserve">The </w:t>
                      </w:r>
                      <w:r w:rsidRPr="00817EE4">
                        <w:rPr>
                          <w:b/>
                          <w:bCs/>
                        </w:rPr>
                        <w:t>judgement</w:t>
                      </w:r>
                      <w:r w:rsidRPr="00817EE4">
                        <w:t xml:space="preserve"> factor evaluates reasoning components of a job, focusing on the task definition and complexity, the constraining within which employees need to resolve problems and other thinking challenges of the position.</w:t>
                      </w:r>
                    </w:p>
                    <w:p w14:paraId="3B806094" w14:textId="77777777" w:rsidR="000B5528" w:rsidRPr="00817EE4" w:rsidRDefault="000B5528" w:rsidP="00817EE4">
                      <w:pPr>
                        <w:pStyle w:val="13Boxbullets"/>
                      </w:pPr>
                      <w:r w:rsidRPr="00817EE4">
                        <w:t xml:space="preserve">The </w:t>
                      </w:r>
                      <w:r w:rsidRPr="00817EE4">
                        <w:rPr>
                          <w:b/>
                          <w:bCs/>
                        </w:rPr>
                        <w:t>expertise</w:t>
                      </w:r>
                      <w:r w:rsidRPr="00817EE4">
                        <w:t xml:space="preserve"> factor measures the requirements of the position for education, training and work experience, the diversity of individual tasks as well as interpersonal skills.</w:t>
                      </w:r>
                    </w:p>
                    <w:p w14:paraId="4705DDB7" w14:textId="77777777" w:rsidR="000B5528" w:rsidRPr="00817EE4" w:rsidRDefault="000B5528" w:rsidP="00817EE4">
                      <w:pPr>
                        <w:pStyle w:val="13Boxbullets"/>
                      </w:pPr>
                      <w:r w:rsidRPr="00817EE4">
                        <w:t xml:space="preserve">The </w:t>
                      </w:r>
                      <w:r w:rsidRPr="00817EE4">
                        <w:rPr>
                          <w:b/>
                          <w:bCs/>
                        </w:rPr>
                        <w:t>accountability</w:t>
                      </w:r>
                      <w:r w:rsidRPr="00817EE4">
                        <w:t xml:space="preserve"> factor evaluates the nature of the position’s authority and involvement in managing the organisation’s resources. It includes the influence of the position’s advice and accountability for results of decisions.</w:t>
                      </w:r>
                    </w:p>
                  </w:txbxContent>
                </v:textbox>
                <w10:anchorlock/>
              </v:shape>
            </w:pict>
          </mc:Fallback>
        </mc:AlternateContent>
      </w:r>
    </w:p>
    <w:p w14:paraId="67A0966E" w14:textId="686CD74D" w:rsidR="000B5528" w:rsidRPr="000B5528" w:rsidRDefault="000B5528" w:rsidP="001D3312">
      <w:pPr>
        <w:pStyle w:val="09Sourcesandnotesfortablesfiguresboxes"/>
        <w:rPr>
          <w:rFonts w:eastAsia="Rockwell" w:cs="Times New Roman"/>
          <w:color w:val="000000"/>
        </w:rPr>
      </w:pPr>
      <w:r w:rsidRPr="0058287F">
        <w:t xml:space="preserve">Source: </w:t>
      </w:r>
      <w:r w:rsidRPr="00E80E88">
        <w:t>Mercer (2024)</w:t>
      </w:r>
      <w:r w:rsidR="002865A1" w:rsidRPr="00E80E88">
        <w:t>.</w:t>
      </w:r>
    </w:p>
    <w:p w14:paraId="16B7E470" w14:textId="77777777" w:rsidR="000B5528" w:rsidRPr="000B5528" w:rsidRDefault="000B5528" w:rsidP="003E0E47">
      <w:pPr>
        <w:pStyle w:val="05Paragraph"/>
      </w:pPr>
      <w:r w:rsidRPr="000B5528">
        <w:t>For this Determination, Mercer reviewed the work value assessments previously undertaken for each SES level to determine whether any updates were required. Some updates were made to reflect increased budgets at each SES level, although these did not change the overall work value outcomes which, in Mercer’s assessment, continued to be valid for remuneration benchmarking purposes.</w:t>
      </w:r>
    </w:p>
    <w:p w14:paraId="27C362D2" w14:textId="4466E2F6" w:rsidR="000B5528" w:rsidRPr="000B5528" w:rsidRDefault="000B5528" w:rsidP="004570C8">
      <w:pPr>
        <w:pStyle w:val="05Paragraph"/>
      </w:pPr>
      <w:r w:rsidRPr="000B5528">
        <w:t xml:space="preserve">Mercer also reviewed its previous </w:t>
      </w:r>
      <w:r w:rsidRPr="004570C8">
        <w:t>assessments</w:t>
      </w:r>
      <w:r w:rsidRPr="000B5528">
        <w:t xml:space="preserve"> for department Secretaries and the </w:t>
      </w:r>
      <w:r w:rsidR="00391B9F" w:rsidRPr="00391B9F">
        <w:t xml:space="preserve">Victorian Public Sector </w:t>
      </w:r>
      <w:r w:rsidRPr="000B5528">
        <w:t>Commissioner based on recent position descriptions and its understanding of changes to the roles since 2019 (e.g. due to machinery of government changes). This resulted in revised work value outcomes for some positions, which in turn resulted in a higher work value mid-point and work value maximum for the cohort overall.</w:t>
      </w:r>
    </w:p>
    <w:p w14:paraId="0DB2ECBB" w14:textId="2F1529D3" w:rsidR="000B5528" w:rsidRPr="000B5528" w:rsidRDefault="000B5528" w:rsidP="00195648">
      <w:pPr>
        <w:pStyle w:val="05Paragraph"/>
      </w:pPr>
      <w:r w:rsidRPr="000B5528">
        <w:t xml:space="preserve">The work value ranges for each of the SES levels and for Secretaries and the </w:t>
      </w:r>
      <w:r w:rsidR="00391B9F" w:rsidRPr="00391B9F">
        <w:t xml:space="preserve">Victorian Public Sector </w:t>
      </w:r>
      <w:r w:rsidRPr="000B5528">
        <w:t>Commissioner are shown in Table 4.2.</w:t>
      </w:r>
    </w:p>
    <w:p w14:paraId="41561DFE" w14:textId="77777777" w:rsidR="002865A1" w:rsidRDefault="002865A1" w:rsidP="000B5528">
      <w:pPr>
        <w:keepNext/>
        <w:spacing w:after="60" w:line="240" w:lineRule="auto"/>
        <w:jc w:val="left"/>
        <w:rPr>
          <w:rFonts w:eastAsia="Rockwell" w:cs="Arial"/>
          <w:b/>
          <w:color w:val="26664E"/>
          <w:sz w:val="24"/>
          <w:szCs w:val="20"/>
        </w:rPr>
      </w:pPr>
      <w:r>
        <w:rPr>
          <w:rFonts w:eastAsia="Rockwell" w:cs="Arial"/>
          <w:b/>
          <w:color w:val="26664E"/>
          <w:sz w:val="24"/>
          <w:szCs w:val="20"/>
        </w:rPr>
        <w:br w:type="page"/>
      </w:r>
    </w:p>
    <w:p w14:paraId="24307EA1" w14:textId="4ACD4ED5" w:rsidR="000B5528" w:rsidRPr="000B5528" w:rsidRDefault="000B5528" w:rsidP="00144BE8">
      <w:pPr>
        <w:pStyle w:val="08Figuretableboxheading"/>
      </w:pPr>
      <w:bookmarkStart w:id="109" w:name="_Toc170393554"/>
      <w:r w:rsidRPr="000B5528">
        <w:lastRenderedPageBreak/>
        <w:t>Table 4.2: Work value ranges developed by Mercer</w:t>
      </w:r>
      <w:r w:rsidRPr="000B5528">
        <w:rPr>
          <w:vertAlign w:val="superscript"/>
        </w:rPr>
        <w:t>(a)</w:t>
      </w:r>
      <w:bookmarkEnd w:id="109"/>
    </w:p>
    <w:tbl>
      <w:tblPr>
        <w:tblStyle w:val="Glossary1"/>
        <w:tblW w:w="0" w:type="auto"/>
        <w:tblLook w:val="04A0" w:firstRow="1" w:lastRow="0" w:firstColumn="1" w:lastColumn="0" w:noHBand="0" w:noVBand="1"/>
      </w:tblPr>
      <w:tblGrid>
        <w:gridCol w:w="3870"/>
        <w:gridCol w:w="1544"/>
        <w:gridCol w:w="1545"/>
        <w:gridCol w:w="1545"/>
      </w:tblGrid>
      <w:tr w:rsidR="000B5528" w:rsidRPr="000B5528" w14:paraId="33F1E8B4" w14:textId="77777777">
        <w:trPr>
          <w:cnfStyle w:val="100000000000" w:firstRow="1" w:lastRow="0" w:firstColumn="0" w:lastColumn="0" w:oddVBand="0" w:evenVBand="0" w:oddHBand="0" w:evenHBand="0" w:firstRowFirstColumn="0" w:firstRowLastColumn="0" w:lastRowFirstColumn="0" w:lastRowLastColumn="0"/>
        </w:trPr>
        <w:tc>
          <w:tcPr>
            <w:tcW w:w="3870" w:type="dxa"/>
          </w:tcPr>
          <w:p w14:paraId="73769EE8" w14:textId="77777777" w:rsidR="000B5528" w:rsidRPr="000B5528" w:rsidRDefault="000B5528" w:rsidP="000B5528">
            <w:pPr>
              <w:keepNext/>
              <w:spacing w:before="0" w:after="0" w:line="240" w:lineRule="auto"/>
              <w:jc w:val="left"/>
              <w:rPr>
                <w:rFonts w:eastAsia="Rockwell" w:cs="Times New Roman"/>
                <w:color w:val="FFFFFF"/>
                <w:sz w:val="22"/>
              </w:rPr>
            </w:pPr>
            <w:r w:rsidRPr="000B5528">
              <w:rPr>
                <w:rFonts w:eastAsia="Rockwell" w:cs="Times New Roman"/>
                <w:color w:val="FFFFFF"/>
                <w:sz w:val="22"/>
              </w:rPr>
              <w:t>Classification</w:t>
            </w:r>
          </w:p>
        </w:tc>
        <w:tc>
          <w:tcPr>
            <w:tcW w:w="1544" w:type="dxa"/>
          </w:tcPr>
          <w:p w14:paraId="28BB21DE" w14:textId="77777777" w:rsidR="000B5528" w:rsidRPr="000B5528" w:rsidRDefault="000B5528" w:rsidP="0007432F">
            <w:pPr>
              <w:keepNext/>
              <w:spacing w:before="0" w:after="0" w:line="240" w:lineRule="auto"/>
              <w:jc w:val="center"/>
              <w:rPr>
                <w:rFonts w:eastAsia="Rockwell" w:cs="Times New Roman"/>
                <w:color w:val="FFFFFF"/>
                <w:sz w:val="22"/>
              </w:rPr>
            </w:pPr>
            <w:r w:rsidRPr="000B5528">
              <w:rPr>
                <w:rFonts w:eastAsia="Rockwell" w:cs="Times New Roman"/>
                <w:color w:val="FFFFFF"/>
                <w:sz w:val="22"/>
              </w:rPr>
              <w:t>Minimum</w:t>
            </w:r>
          </w:p>
        </w:tc>
        <w:tc>
          <w:tcPr>
            <w:tcW w:w="1545" w:type="dxa"/>
          </w:tcPr>
          <w:p w14:paraId="2E0F1798" w14:textId="77777777" w:rsidR="000B5528" w:rsidRPr="000B5528" w:rsidRDefault="000B5528" w:rsidP="0007432F">
            <w:pPr>
              <w:keepNext/>
              <w:spacing w:before="0" w:after="0" w:line="240" w:lineRule="auto"/>
              <w:jc w:val="center"/>
              <w:rPr>
                <w:rFonts w:eastAsia="Rockwell" w:cs="Times New Roman"/>
                <w:color w:val="FFFFFF"/>
                <w:sz w:val="22"/>
              </w:rPr>
            </w:pPr>
            <w:r w:rsidRPr="000B5528">
              <w:rPr>
                <w:rFonts w:eastAsia="Rockwell" w:cs="Times New Roman"/>
                <w:color w:val="FFFFFF"/>
                <w:sz w:val="22"/>
              </w:rPr>
              <w:t>Mid-point</w:t>
            </w:r>
          </w:p>
        </w:tc>
        <w:tc>
          <w:tcPr>
            <w:tcW w:w="1545" w:type="dxa"/>
          </w:tcPr>
          <w:p w14:paraId="1408E2CF" w14:textId="77777777" w:rsidR="000B5528" w:rsidRPr="000B5528" w:rsidRDefault="000B5528" w:rsidP="0007432F">
            <w:pPr>
              <w:keepNext/>
              <w:spacing w:before="0" w:after="0" w:line="240" w:lineRule="auto"/>
              <w:jc w:val="center"/>
              <w:rPr>
                <w:rFonts w:eastAsia="Rockwell" w:cs="Times New Roman"/>
                <w:color w:val="FFFFFF"/>
                <w:sz w:val="22"/>
              </w:rPr>
            </w:pPr>
            <w:r w:rsidRPr="000B5528">
              <w:rPr>
                <w:rFonts w:eastAsia="Rockwell" w:cs="Times New Roman"/>
                <w:color w:val="FFFFFF"/>
                <w:sz w:val="22"/>
              </w:rPr>
              <w:t>Maximum</w:t>
            </w:r>
          </w:p>
        </w:tc>
      </w:tr>
      <w:tr w:rsidR="000B5528" w:rsidRPr="000B5528" w14:paraId="4EF9E1A8" w14:textId="77777777">
        <w:tc>
          <w:tcPr>
            <w:tcW w:w="3870" w:type="dxa"/>
          </w:tcPr>
          <w:p w14:paraId="6279227F" w14:textId="77777777" w:rsidR="000B5528" w:rsidRPr="000B5528" w:rsidRDefault="000B5528" w:rsidP="000B5528">
            <w:pPr>
              <w:spacing w:before="0" w:after="0" w:line="240" w:lineRule="auto"/>
              <w:jc w:val="left"/>
              <w:rPr>
                <w:rFonts w:eastAsia="Rockwell" w:cs="Times New Roman"/>
                <w:color w:val="000000"/>
                <w:sz w:val="22"/>
              </w:rPr>
            </w:pPr>
            <w:r w:rsidRPr="000B5528">
              <w:rPr>
                <w:rFonts w:eastAsia="Rockwell" w:cs="Times New Roman"/>
                <w:color w:val="000000"/>
                <w:sz w:val="22"/>
              </w:rPr>
              <w:t>SES-1</w:t>
            </w:r>
          </w:p>
        </w:tc>
        <w:tc>
          <w:tcPr>
            <w:tcW w:w="1544" w:type="dxa"/>
          </w:tcPr>
          <w:p w14:paraId="5C2D4B8F" w14:textId="77777777" w:rsidR="000B5528" w:rsidRPr="000B5528" w:rsidRDefault="000B5528" w:rsidP="0007432F">
            <w:pPr>
              <w:spacing w:before="0" w:after="0" w:line="240" w:lineRule="auto"/>
              <w:jc w:val="center"/>
              <w:rPr>
                <w:rFonts w:eastAsia="Rockwell" w:cs="Times New Roman"/>
                <w:color w:val="000000"/>
                <w:sz w:val="22"/>
              </w:rPr>
            </w:pPr>
            <w:r w:rsidRPr="000B5528">
              <w:rPr>
                <w:rFonts w:eastAsia="Rockwell" w:cs="Times New Roman"/>
                <w:color w:val="000000"/>
                <w:sz w:val="22"/>
              </w:rPr>
              <w:t>751</w:t>
            </w:r>
          </w:p>
        </w:tc>
        <w:tc>
          <w:tcPr>
            <w:tcW w:w="1545" w:type="dxa"/>
          </w:tcPr>
          <w:p w14:paraId="50B89C97" w14:textId="77777777" w:rsidR="000B5528" w:rsidRPr="000B5528" w:rsidRDefault="000B5528" w:rsidP="0007432F">
            <w:pPr>
              <w:spacing w:before="0" w:after="0" w:line="240" w:lineRule="auto"/>
              <w:jc w:val="center"/>
              <w:rPr>
                <w:rFonts w:eastAsia="Rockwell" w:cs="Times New Roman"/>
                <w:color w:val="000000"/>
                <w:sz w:val="22"/>
              </w:rPr>
            </w:pPr>
            <w:r w:rsidRPr="000B5528">
              <w:rPr>
                <w:rFonts w:eastAsia="Rockwell" w:cs="Times New Roman"/>
                <w:color w:val="000000"/>
                <w:sz w:val="22"/>
              </w:rPr>
              <w:t>990</w:t>
            </w:r>
          </w:p>
        </w:tc>
        <w:tc>
          <w:tcPr>
            <w:tcW w:w="1545" w:type="dxa"/>
          </w:tcPr>
          <w:p w14:paraId="555C3F6B" w14:textId="77777777" w:rsidR="000B5528" w:rsidRPr="000B5528" w:rsidRDefault="000B5528" w:rsidP="0007432F">
            <w:pPr>
              <w:spacing w:before="0" w:after="0" w:line="240" w:lineRule="auto"/>
              <w:jc w:val="center"/>
              <w:rPr>
                <w:rFonts w:eastAsia="Rockwell" w:cs="Times New Roman"/>
                <w:color w:val="000000"/>
                <w:sz w:val="22"/>
              </w:rPr>
            </w:pPr>
            <w:r w:rsidRPr="000B5528">
              <w:rPr>
                <w:rFonts w:eastAsia="Rockwell" w:cs="Times New Roman"/>
                <w:color w:val="000000"/>
                <w:sz w:val="22"/>
              </w:rPr>
              <w:t>1,230</w:t>
            </w:r>
          </w:p>
        </w:tc>
      </w:tr>
      <w:tr w:rsidR="000B5528" w:rsidRPr="000B5528" w14:paraId="7C800277" w14:textId="77777777">
        <w:tc>
          <w:tcPr>
            <w:tcW w:w="3870" w:type="dxa"/>
          </w:tcPr>
          <w:p w14:paraId="6352D88C" w14:textId="77777777" w:rsidR="000B5528" w:rsidRPr="000B5528" w:rsidRDefault="000B5528" w:rsidP="000B5528">
            <w:pPr>
              <w:spacing w:before="0" w:after="0" w:line="240" w:lineRule="auto"/>
              <w:jc w:val="left"/>
              <w:rPr>
                <w:rFonts w:eastAsia="Rockwell" w:cs="Times New Roman"/>
                <w:color w:val="000000"/>
                <w:sz w:val="22"/>
              </w:rPr>
            </w:pPr>
            <w:r w:rsidRPr="000B5528">
              <w:rPr>
                <w:rFonts w:eastAsia="Rockwell" w:cs="Times New Roman"/>
                <w:color w:val="000000"/>
                <w:sz w:val="22"/>
              </w:rPr>
              <w:t>SES-2</w:t>
            </w:r>
          </w:p>
        </w:tc>
        <w:tc>
          <w:tcPr>
            <w:tcW w:w="1544" w:type="dxa"/>
          </w:tcPr>
          <w:p w14:paraId="7C4A6FFC" w14:textId="77777777" w:rsidR="000B5528" w:rsidRPr="000B5528" w:rsidRDefault="000B5528" w:rsidP="0007432F">
            <w:pPr>
              <w:spacing w:before="0" w:after="0" w:line="240" w:lineRule="auto"/>
              <w:jc w:val="center"/>
              <w:rPr>
                <w:rFonts w:eastAsia="Rockwell" w:cs="Times New Roman"/>
                <w:color w:val="000000"/>
                <w:sz w:val="22"/>
              </w:rPr>
            </w:pPr>
            <w:r w:rsidRPr="000B5528">
              <w:rPr>
                <w:rFonts w:eastAsia="Rockwell" w:cs="Times New Roman"/>
                <w:color w:val="000000"/>
                <w:sz w:val="22"/>
              </w:rPr>
              <w:t>1,231</w:t>
            </w:r>
          </w:p>
        </w:tc>
        <w:tc>
          <w:tcPr>
            <w:tcW w:w="1545" w:type="dxa"/>
          </w:tcPr>
          <w:p w14:paraId="4EB723C9" w14:textId="77777777" w:rsidR="000B5528" w:rsidRPr="000B5528" w:rsidRDefault="000B5528" w:rsidP="0007432F">
            <w:pPr>
              <w:spacing w:before="0" w:after="0" w:line="240" w:lineRule="auto"/>
              <w:jc w:val="center"/>
              <w:rPr>
                <w:rFonts w:eastAsia="Rockwell" w:cs="Times New Roman"/>
                <w:color w:val="000000"/>
                <w:sz w:val="22"/>
              </w:rPr>
            </w:pPr>
            <w:r w:rsidRPr="000B5528">
              <w:rPr>
                <w:rFonts w:eastAsia="Rockwell" w:cs="Times New Roman"/>
                <w:color w:val="000000"/>
                <w:sz w:val="22"/>
              </w:rPr>
              <w:t>1,475</w:t>
            </w:r>
          </w:p>
        </w:tc>
        <w:tc>
          <w:tcPr>
            <w:tcW w:w="1545" w:type="dxa"/>
          </w:tcPr>
          <w:p w14:paraId="62E4BEFE" w14:textId="77777777" w:rsidR="000B5528" w:rsidRPr="000B5528" w:rsidRDefault="000B5528" w:rsidP="0007432F">
            <w:pPr>
              <w:spacing w:before="0" w:after="0" w:line="240" w:lineRule="auto"/>
              <w:jc w:val="center"/>
              <w:rPr>
                <w:rFonts w:eastAsia="Rockwell" w:cs="Times New Roman"/>
                <w:color w:val="000000"/>
                <w:sz w:val="22"/>
              </w:rPr>
            </w:pPr>
            <w:r w:rsidRPr="000B5528">
              <w:rPr>
                <w:rFonts w:eastAsia="Rockwell" w:cs="Times New Roman"/>
                <w:color w:val="000000"/>
                <w:sz w:val="22"/>
              </w:rPr>
              <w:t>1,720</w:t>
            </w:r>
          </w:p>
        </w:tc>
      </w:tr>
      <w:tr w:rsidR="000B5528" w:rsidRPr="000B5528" w14:paraId="7202E421" w14:textId="77777777">
        <w:tc>
          <w:tcPr>
            <w:tcW w:w="3870" w:type="dxa"/>
          </w:tcPr>
          <w:p w14:paraId="55EB9A85" w14:textId="77777777" w:rsidR="000B5528" w:rsidRPr="000B5528" w:rsidRDefault="000B5528" w:rsidP="000B5528">
            <w:pPr>
              <w:spacing w:before="0" w:after="0" w:line="240" w:lineRule="auto"/>
              <w:jc w:val="left"/>
              <w:rPr>
                <w:rFonts w:eastAsia="Rockwell" w:cs="Times New Roman"/>
                <w:color w:val="000000"/>
                <w:sz w:val="22"/>
              </w:rPr>
            </w:pPr>
            <w:r w:rsidRPr="000B5528">
              <w:rPr>
                <w:rFonts w:eastAsia="Rockwell" w:cs="Times New Roman"/>
                <w:color w:val="000000"/>
                <w:sz w:val="22"/>
              </w:rPr>
              <w:t>SES-3</w:t>
            </w:r>
          </w:p>
        </w:tc>
        <w:tc>
          <w:tcPr>
            <w:tcW w:w="1544" w:type="dxa"/>
          </w:tcPr>
          <w:p w14:paraId="4A93D3EE" w14:textId="77777777" w:rsidR="000B5528" w:rsidRPr="000B5528" w:rsidRDefault="000B5528" w:rsidP="0007432F">
            <w:pPr>
              <w:spacing w:before="0" w:after="0" w:line="240" w:lineRule="auto"/>
              <w:jc w:val="center"/>
              <w:rPr>
                <w:rFonts w:eastAsia="Rockwell" w:cs="Times New Roman"/>
                <w:color w:val="000000"/>
                <w:sz w:val="22"/>
              </w:rPr>
            </w:pPr>
            <w:r w:rsidRPr="000B5528">
              <w:rPr>
                <w:rFonts w:eastAsia="Rockwell" w:cs="Times New Roman"/>
                <w:color w:val="000000"/>
                <w:sz w:val="22"/>
              </w:rPr>
              <w:t>1,721</w:t>
            </w:r>
          </w:p>
        </w:tc>
        <w:tc>
          <w:tcPr>
            <w:tcW w:w="1545" w:type="dxa"/>
          </w:tcPr>
          <w:p w14:paraId="243635B8" w14:textId="77777777" w:rsidR="000B5528" w:rsidRPr="000B5528" w:rsidRDefault="000B5528" w:rsidP="0007432F">
            <w:pPr>
              <w:spacing w:before="0" w:after="0" w:line="240" w:lineRule="auto"/>
              <w:jc w:val="center"/>
              <w:rPr>
                <w:rFonts w:eastAsia="Rockwell" w:cs="Times New Roman"/>
                <w:color w:val="000000"/>
                <w:sz w:val="22"/>
              </w:rPr>
            </w:pPr>
            <w:r w:rsidRPr="000B5528">
              <w:rPr>
                <w:rFonts w:eastAsia="Rockwell" w:cs="Times New Roman"/>
                <w:color w:val="000000"/>
                <w:sz w:val="22"/>
              </w:rPr>
              <w:t>1,985</w:t>
            </w:r>
          </w:p>
        </w:tc>
        <w:tc>
          <w:tcPr>
            <w:tcW w:w="1545" w:type="dxa"/>
          </w:tcPr>
          <w:p w14:paraId="4EB788AB" w14:textId="77777777" w:rsidR="000B5528" w:rsidRPr="000B5528" w:rsidRDefault="000B5528" w:rsidP="0007432F">
            <w:pPr>
              <w:spacing w:before="0" w:after="0" w:line="240" w:lineRule="auto"/>
              <w:jc w:val="center"/>
              <w:rPr>
                <w:rFonts w:eastAsia="Rockwell" w:cs="Times New Roman"/>
                <w:color w:val="000000"/>
                <w:sz w:val="22"/>
              </w:rPr>
            </w:pPr>
            <w:r w:rsidRPr="000B5528">
              <w:rPr>
                <w:rFonts w:eastAsia="Rockwell" w:cs="Times New Roman"/>
                <w:color w:val="000000"/>
                <w:sz w:val="22"/>
              </w:rPr>
              <w:t>2,250</w:t>
            </w:r>
          </w:p>
        </w:tc>
      </w:tr>
      <w:tr w:rsidR="000B5528" w:rsidRPr="000B5528" w14:paraId="38541C47" w14:textId="77777777">
        <w:tc>
          <w:tcPr>
            <w:tcW w:w="3870" w:type="dxa"/>
          </w:tcPr>
          <w:p w14:paraId="73F6C849" w14:textId="3A453BAB" w:rsidR="000B5528" w:rsidRPr="000B5528" w:rsidRDefault="000B5528" w:rsidP="000B5528">
            <w:pPr>
              <w:spacing w:before="0" w:after="0" w:line="240" w:lineRule="auto"/>
              <w:jc w:val="left"/>
              <w:rPr>
                <w:rFonts w:eastAsia="Rockwell" w:cs="Times New Roman"/>
                <w:color w:val="000000"/>
                <w:sz w:val="22"/>
              </w:rPr>
            </w:pPr>
            <w:r w:rsidRPr="000B5528">
              <w:rPr>
                <w:rFonts w:eastAsia="Rockwell" w:cs="Times New Roman"/>
                <w:color w:val="000000"/>
                <w:sz w:val="22"/>
              </w:rPr>
              <w:t xml:space="preserve">Department </w:t>
            </w:r>
            <w:r w:rsidR="006764AB">
              <w:rPr>
                <w:rFonts w:eastAsia="Rockwell" w:cs="Times New Roman"/>
                <w:color w:val="000000"/>
                <w:sz w:val="22"/>
              </w:rPr>
              <w:t>Secretary</w:t>
            </w:r>
            <w:r w:rsidRPr="000B5528">
              <w:rPr>
                <w:rFonts w:eastAsia="Rockwell" w:cs="Times New Roman"/>
                <w:color w:val="000000"/>
                <w:sz w:val="22"/>
              </w:rPr>
              <w:t>/</w:t>
            </w:r>
            <w:r w:rsidRPr="000B5528">
              <w:rPr>
                <w:rFonts w:eastAsia="Rockwell" w:cs="Times New Roman"/>
                <w:color w:val="000000"/>
                <w:sz w:val="22"/>
              </w:rPr>
              <w:br/>
              <w:t>Victorian Public Sector Commissioner</w:t>
            </w:r>
          </w:p>
        </w:tc>
        <w:tc>
          <w:tcPr>
            <w:tcW w:w="1544" w:type="dxa"/>
          </w:tcPr>
          <w:p w14:paraId="5D6E93ED" w14:textId="77777777" w:rsidR="000B5528" w:rsidRPr="000B5528" w:rsidRDefault="000B5528" w:rsidP="0007432F">
            <w:pPr>
              <w:spacing w:before="0" w:after="0" w:line="240" w:lineRule="auto"/>
              <w:jc w:val="center"/>
              <w:rPr>
                <w:rFonts w:eastAsia="Rockwell" w:cs="Times New Roman"/>
                <w:color w:val="000000"/>
                <w:sz w:val="22"/>
              </w:rPr>
            </w:pPr>
            <w:r w:rsidRPr="000B5528">
              <w:rPr>
                <w:rFonts w:eastAsia="Rockwell" w:cs="Times New Roman"/>
                <w:color w:val="000000"/>
                <w:sz w:val="22"/>
              </w:rPr>
              <w:t>2,251</w:t>
            </w:r>
          </w:p>
        </w:tc>
        <w:tc>
          <w:tcPr>
            <w:tcW w:w="1545" w:type="dxa"/>
          </w:tcPr>
          <w:p w14:paraId="762DCB3A" w14:textId="77777777" w:rsidR="000B5528" w:rsidRPr="000B5528" w:rsidRDefault="000B5528" w:rsidP="0007432F">
            <w:pPr>
              <w:spacing w:before="0" w:after="0" w:line="240" w:lineRule="auto"/>
              <w:jc w:val="center"/>
              <w:rPr>
                <w:rFonts w:eastAsia="Rockwell" w:cs="Times New Roman"/>
                <w:color w:val="000000"/>
                <w:sz w:val="22"/>
                <w:vertAlign w:val="superscript"/>
              </w:rPr>
            </w:pPr>
            <w:r w:rsidRPr="000B5528">
              <w:rPr>
                <w:rFonts w:eastAsia="Rockwell" w:cs="Times New Roman"/>
                <w:color w:val="000000"/>
                <w:sz w:val="22"/>
              </w:rPr>
              <w:t>3,176</w:t>
            </w:r>
          </w:p>
        </w:tc>
        <w:tc>
          <w:tcPr>
            <w:tcW w:w="1545" w:type="dxa"/>
          </w:tcPr>
          <w:p w14:paraId="55DA71FF" w14:textId="77777777" w:rsidR="000B5528" w:rsidRPr="000B5528" w:rsidRDefault="000B5528" w:rsidP="0007432F">
            <w:pPr>
              <w:spacing w:before="0" w:after="0" w:line="240" w:lineRule="auto"/>
              <w:jc w:val="center"/>
              <w:rPr>
                <w:rFonts w:eastAsia="Rockwell" w:cs="Times New Roman"/>
                <w:color w:val="000000"/>
                <w:sz w:val="22"/>
                <w:vertAlign w:val="superscript"/>
              </w:rPr>
            </w:pPr>
            <w:r w:rsidRPr="000B5528">
              <w:rPr>
                <w:rFonts w:eastAsia="Rockwell" w:cs="Times New Roman"/>
                <w:color w:val="000000"/>
                <w:sz w:val="22"/>
              </w:rPr>
              <w:t>4,100</w:t>
            </w:r>
          </w:p>
        </w:tc>
      </w:tr>
    </w:tbl>
    <w:p w14:paraId="0DCDA511" w14:textId="29A9CB50" w:rsidR="000B5528" w:rsidRPr="000B5528" w:rsidRDefault="000B5528" w:rsidP="001D3312">
      <w:pPr>
        <w:pStyle w:val="09Sourcesandnotesfortablesfiguresboxes"/>
        <w:rPr>
          <w:rFonts w:eastAsia="Rockwell" w:cs="Times New Roman"/>
          <w:color w:val="000000"/>
        </w:rPr>
      </w:pPr>
      <w:r w:rsidRPr="000B5528">
        <w:t>Note: (a) Work value ranges are expressed in terms of Mercer’s proprietary CED methodology.</w:t>
      </w:r>
    </w:p>
    <w:p w14:paraId="2542256A" w14:textId="77777777" w:rsidR="000B5528" w:rsidRPr="000B5528" w:rsidRDefault="000B5528" w:rsidP="001D3312">
      <w:pPr>
        <w:pStyle w:val="09Sourcesandnotesfortablesfiguresboxes"/>
        <w:rPr>
          <w:rFonts w:eastAsia="Rockwell" w:cs="Times New Roman"/>
          <w:color w:val="000000"/>
        </w:rPr>
      </w:pPr>
      <w:r w:rsidRPr="000B5528">
        <w:t>Source: Mercer (2024).</w:t>
      </w:r>
    </w:p>
    <w:p w14:paraId="75A21BBC" w14:textId="26336642" w:rsidR="000B5528" w:rsidRPr="000B5528" w:rsidRDefault="000B5528" w:rsidP="003E0E47">
      <w:pPr>
        <w:pStyle w:val="05Paragraph"/>
      </w:pPr>
      <w:r w:rsidRPr="000B5528">
        <w:t>Consistent with the approach taken in 2019, Mercer used the work value mid</w:t>
      </w:r>
      <w:r w:rsidRPr="000B5528">
        <w:noBreakHyphen/>
        <w:t>point for each SES level and the Secretaries and Commissioner cohort to reference market remuneration data. Table 4.3 presents remuneration data corresponding to the 15</w:t>
      </w:r>
      <w:r w:rsidRPr="000B5528">
        <w:rPr>
          <w:vertAlign w:val="superscript"/>
        </w:rPr>
        <w:t>th</w:t>
      </w:r>
      <w:r w:rsidRPr="000B5528">
        <w:t>, 25</w:t>
      </w:r>
      <w:r w:rsidRPr="000B5528">
        <w:rPr>
          <w:vertAlign w:val="superscript"/>
        </w:rPr>
        <w:t>th</w:t>
      </w:r>
      <w:r w:rsidRPr="000B5528">
        <w:t xml:space="preserve"> and 50</w:t>
      </w:r>
      <w:r w:rsidRPr="000B5528">
        <w:rPr>
          <w:vertAlign w:val="superscript"/>
        </w:rPr>
        <w:t>th</w:t>
      </w:r>
      <w:r w:rsidRPr="000B5528">
        <w:t xml:space="preserve"> percentiles of the AGM</w:t>
      </w:r>
      <w:r w:rsidR="002F69A5">
        <w:t>,</w:t>
      </w:r>
      <w:r w:rsidRPr="000B5528">
        <w:t xml:space="preserve"> and how these compare to the maximums of the existing remuneration bands.</w:t>
      </w:r>
    </w:p>
    <w:p w14:paraId="670EFF65" w14:textId="77777777" w:rsidR="000B5528" w:rsidRPr="000B5528" w:rsidRDefault="000B5528" w:rsidP="00144BE8">
      <w:pPr>
        <w:pStyle w:val="08Figuretableboxheading"/>
      </w:pPr>
      <w:bookmarkStart w:id="110" w:name="_Toc170393555"/>
      <w:r w:rsidRPr="000B5528">
        <w:t>Table 4.3: Comparison of current maximum SES ranges with the Australian General Market data, April 2024</w:t>
      </w:r>
      <w:bookmarkEnd w:id="110"/>
    </w:p>
    <w:tbl>
      <w:tblPr>
        <w:tblStyle w:val="Glossary1"/>
        <w:tblW w:w="8504" w:type="dxa"/>
        <w:tblLook w:val="04A0" w:firstRow="1" w:lastRow="0" w:firstColumn="1" w:lastColumn="0" w:noHBand="0" w:noVBand="1"/>
      </w:tblPr>
      <w:tblGrid>
        <w:gridCol w:w="2268"/>
        <w:gridCol w:w="2138"/>
        <w:gridCol w:w="1366"/>
        <w:gridCol w:w="1366"/>
        <w:gridCol w:w="1366"/>
      </w:tblGrid>
      <w:tr w:rsidR="000B5528" w:rsidRPr="000B5528" w14:paraId="56B83196" w14:textId="77777777">
        <w:trPr>
          <w:cnfStyle w:val="100000000000" w:firstRow="1" w:lastRow="0" w:firstColumn="0" w:lastColumn="0" w:oddVBand="0" w:evenVBand="0" w:oddHBand="0" w:evenHBand="0" w:firstRowFirstColumn="0" w:firstRowLastColumn="0" w:lastRowFirstColumn="0" w:lastRowLastColumn="0"/>
        </w:trPr>
        <w:tc>
          <w:tcPr>
            <w:tcW w:w="2268" w:type="dxa"/>
          </w:tcPr>
          <w:p w14:paraId="4568A886" w14:textId="77777777" w:rsidR="000B5528" w:rsidRPr="000B5528" w:rsidRDefault="000B5528" w:rsidP="000B5528">
            <w:pPr>
              <w:keepNext/>
              <w:spacing w:before="0" w:after="0" w:line="240" w:lineRule="auto"/>
              <w:jc w:val="left"/>
              <w:rPr>
                <w:rFonts w:eastAsia="Rockwell" w:cs="Times New Roman"/>
                <w:color w:val="FFFFFF"/>
                <w:sz w:val="22"/>
              </w:rPr>
            </w:pPr>
            <w:r w:rsidRPr="000B5528">
              <w:rPr>
                <w:rFonts w:eastAsia="Rockwell" w:cs="Times New Roman"/>
                <w:color w:val="FFFFFF"/>
                <w:sz w:val="22"/>
              </w:rPr>
              <w:t>Classification</w:t>
            </w:r>
          </w:p>
        </w:tc>
        <w:tc>
          <w:tcPr>
            <w:tcW w:w="2138" w:type="dxa"/>
          </w:tcPr>
          <w:p w14:paraId="5B15E68F" w14:textId="77777777" w:rsidR="000B5528" w:rsidRPr="000B5528" w:rsidRDefault="000B5528" w:rsidP="000B5528">
            <w:pPr>
              <w:spacing w:before="0" w:after="0" w:line="240" w:lineRule="auto"/>
              <w:jc w:val="center"/>
              <w:rPr>
                <w:rFonts w:eastAsia="Rockwell" w:cs="Times New Roman"/>
                <w:color w:val="FFFFFF"/>
                <w:sz w:val="22"/>
              </w:rPr>
            </w:pPr>
            <w:r w:rsidRPr="000B5528">
              <w:rPr>
                <w:rFonts w:eastAsia="Rockwell" w:cs="Times New Roman"/>
                <w:color w:val="FFFFFF"/>
                <w:sz w:val="22"/>
              </w:rPr>
              <w:t xml:space="preserve">Maximum TRP at </w:t>
            </w:r>
            <w:r w:rsidRPr="000B5528">
              <w:rPr>
                <w:rFonts w:eastAsia="Rockwell" w:cs="Times New Roman"/>
                <w:color w:val="FFFFFF"/>
                <w:sz w:val="22"/>
              </w:rPr>
              <w:br/>
              <w:t>1 July 2023 ($ p.a.)</w:t>
            </w:r>
          </w:p>
        </w:tc>
        <w:tc>
          <w:tcPr>
            <w:tcW w:w="4098" w:type="dxa"/>
            <w:gridSpan w:val="3"/>
          </w:tcPr>
          <w:p w14:paraId="723AD988" w14:textId="77777777" w:rsidR="000B5528" w:rsidRPr="000B5528" w:rsidRDefault="000B5528" w:rsidP="000B5528">
            <w:pPr>
              <w:spacing w:before="0" w:after="0" w:line="240" w:lineRule="auto"/>
              <w:jc w:val="center"/>
              <w:rPr>
                <w:rFonts w:eastAsia="Rockwell" w:cs="Times New Roman"/>
                <w:color w:val="FFFFFF"/>
                <w:sz w:val="22"/>
                <w:vertAlign w:val="superscript"/>
              </w:rPr>
            </w:pPr>
            <w:r w:rsidRPr="000B5528">
              <w:rPr>
                <w:rFonts w:eastAsia="Rockwell" w:cs="Times New Roman"/>
                <w:color w:val="FFFFFF"/>
                <w:sz w:val="22"/>
              </w:rPr>
              <w:t>Percentile ($ p.a.)</w:t>
            </w:r>
            <w:r w:rsidRPr="000B5528">
              <w:rPr>
                <w:rFonts w:eastAsia="Rockwell" w:cs="Times New Roman"/>
                <w:color w:val="FFFFFF"/>
                <w:sz w:val="22"/>
                <w:vertAlign w:val="superscript"/>
              </w:rPr>
              <w:t>(a)</w:t>
            </w:r>
          </w:p>
        </w:tc>
      </w:tr>
      <w:tr w:rsidR="000B5528" w:rsidRPr="000B5528" w14:paraId="4F657389" w14:textId="77777777" w:rsidTr="000B5528">
        <w:tc>
          <w:tcPr>
            <w:tcW w:w="2268" w:type="dxa"/>
            <w:shd w:val="clear" w:color="auto" w:fill="148A5D"/>
          </w:tcPr>
          <w:p w14:paraId="73533901" w14:textId="77777777" w:rsidR="000B5528" w:rsidRPr="000B5528" w:rsidRDefault="000B5528" w:rsidP="000B5528">
            <w:pPr>
              <w:keepNext/>
              <w:spacing w:before="0" w:after="0" w:line="240" w:lineRule="auto"/>
              <w:jc w:val="left"/>
              <w:rPr>
                <w:rFonts w:eastAsia="Rockwell" w:cs="Times New Roman"/>
                <w:color w:val="FFFFFF"/>
                <w:sz w:val="22"/>
              </w:rPr>
            </w:pPr>
          </w:p>
        </w:tc>
        <w:tc>
          <w:tcPr>
            <w:tcW w:w="2138" w:type="dxa"/>
            <w:shd w:val="clear" w:color="auto" w:fill="148A5D"/>
          </w:tcPr>
          <w:p w14:paraId="5ABEE2AF" w14:textId="77777777" w:rsidR="000B5528" w:rsidRPr="000B5528" w:rsidRDefault="000B5528" w:rsidP="000B5528">
            <w:pPr>
              <w:spacing w:before="0" w:after="0" w:line="240" w:lineRule="auto"/>
              <w:jc w:val="center"/>
              <w:rPr>
                <w:rFonts w:eastAsia="Rockwell" w:cs="Times New Roman"/>
                <w:b/>
                <w:bCs/>
                <w:color w:val="FFFFFF"/>
                <w:sz w:val="22"/>
              </w:rPr>
            </w:pPr>
          </w:p>
        </w:tc>
        <w:tc>
          <w:tcPr>
            <w:tcW w:w="1366" w:type="dxa"/>
            <w:shd w:val="clear" w:color="auto" w:fill="148A5D"/>
          </w:tcPr>
          <w:p w14:paraId="680B2F36" w14:textId="77777777" w:rsidR="000B5528" w:rsidRPr="000B5528" w:rsidRDefault="000B5528" w:rsidP="000B5528">
            <w:pPr>
              <w:spacing w:before="0" w:after="0" w:line="240" w:lineRule="auto"/>
              <w:jc w:val="center"/>
              <w:rPr>
                <w:rFonts w:eastAsia="Rockwell" w:cs="Times New Roman"/>
                <w:b/>
                <w:bCs/>
                <w:color w:val="FFFFFF"/>
                <w:sz w:val="22"/>
              </w:rPr>
            </w:pPr>
            <w:r w:rsidRPr="000B5528">
              <w:rPr>
                <w:rFonts w:eastAsia="Rockwell" w:cs="Times New Roman"/>
                <w:b/>
                <w:bCs/>
                <w:color w:val="FFFFFF"/>
                <w:sz w:val="22"/>
              </w:rPr>
              <w:t>15</w:t>
            </w:r>
            <w:r w:rsidRPr="000B5528">
              <w:rPr>
                <w:rFonts w:eastAsia="Rockwell" w:cs="Times New Roman"/>
                <w:b/>
                <w:bCs/>
                <w:color w:val="FFFFFF"/>
                <w:sz w:val="22"/>
                <w:vertAlign w:val="superscript"/>
              </w:rPr>
              <w:t>th</w:t>
            </w:r>
          </w:p>
        </w:tc>
        <w:tc>
          <w:tcPr>
            <w:tcW w:w="1366" w:type="dxa"/>
            <w:shd w:val="clear" w:color="auto" w:fill="148A5D"/>
          </w:tcPr>
          <w:p w14:paraId="101F0A14" w14:textId="77777777" w:rsidR="000B5528" w:rsidRPr="000B5528" w:rsidRDefault="000B5528" w:rsidP="000B5528">
            <w:pPr>
              <w:spacing w:before="0" w:after="0" w:line="240" w:lineRule="auto"/>
              <w:jc w:val="center"/>
              <w:rPr>
                <w:rFonts w:eastAsia="Rockwell" w:cs="Times New Roman"/>
                <w:b/>
                <w:bCs/>
                <w:color w:val="FFFFFF"/>
                <w:sz w:val="22"/>
              </w:rPr>
            </w:pPr>
            <w:r w:rsidRPr="000B5528">
              <w:rPr>
                <w:rFonts w:eastAsia="Rockwell" w:cs="Times New Roman"/>
                <w:b/>
                <w:bCs/>
                <w:color w:val="FFFFFF"/>
                <w:sz w:val="22"/>
              </w:rPr>
              <w:t>25</w:t>
            </w:r>
            <w:r w:rsidRPr="000B5528">
              <w:rPr>
                <w:rFonts w:eastAsia="Rockwell" w:cs="Times New Roman"/>
                <w:b/>
                <w:bCs/>
                <w:color w:val="FFFFFF"/>
                <w:sz w:val="22"/>
                <w:vertAlign w:val="superscript"/>
              </w:rPr>
              <w:t>th</w:t>
            </w:r>
          </w:p>
        </w:tc>
        <w:tc>
          <w:tcPr>
            <w:tcW w:w="1366" w:type="dxa"/>
            <w:shd w:val="clear" w:color="auto" w:fill="148A5D"/>
          </w:tcPr>
          <w:p w14:paraId="11D2647B" w14:textId="77777777" w:rsidR="000B5528" w:rsidRPr="000B5528" w:rsidRDefault="000B5528" w:rsidP="000B5528">
            <w:pPr>
              <w:spacing w:before="0" w:after="0" w:line="240" w:lineRule="auto"/>
              <w:jc w:val="center"/>
              <w:rPr>
                <w:rFonts w:eastAsia="Rockwell" w:cs="Times New Roman"/>
                <w:b/>
                <w:bCs/>
                <w:color w:val="FFFFFF"/>
                <w:sz w:val="22"/>
              </w:rPr>
            </w:pPr>
            <w:r w:rsidRPr="000B5528">
              <w:rPr>
                <w:rFonts w:eastAsia="Rockwell" w:cs="Times New Roman"/>
                <w:b/>
                <w:bCs/>
                <w:color w:val="FFFFFF"/>
                <w:sz w:val="22"/>
              </w:rPr>
              <w:t>50</w:t>
            </w:r>
            <w:r w:rsidRPr="000B5528">
              <w:rPr>
                <w:rFonts w:eastAsia="Rockwell" w:cs="Times New Roman"/>
                <w:b/>
                <w:bCs/>
                <w:color w:val="FFFFFF"/>
                <w:sz w:val="22"/>
                <w:vertAlign w:val="superscript"/>
              </w:rPr>
              <w:t>th</w:t>
            </w:r>
          </w:p>
        </w:tc>
      </w:tr>
      <w:tr w:rsidR="000B5528" w:rsidRPr="000B5528" w14:paraId="56A49947" w14:textId="77777777">
        <w:tc>
          <w:tcPr>
            <w:tcW w:w="2268" w:type="dxa"/>
          </w:tcPr>
          <w:p w14:paraId="020E3919" w14:textId="77777777" w:rsidR="000B5528" w:rsidRPr="000B5528" w:rsidRDefault="000B5528" w:rsidP="000B5528">
            <w:pPr>
              <w:keepNext/>
              <w:spacing w:before="0" w:after="0" w:line="240" w:lineRule="auto"/>
              <w:jc w:val="left"/>
              <w:rPr>
                <w:rFonts w:eastAsia="Rockwell" w:cs="Times New Roman"/>
                <w:color w:val="000000"/>
                <w:sz w:val="22"/>
              </w:rPr>
            </w:pPr>
            <w:r w:rsidRPr="000B5528">
              <w:rPr>
                <w:rFonts w:eastAsia="Rockwell" w:cs="Times New Roman"/>
                <w:color w:val="000000"/>
                <w:sz w:val="22"/>
              </w:rPr>
              <w:t>SES-1</w:t>
            </w:r>
          </w:p>
        </w:tc>
        <w:tc>
          <w:tcPr>
            <w:tcW w:w="2138" w:type="dxa"/>
          </w:tcPr>
          <w:p w14:paraId="76B11DE4" w14:textId="77777777" w:rsidR="000B5528" w:rsidRPr="000B5528" w:rsidRDefault="000B5528" w:rsidP="000B5528">
            <w:pPr>
              <w:spacing w:before="0" w:after="0" w:line="240" w:lineRule="auto"/>
              <w:jc w:val="center"/>
              <w:rPr>
                <w:rFonts w:eastAsia="Rockwell" w:cs="Times New Roman"/>
                <w:color w:val="000000"/>
                <w:sz w:val="22"/>
              </w:rPr>
            </w:pPr>
            <w:r w:rsidRPr="000B5528">
              <w:rPr>
                <w:rFonts w:eastAsia="Rockwell" w:cs="Times New Roman"/>
                <w:color w:val="000000"/>
                <w:sz w:val="22"/>
              </w:rPr>
              <w:t>279,238</w:t>
            </w:r>
          </w:p>
        </w:tc>
        <w:tc>
          <w:tcPr>
            <w:tcW w:w="1366" w:type="dxa"/>
          </w:tcPr>
          <w:p w14:paraId="03D49B4F" w14:textId="77777777" w:rsidR="000B5528" w:rsidRPr="000B5528" w:rsidRDefault="000B5528" w:rsidP="000B5528">
            <w:pPr>
              <w:spacing w:before="0" w:after="0" w:line="240" w:lineRule="auto"/>
              <w:jc w:val="center"/>
              <w:rPr>
                <w:rFonts w:eastAsia="Rockwell" w:cs="Times New Roman"/>
                <w:color w:val="000000"/>
                <w:sz w:val="22"/>
              </w:rPr>
            </w:pPr>
            <w:r w:rsidRPr="000B5528">
              <w:rPr>
                <w:rFonts w:eastAsia="Rockwell" w:cs="Times New Roman"/>
                <w:color w:val="000000"/>
                <w:sz w:val="22"/>
              </w:rPr>
              <w:t>290,600</w:t>
            </w:r>
          </w:p>
        </w:tc>
        <w:tc>
          <w:tcPr>
            <w:tcW w:w="1366" w:type="dxa"/>
          </w:tcPr>
          <w:p w14:paraId="0E56EA43" w14:textId="77777777" w:rsidR="000B5528" w:rsidRPr="000B5528" w:rsidRDefault="000B5528" w:rsidP="000B5528">
            <w:pPr>
              <w:spacing w:before="0" w:after="0" w:line="240" w:lineRule="auto"/>
              <w:jc w:val="center"/>
              <w:rPr>
                <w:rFonts w:eastAsia="Rockwell" w:cs="Times New Roman"/>
                <w:color w:val="000000"/>
                <w:sz w:val="22"/>
              </w:rPr>
            </w:pPr>
            <w:r w:rsidRPr="000B5528">
              <w:rPr>
                <w:rFonts w:eastAsia="Rockwell" w:cs="Times New Roman"/>
                <w:color w:val="000000"/>
                <w:sz w:val="22"/>
              </w:rPr>
              <w:t>328,500</w:t>
            </w:r>
          </w:p>
        </w:tc>
        <w:tc>
          <w:tcPr>
            <w:tcW w:w="1366" w:type="dxa"/>
          </w:tcPr>
          <w:p w14:paraId="3765C789" w14:textId="77777777" w:rsidR="000B5528" w:rsidRPr="000B5528" w:rsidRDefault="000B5528" w:rsidP="000B5528">
            <w:pPr>
              <w:spacing w:before="0" w:after="0" w:line="240" w:lineRule="auto"/>
              <w:jc w:val="center"/>
              <w:rPr>
                <w:rFonts w:eastAsia="Rockwell" w:cs="Times New Roman"/>
                <w:color w:val="000000"/>
                <w:sz w:val="22"/>
              </w:rPr>
            </w:pPr>
            <w:r w:rsidRPr="000B5528">
              <w:rPr>
                <w:rFonts w:eastAsia="Rockwell" w:cs="Times New Roman"/>
                <w:color w:val="000000"/>
                <w:sz w:val="22"/>
              </w:rPr>
              <w:t>401,500</w:t>
            </w:r>
          </w:p>
        </w:tc>
      </w:tr>
      <w:tr w:rsidR="000B5528" w:rsidRPr="000B5528" w14:paraId="604BDB93" w14:textId="77777777">
        <w:tc>
          <w:tcPr>
            <w:tcW w:w="2268" w:type="dxa"/>
          </w:tcPr>
          <w:p w14:paraId="03990FB7" w14:textId="77777777" w:rsidR="000B5528" w:rsidRPr="000B5528" w:rsidRDefault="000B5528" w:rsidP="000B5528">
            <w:pPr>
              <w:keepNext/>
              <w:spacing w:before="0" w:after="0" w:line="240" w:lineRule="auto"/>
              <w:jc w:val="left"/>
              <w:rPr>
                <w:rFonts w:eastAsia="Rockwell" w:cs="Times New Roman"/>
                <w:color w:val="000000"/>
                <w:sz w:val="22"/>
              </w:rPr>
            </w:pPr>
            <w:r w:rsidRPr="000B5528">
              <w:rPr>
                <w:rFonts w:eastAsia="Rockwell" w:cs="Times New Roman"/>
                <w:color w:val="000000"/>
                <w:sz w:val="22"/>
              </w:rPr>
              <w:t>SES-2</w:t>
            </w:r>
          </w:p>
        </w:tc>
        <w:tc>
          <w:tcPr>
            <w:tcW w:w="2138" w:type="dxa"/>
          </w:tcPr>
          <w:p w14:paraId="21FC8792" w14:textId="77777777" w:rsidR="000B5528" w:rsidRPr="000B5528" w:rsidRDefault="000B5528" w:rsidP="000B5528">
            <w:pPr>
              <w:spacing w:before="0" w:after="0" w:line="240" w:lineRule="auto"/>
              <w:jc w:val="center"/>
              <w:rPr>
                <w:rFonts w:eastAsia="Rockwell" w:cs="Times New Roman"/>
                <w:color w:val="000000"/>
                <w:sz w:val="22"/>
              </w:rPr>
            </w:pPr>
            <w:r w:rsidRPr="000B5528">
              <w:rPr>
                <w:rFonts w:eastAsia="Rockwell" w:cs="Times New Roman"/>
                <w:color w:val="000000"/>
                <w:sz w:val="22"/>
              </w:rPr>
              <w:t>401,017</w:t>
            </w:r>
          </w:p>
        </w:tc>
        <w:tc>
          <w:tcPr>
            <w:tcW w:w="1366" w:type="dxa"/>
          </w:tcPr>
          <w:p w14:paraId="6FE9A655" w14:textId="77777777" w:rsidR="000B5528" w:rsidRPr="000B5528" w:rsidRDefault="000B5528" w:rsidP="000B5528">
            <w:pPr>
              <w:spacing w:before="0" w:after="0" w:line="240" w:lineRule="auto"/>
              <w:jc w:val="center"/>
              <w:rPr>
                <w:rFonts w:eastAsia="Rockwell" w:cs="Times New Roman"/>
                <w:color w:val="000000"/>
                <w:sz w:val="22"/>
              </w:rPr>
            </w:pPr>
            <w:r w:rsidRPr="000B5528">
              <w:rPr>
                <w:rFonts w:eastAsia="Rockwell" w:cs="Times New Roman"/>
                <w:color w:val="000000"/>
                <w:sz w:val="22"/>
              </w:rPr>
              <w:t>418,700</w:t>
            </w:r>
          </w:p>
        </w:tc>
        <w:tc>
          <w:tcPr>
            <w:tcW w:w="1366" w:type="dxa"/>
          </w:tcPr>
          <w:p w14:paraId="719EF0DB" w14:textId="77777777" w:rsidR="000B5528" w:rsidRPr="000B5528" w:rsidRDefault="000B5528" w:rsidP="000B5528">
            <w:pPr>
              <w:spacing w:before="0" w:after="0" w:line="240" w:lineRule="auto"/>
              <w:jc w:val="center"/>
              <w:rPr>
                <w:rFonts w:eastAsia="Rockwell" w:cs="Times New Roman"/>
                <w:color w:val="000000"/>
                <w:sz w:val="22"/>
              </w:rPr>
            </w:pPr>
            <w:r w:rsidRPr="000B5528">
              <w:rPr>
                <w:rFonts w:eastAsia="Rockwell" w:cs="Times New Roman"/>
                <w:color w:val="000000"/>
                <w:sz w:val="22"/>
              </w:rPr>
              <w:t>482,800</w:t>
            </w:r>
          </w:p>
        </w:tc>
        <w:tc>
          <w:tcPr>
            <w:tcW w:w="1366" w:type="dxa"/>
          </w:tcPr>
          <w:p w14:paraId="798AE3A3" w14:textId="77777777" w:rsidR="000B5528" w:rsidRPr="000B5528" w:rsidRDefault="000B5528" w:rsidP="000B5528">
            <w:pPr>
              <w:spacing w:before="0" w:after="0" w:line="240" w:lineRule="auto"/>
              <w:jc w:val="center"/>
              <w:rPr>
                <w:rFonts w:eastAsia="Rockwell" w:cs="Times New Roman"/>
                <w:color w:val="000000"/>
                <w:sz w:val="22"/>
              </w:rPr>
            </w:pPr>
            <w:r w:rsidRPr="000B5528">
              <w:rPr>
                <w:rFonts w:eastAsia="Rockwell" w:cs="Times New Roman"/>
                <w:color w:val="000000"/>
                <w:sz w:val="22"/>
              </w:rPr>
              <w:t>590,700</w:t>
            </w:r>
          </w:p>
        </w:tc>
      </w:tr>
      <w:tr w:rsidR="000B5528" w:rsidRPr="000B5528" w14:paraId="393FF760" w14:textId="77777777">
        <w:tc>
          <w:tcPr>
            <w:tcW w:w="2268" w:type="dxa"/>
          </w:tcPr>
          <w:p w14:paraId="59337DE1" w14:textId="77777777" w:rsidR="000B5528" w:rsidRPr="000B5528" w:rsidRDefault="000B5528" w:rsidP="000B5528">
            <w:pPr>
              <w:keepNext/>
              <w:spacing w:before="0" w:after="0" w:line="240" w:lineRule="auto"/>
              <w:jc w:val="left"/>
              <w:rPr>
                <w:rFonts w:eastAsia="Rockwell" w:cs="Times New Roman"/>
                <w:color w:val="000000"/>
                <w:sz w:val="22"/>
              </w:rPr>
            </w:pPr>
            <w:r w:rsidRPr="000B5528">
              <w:rPr>
                <w:rFonts w:eastAsia="Rockwell" w:cs="Times New Roman"/>
                <w:color w:val="000000"/>
                <w:sz w:val="22"/>
              </w:rPr>
              <w:t>SES-3</w:t>
            </w:r>
          </w:p>
        </w:tc>
        <w:tc>
          <w:tcPr>
            <w:tcW w:w="2138" w:type="dxa"/>
          </w:tcPr>
          <w:p w14:paraId="2770F4A9" w14:textId="77777777" w:rsidR="000B5528" w:rsidRPr="000B5528" w:rsidRDefault="000B5528" w:rsidP="000B5528">
            <w:pPr>
              <w:spacing w:before="0" w:after="0" w:line="240" w:lineRule="auto"/>
              <w:jc w:val="center"/>
              <w:rPr>
                <w:rFonts w:eastAsia="Rockwell" w:cs="Times New Roman"/>
                <w:color w:val="000000"/>
                <w:sz w:val="22"/>
              </w:rPr>
            </w:pPr>
            <w:r w:rsidRPr="000B5528">
              <w:rPr>
                <w:rFonts w:eastAsia="Rockwell" w:cs="Times New Roman"/>
                <w:color w:val="000000"/>
                <w:sz w:val="22"/>
              </w:rPr>
              <w:t>533,431</w:t>
            </w:r>
          </w:p>
        </w:tc>
        <w:tc>
          <w:tcPr>
            <w:tcW w:w="1366" w:type="dxa"/>
          </w:tcPr>
          <w:p w14:paraId="3366BBA8" w14:textId="77777777" w:rsidR="000B5528" w:rsidRPr="000B5528" w:rsidRDefault="000B5528" w:rsidP="000B5528">
            <w:pPr>
              <w:spacing w:before="0" w:after="0" w:line="240" w:lineRule="auto"/>
              <w:jc w:val="center"/>
              <w:rPr>
                <w:rFonts w:eastAsia="Rockwell" w:cs="Times New Roman"/>
                <w:color w:val="000000"/>
                <w:sz w:val="22"/>
              </w:rPr>
            </w:pPr>
            <w:r w:rsidRPr="000B5528">
              <w:rPr>
                <w:rFonts w:eastAsia="Rockwell" w:cs="Times New Roman"/>
                <w:color w:val="000000"/>
                <w:sz w:val="22"/>
              </w:rPr>
              <w:t>578,300</w:t>
            </w:r>
          </w:p>
        </w:tc>
        <w:tc>
          <w:tcPr>
            <w:tcW w:w="1366" w:type="dxa"/>
          </w:tcPr>
          <w:p w14:paraId="0739E1B8" w14:textId="77777777" w:rsidR="000B5528" w:rsidRPr="000B5528" w:rsidRDefault="000B5528" w:rsidP="000B5528">
            <w:pPr>
              <w:spacing w:before="0" w:after="0" w:line="240" w:lineRule="auto"/>
              <w:jc w:val="center"/>
              <w:rPr>
                <w:rFonts w:eastAsia="Rockwell" w:cs="Times New Roman"/>
                <w:color w:val="000000"/>
                <w:sz w:val="22"/>
              </w:rPr>
            </w:pPr>
            <w:r w:rsidRPr="000B5528">
              <w:rPr>
                <w:rFonts w:eastAsia="Rockwell" w:cs="Times New Roman"/>
                <w:color w:val="000000"/>
                <w:sz w:val="22"/>
              </w:rPr>
              <w:t>679,400</w:t>
            </w:r>
          </w:p>
        </w:tc>
        <w:tc>
          <w:tcPr>
            <w:tcW w:w="1366" w:type="dxa"/>
          </w:tcPr>
          <w:p w14:paraId="52950079" w14:textId="77777777" w:rsidR="000B5528" w:rsidRPr="000B5528" w:rsidRDefault="000B5528" w:rsidP="000B5528">
            <w:pPr>
              <w:spacing w:before="0" w:after="0" w:line="240" w:lineRule="auto"/>
              <w:jc w:val="center"/>
              <w:rPr>
                <w:rFonts w:eastAsia="Rockwell" w:cs="Times New Roman"/>
                <w:color w:val="000000"/>
                <w:sz w:val="22"/>
              </w:rPr>
            </w:pPr>
            <w:r w:rsidRPr="000B5528">
              <w:rPr>
                <w:rFonts w:eastAsia="Rockwell" w:cs="Times New Roman"/>
                <w:color w:val="000000"/>
                <w:sz w:val="22"/>
              </w:rPr>
              <w:t>809,800</w:t>
            </w:r>
          </w:p>
        </w:tc>
      </w:tr>
      <w:tr w:rsidR="000B5528" w:rsidRPr="000B5528" w14:paraId="31227FF2" w14:textId="77777777">
        <w:tc>
          <w:tcPr>
            <w:tcW w:w="2268" w:type="dxa"/>
          </w:tcPr>
          <w:p w14:paraId="6601FA69" w14:textId="50105658" w:rsidR="000B5528" w:rsidRPr="000B5528" w:rsidRDefault="000B5528" w:rsidP="000B5528">
            <w:pPr>
              <w:keepNext/>
              <w:spacing w:before="0" w:after="0" w:line="240" w:lineRule="auto"/>
              <w:jc w:val="left"/>
              <w:rPr>
                <w:rFonts w:eastAsia="Rockwell" w:cs="Times New Roman"/>
                <w:color w:val="000000"/>
                <w:sz w:val="22"/>
              </w:rPr>
            </w:pPr>
            <w:r w:rsidRPr="000B5528">
              <w:rPr>
                <w:rFonts w:eastAsia="Rockwell" w:cs="Times New Roman"/>
                <w:color w:val="000000"/>
                <w:sz w:val="22"/>
              </w:rPr>
              <w:t xml:space="preserve">Department </w:t>
            </w:r>
            <w:r w:rsidR="006764AB">
              <w:rPr>
                <w:rFonts w:eastAsia="Rockwell" w:cs="Times New Roman"/>
                <w:color w:val="000000"/>
                <w:sz w:val="22"/>
              </w:rPr>
              <w:t>Secretary</w:t>
            </w:r>
            <w:r w:rsidRPr="000B5528">
              <w:rPr>
                <w:rFonts w:eastAsia="Rockwell" w:cs="Times New Roman"/>
                <w:color w:val="000000"/>
                <w:sz w:val="22"/>
              </w:rPr>
              <w:t>/</w:t>
            </w:r>
            <w:r w:rsidRPr="000B5528">
              <w:rPr>
                <w:rFonts w:eastAsia="Rockwell" w:cs="Times New Roman"/>
                <w:color w:val="000000"/>
                <w:sz w:val="22"/>
              </w:rPr>
              <w:br/>
              <w:t>Victorian Public Sector Commissioner</w:t>
            </w:r>
          </w:p>
        </w:tc>
        <w:tc>
          <w:tcPr>
            <w:tcW w:w="2138" w:type="dxa"/>
          </w:tcPr>
          <w:p w14:paraId="74F0747E" w14:textId="77777777" w:rsidR="000B5528" w:rsidRPr="000B5528" w:rsidRDefault="000B5528" w:rsidP="000B5528">
            <w:pPr>
              <w:spacing w:before="0" w:after="0" w:line="240" w:lineRule="auto"/>
              <w:jc w:val="center"/>
              <w:rPr>
                <w:rFonts w:eastAsia="Rockwell" w:cs="Times New Roman"/>
                <w:color w:val="000000"/>
                <w:sz w:val="22"/>
                <w:highlight w:val="yellow"/>
              </w:rPr>
            </w:pPr>
            <w:r w:rsidRPr="000B5528">
              <w:rPr>
                <w:rFonts w:eastAsia="Rockwell" w:cs="Times New Roman"/>
                <w:color w:val="000000"/>
                <w:sz w:val="22"/>
              </w:rPr>
              <w:t>778,492</w:t>
            </w:r>
          </w:p>
        </w:tc>
        <w:tc>
          <w:tcPr>
            <w:tcW w:w="1366" w:type="dxa"/>
          </w:tcPr>
          <w:p w14:paraId="47B20A9F" w14:textId="77777777" w:rsidR="000B5528" w:rsidRPr="000B5528" w:rsidRDefault="000B5528" w:rsidP="000B5528">
            <w:pPr>
              <w:spacing w:before="0" w:after="0" w:line="240" w:lineRule="auto"/>
              <w:jc w:val="center"/>
              <w:rPr>
                <w:rFonts w:eastAsia="Rockwell" w:cs="Times New Roman"/>
                <w:color w:val="000000"/>
                <w:sz w:val="22"/>
              </w:rPr>
            </w:pPr>
            <w:r w:rsidRPr="000B5528">
              <w:rPr>
                <w:rFonts w:eastAsia="Rockwell" w:cs="Times New Roman"/>
                <w:color w:val="000000"/>
                <w:sz w:val="22"/>
              </w:rPr>
              <w:t>832,800</w:t>
            </w:r>
          </w:p>
        </w:tc>
        <w:tc>
          <w:tcPr>
            <w:tcW w:w="1366" w:type="dxa"/>
          </w:tcPr>
          <w:p w14:paraId="144E518D" w14:textId="77777777" w:rsidR="000B5528" w:rsidRPr="000B5528" w:rsidRDefault="000B5528" w:rsidP="000B5528">
            <w:pPr>
              <w:spacing w:before="0" w:after="0" w:line="240" w:lineRule="auto"/>
              <w:jc w:val="center"/>
              <w:rPr>
                <w:rFonts w:eastAsia="Rockwell" w:cs="Times New Roman"/>
                <w:color w:val="000000"/>
                <w:sz w:val="22"/>
                <w:vertAlign w:val="superscript"/>
              </w:rPr>
            </w:pPr>
            <w:r w:rsidRPr="000B5528">
              <w:rPr>
                <w:rFonts w:eastAsia="Rockwell" w:cs="Times New Roman"/>
                <w:color w:val="000000"/>
                <w:sz w:val="22"/>
              </w:rPr>
              <w:t>1,009,000</w:t>
            </w:r>
          </w:p>
        </w:tc>
        <w:tc>
          <w:tcPr>
            <w:tcW w:w="1366" w:type="dxa"/>
          </w:tcPr>
          <w:p w14:paraId="1B9B5542" w14:textId="77777777" w:rsidR="000B5528" w:rsidRPr="000B5528" w:rsidRDefault="000B5528" w:rsidP="000B5528">
            <w:pPr>
              <w:spacing w:before="0" w:after="0" w:line="240" w:lineRule="auto"/>
              <w:jc w:val="center"/>
              <w:rPr>
                <w:rFonts w:eastAsia="Rockwell" w:cs="Times New Roman"/>
                <w:color w:val="000000"/>
                <w:sz w:val="22"/>
              </w:rPr>
            </w:pPr>
            <w:r w:rsidRPr="000B5528">
              <w:rPr>
                <w:rFonts w:eastAsia="Rockwell" w:cs="Times New Roman"/>
                <w:color w:val="000000"/>
                <w:sz w:val="22"/>
              </w:rPr>
              <w:t>1,321,700</w:t>
            </w:r>
          </w:p>
        </w:tc>
      </w:tr>
    </w:tbl>
    <w:p w14:paraId="703722D6" w14:textId="77777777" w:rsidR="000434C9" w:rsidRDefault="000434C9" w:rsidP="001D3312">
      <w:pPr>
        <w:pStyle w:val="09Sourcesandnotesfortablesfiguresboxes"/>
        <w:rPr>
          <w:rFonts w:eastAsia="Rockwell" w:cs="Times New Roman"/>
          <w:color w:val="000000"/>
        </w:rPr>
      </w:pPr>
      <w:r w:rsidRPr="000B5528">
        <w:t xml:space="preserve">Note: (a) AGM data was referenced at the </w:t>
      </w:r>
      <w:r w:rsidRPr="000B5528">
        <w:rPr>
          <w:rFonts w:eastAsia="Rockwell" w:cs="Times New Roman"/>
          <w:color w:val="000000"/>
        </w:rPr>
        <w:t>mid-point of the work value ranges for each classification.</w:t>
      </w:r>
    </w:p>
    <w:p w14:paraId="13933EE2" w14:textId="7371CFA0" w:rsidR="000B5528" w:rsidRPr="000B5528" w:rsidRDefault="000B5528" w:rsidP="001D3312">
      <w:pPr>
        <w:pStyle w:val="09Sourcesandnotesfortablesfiguresboxes"/>
        <w:rPr>
          <w:rFonts w:eastAsia="Rockwell" w:cs="Times New Roman"/>
          <w:color w:val="000000"/>
        </w:rPr>
      </w:pPr>
      <w:r w:rsidRPr="000B5528">
        <w:t>Source: Mercer (2024).</w:t>
      </w:r>
    </w:p>
    <w:p w14:paraId="3B5F8A25" w14:textId="6536143C" w:rsidR="000B5528" w:rsidRPr="000B5528" w:rsidRDefault="000B5528" w:rsidP="003E0E47">
      <w:pPr>
        <w:pStyle w:val="05Paragraph"/>
      </w:pPr>
      <w:r w:rsidRPr="000B5528">
        <w:t>Mercer noted that, based on the same approach it adopted in advising the Tribunal in 2020, the existing remuneration bands (applying from 1 July 2023) are now positioned below the 15</w:t>
      </w:r>
      <w:r w:rsidRPr="00F64B0C">
        <w:rPr>
          <w:vertAlign w:val="superscript"/>
        </w:rPr>
        <w:t>th</w:t>
      </w:r>
      <w:r w:rsidRPr="000B5528">
        <w:t xml:space="preserve"> percentile of the AGM (AGM 15).</w:t>
      </w:r>
      <w:r w:rsidR="005C424F">
        <w:rPr>
          <w:rStyle w:val="FootnoteReference"/>
        </w:rPr>
        <w:footnoteReference w:id="139"/>
      </w:r>
      <w:r w:rsidRPr="000B5528">
        <w:t xml:space="preserve"> This means that movements in AGM 15 have exceeded the Tribunal’s adjustments to the values of the bands since 2020.</w:t>
      </w:r>
    </w:p>
    <w:p w14:paraId="5B43724D" w14:textId="5F6B7D3E" w:rsidR="000B5528" w:rsidRPr="000B5528" w:rsidRDefault="000B5528" w:rsidP="0074677C">
      <w:pPr>
        <w:pStyle w:val="05Paragraph"/>
      </w:pPr>
      <w:r w:rsidRPr="000B5528">
        <w:t>Mercer noted that public services in other Australian jurisdictions do not have clearly articulated positioning strategies</w:t>
      </w:r>
      <w:r w:rsidR="001C6D75">
        <w:t>,</w:t>
      </w:r>
      <w:r w:rsidRPr="000B5528">
        <w:t xml:space="preserve"> but did observe that pay practices are conservative overall (being generally lower than AGM 25, and closer to AGM 15). Based on its analysis, Mercer advised that the existing remuneration bands for VPS executives </w:t>
      </w:r>
      <w:r w:rsidRPr="0074677C">
        <w:t>appear</w:t>
      </w:r>
      <w:r w:rsidRPr="000B5528">
        <w:t xml:space="preserve"> to be positioned more or less competitively in the broader market relative to other jurisdictions.</w:t>
      </w:r>
      <w:r w:rsidR="003752C8">
        <w:rPr>
          <w:rStyle w:val="FootnoteReference"/>
        </w:rPr>
        <w:footnoteReference w:id="140"/>
      </w:r>
    </w:p>
    <w:p w14:paraId="4584CB0A" w14:textId="670E8AED" w:rsidR="000B5528" w:rsidRPr="000B5528" w:rsidRDefault="000B5528" w:rsidP="0074677C">
      <w:pPr>
        <w:pStyle w:val="05Paragraph"/>
      </w:pPr>
      <w:r w:rsidRPr="000B5528">
        <w:lastRenderedPageBreak/>
        <w:t xml:space="preserve">By comparison, Mercer advised that </w:t>
      </w:r>
      <w:r w:rsidRPr="0074677C">
        <w:t>private</w:t>
      </w:r>
      <w:r w:rsidRPr="000B5528">
        <w:t xml:space="preserve"> sector organisations tend to position their executive remuneration more competitively in the market, such as at AGM 50, and in some cases even higher.</w:t>
      </w:r>
    </w:p>
    <w:p w14:paraId="126E1B06" w14:textId="77777777" w:rsidR="000B5528" w:rsidRPr="000B5528" w:rsidRDefault="000B5528" w:rsidP="00195648">
      <w:pPr>
        <w:pStyle w:val="03VIRTHeading3"/>
      </w:pPr>
      <w:r w:rsidRPr="000B5528">
        <w:t>Advice on market positioning</w:t>
      </w:r>
    </w:p>
    <w:p w14:paraId="250F673C" w14:textId="0D2ABBA6" w:rsidR="000B5528" w:rsidRPr="000B5528" w:rsidRDefault="000B5528" w:rsidP="003E0E47">
      <w:pPr>
        <w:pStyle w:val="05Paragraph"/>
      </w:pPr>
      <w:r w:rsidRPr="000B5528">
        <w:t>Table 4.4 sets out Mercer’s recommended TRP ranges. Consistent with the approach taken in 2019, the work value mid</w:t>
      </w:r>
      <w:r w:rsidR="00134801">
        <w:t>-</w:t>
      </w:r>
      <w:r w:rsidRPr="000B5528">
        <w:t>point for each level was used to reference the market data, with the AGM 15 used to set the maximum TRP for each level. Minimum TRPs were then constructed based on a 25 per cent spread (adjusted so that the ranges are contiguous).</w:t>
      </w:r>
    </w:p>
    <w:p w14:paraId="5AF82929" w14:textId="77777777" w:rsidR="000B5528" w:rsidRPr="000B5528" w:rsidRDefault="000B5528" w:rsidP="00144BE8">
      <w:pPr>
        <w:pStyle w:val="08Figuretableboxheading"/>
      </w:pPr>
      <w:bookmarkStart w:id="111" w:name="_Toc170393556"/>
      <w:r w:rsidRPr="000B5528">
        <w:t>Table 4.4: TRP ranges proposed by Mercer</w:t>
      </w:r>
      <w:bookmarkEnd w:id="111"/>
    </w:p>
    <w:tbl>
      <w:tblPr>
        <w:tblStyle w:val="Glossary1"/>
        <w:tblW w:w="0" w:type="auto"/>
        <w:tblLook w:val="04A0" w:firstRow="1" w:lastRow="0" w:firstColumn="1" w:lastColumn="0" w:noHBand="0" w:noVBand="1"/>
      </w:tblPr>
      <w:tblGrid>
        <w:gridCol w:w="3969"/>
        <w:gridCol w:w="2262"/>
        <w:gridCol w:w="2263"/>
      </w:tblGrid>
      <w:tr w:rsidR="000B5528" w:rsidRPr="000B5528" w14:paraId="68172142" w14:textId="77777777" w:rsidTr="00B6553D">
        <w:trPr>
          <w:cnfStyle w:val="100000000000" w:firstRow="1" w:lastRow="0" w:firstColumn="0" w:lastColumn="0" w:oddVBand="0" w:evenVBand="0" w:oddHBand="0" w:evenHBand="0" w:firstRowFirstColumn="0" w:firstRowLastColumn="0" w:lastRowFirstColumn="0" w:lastRowLastColumn="0"/>
        </w:trPr>
        <w:tc>
          <w:tcPr>
            <w:tcW w:w="3969" w:type="dxa"/>
          </w:tcPr>
          <w:p w14:paraId="7D4FE4DB" w14:textId="77777777" w:rsidR="000B5528" w:rsidRPr="000B5528" w:rsidRDefault="000B5528" w:rsidP="000B5528">
            <w:pPr>
              <w:keepNext/>
              <w:spacing w:before="0" w:after="0" w:line="240" w:lineRule="auto"/>
              <w:jc w:val="left"/>
              <w:rPr>
                <w:rFonts w:eastAsia="Rockwell" w:cs="Times New Roman"/>
                <w:color w:val="FFFFFF"/>
                <w:sz w:val="22"/>
              </w:rPr>
            </w:pPr>
            <w:r w:rsidRPr="000B5528">
              <w:rPr>
                <w:rFonts w:eastAsia="Rockwell" w:cs="Times New Roman"/>
                <w:color w:val="FFFFFF"/>
                <w:sz w:val="22"/>
              </w:rPr>
              <w:t>Classification</w:t>
            </w:r>
          </w:p>
        </w:tc>
        <w:tc>
          <w:tcPr>
            <w:tcW w:w="2262" w:type="dxa"/>
          </w:tcPr>
          <w:p w14:paraId="7D0B9307" w14:textId="77777777" w:rsidR="000B5528" w:rsidRPr="000B5528" w:rsidRDefault="000B5528" w:rsidP="000B5528">
            <w:pPr>
              <w:keepNext/>
              <w:spacing w:before="0" w:after="0" w:line="240" w:lineRule="auto"/>
              <w:jc w:val="right"/>
              <w:rPr>
                <w:rFonts w:eastAsia="Rockwell" w:cs="Times New Roman"/>
                <w:color w:val="FFFFFF"/>
                <w:sz w:val="22"/>
              </w:rPr>
            </w:pPr>
            <w:r w:rsidRPr="000B5528">
              <w:rPr>
                <w:rFonts w:eastAsia="Rockwell" w:cs="Times New Roman"/>
                <w:color w:val="FFFFFF"/>
                <w:sz w:val="22"/>
              </w:rPr>
              <w:t>Minimum TRP ($ p.a.)</w:t>
            </w:r>
          </w:p>
        </w:tc>
        <w:tc>
          <w:tcPr>
            <w:tcW w:w="2263" w:type="dxa"/>
          </w:tcPr>
          <w:p w14:paraId="40145BEB" w14:textId="77777777" w:rsidR="000B5528" w:rsidRPr="000B5528" w:rsidRDefault="000B5528" w:rsidP="000B5528">
            <w:pPr>
              <w:keepNext/>
              <w:spacing w:before="0" w:after="0" w:line="240" w:lineRule="auto"/>
              <w:jc w:val="right"/>
              <w:rPr>
                <w:rFonts w:eastAsia="Rockwell" w:cs="Times New Roman"/>
                <w:color w:val="FFFFFF"/>
                <w:sz w:val="22"/>
              </w:rPr>
            </w:pPr>
            <w:r w:rsidRPr="000B5528">
              <w:rPr>
                <w:rFonts w:eastAsia="Rockwell" w:cs="Times New Roman"/>
                <w:color w:val="FFFFFF"/>
                <w:sz w:val="22"/>
              </w:rPr>
              <w:t>Maximum TRP ($ p.a.)</w:t>
            </w:r>
          </w:p>
        </w:tc>
      </w:tr>
      <w:tr w:rsidR="000B5528" w:rsidRPr="000B5528" w14:paraId="77B71BF2" w14:textId="77777777" w:rsidTr="00B6553D">
        <w:tc>
          <w:tcPr>
            <w:tcW w:w="3969" w:type="dxa"/>
          </w:tcPr>
          <w:p w14:paraId="5A63C77A" w14:textId="77777777" w:rsidR="000B5528" w:rsidRPr="000B5528" w:rsidRDefault="000B5528" w:rsidP="000B5528">
            <w:pPr>
              <w:keepNext/>
              <w:spacing w:before="0" w:after="0" w:line="240" w:lineRule="auto"/>
              <w:jc w:val="left"/>
              <w:rPr>
                <w:rFonts w:eastAsia="Rockwell" w:cs="Times New Roman"/>
                <w:color w:val="000000"/>
                <w:sz w:val="22"/>
              </w:rPr>
            </w:pPr>
            <w:r w:rsidRPr="000B5528">
              <w:rPr>
                <w:rFonts w:eastAsia="Rockwell" w:cs="Times New Roman"/>
                <w:color w:val="000000"/>
                <w:sz w:val="22"/>
              </w:rPr>
              <w:t>SES-1</w:t>
            </w:r>
          </w:p>
        </w:tc>
        <w:tc>
          <w:tcPr>
            <w:tcW w:w="2262" w:type="dxa"/>
          </w:tcPr>
          <w:p w14:paraId="40E87FBE" w14:textId="77777777" w:rsidR="000B5528" w:rsidRPr="000B5528" w:rsidRDefault="000B5528" w:rsidP="000B5528">
            <w:pPr>
              <w:keepNext/>
              <w:spacing w:before="0" w:after="0" w:line="240" w:lineRule="auto"/>
              <w:jc w:val="right"/>
              <w:rPr>
                <w:rFonts w:eastAsia="Rockwell" w:cs="Times New Roman"/>
                <w:color w:val="000000"/>
                <w:sz w:val="22"/>
              </w:rPr>
            </w:pPr>
            <w:r w:rsidRPr="000B5528">
              <w:rPr>
                <w:rFonts w:eastAsia="Rockwell" w:cs="Times New Roman"/>
                <w:color w:val="000000"/>
                <w:sz w:val="22"/>
              </w:rPr>
              <w:t>218,000</w:t>
            </w:r>
          </w:p>
        </w:tc>
        <w:tc>
          <w:tcPr>
            <w:tcW w:w="2263" w:type="dxa"/>
          </w:tcPr>
          <w:p w14:paraId="32796F7F" w14:textId="77777777" w:rsidR="000B5528" w:rsidRPr="000B5528" w:rsidRDefault="000B5528" w:rsidP="000B5528">
            <w:pPr>
              <w:keepNext/>
              <w:spacing w:before="0" w:after="0" w:line="240" w:lineRule="auto"/>
              <w:jc w:val="right"/>
              <w:rPr>
                <w:rFonts w:eastAsia="Rockwell" w:cs="Times New Roman"/>
                <w:color w:val="000000"/>
                <w:sz w:val="22"/>
              </w:rPr>
            </w:pPr>
            <w:r w:rsidRPr="000B5528">
              <w:rPr>
                <w:rFonts w:eastAsia="Rockwell" w:cs="Times New Roman"/>
                <w:color w:val="000000"/>
                <w:sz w:val="22"/>
              </w:rPr>
              <w:t>290,600</w:t>
            </w:r>
          </w:p>
        </w:tc>
      </w:tr>
      <w:tr w:rsidR="000B5528" w:rsidRPr="000B5528" w14:paraId="799E278D" w14:textId="77777777" w:rsidTr="00B6553D">
        <w:tc>
          <w:tcPr>
            <w:tcW w:w="3969" w:type="dxa"/>
          </w:tcPr>
          <w:p w14:paraId="46B817B0" w14:textId="77777777" w:rsidR="000B5528" w:rsidRPr="000B5528" w:rsidRDefault="000B5528" w:rsidP="000B5528">
            <w:pPr>
              <w:keepNext/>
              <w:spacing w:before="0" w:after="0" w:line="240" w:lineRule="auto"/>
              <w:jc w:val="left"/>
              <w:rPr>
                <w:rFonts w:eastAsia="Rockwell" w:cs="Times New Roman"/>
                <w:color w:val="000000"/>
                <w:sz w:val="22"/>
              </w:rPr>
            </w:pPr>
            <w:r w:rsidRPr="000B5528">
              <w:rPr>
                <w:rFonts w:eastAsia="Rockwell" w:cs="Times New Roman"/>
                <w:color w:val="000000"/>
                <w:sz w:val="22"/>
              </w:rPr>
              <w:t>SES-2</w:t>
            </w:r>
          </w:p>
        </w:tc>
        <w:tc>
          <w:tcPr>
            <w:tcW w:w="2262" w:type="dxa"/>
          </w:tcPr>
          <w:p w14:paraId="1F718FAF" w14:textId="77777777" w:rsidR="000B5528" w:rsidRPr="000B5528" w:rsidRDefault="000B5528" w:rsidP="000B5528">
            <w:pPr>
              <w:keepNext/>
              <w:spacing w:before="0" w:after="0" w:line="240" w:lineRule="auto"/>
              <w:jc w:val="right"/>
              <w:rPr>
                <w:rFonts w:eastAsia="Rockwell" w:cs="Times New Roman"/>
                <w:color w:val="000000"/>
                <w:sz w:val="22"/>
              </w:rPr>
            </w:pPr>
            <w:r w:rsidRPr="000B5528">
              <w:rPr>
                <w:rFonts w:eastAsia="Rockwell" w:cs="Times New Roman"/>
                <w:color w:val="000000"/>
                <w:sz w:val="22"/>
              </w:rPr>
              <w:t>290,601</w:t>
            </w:r>
          </w:p>
        </w:tc>
        <w:tc>
          <w:tcPr>
            <w:tcW w:w="2263" w:type="dxa"/>
          </w:tcPr>
          <w:p w14:paraId="62A1F0C2" w14:textId="77777777" w:rsidR="000B5528" w:rsidRPr="000B5528" w:rsidRDefault="000B5528" w:rsidP="000B5528">
            <w:pPr>
              <w:keepNext/>
              <w:spacing w:before="0" w:after="0" w:line="240" w:lineRule="auto"/>
              <w:jc w:val="right"/>
              <w:rPr>
                <w:rFonts w:eastAsia="Rockwell" w:cs="Times New Roman"/>
                <w:color w:val="000000"/>
                <w:sz w:val="22"/>
              </w:rPr>
            </w:pPr>
            <w:r w:rsidRPr="000B5528">
              <w:rPr>
                <w:rFonts w:eastAsia="Rockwell" w:cs="Times New Roman"/>
                <w:color w:val="000000"/>
                <w:sz w:val="22"/>
              </w:rPr>
              <w:t>419,000</w:t>
            </w:r>
          </w:p>
        </w:tc>
      </w:tr>
      <w:tr w:rsidR="000B5528" w:rsidRPr="000B5528" w14:paraId="34AC352D" w14:textId="77777777" w:rsidTr="00B6553D">
        <w:tc>
          <w:tcPr>
            <w:tcW w:w="3969" w:type="dxa"/>
          </w:tcPr>
          <w:p w14:paraId="43604DB3" w14:textId="77777777" w:rsidR="000B5528" w:rsidRPr="000B5528" w:rsidRDefault="000B5528" w:rsidP="000B5528">
            <w:pPr>
              <w:keepNext/>
              <w:spacing w:before="0" w:after="0" w:line="240" w:lineRule="auto"/>
              <w:jc w:val="left"/>
              <w:rPr>
                <w:rFonts w:eastAsia="Rockwell" w:cs="Times New Roman"/>
                <w:color w:val="000000"/>
                <w:sz w:val="22"/>
              </w:rPr>
            </w:pPr>
            <w:r w:rsidRPr="000B5528">
              <w:rPr>
                <w:rFonts w:eastAsia="Rockwell" w:cs="Times New Roman"/>
                <w:color w:val="000000"/>
                <w:sz w:val="22"/>
              </w:rPr>
              <w:t>SES-3</w:t>
            </w:r>
          </w:p>
        </w:tc>
        <w:tc>
          <w:tcPr>
            <w:tcW w:w="2262" w:type="dxa"/>
          </w:tcPr>
          <w:p w14:paraId="6091A112" w14:textId="77777777" w:rsidR="000B5528" w:rsidRPr="000B5528" w:rsidRDefault="000B5528" w:rsidP="000B5528">
            <w:pPr>
              <w:keepNext/>
              <w:spacing w:before="0" w:after="0" w:line="240" w:lineRule="auto"/>
              <w:jc w:val="right"/>
              <w:rPr>
                <w:rFonts w:eastAsia="Rockwell" w:cs="Times New Roman"/>
                <w:color w:val="000000"/>
                <w:sz w:val="22"/>
              </w:rPr>
            </w:pPr>
            <w:r w:rsidRPr="000B5528">
              <w:rPr>
                <w:rFonts w:eastAsia="Rockwell" w:cs="Times New Roman"/>
                <w:color w:val="000000"/>
                <w:sz w:val="22"/>
              </w:rPr>
              <w:t>419,001</w:t>
            </w:r>
          </w:p>
        </w:tc>
        <w:tc>
          <w:tcPr>
            <w:tcW w:w="2263" w:type="dxa"/>
          </w:tcPr>
          <w:p w14:paraId="4DDD0F99" w14:textId="77777777" w:rsidR="000B5528" w:rsidRPr="000B5528" w:rsidRDefault="000B5528" w:rsidP="000B5528">
            <w:pPr>
              <w:keepNext/>
              <w:spacing w:before="0" w:after="0" w:line="240" w:lineRule="auto"/>
              <w:jc w:val="right"/>
              <w:rPr>
                <w:rFonts w:eastAsia="Rockwell" w:cs="Times New Roman"/>
                <w:color w:val="000000"/>
                <w:sz w:val="22"/>
              </w:rPr>
            </w:pPr>
            <w:r w:rsidRPr="000B5528">
              <w:rPr>
                <w:rFonts w:eastAsia="Rockwell" w:cs="Times New Roman"/>
                <w:color w:val="000000"/>
                <w:sz w:val="22"/>
              </w:rPr>
              <w:t>578,300</w:t>
            </w:r>
          </w:p>
        </w:tc>
      </w:tr>
      <w:tr w:rsidR="000B5528" w:rsidRPr="000B5528" w14:paraId="3FF6910A" w14:textId="77777777" w:rsidTr="00B6553D">
        <w:tc>
          <w:tcPr>
            <w:tcW w:w="3969" w:type="dxa"/>
          </w:tcPr>
          <w:p w14:paraId="4D80DBF5" w14:textId="49C3077A" w:rsidR="000B5528" w:rsidRPr="000B5528" w:rsidRDefault="000B5528" w:rsidP="000B5528">
            <w:pPr>
              <w:keepNext/>
              <w:spacing w:before="0" w:after="0" w:line="240" w:lineRule="auto"/>
              <w:jc w:val="left"/>
              <w:rPr>
                <w:rFonts w:eastAsia="Rockwell" w:cs="Times New Roman"/>
                <w:color w:val="000000"/>
                <w:sz w:val="22"/>
              </w:rPr>
            </w:pPr>
            <w:r w:rsidRPr="000B5528">
              <w:rPr>
                <w:rFonts w:eastAsia="Rockwell" w:cs="Times New Roman"/>
                <w:color w:val="000000"/>
                <w:sz w:val="22"/>
              </w:rPr>
              <w:t xml:space="preserve">Department </w:t>
            </w:r>
            <w:r w:rsidR="006764AB">
              <w:rPr>
                <w:rFonts w:eastAsia="Rockwell" w:cs="Times New Roman"/>
                <w:color w:val="000000"/>
                <w:sz w:val="22"/>
              </w:rPr>
              <w:t>Secretary</w:t>
            </w:r>
            <w:r w:rsidR="007D6739">
              <w:rPr>
                <w:rFonts w:eastAsia="Rockwell" w:cs="Times New Roman"/>
                <w:color w:val="000000"/>
                <w:sz w:val="22"/>
              </w:rPr>
              <w:t xml:space="preserve"> </w:t>
            </w:r>
            <w:r w:rsidRPr="000B5528">
              <w:rPr>
                <w:rFonts w:eastAsia="Rockwell" w:cs="Times New Roman"/>
                <w:color w:val="000000"/>
                <w:sz w:val="22"/>
              </w:rPr>
              <w:t>/</w:t>
            </w:r>
            <w:r w:rsidR="007D6739">
              <w:rPr>
                <w:rFonts w:eastAsia="Rockwell" w:cs="Times New Roman"/>
                <w:color w:val="000000"/>
                <w:sz w:val="22"/>
              </w:rPr>
              <w:t xml:space="preserve"> </w:t>
            </w:r>
            <w:r w:rsidRPr="000B5528">
              <w:rPr>
                <w:rFonts w:eastAsia="Rockwell" w:cs="Times New Roman"/>
                <w:color w:val="000000"/>
                <w:sz w:val="22"/>
              </w:rPr>
              <w:t>Victorian Public Sector Commissioner</w:t>
            </w:r>
          </w:p>
        </w:tc>
        <w:tc>
          <w:tcPr>
            <w:tcW w:w="2262" w:type="dxa"/>
          </w:tcPr>
          <w:p w14:paraId="63833353" w14:textId="77777777" w:rsidR="000B5528" w:rsidRPr="000B5528" w:rsidRDefault="000B5528" w:rsidP="000B5528">
            <w:pPr>
              <w:keepNext/>
              <w:spacing w:before="0" w:after="0" w:line="240" w:lineRule="auto"/>
              <w:jc w:val="right"/>
              <w:rPr>
                <w:rFonts w:eastAsia="Rockwell" w:cs="Times New Roman"/>
                <w:color w:val="000000"/>
                <w:sz w:val="22"/>
              </w:rPr>
            </w:pPr>
            <w:r w:rsidRPr="000B5528">
              <w:rPr>
                <w:rFonts w:eastAsia="Rockwell" w:cs="Times New Roman"/>
                <w:color w:val="000000"/>
                <w:sz w:val="22"/>
              </w:rPr>
              <w:t>578,301</w:t>
            </w:r>
          </w:p>
        </w:tc>
        <w:tc>
          <w:tcPr>
            <w:tcW w:w="2263" w:type="dxa"/>
          </w:tcPr>
          <w:p w14:paraId="3B54D184" w14:textId="77777777" w:rsidR="000B5528" w:rsidRPr="000B5528" w:rsidRDefault="000B5528" w:rsidP="000B5528">
            <w:pPr>
              <w:keepNext/>
              <w:spacing w:before="0" w:after="0" w:line="240" w:lineRule="auto"/>
              <w:jc w:val="right"/>
              <w:rPr>
                <w:rFonts w:eastAsia="Rockwell" w:cs="Times New Roman"/>
                <w:color w:val="000000"/>
                <w:sz w:val="22"/>
              </w:rPr>
            </w:pPr>
            <w:r w:rsidRPr="000B5528">
              <w:rPr>
                <w:rFonts w:eastAsia="Rockwell" w:cs="Times New Roman"/>
                <w:color w:val="000000"/>
                <w:sz w:val="22"/>
              </w:rPr>
              <w:t>832,800</w:t>
            </w:r>
          </w:p>
        </w:tc>
      </w:tr>
    </w:tbl>
    <w:p w14:paraId="1D71C861" w14:textId="101FE6BC" w:rsidR="007D6739" w:rsidRDefault="007D6739" w:rsidP="00E76E49">
      <w:pPr>
        <w:pStyle w:val="09Sourcesandnotesfortablesfiguresboxes"/>
      </w:pPr>
      <w:r>
        <w:t>Source: Mercer (2024)</w:t>
      </w:r>
    </w:p>
    <w:p w14:paraId="71270F89" w14:textId="34578ABA" w:rsidR="000B5528" w:rsidRPr="000B5528" w:rsidRDefault="000B5528" w:rsidP="00195648">
      <w:pPr>
        <w:pStyle w:val="05Paragraph"/>
      </w:pPr>
      <w:r w:rsidRPr="000B5528">
        <w:t>According to Mercer:</w:t>
      </w:r>
      <w:r w:rsidR="000E2597">
        <w:rPr>
          <w:rStyle w:val="FootnoteReference"/>
        </w:rPr>
        <w:footnoteReference w:id="141"/>
      </w:r>
    </w:p>
    <w:p w14:paraId="028BF1FC" w14:textId="77777777" w:rsidR="000B5528" w:rsidRPr="000B5528" w:rsidRDefault="000B5528" w:rsidP="0020723F">
      <w:pPr>
        <w:pStyle w:val="07VIRTBreakouttext"/>
        <w:rPr>
          <w:rFonts w:eastAsia="Rockwell"/>
          <w:i w:val="0"/>
        </w:rPr>
      </w:pPr>
      <w:r w:rsidRPr="000B5528">
        <w:t>This pay position is considered an affordable approach which will not drive a step-change in … executive remuneration within the Victorian public service.</w:t>
      </w:r>
    </w:p>
    <w:p w14:paraId="4DCF03B9" w14:textId="02BB5A1F" w:rsidR="000B5528" w:rsidRPr="000B5528" w:rsidRDefault="000B5528" w:rsidP="00195648">
      <w:pPr>
        <w:pStyle w:val="05Paragraph"/>
      </w:pPr>
      <w:r w:rsidRPr="000B5528">
        <w:t>In detailing the specific reasons for its recommendation, Mercer noted the following considerations:</w:t>
      </w:r>
      <w:r w:rsidR="0024574A">
        <w:rPr>
          <w:rStyle w:val="FootnoteReference"/>
        </w:rPr>
        <w:footnoteReference w:id="142"/>
      </w:r>
    </w:p>
    <w:p w14:paraId="19CEAC60" w14:textId="3C369DD9" w:rsidR="000B5528" w:rsidRPr="000B5528" w:rsidRDefault="000B5528" w:rsidP="003E0E47">
      <w:pPr>
        <w:pStyle w:val="06VIRTBulletpoints"/>
        <w:rPr>
          <w:lang w:eastAsia="en-AU"/>
        </w:rPr>
      </w:pPr>
      <w:r w:rsidRPr="000B5528">
        <w:rPr>
          <w:lang w:eastAsia="en-AU"/>
        </w:rPr>
        <w:t>the remuneration bands were originally set with reference to AGM 15</w:t>
      </w:r>
    </w:p>
    <w:p w14:paraId="28B79307" w14:textId="2D8D494F" w:rsidR="000B5528" w:rsidRPr="000B5528" w:rsidRDefault="000B5528" w:rsidP="003E0E47">
      <w:pPr>
        <w:pStyle w:val="06VIRTBulletpoints"/>
        <w:rPr>
          <w:lang w:eastAsia="en-AU"/>
        </w:rPr>
      </w:pPr>
      <w:r w:rsidRPr="000B5528">
        <w:rPr>
          <w:lang w:eastAsia="en-AU"/>
        </w:rPr>
        <w:t>subsequent adjustments to the values of the remuneration bands have not kept pace with movements in AGM 15</w:t>
      </w:r>
    </w:p>
    <w:p w14:paraId="25903735" w14:textId="77777777" w:rsidR="000B5528" w:rsidRPr="000B5528" w:rsidRDefault="000B5528" w:rsidP="003E0E47">
      <w:pPr>
        <w:pStyle w:val="06VIRTBulletpoints"/>
        <w:rPr>
          <w:lang w:eastAsia="en-AU"/>
        </w:rPr>
      </w:pPr>
      <w:r w:rsidRPr="000B5528">
        <w:rPr>
          <w:lang w:eastAsia="en-AU"/>
        </w:rPr>
        <w:t>relativities and competitiveness with public services in other Australian jurisdictions</w:t>
      </w:r>
    </w:p>
    <w:p w14:paraId="28A2A08E" w14:textId="77777777" w:rsidR="000B5528" w:rsidRPr="000B5528" w:rsidRDefault="000B5528" w:rsidP="003E0E47">
      <w:pPr>
        <w:pStyle w:val="06VIRTBulletpoints"/>
        <w:rPr>
          <w:lang w:eastAsia="en-AU"/>
        </w:rPr>
      </w:pPr>
      <w:r w:rsidRPr="000B5528">
        <w:rPr>
          <w:lang w:eastAsia="en-AU"/>
        </w:rPr>
        <w:t>balancing the development of executive talent within the VPS with attracting talent, skills and experience from the private sector</w:t>
      </w:r>
    </w:p>
    <w:p w14:paraId="01F63930" w14:textId="77777777" w:rsidR="000B5528" w:rsidRPr="000B5528" w:rsidRDefault="000B5528" w:rsidP="003E0E47">
      <w:pPr>
        <w:pStyle w:val="06VIRTBulletpoints"/>
        <w:rPr>
          <w:lang w:eastAsia="en-AU"/>
        </w:rPr>
      </w:pPr>
      <w:r w:rsidRPr="000B5528">
        <w:rPr>
          <w:lang w:eastAsia="en-AU"/>
        </w:rPr>
        <w:t>the financial implications of a higher pay position, particularly in light of budgetary pressures.</w:t>
      </w:r>
    </w:p>
    <w:p w14:paraId="5DFC927E" w14:textId="41D4B24C" w:rsidR="000B5528" w:rsidRPr="000B5528" w:rsidRDefault="000B5528" w:rsidP="00436A7B">
      <w:pPr>
        <w:pStyle w:val="05Paragraph"/>
      </w:pPr>
      <w:r w:rsidRPr="000B5528">
        <w:lastRenderedPageBreak/>
        <w:t xml:space="preserve">Mercer observed that the proposed TRP ranges are higher than the existing remuneration </w:t>
      </w:r>
      <w:r w:rsidRPr="00436A7B">
        <w:t>bands</w:t>
      </w:r>
      <w:r w:rsidRPr="000B5528">
        <w:t>, and that this would provide an increased level of flexibility to accommodate TRPs that would otherwise be considered ‘above band’. Nonetheless, Mercer noted that there would still be ‘particular roles that will justifiably command a premium’ above the relevant band, although perhaps with less regularity.</w:t>
      </w:r>
      <w:r w:rsidR="0024574A">
        <w:rPr>
          <w:rStyle w:val="FootnoteReference"/>
        </w:rPr>
        <w:footnoteReference w:id="143"/>
      </w:r>
    </w:p>
    <w:p w14:paraId="3D8CE47C" w14:textId="1161417E" w:rsidR="000B5528" w:rsidRPr="000B5528" w:rsidRDefault="000B5528" w:rsidP="003E0E47">
      <w:pPr>
        <w:pStyle w:val="05Paragraph"/>
      </w:pPr>
      <w:r w:rsidRPr="000B5528">
        <w:t xml:space="preserve">Alongside its recommendation, Mercer also suggested that the Tribunal take into account the employee value proposition </w:t>
      </w:r>
      <w:r w:rsidR="00AF6E4A">
        <w:t xml:space="preserve">(EVP) </w:t>
      </w:r>
      <w:r w:rsidRPr="000B5528">
        <w:t xml:space="preserve">of VPS executive employment in considering the competitive positioning of the VPS in the broader labour market. In particular, Mercer observed that the size of public services (including the VPS) provides for a broader range of career pathways and development opportunities compared to the private sector. Mercer also noted that public service </w:t>
      </w:r>
      <w:r w:rsidR="00771CC3">
        <w:t>EVP</w:t>
      </w:r>
      <w:r w:rsidRPr="000B5528">
        <w:t xml:space="preserve"> </w:t>
      </w:r>
      <w:r w:rsidR="0038371F">
        <w:t>is</w:t>
      </w:r>
      <w:r w:rsidRPr="000B5528">
        <w:t xml:space="preserve"> leveraged towards the nature of the work, while </w:t>
      </w:r>
      <w:r w:rsidR="00CD5D8B">
        <w:t xml:space="preserve">the </w:t>
      </w:r>
      <w:r w:rsidR="00771CC3">
        <w:t>EVP</w:t>
      </w:r>
      <w:r w:rsidR="00A65033">
        <w:t xml:space="preserve"> in the </w:t>
      </w:r>
      <w:r w:rsidRPr="000B5528">
        <w:t xml:space="preserve">private sector </w:t>
      </w:r>
      <w:r w:rsidR="00A65033">
        <w:t>is</w:t>
      </w:r>
      <w:r w:rsidRPr="000B5528">
        <w:t xml:space="preserve"> more clearly leveraged towards remuneration.</w:t>
      </w:r>
      <w:r w:rsidR="002427EF">
        <w:rPr>
          <w:rStyle w:val="FootnoteReference"/>
        </w:rPr>
        <w:footnoteReference w:id="144"/>
      </w:r>
    </w:p>
    <w:p w14:paraId="61264B6D" w14:textId="51F076C9" w:rsidR="000B5528" w:rsidRPr="000B5528" w:rsidRDefault="00195648" w:rsidP="00195648">
      <w:pPr>
        <w:pStyle w:val="02VIRTHeading2"/>
      </w:pPr>
      <w:bookmarkStart w:id="112" w:name="_Toc170396231"/>
      <w:r>
        <w:t>4.6</w:t>
      </w:r>
      <w:r>
        <w:tab/>
      </w:r>
      <w:r w:rsidR="000B5528" w:rsidRPr="000B5528">
        <w:t>Summary</w:t>
      </w:r>
      <w:bookmarkEnd w:id="112"/>
    </w:p>
    <w:p w14:paraId="15288165" w14:textId="4FD47FF5" w:rsidR="000B5528" w:rsidRPr="000B5528" w:rsidRDefault="000B5528" w:rsidP="003E0E47">
      <w:pPr>
        <w:pStyle w:val="05Paragraph"/>
      </w:pPr>
      <w:r w:rsidRPr="000B5528">
        <w:t xml:space="preserve">Conditions in the Australian labour market have tightened since the Tribunal made the 2020 </w:t>
      </w:r>
      <w:r w:rsidR="00774B05">
        <w:t xml:space="preserve">VPS </w:t>
      </w:r>
      <w:r w:rsidRPr="000B5528">
        <w:t>Determination, though there are signs of easing. Similar signs are appearing in the market for VPS executives, with the demand for executives moderating in recent years following a period of strong growth. Meanwhile, the supply of executives appears to be generally matching demand, although recruitment difficulties are being experienced for some types of roles.</w:t>
      </w:r>
    </w:p>
    <w:p w14:paraId="4DF8CFA4" w14:textId="77777777" w:rsidR="000B5528" w:rsidRPr="000B5528" w:rsidRDefault="000B5528" w:rsidP="003E0E47">
      <w:pPr>
        <w:pStyle w:val="05Paragraph"/>
      </w:pPr>
      <w:r w:rsidRPr="000B5528">
        <w:t>The Tribunal heard mixed views from stakeholders on whether the existing remuneration bands are competitive in terms of attracting and retaining executive talent. The Tribunal also heard concerns about VPS employers’ policies/practices regarding the placement of executives within the remuneration bands, which may be affecting the perceived competitiveness of executive employment offers. Executives also cited inequities in their employment and remuneration arrangements when compared to those available to non-executives, particularly when viewed in light of differences in responsibility</w:t>
      </w:r>
      <w:bookmarkEnd w:id="95"/>
      <w:bookmarkEnd w:id="96"/>
      <w:r w:rsidRPr="000B5528">
        <w:t xml:space="preserve"> and workload.</w:t>
      </w:r>
    </w:p>
    <w:p w14:paraId="5D429926" w14:textId="54EB13F7" w:rsidR="000B5528" w:rsidRPr="000B5528" w:rsidRDefault="000B5528" w:rsidP="003E0E47">
      <w:pPr>
        <w:pStyle w:val="05Paragraph"/>
      </w:pPr>
      <w:r w:rsidRPr="000B5528">
        <w:t xml:space="preserve">To inform the making of the Determination, the Tribunal commissioned Mercer to undertake work value assessments and remuneration benchmarking for VPS executive roles, and to provide advice on market positioning. Mercer’s analysis </w:t>
      </w:r>
      <w:r w:rsidRPr="000B5528">
        <w:lastRenderedPageBreak/>
        <w:t xml:space="preserve">shows that the remuneration bands continue to be positioned towards the lower end of the broader market. This is consistent with the positioning of public services in other jurisdictions and an </w:t>
      </w:r>
      <w:r w:rsidR="00771CC3">
        <w:t>EVP</w:t>
      </w:r>
      <w:r w:rsidRPr="000B5528">
        <w:t xml:space="preserve"> that, according to Mercer, is leveraged more towards the nature of the work than remuneration.</w:t>
      </w:r>
    </w:p>
    <w:p w14:paraId="16BDC296" w14:textId="3314F3F0" w:rsidR="000B5528" w:rsidRDefault="000B5528">
      <w:pPr>
        <w:spacing w:before="0" w:after="80" w:line="240" w:lineRule="auto"/>
        <w:jc w:val="left"/>
        <w:rPr>
          <w:color w:val="auto"/>
        </w:rPr>
      </w:pPr>
      <w:r>
        <w:rPr>
          <w:color w:val="auto"/>
        </w:rPr>
        <w:br w:type="page"/>
      </w:r>
    </w:p>
    <w:p w14:paraId="0235135A" w14:textId="0A5A8F58" w:rsidR="00764645" w:rsidRPr="00134CFE" w:rsidRDefault="00EB0AAD" w:rsidP="00EB0AAD">
      <w:pPr>
        <w:pStyle w:val="01Chapterheading"/>
      </w:pPr>
      <w:bookmarkStart w:id="113" w:name="_Toc169878477"/>
      <w:bookmarkStart w:id="114" w:name="_Toc170396232"/>
      <w:r>
        <w:lastRenderedPageBreak/>
        <w:t>5</w:t>
      </w:r>
      <w:r>
        <w:tab/>
      </w:r>
      <w:r w:rsidR="00DB216A" w:rsidRPr="00DB216A">
        <w:t>Jurisdictional comparisons</w:t>
      </w:r>
      <w:r w:rsidR="00764645">
        <w:br/>
      </w:r>
      <w:r w:rsidR="00764645" w:rsidRPr="00C02C39">
        <w:rPr>
          <w:noProof/>
        </w:rPr>
        <w:drawing>
          <wp:inline distT="0" distB="0" distL="0" distR="0" wp14:anchorId="6F9D56D1" wp14:editId="021893BB">
            <wp:extent cx="2222500" cy="253365"/>
            <wp:effectExtent l="0" t="0" r="6350" b="0"/>
            <wp:docPr id="1046729796" name="Picture 1046729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23">
                      <a:extLst>
                        <a:ext uri="{28A0092B-C50C-407E-A947-70E740481C1C}">
                          <a14:useLocalDpi xmlns:a14="http://schemas.microsoft.com/office/drawing/2010/main" val="0"/>
                        </a:ext>
                      </a:extLst>
                    </a:blip>
                    <a:stretch>
                      <a:fillRect/>
                    </a:stretch>
                  </pic:blipFill>
                  <pic:spPr>
                    <a:xfrm>
                      <a:off x="0" y="0"/>
                      <a:ext cx="2222500" cy="253365"/>
                    </a:xfrm>
                    <a:prstGeom prst="rect">
                      <a:avLst/>
                    </a:prstGeom>
                  </pic:spPr>
                </pic:pic>
              </a:graphicData>
            </a:graphic>
          </wp:inline>
        </w:drawing>
      </w:r>
      <w:bookmarkEnd w:id="113"/>
      <w:bookmarkEnd w:id="114"/>
    </w:p>
    <w:p w14:paraId="357FA2FF" w14:textId="77777777" w:rsidR="00DB216A" w:rsidRPr="00DB216A" w:rsidRDefault="00DB216A" w:rsidP="003B31AB">
      <w:pPr>
        <w:pStyle w:val="05Paragraph"/>
      </w:pPr>
      <w:r w:rsidRPr="00DB216A">
        <w:t xml:space="preserve">In this chapter, the VPS executive classification and remuneration framework is compared with arrangements in other selected Australian public service jurisdictions. </w:t>
      </w:r>
    </w:p>
    <w:p w14:paraId="7C9CF14A" w14:textId="0369915C" w:rsidR="00DB216A" w:rsidRPr="00DB216A" w:rsidRDefault="00DB216A" w:rsidP="003B31AB">
      <w:pPr>
        <w:pStyle w:val="05Paragraph"/>
      </w:pPr>
      <w:r w:rsidRPr="00DB216A">
        <w:t>The comparison focusse</w:t>
      </w:r>
      <w:r w:rsidR="0033092B">
        <w:t>s</w:t>
      </w:r>
      <w:r w:rsidRPr="00DB216A">
        <w:t xml:space="preserve"> on the Commonwealth, New South Wales (NSW) and Queensland public services. They are the most comparable in terms of population and geographical location, as well as the number of public service departments, the size of the executive and non</w:t>
      </w:r>
      <w:r w:rsidRPr="00DB216A">
        <w:noBreakHyphen/>
        <w:t xml:space="preserve">executive workforce. </w:t>
      </w:r>
    </w:p>
    <w:p w14:paraId="2BE1B03A" w14:textId="77777777" w:rsidR="00DB216A" w:rsidRPr="00DB216A" w:rsidRDefault="00DB216A" w:rsidP="003B31AB">
      <w:pPr>
        <w:pStyle w:val="05Paragraph"/>
      </w:pPr>
      <w:r w:rsidRPr="00DB216A">
        <w:t>These jurisdictions are also comparable based on the role and functions of public service executives and their employment and remuneration arrangements. However, there are some specific differences in employment and remuneration arrangements that need to be accounted for – for example, in the design of executive remuneration bands.</w:t>
      </w:r>
    </w:p>
    <w:p w14:paraId="0C325CCB" w14:textId="00A4092A" w:rsidR="00DB216A" w:rsidRPr="00DB216A" w:rsidRDefault="00DB216A" w:rsidP="003B31AB">
      <w:pPr>
        <w:pStyle w:val="05Paragraph"/>
      </w:pPr>
      <w:r w:rsidRPr="00DB216A">
        <w:t>These jurisdictions are also likely both potential sources and competitors for VPS executives, with responses to the Tribunal’s executive questionnaire showing that of those VPS executives who were considering leaving their executive position, around 30 per cent would prefer to join the public sector in another Australian jurisdiction</w:t>
      </w:r>
      <w:r w:rsidR="004C6085">
        <w:t xml:space="preserve"> (see Appendix A)</w:t>
      </w:r>
      <w:r w:rsidRPr="00DB216A">
        <w:t>.</w:t>
      </w:r>
    </w:p>
    <w:p w14:paraId="031E824F" w14:textId="0529A453" w:rsidR="00DB216A" w:rsidRPr="00DB216A" w:rsidRDefault="00630D63" w:rsidP="003B31AB">
      <w:pPr>
        <w:pStyle w:val="02VIRTHeading2"/>
      </w:pPr>
      <w:bookmarkStart w:id="115" w:name="_Toc170396233"/>
      <w:r>
        <w:t>5.1</w:t>
      </w:r>
      <w:r>
        <w:tab/>
      </w:r>
      <w:r w:rsidR="00DB216A" w:rsidRPr="00DB216A">
        <w:t>Commonwealth public service</w:t>
      </w:r>
      <w:bookmarkEnd w:id="115"/>
      <w:r w:rsidR="00DB216A" w:rsidRPr="00DB216A">
        <w:t xml:space="preserve"> </w:t>
      </w:r>
    </w:p>
    <w:p w14:paraId="4479CAC5" w14:textId="0BA83274" w:rsidR="00DB216A" w:rsidRPr="00DB216A" w:rsidRDefault="00DB216A" w:rsidP="003B31AB">
      <w:pPr>
        <w:pStyle w:val="05Paragraph"/>
      </w:pPr>
      <w:r w:rsidRPr="00DB216A">
        <w:t xml:space="preserve">The Commonwealth has separate classification and remuneration arrangements for Secretaries and the Senior Executive Service (SES) respectively. </w:t>
      </w:r>
    </w:p>
    <w:p w14:paraId="0F64B8A5" w14:textId="77777777" w:rsidR="00DB216A" w:rsidRPr="00DB216A" w:rsidDel="00A274F8" w:rsidRDefault="00DB216A" w:rsidP="003B31AB">
      <w:pPr>
        <w:pStyle w:val="03VIRTHeading3"/>
      </w:pPr>
      <w:r w:rsidRPr="00DB216A">
        <w:t>Secretary classification and remuneration</w:t>
      </w:r>
    </w:p>
    <w:p w14:paraId="260C4A97" w14:textId="346EFCB9" w:rsidR="00DB216A" w:rsidRPr="00DB216A" w:rsidRDefault="00DB216A" w:rsidP="003B31AB">
      <w:pPr>
        <w:pStyle w:val="05Paragraph"/>
      </w:pPr>
      <w:r w:rsidRPr="00DB216A">
        <w:t>The Commonwealth Remuneration Tribunal is responsible for determining a classification and remuneration structure for department Secretaries.</w:t>
      </w:r>
      <w:r w:rsidRPr="00DB216A">
        <w:rPr>
          <w:vertAlign w:val="superscript"/>
        </w:rPr>
        <w:footnoteReference w:id="145"/>
      </w:r>
      <w:r w:rsidRPr="00DB216A">
        <w:t xml:space="preserve"> </w:t>
      </w:r>
    </w:p>
    <w:p w14:paraId="4096429F" w14:textId="024B3585" w:rsidR="00DB216A" w:rsidRPr="00DB216A" w:rsidRDefault="00DB216A" w:rsidP="003B31AB">
      <w:pPr>
        <w:pStyle w:val="05Paragraph"/>
      </w:pPr>
      <w:r w:rsidRPr="00DB216A">
        <w:lastRenderedPageBreak/>
        <w:t>The</w:t>
      </w:r>
      <w:r w:rsidRPr="00DB216A" w:rsidDel="00C07A29">
        <w:t xml:space="preserve"> </w:t>
      </w:r>
      <w:r w:rsidRPr="00DB216A">
        <w:t>structure consists of four levels, with Level 1 being the highest and Level 4 the lowest</w:t>
      </w:r>
      <w:r w:rsidR="0031122B">
        <w:t xml:space="preserve"> (Table 5.1)</w:t>
      </w:r>
      <w:r w:rsidRPr="00DB216A">
        <w:t>. The Secretary of the Department of Prime Minister and Cabinet is classified at Level 1 and the Secretary of the Treasury is</w:t>
      </w:r>
      <w:r w:rsidRPr="00DB216A">
        <w:rPr>
          <w:rFonts w:ascii="Calibri" w:hAnsi="Calibri" w:cs="Calibri"/>
        </w:rPr>
        <w:t xml:space="preserve"> </w:t>
      </w:r>
      <w:r w:rsidRPr="00DB216A">
        <w:t>classified at Level 2. Twelve other Secretaries are classified at Level 3 and two at Level 4.</w:t>
      </w:r>
      <w:r w:rsidRPr="00DB216A">
        <w:rPr>
          <w:vertAlign w:val="superscript"/>
        </w:rPr>
        <w:footnoteReference w:id="146"/>
      </w:r>
      <w:r w:rsidRPr="00DB216A">
        <w:t xml:space="preserve"> The Tribunal may also set pay points within each level.</w:t>
      </w:r>
    </w:p>
    <w:p w14:paraId="687F6983" w14:textId="77777777" w:rsidR="0031122B" w:rsidRPr="00DB216A" w:rsidRDefault="0031122B" w:rsidP="0031122B">
      <w:pPr>
        <w:pStyle w:val="08Figuretableboxheading"/>
      </w:pPr>
      <w:bookmarkStart w:id="116" w:name="_Toc170393557"/>
      <w:r w:rsidRPr="00DB216A">
        <w:t>Table 5.1: Classification and remuneration structure for Commonwealth Secretaries, from 1 July 2023</w:t>
      </w:r>
      <w:bookmarkEnd w:id="116"/>
    </w:p>
    <w:tbl>
      <w:tblPr>
        <w:tblStyle w:val="ListTable3-Accent29"/>
        <w:tblW w:w="0" w:type="auto"/>
        <w:tblBorders>
          <w:left w:val="none" w:sz="0" w:space="0" w:color="auto"/>
          <w:right w:val="none" w:sz="0" w:space="0" w:color="auto"/>
          <w:insideH w:val="single" w:sz="4" w:space="0" w:color="148A5D"/>
        </w:tblBorders>
        <w:tblLook w:val="04A0" w:firstRow="1" w:lastRow="0" w:firstColumn="1" w:lastColumn="0" w:noHBand="0" w:noVBand="1"/>
      </w:tblPr>
      <w:tblGrid>
        <w:gridCol w:w="4106"/>
        <w:gridCol w:w="977"/>
        <w:gridCol w:w="3421"/>
      </w:tblGrid>
      <w:tr w:rsidR="0031122B" w:rsidRPr="00643ED8" w14:paraId="3E64A2A7" w14:textId="77777777">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4253" w:type="dxa"/>
          </w:tcPr>
          <w:p w14:paraId="7AFFBFE5" w14:textId="77777777" w:rsidR="0031122B" w:rsidRPr="00A028E3" w:rsidRDefault="0031122B">
            <w:pPr>
              <w:pStyle w:val="10Tabletext"/>
              <w:rPr>
                <w:color w:val="FFFFFF" w:themeColor="background1"/>
              </w:rPr>
            </w:pPr>
            <w:r w:rsidRPr="00A028E3">
              <w:rPr>
                <w:color w:val="FFFFFF" w:themeColor="background1"/>
              </w:rPr>
              <w:t>Level</w:t>
            </w:r>
          </w:p>
        </w:tc>
        <w:tc>
          <w:tcPr>
            <w:tcW w:w="992" w:type="dxa"/>
          </w:tcPr>
          <w:p w14:paraId="4071B751" w14:textId="77777777" w:rsidR="0031122B" w:rsidRPr="00A028E3" w:rsidRDefault="0031122B">
            <w:pPr>
              <w:pStyle w:val="10Tabletext"/>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A028E3">
              <w:rPr>
                <w:color w:val="FFFFFF" w:themeColor="background1"/>
              </w:rPr>
              <w:t>Pay point</w:t>
            </w:r>
          </w:p>
        </w:tc>
        <w:tc>
          <w:tcPr>
            <w:tcW w:w="3544" w:type="dxa"/>
          </w:tcPr>
          <w:p w14:paraId="65927378" w14:textId="77777777" w:rsidR="0031122B" w:rsidRPr="00A028E3" w:rsidRDefault="0031122B">
            <w:pPr>
              <w:pStyle w:val="10Tabletext"/>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A028E3">
              <w:rPr>
                <w:color w:val="FFFFFF" w:themeColor="background1"/>
              </w:rPr>
              <w:t>TRP</w:t>
            </w:r>
            <w:r>
              <w:rPr>
                <w:color w:val="FFFFFF" w:themeColor="background1"/>
              </w:rPr>
              <w:br/>
            </w:r>
            <w:r w:rsidRPr="00A028E3">
              <w:rPr>
                <w:color w:val="FFFFFF" w:themeColor="background1"/>
              </w:rPr>
              <w:t>($</w:t>
            </w:r>
            <w:r>
              <w:rPr>
                <w:color w:val="FFFFFF" w:themeColor="background1"/>
              </w:rPr>
              <w:t xml:space="preserve"> </w:t>
            </w:r>
            <w:r w:rsidRPr="00A028E3">
              <w:rPr>
                <w:color w:val="FFFFFF" w:themeColor="background1"/>
              </w:rPr>
              <w:t>p.a.)</w:t>
            </w:r>
          </w:p>
        </w:tc>
      </w:tr>
      <w:tr w:rsidR="0031122B" w:rsidRPr="00643ED8" w14:paraId="5EEE81F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35C0B543" w14:textId="77777777" w:rsidR="0031122B" w:rsidRPr="00A028E3" w:rsidRDefault="0031122B">
            <w:pPr>
              <w:pStyle w:val="10Tabletext"/>
            </w:pPr>
            <w:r w:rsidRPr="00A028E3">
              <w:t>Level 1 (Prime Minister and Cabinet)</w:t>
            </w:r>
          </w:p>
        </w:tc>
        <w:tc>
          <w:tcPr>
            <w:tcW w:w="992" w:type="dxa"/>
          </w:tcPr>
          <w:p w14:paraId="3CF6A7F4" w14:textId="77777777" w:rsidR="0031122B" w:rsidRPr="00A028E3" w:rsidRDefault="0031122B">
            <w:pPr>
              <w:pStyle w:val="10Tabletext"/>
              <w:jc w:val="right"/>
              <w:cnfStyle w:val="000000100000" w:firstRow="0" w:lastRow="0" w:firstColumn="0" w:lastColumn="0" w:oddVBand="0" w:evenVBand="0" w:oddHBand="1" w:evenHBand="0" w:firstRowFirstColumn="0" w:firstRowLastColumn="0" w:lastRowFirstColumn="0" w:lastRowLastColumn="0"/>
            </w:pPr>
            <w:r w:rsidRPr="00A028E3">
              <w:t>N/A</w:t>
            </w:r>
          </w:p>
        </w:tc>
        <w:tc>
          <w:tcPr>
            <w:tcW w:w="3544" w:type="dxa"/>
          </w:tcPr>
          <w:p w14:paraId="5D960299" w14:textId="77777777" w:rsidR="0031122B" w:rsidRPr="00A028E3" w:rsidRDefault="0031122B">
            <w:pPr>
              <w:pStyle w:val="10Tabletext"/>
              <w:jc w:val="right"/>
              <w:cnfStyle w:val="000000100000" w:firstRow="0" w:lastRow="0" w:firstColumn="0" w:lastColumn="0" w:oddVBand="0" w:evenVBand="0" w:oddHBand="1" w:evenHBand="0" w:firstRowFirstColumn="0" w:firstRowLastColumn="0" w:lastRowFirstColumn="0" w:lastRowLastColumn="0"/>
            </w:pPr>
            <w:r w:rsidRPr="00A028E3">
              <w:t>977,200</w:t>
            </w:r>
          </w:p>
        </w:tc>
      </w:tr>
      <w:tr w:rsidR="0031122B" w:rsidRPr="00643ED8" w14:paraId="49044F74" w14:textId="77777777">
        <w:tc>
          <w:tcPr>
            <w:cnfStyle w:val="001000000000" w:firstRow="0" w:lastRow="0" w:firstColumn="1" w:lastColumn="0" w:oddVBand="0" w:evenVBand="0" w:oddHBand="0" w:evenHBand="0" w:firstRowFirstColumn="0" w:firstRowLastColumn="0" w:lastRowFirstColumn="0" w:lastRowLastColumn="0"/>
            <w:tcW w:w="4253" w:type="dxa"/>
          </w:tcPr>
          <w:p w14:paraId="7EFBFCFF" w14:textId="77777777" w:rsidR="0031122B" w:rsidRPr="00A028E3" w:rsidRDefault="0031122B">
            <w:pPr>
              <w:pStyle w:val="10Tabletext"/>
            </w:pPr>
            <w:r w:rsidRPr="00A028E3">
              <w:t>Level 2 (Treasury)</w:t>
            </w:r>
          </w:p>
        </w:tc>
        <w:tc>
          <w:tcPr>
            <w:tcW w:w="992" w:type="dxa"/>
          </w:tcPr>
          <w:p w14:paraId="2425CBE8" w14:textId="77777777" w:rsidR="0031122B" w:rsidRPr="00A028E3" w:rsidRDefault="0031122B">
            <w:pPr>
              <w:pStyle w:val="10Tabletext"/>
              <w:jc w:val="right"/>
              <w:cnfStyle w:val="000000000000" w:firstRow="0" w:lastRow="0" w:firstColumn="0" w:lastColumn="0" w:oddVBand="0" w:evenVBand="0" w:oddHBand="0" w:evenHBand="0" w:firstRowFirstColumn="0" w:firstRowLastColumn="0" w:lastRowFirstColumn="0" w:lastRowLastColumn="0"/>
            </w:pPr>
            <w:r w:rsidRPr="00A028E3">
              <w:t>N/A</w:t>
            </w:r>
          </w:p>
        </w:tc>
        <w:tc>
          <w:tcPr>
            <w:tcW w:w="3544" w:type="dxa"/>
          </w:tcPr>
          <w:p w14:paraId="590C5421" w14:textId="77777777" w:rsidR="0031122B" w:rsidRPr="00A028E3" w:rsidRDefault="0031122B">
            <w:pPr>
              <w:pStyle w:val="10Tabletext"/>
              <w:jc w:val="right"/>
              <w:cnfStyle w:val="000000000000" w:firstRow="0" w:lastRow="0" w:firstColumn="0" w:lastColumn="0" w:oddVBand="0" w:evenVBand="0" w:oddHBand="0" w:evenHBand="0" w:firstRowFirstColumn="0" w:firstRowLastColumn="0" w:lastRowFirstColumn="0" w:lastRowLastColumn="0"/>
            </w:pPr>
            <w:r w:rsidRPr="00A028E3">
              <w:t>952,770</w:t>
            </w:r>
          </w:p>
        </w:tc>
      </w:tr>
      <w:tr w:rsidR="0031122B" w:rsidRPr="00643ED8" w14:paraId="1C5391E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4568EA56" w14:textId="77777777" w:rsidR="0031122B" w:rsidRPr="00A028E3" w:rsidRDefault="0031122B">
            <w:pPr>
              <w:pStyle w:val="10Tabletext"/>
            </w:pPr>
            <w:r w:rsidRPr="00A028E3">
              <w:t>Level 3</w:t>
            </w:r>
          </w:p>
        </w:tc>
        <w:tc>
          <w:tcPr>
            <w:tcW w:w="992" w:type="dxa"/>
          </w:tcPr>
          <w:p w14:paraId="64F2ACDF" w14:textId="77777777" w:rsidR="0031122B" w:rsidRPr="00A028E3" w:rsidRDefault="0031122B">
            <w:pPr>
              <w:pStyle w:val="10Tabletext"/>
              <w:jc w:val="right"/>
              <w:cnfStyle w:val="000000100000" w:firstRow="0" w:lastRow="0" w:firstColumn="0" w:lastColumn="0" w:oddVBand="0" w:evenVBand="0" w:oddHBand="1" w:evenHBand="0" w:firstRowFirstColumn="0" w:firstRowLastColumn="0" w:lastRowFirstColumn="0" w:lastRowLastColumn="0"/>
            </w:pPr>
            <w:r w:rsidRPr="00A028E3">
              <w:t>1</w:t>
            </w:r>
          </w:p>
        </w:tc>
        <w:tc>
          <w:tcPr>
            <w:tcW w:w="3544" w:type="dxa"/>
          </w:tcPr>
          <w:p w14:paraId="4CDED9BA" w14:textId="77777777" w:rsidR="0031122B" w:rsidRPr="00A028E3" w:rsidRDefault="0031122B">
            <w:pPr>
              <w:pStyle w:val="10Tabletext"/>
              <w:jc w:val="right"/>
              <w:cnfStyle w:val="000000100000" w:firstRow="0" w:lastRow="0" w:firstColumn="0" w:lastColumn="0" w:oddVBand="0" w:evenVBand="0" w:oddHBand="1" w:evenHBand="0" w:firstRowFirstColumn="0" w:firstRowLastColumn="0" w:lastRowFirstColumn="0" w:lastRowLastColumn="0"/>
            </w:pPr>
            <w:r w:rsidRPr="00A028E3">
              <w:t>928,340</w:t>
            </w:r>
          </w:p>
        </w:tc>
      </w:tr>
      <w:tr w:rsidR="0031122B" w:rsidRPr="00643ED8" w14:paraId="6FFF5BC3" w14:textId="77777777">
        <w:tc>
          <w:tcPr>
            <w:cnfStyle w:val="001000000000" w:firstRow="0" w:lastRow="0" w:firstColumn="1" w:lastColumn="0" w:oddVBand="0" w:evenVBand="0" w:oddHBand="0" w:evenHBand="0" w:firstRowFirstColumn="0" w:firstRowLastColumn="0" w:lastRowFirstColumn="0" w:lastRowLastColumn="0"/>
            <w:tcW w:w="4253" w:type="dxa"/>
          </w:tcPr>
          <w:p w14:paraId="4D123DBD" w14:textId="77777777" w:rsidR="0031122B" w:rsidRPr="00A028E3" w:rsidRDefault="0031122B">
            <w:pPr>
              <w:pStyle w:val="10Tabletext"/>
            </w:pPr>
            <w:r w:rsidRPr="00A028E3">
              <w:t>Level 3</w:t>
            </w:r>
          </w:p>
        </w:tc>
        <w:tc>
          <w:tcPr>
            <w:tcW w:w="992" w:type="dxa"/>
          </w:tcPr>
          <w:p w14:paraId="4FD7532D" w14:textId="77777777" w:rsidR="0031122B" w:rsidRPr="00A028E3" w:rsidRDefault="0031122B">
            <w:pPr>
              <w:pStyle w:val="10Tabletext"/>
              <w:jc w:val="right"/>
              <w:cnfStyle w:val="000000000000" w:firstRow="0" w:lastRow="0" w:firstColumn="0" w:lastColumn="0" w:oddVBand="0" w:evenVBand="0" w:oddHBand="0" w:evenHBand="0" w:firstRowFirstColumn="0" w:firstRowLastColumn="0" w:lastRowFirstColumn="0" w:lastRowLastColumn="0"/>
            </w:pPr>
            <w:r w:rsidRPr="00A028E3">
              <w:t>2</w:t>
            </w:r>
          </w:p>
        </w:tc>
        <w:tc>
          <w:tcPr>
            <w:tcW w:w="3544" w:type="dxa"/>
          </w:tcPr>
          <w:p w14:paraId="129EC52F" w14:textId="77777777" w:rsidR="0031122B" w:rsidRPr="00A028E3" w:rsidRDefault="0031122B">
            <w:pPr>
              <w:pStyle w:val="10Tabletext"/>
              <w:jc w:val="right"/>
              <w:cnfStyle w:val="000000000000" w:firstRow="0" w:lastRow="0" w:firstColumn="0" w:lastColumn="0" w:oddVBand="0" w:evenVBand="0" w:oddHBand="0" w:evenHBand="0" w:firstRowFirstColumn="0" w:firstRowLastColumn="0" w:lastRowFirstColumn="0" w:lastRowLastColumn="0"/>
            </w:pPr>
            <w:r w:rsidRPr="00A028E3">
              <w:t>879,480</w:t>
            </w:r>
          </w:p>
        </w:tc>
      </w:tr>
      <w:tr w:rsidR="0031122B" w:rsidRPr="00643ED8" w14:paraId="5F9586D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327030D1" w14:textId="77777777" w:rsidR="0031122B" w:rsidRPr="00A028E3" w:rsidRDefault="0031122B">
            <w:pPr>
              <w:pStyle w:val="10Tabletext"/>
            </w:pPr>
            <w:r w:rsidRPr="00A028E3">
              <w:t>Level 4</w:t>
            </w:r>
          </w:p>
        </w:tc>
        <w:tc>
          <w:tcPr>
            <w:tcW w:w="992" w:type="dxa"/>
          </w:tcPr>
          <w:p w14:paraId="150D87D6" w14:textId="77777777" w:rsidR="0031122B" w:rsidRPr="00A028E3" w:rsidRDefault="0031122B">
            <w:pPr>
              <w:pStyle w:val="10Tabletext"/>
              <w:jc w:val="right"/>
              <w:cnfStyle w:val="000000100000" w:firstRow="0" w:lastRow="0" w:firstColumn="0" w:lastColumn="0" w:oddVBand="0" w:evenVBand="0" w:oddHBand="1" w:evenHBand="0" w:firstRowFirstColumn="0" w:firstRowLastColumn="0" w:lastRowFirstColumn="0" w:lastRowLastColumn="0"/>
            </w:pPr>
            <w:r w:rsidRPr="00A028E3">
              <w:t>1</w:t>
            </w:r>
          </w:p>
        </w:tc>
        <w:tc>
          <w:tcPr>
            <w:tcW w:w="3544" w:type="dxa"/>
          </w:tcPr>
          <w:p w14:paraId="4320E247" w14:textId="77777777" w:rsidR="0031122B" w:rsidRPr="00A028E3" w:rsidRDefault="0031122B">
            <w:pPr>
              <w:pStyle w:val="10Tabletext"/>
              <w:jc w:val="right"/>
              <w:cnfStyle w:val="000000100000" w:firstRow="0" w:lastRow="0" w:firstColumn="0" w:lastColumn="0" w:oddVBand="0" w:evenVBand="0" w:oddHBand="1" w:evenHBand="0" w:firstRowFirstColumn="0" w:firstRowLastColumn="0" w:lastRowFirstColumn="0" w:lastRowLastColumn="0"/>
            </w:pPr>
            <w:r w:rsidRPr="00A028E3">
              <w:t>830,620</w:t>
            </w:r>
          </w:p>
        </w:tc>
      </w:tr>
      <w:tr w:rsidR="0031122B" w:rsidRPr="00643ED8" w14:paraId="01FAD54E" w14:textId="77777777">
        <w:tc>
          <w:tcPr>
            <w:cnfStyle w:val="001000000000" w:firstRow="0" w:lastRow="0" w:firstColumn="1" w:lastColumn="0" w:oddVBand="0" w:evenVBand="0" w:oddHBand="0" w:evenHBand="0" w:firstRowFirstColumn="0" w:firstRowLastColumn="0" w:lastRowFirstColumn="0" w:lastRowLastColumn="0"/>
            <w:tcW w:w="4253" w:type="dxa"/>
          </w:tcPr>
          <w:p w14:paraId="0663107F" w14:textId="77777777" w:rsidR="0031122B" w:rsidRPr="00A028E3" w:rsidRDefault="0031122B">
            <w:pPr>
              <w:pStyle w:val="10Tabletext"/>
            </w:pPr>
            <w:r w:rsidRPr="00A028E3">
              <w:t>Level 4</w:t>
            </w:r>
          </w:p>
        </w:tc>
        <w:tc>
          <w:tcPr>
            <w:tcW w:w="992" w:type="dxa"/>
          </w:tcPr>
          <w:p w14:paraId="217C8D90" w14:textId="77777777" w:rsidR="0031122B" w:rsidRPr="00A028E3" w:rsidRDefault="0031122B">
            <w:pPr>
              <w:pStyle w:val="10Tabletext"/>
              <w:jc w:val="right"/>
              <w:cnfStyle w:val="000000000000" w:firstRow="0" w:lastRow="0" w:firstColumn="0" w:lastColumn="0" w:oddVBand="0" w:evenVBand="0" w:oddHBand="0" w:evenHBand="0" w:firstRowFirstColumn="0" w:firstRowLastColumn="0" w:lastRowFirstColumn="0" w:lastRowLastColumn="0"/>
            </w:pPr>
            <w:r w:rsidRPr="00A028E3">
              <w:t>2</w:t>
            </w:r>
          </w:p>
        </w:tc>
        <w:tc>
          <w:tcPr>
            <w:tcW w:w="3544" w:type="dxa"/>
          </w:tcPr>
          <w:p w14:paraId="424F9458" w14:textId="77777777" w:rsidR="0031122B" w:rsidRPr="00A028E3" w:rsidRDefault="0031122B">
            <w:pPr>
              <w:pStyle w:val="10Tabletext"/>
              <w:jc w:val="right"/>
              <w:cnfStyle w:val="000000000000" w:firstRow="0" w:lastRow="0" w:firstColumn="0" w:lastColumn="0" w:oddVBand="0" w:evenVBand="0" w:oddHBand="0" w:evenHBand="0" w:firstRowFirstColumn="0" w:firstRowLastColumn="0" w:lastRowFirstColumn="0" w:lastRowLastColumn="0"/>
            </w:pPr>
            <w:r w:rsidRPr="00A028E3">
              <w:t>781,760</w:t>
            </w:r>
          </w:p>
        </w:tc>
      </w:tr>
    </w:tbl>
    <w:p w14:paraId="0ED5C2F1" w14:textId="77777777" w:rsidR="0031122B" w:rsidRPr="00560579" w:rsidRDefault="0031122B" w:rsidP="0031122B">
      <w:pPr>
        <w:pStyle w:val="09Sourcesandnotesfortablesfiguresboxes"/>
        <w:rPr>
          <w:rFonts w:eastAsia="Calibri" w:cs="Arial"/>
          <w:color w:val="4D4D4D"/>
        </w:rPr>
      </w:pPr>
      <w:r w:rsidRPr="00DB216A">
        <w:t xml:space="preserve">Note: For Secretaries, TRP is referred to as ‘total remuneration’ and represents the value, calculated at the total cost to the Commonwealth (including fringe benefits tax), of salary, allowances and lump sum payments, benefits and the </w:t>
      </w:r>
      <w:r w:rsidRPr="00560579">
        <w:t xml:space="preserve">employer superannuation contribution.  </w:t>
      </w:r>
    </w:p>
    <w:p w14:paraId="7C0D68B5" w14:textId="77777777" w:rsidR="0055465D" w:rsidRDefault="0031122B" w:rsidP="0055465D">
      <w:pPr>
        <w:pStyle w:val="09Sourcesandnotesfortablesfiguresboxes"/>
        <w:rPr>
          <w:rFonts w:eastAsia="Calibri"/>
          <w:iCs/>
          <w:color w:val="4D4D4D"/>
        </w:rPr>
      </w:pPr>
      <w:r w:rsidRPr="00E80E88">
        <w:t>Source: Remuneration Tribunal (Cth)</w:t>
      </w:r>
      <w:r w:rsidRPr="00E80E88">
        <w:rPr>
          <w:rFonts w:eastAsia="Calibri" w:cs="Arial"/>
          <w:iCs/>
          <w:color w:val="4D4D4D"/>
        </w:rPr>
        <w:t xml:space="preserve"> (2023b).</w:t>
      </w:r>
    </w:p>
    <w:p w14:paraId="5F869757" w14:textId="5B41880E" w:rsidR="00DB216A" w:rsidRPr="00DB216A" w:rsidRDefault="00DB216A" w:rsidP="003B31AB">
      <w:pPr>
        <w:pStyle w:val="05Paragraph"/>
      </w:pPr>
      <w:r w:rsidRPr="00DB216A">
        <w:t>In determining appropriate remuneration, the Commonwealth Remuneration Tribunal takes into account factors such as:</w:t>
      </w:r>
      <w:r w:rsidRPr="00DB216A">
        <w:rPr>
          <w:vertAlign w:val="superscript"/>
        </w:rPr>
        <w:footnoteReference w:id="147"/>
      </w:r>
    </w:p>
    <w:p w14:paraId="4968CCAE" w14:textId="77777777" w:rsidR="00DB216A" w:rsidRPr="00BB5EBC" w:rsidRDefault="00DB216A" w:rsidP="00BB5EBC">
      <w:pPr>
        <w:pStyle w:val="06VIRTBulletpoints"/>
      </w:pPr>
      <w:r w:rsidRPr="00DB216A">
        <w:t xml:space="preserve">the main functions, responsibilities </w:t>
      </w:r>
      <w:r w:rsidRPr="00BB5EBC">
        <w:t>and accountabilities of the office</w:t>
      </w:r>
    </w:p>
    <w:p w14:paraId="54811483" w14:textId="77777777" w:rsidR="00DB216A" w:rsidRPr="00BB5EBC" w:rsidRDefault="00DB216A" w:rsidP="00BB5EBC">
      <w:pPr>
        <w:pStyle w:val="06VIRTBulletpoints"/>
      </w:pPr>
      <w:r w:rsidRPr="00BB5EBC">
        <w:t xml:space="preserve">the organisational structure, budget and workforce </w:t>
      </w:r>
    </w:p>
    <w:p w14:paraId="76FCD59B" w14:textId="77777777" w:rsidR="00DB216A" w:rsidRPr="00BB5EBC" w:rsidRDefault="00DB216A" w:rsidP="00BB5EBC">
      <w:pPr>
        <w:pStyle w:val="06VIRTBulletpoints"/>
      </w:pPr>
      <w:r w:rsidRPr="00BB5EBC">
        <w:t>the requisite characteristics, skills or qualifications required of the office</w:t>
      </w:r>
    </w:p>
    <w:p w14:paraId="5C9B8A5A" w14:textId="77777777" w:rsidR="00DB216A" w:rsidRPr="00DB216A" w:rsidRDefault="00DB216A" w:rsidP="00BB5EBC">
      <w:pPr>
        <w:pStyle w:val="06VIRTBulletpoints"/>
      </w:pPr>
      <w:r w:rsidRPr="00BB5EBC">
        <w:t>the remuneration of similar, comparator</w:t>
      </w:r>
      <w:r w:rsidRPr="00DB216A">
        <w:t>, offices within its jurisdiction.</w:t>
      </w:r>
    </w:p>
    <w:p w14:paraId="553D2940" w14:textId="5C9BA0D3" w:rsidR="00F76FF6" w:rsidRDefault="00CD6AA1" w:rsidP="003B31AB">
      <w:pPr>
        <w:pStyle w:val="05Paragraph"/>
      </w:pPr>
      <w:r>
        <w:t xml:space="preserve">In June 2024 the </w:t>
      </w:r>
      <w:r w:rsidRPr="00CD6AA1">
        <w:t>Commonwealth Remuneration Tribunal</w:t>
      </w:r>
      <w:r w:rsidR="00CE3713">
        <w:t xml:space="preserve"> announced a 3.5 per cent remuneration increase </w:t>
      </w:r>
      <w:r w:rsidR="00353767">
        <w:t>from 1 July 2024 for offices in its jurisdiction, including department Secretaries.</w:t>
      </w:r>
      <w:r w:rsidR="00353767">
        <w:rPr>
          <w:rStyle w:val="FootnoteReference"/>
        </w:rPr>
        <w:footnoteReference w:id="148"/>
      </w:r>
    </w:p>
    <w:p w14:paraId="56178007" w14:textId="7774C1D6" w:rsidR="00DB216A" w:rsidRPr="00DB216A" w:rsidRDefault="00DB216A" w:rsidP="003B31AB">
      <w:pPr>
        <w:pStyle w:val="05Paragraph"/>
      </w:pPr>
      <w:r w:rsidRPr="00DB216A">
        <w:t xml:space="preserve">Table 5.1 shows the classification and remuneration structure for Commonwealth Department Secretaries. </w:t>
      </w:r>
    </w:p>
    <w:p w14:paraId="7C0DB25C" w14:textId="77777777" w:rsidR="00DB216A" w:rsidRPr="00DB216A" w:rsidRDefault="00DB216A" w:rsidP="00DB19B2">
      <w:pPr>
        <w:pStyle w:val="05Paragraph"/>
      </w:pPr>
      <w:r w:rsidRPr="00DB216A">
        <w:t>The Tribunal observed that:</w:t>
      </w:r>
    </w:p>
    <w:p w14:paraId="34806623" w14:textId="3E6EB4B6" w:rsidR="00DB216A" w:rsidRPr="00DB216A" w:rsidRDefault="00AF6E4A" w:rsidP="003448F7">
      <w:pPr>
        <w:pStyle w:val="06VIRTBulletpoints"/>
      </w:pPr>
      <w:r>
        <w:t>T</w:t>
      </w:r>
      <w:r w:rsidR="00DB216A" w:rsidRPr="00DB216A">
        <w:t xml:space="preserve">he lowest pay point of the Commonwealth’s Level 4 Secretary band —$781,760 — is close to the top of </w:t>
      </w:r>
      <w:bookmarkStart w:id="117" w:name="_Hlk159432595"/>
      <w:r w:rsidR="00DB216A" w:rsidRPr="00DB216A">
        <w:t xml:space="preserve">Victoria’s Department </w:t>
      </w:r>
      <w:r w:rsidR="00612465">
        <w:t>Secretary</w:t>
      </w:r>
      <w:r w:rsidR="00DB216A" w:rsidRPr="00DB216A">
        <w:t>/Victorian Public Sector Commissioner band</w:t>
      </w:r>
      <w:bookmarkEnd w:id="117"/>
      <w:r w:rsidR="00DB216A" w:rsidRPr="00DB216A">
        <w:t xml:space="preserve"> ($778,492)</w:t>
      </w:r>
      <w:r>
        <w:t>.</w:t>
      </w:r>
    </w:p>
    <w:p w14:paraId="3CDB2A27" w14:textId="01F358B7" w:rsidR="00DB216A" w:rsidRPr="00DB216A" w:rsidRDefault="00AF6E4A" w:rsidP="003448F7">
      <w:pPr>
        <w:pStyle w:val="06VIRTBulletpoints"/>
      </w:pPr>
      <w:r>
        <w:lastRenderedPageBreak/>
        <w:t>T</w:t>
      </w:r>
      <w:r w:rsidR="00DB216A" w:rsidRPr="00DB216A">
        <w:t xml:space="preserve">he TRP for the Level 1 and 2 Commonwealth Secretaries is between 22 and 26 per cent higher than the top of Victoria’s Department </w:t>
      </w:r>
      <w:r w:rsidR="00612465">
        <w:t>Secretary</w:t>
      </w:r>
      <w:r w:rsidR="00DB216A" w:rsidRPr="00DB216A">
        <w:t>/Victorian Public Sector Commissioner band. This likely reflects the greater scope of responsibilities of Level 1 and 2 Commonwealth Secretaries.</w:t>
      </w:r>
    </w:p>
    <w:p w14:paraId="3EECE10D" w14:textId="2562E8D8" w:rsidR="00DB216A" w:rsidRPr="00DB216A" w:rsidRDefault="00F905F8" w:rsidP="00DB19B2">
      <w:pPr>
        <w:pStyle w:val="03VIRTHeading3"/>
      </w:pPr>
      <w:r>
        <w:t xml:space="preserve">APS </w:t>
      </w:r>
      <w:r w:rsidR="00DB216A" w:rsidRPr="00DB216A">
        <w:t>SES classification structure</w:t>
      </w:r>
    </w:p>
    <w:p w14:paraId="2082831F" w14:textId="19332400" w:rsidR="00DB216A" w:rsidRPr="00DB216A" w:rsidRDefault="00DB216A" w:rsidP="00DB19B2">
      <w:pPr>
        <w:pStyle w:val="05Paragraph"/>
      </w:pPr>
      <w:r w:rsidRPr="00DB216A">
        <w:t>In the Commonwealth, approved classifications for public service employees — including for the SES — are specified in a legislative instrument.</w:t>
      </w:r>
      <w:r w:rsidRPr="00DB216A">
        <w:rPr>
          <w:vertAlign w:val="superscript"/>
        </w:rPr>
        <w:footnoteReference w:id="149"/>
      </w:r>
      <w:r w:rsidRPr="00DB216A">
        <w:t xml:space="preserve"> All agency Heads must allocate an approved classification to each Australian Public Service (APS) employee in their agency.</w:t>
      </w:r>
      <w:bookmarkStart w:id="118" w:name="_Hlk159413398"/>
      <w:r w:rsidRPr="00DB216A">
        <w:rPr>
          <w:vertAlign w:val="superscript"/>
        </w:rPr>
        <w:footnoteReference w:id="150"/>
      </w:r>
      <w:r w:rsidRPr="00DB216A">
        <w:t xml:space="preserve"> </w:t>
      </w:r>
      <w:bookmarkEnd w:id="118"/>
      <w:r w:rsidRPr="00DB216A">
        <w:t>There are three approved SES classifications — Senior Executive Band 1, 2 and 3 — with one being the lowest and three being the highest classification.</w:t>
      </w:r>
      <w:r w:rsidRPr="00DB216A">
        <w:rPr>
          <w:vertAlign w:val="superscript"/>
        </w:rPr>
        <w:footnoteReference w:id="151"/>
      </w:r>
      <w:r w:rsidRPr="00DB216A">
        <w:t xml:space="preserve"> </w:t>
      </w:r>
    </w:p>
    <w:p w14:paraId="49ECF61B" w14:textId="77777777" w:rsidR="00DB216A" w:rsidRPr="00DB216A" w:rsidRDefault="00DB216A" w:rsidP="00DB216A">
      <w:pPr>
        <w:spacing w:after="0"/>
        <w:rPr>
          <w:rFonts w:eastAsia="Calibri" w:cs="Calibri Light"/>
          <w:color w:val="000000"/>
          <w:szCs w:val="20"/>
        </w:rPr>
      </w:pPr>
      <w:r w:rsidRPr="00DB216A">
        <w:rPr>
          <w:rFonts w:eastAsia="Calibri" w:cs="Calibri Light"/>
          <w:color w:val="000000"/>
          <w:szCs w:val="20"/>
        </w:rPr>
        <w:t>The Australian Public Service Commission (APSC) provides guidance on determining and managing classification arrangements in the APS. Similar to the VPSC, the APSC publishes a set of work level standards to describe the work level requirements of SES roles at each of the three classification levels.</w:t>
      </w:r>
      <w:r w:rsidRPr="00DB216A">
        <w:rPr>
          <w:rFonts w:eastAsia="Calibri" w:cs="Calibri Light"/>
          <w:color w:val="000000"/>
          <w:szCs w:val="20"/>
          <w:vertAlign w:val="superscript"/>
        </w:rPr>
        <w:footnoteReference w:id="152"/>
      </w:r>
    </w:p>
    <w:p w14:paraId="22AA4C57" w14:textId="05A5C4F7" w:rsidR="00DB216A" w:rsidRPr="00DB216A" w:rsidRDefault="00DB216A" w:rsidP="00DB216A">
      <w:pPr>
        <w:spacing w:after="0"/>
        <w:rPr>
          <w:rFonts w:eastAsia="Calibri" w:cs="Calibri Light"/>
          <w:color w:val="000000"/>
          <w:szCs w:val="20"/>
        </w:rPr>
      </w:pPr>
      <w:r w:rsidRPr="00DB216A">
        <w:rPr>
          <w:rFonts w:eastAsia="Calibri" w:cs="Calibri Light"/>
          <w:color w:val="000000"/>
          <w:szCs w:val="20"/>
        </w:rPr>
        <w:t>For SES-1 and SES-2 roles, the standards describe the work value of the SES by classifying the role into one of four work streams — delivery, public policy, regulatory or professional</w:t>
      </w:r>
      <w:r w:rsidR="000B2457">
        <w:rPr>
          <w:rFonts w:eastAsia="Calibri" w:cs="Calibri Light"/>
          <w:color w:val="000000"/>
          <w:szCs w:val="20"/>
        </w:rPr>
        <w:t>/</w:t>
      </w:r>
      <w:r w:rsidRPr="00DB216A">
        <w:rPr>
          <w:rFonts w:eastAsia="Calibri" w:cs="Calibri Light"/>
          <w:color w:val="000000"/>
          <w:szCs w:val="20"/>
        </w:rPr>
        <w:t>specialist. SES-3 roles are considered to have broader functions and accountabilities and therefore work streams are not included.</w:t>
      </w:r>
      <w:r w:rsidR="000B2457">
        <w:rPr>
          <w:rStyle w:val="FootnoteReference"/>
          <w:rFonts w:eastAsia="Calibri" w:cs="Calibri Light"/>
          <w:color w:val="000000"/>
          <w:szCs w:val="20"/>
        </w:rPr>
        <w:footnoteReference w:id="153"/>
      </w:r>
    </w:p>
    <w:p w14:paraId="7A3F79F9" w14:textId="01B66CFD" w:rsidR="00DB216A" w:rsidRPr="00DB216A" w:rsidRDefault="00DB216A" w:rsidP="00DB19B2">
      <w:pPr>
        <w:pStyle w:val="05Paragraph"/>
      </w:pPr>
      <w:r w:rsidRPr="00DB216A">
        <w:t>For all SES roles, the standards define the work value of SES roles through five factors split into:</w:t>
      </w:r>
      <w:r w:rsidRPr="00DB216A">
        <w:rPr>
          <w:vertAlign w:val="superscript"/>
        </w:rPr>
        <w:footnoteReference w:id="154"/>
      </w:r>
    </w:p>
    <w:p w14:paraId="70373386" w14:textId="76D41BA9" w:rsidR="00DB216A" w:rsidRPr="00DB216A" w:rsidRDefault="006D0643" w:rsidP="003448F7">
      <w:pPr>
        <w:pStyle w:val="06VIRTBulletpoints"/>
      </w:pPr>
      <w:r>
        <w:t>l</w:t>
      </w:r>
      <w:r w:rsidR="00DB216A" w:rsidRPr="00DB216A">
        <w:t>eadership, incorporating the dimensions of knowledge and accountability</w:t>
      </w:r>
    </w:p>
    <w:p w14:paraId="10C09571" w14:textId="029619F0" w:rsidR="00DB216A" w:rsidRPr="00DB216A" w:rsidRDefault="006D0643" w:rsidP="003448F7">
      <w:pPr>
        <w:pStyle w:val="06VIRTBulletpoints"/>
      </w:pPr>
      <w:r>
        <w:t>d</w:t>
      </w:r>
      <w:r w:rsidR="00DB216A" w:rsidRPr="00DB216A">
        <w:t>iversity/</w:t>
      </w:r>
      <w:r>
        <w:t>s</w:t>
      </w:r>
      <w:r w:rsidR="00DB216A" w:rsidRPr="00DB216A">
        <w:t>pan, incorporating resource management and complexity of roles</w:t>
      </w:r>
    </w:p>
    <w:p w14:paraId="4731C9F8" w14:textId="268D94B1" w:rsidR="00DB216A" w:rsidRPr="00DB216A" w:rsidRDefault="006D0643" w:rsidP="003448F7">
      <w:pPr>
        <w:pStyle w:val="06VIRTBulletpoints"/>
      </w:pPr>
      <w:r>
        <w:t>s</w:t>
      </w:r>
      <w:r w:rsidR="00DB216A" w:rsidRPr="00DB216A">
        <w:t>takeholder management</w:t>
      </w:r>
    </w:p>
    <w:p w14:paraId="5C1E1897" w14:textId="2A1BA20F" w:rsidR="00DB216A" w:rsidRPr="00DB216A" w:rsidRDefault="006D0643" w:rsidP="003448F7">
      <w:pPr>
        <w:pStyle w:val="06VIRTBulletpoints"/>
      </w:pPr>
      <w:r>
        <w:t>j</w:t>
      </w:r>
      <w:r w:rsidR="00DB216A" w:rsidRPr="00DB216A">
        <w:t>ob context</w:t>
      </w:r>
      <w:r w:rsidR="0065442D">
        <w:t xml:space="preserve"> and environment</w:t>
      </w:r>
      <w:r w:rsidR="00DB216A" w:rsidRPr="00DB216A">
        <w:t>, including the complexity of the operating environment</w:t>
      </w:r>
    </w:p>
    <w:p w14:paraId="09A24F78" w14:textId="2497F940" w:rsidR="00DB216A" w:rsidRPr="00DB216A" w:rsidRDefault="006D0643" w:rsidP="003448F7">
      <w:pPr>
        <w:pStyle w:val="06VIRTBulletpoints"/>
      </w:pPr>
      <w:r>
        <w:t>j</w:t>
      </w:r>
      <w:r w:rsidR="00DB216A" w:rsidRPr="00DB216A">
        <w:t>udgement and independence</w:t>
      </w:r>
      <w:r>
        <w:t>,</w:t>
      </w:r>
      <w:r w:rsidR="00DB216A" w:rsidRPr="00DB216A">
        <w:t xml:space="preserve"> including the degree of guidance provided by operating frameworks and the scope for discretion.</w:t>
      </w:r>
    </w:p>
    <w:p w14:paraId="32CF76AD" w14:textId="4E7FE167" w:rsidR="00DB216A" w:rsidRPr="00DB216A" w:rsidRDefault="00DB216A" w:rsidP="00DB19B2">
      <w:pPr>
        <w:pStyle w:val="05Paragraph"/>
      </w:pPr>
      <w:r w:rsidRPr="00DB216A">
        <w:lastRenderedPageBreak/>
        <w:t>A role analysis tool is used to assess roles against the standards. Each evaluation factor is assigned a points score and the combined scores indicate the appropriate SES classification (SES-1: 34 – 44 points; SES-2: 45 – 53 points; SES-3: 54 – 60 points).</w:t>
      </w:r>
      <w:r w:rsidR="0065442D">
        <w:rPr>
          <w:rStyle w:val="FootnoteReference"/>
          <w:rFonts w:eastAsia="Calibri" w:cs="Calibri Light"/>
          <w:color w:val="000000"/>
        </w:rPr>
        <w:footnoteReference w:id="155"/>
      </w:r>
    </w:p>
    <w:p w14:paraId="5C089AA5" w14:textId="22381E48" w:rsidR="00DB216A" w:rsidRPr="00DB216A" w:rsidRDefault="00F905F8" w:rsidP="004C7FE7">
      <w:pPr>
        <w:pStyle w:val="03VIRTHeading3"/>
      </w:pPr>
      <w:r>
        <w:t xml:space="preserve">APS </w:t>
      </w:r>
      <w:r w:rsidR="00DB216A" w:rsidRPr="00DB216A">
        <w:t xml:space="preserve">SES remuneration </w:t>
      </w:r>
    </w:p>
    <w:p w14:paraId="512196F0" w14:textId="77777777" w:rsidR="00DB216A" w:rsidRPr="00DB216A" w:rsidRDefault="00DB216A" w:rsidP="004C7FE7">
      <w:pPr>
        <w:pStyle w:val="05Paragraph"/>
      </w:pPr>
      <w:r w:rsidRPr="00DB216A">
        <w:t xml:space="preserve">Unlike Victoria, there are no defined whole of APS executive remuneration bands that correspond to the SES classification framework. </w:t>
      </w:r>
    </w:p>
    <w:p w14:paraId="10A85DB7" w14:textId="77777777" w:rsidR="00DB216A" w:rsidRPr="00DB216A" w:rsidRDefault="00DB216A" w:rsidP="004C7FE7">
      <w:pPr>
        <w:pStyle w:val="05Paragraph"/>
      </w:pPr>
      <w:r w:rsidRPr="00DB216A">
        <w:t xml:space="preserve">The APS </w:t>
      </w:r>
      <w:r w:rsidRPr="00DB216A">
        <w:rPr>
          <w:i/>
          <w:iCs/>
        </w:rPr>
        <w:t>Executive Remuneration Management Policy</w:t>
      </w:r>
      <w:r w:rsidRPr="00DB216A">
        <w:t xml:space="preserve"> sets out arrangements for executive remuneration, including the objective of maintaining appropriate pay relativity between Secretaries, the most senior members of the SES and other staff to reflect their respective roles and responsibilities.</w:t>
      </w:r>
      <w:r w:rsidRPr="00DB216A">
        <w:rPr>
          <w:vertAlign w:val="superscript"/>
        </w:rPr>
        <w:footnoteReference w:id="156"/>
      </w:r>
    </w:p>
    <w:p w14:paraId="261FF7DE" w14:textId="77777777" w:rsidR="00DB216A" w:rsidRPr="00DB216A" w:rsidRDefault="00DB216A" w:rsidP="004C7FE7">
      <w:pPr>
        <w:pStyle w:val="05Paragraph"/>
      </w:pPr>
      <w:r w:rsidRPr="00DB216A">
        <w:t>Agencies have flexibility to set their own levels of SES remuneration, subject to a maximum amount that an executive can be paid. This is known as the ‘notional amount’ and is equivalent to 65 per cent of the lowest pay point of the Secretaries’ classification and remuneration structure.</w:t>
      </w:r>
      <w:r w:rsidRPr="00DB216A">
        <w:rPr>
          <w:vertAlign w:val="superscript"/>
        </w:rPr>
        <w:footnoteReference w:id="157"/>
      </w:r>
      <w:r w:rsidRPr="00DB216A">
        <w:t xml:space="preserve"> The notional amount is $508,144 per annum from 1 July 2023. </w:t>
      </w:r>
    </w:p>
    <w:p w14:paraId="3374D6F1" w14:textId="77777777" w:rsidR="00DB216A" w:rsidRPr="00DB216A" w:rsidRDefault="00DB216A" w:rsidP="004C7FE7">
      <w:pPr>
        <w:pStyle w:val="05Paragraph"/>
      </w:pPr>
      <w:r w:rsidRPr="00DB216A">
        <w:t>The remuneration of any SES executive can only exceed the notional amount in ‘exceptional circumstances’ with the approval of the APS Commissioner. Proposals to the APS Commissioner need to be supported by appropriate justification, including market data and other relevant evidence.</w:t>
      </w:r>
      <w:r w:rsidRPr="00DB216A">
        <w:rPr>
          <w:vertAlign w:val="superscript"/>
        </w:rPr>
        <w:footnoteReference w:id="158"/>
      </w:r>
      <w:r w:rsidRPr="00DB216A">
        <w:t xml:space="preserve"> </w:t>
      </w:r>
    </w:p>
    <w:p w14:paraId="2466A67B" w14:textId="1727DE5A" w:rsidR="00DB216A" w:rsidRPr="00DB216A" w:rsidRDefault="00DB216A" w:rsidP="00DB216A">
      <w:pPr>
        <w:spacing w:after="0"/>
        <w:rPr>
          <w:rFonts w:eastAsia="Calibri" w:cs="Calibri Light"/>
          <w:color w:val="000000"/>
          <w:szCs w:val="20"/>
        </w:rPr>
      </w:pPr>
      <w:r w:rsidRPr="00DB216A">
        <w:rPr>
          <w:rFonts w:eastAsia="Calibri" w:cs="Calibri Light"/>
          <w:color w:val="000000"/>
          <w:szCs w:val="20"/>
        </w:rPr>
        <w:t>While there are no</w:t>
      </w:r>
      <w:r w:rsidR="00E676E0">
        <w:rPr>
          <w:rFonts w:eastAsia="Calibri" w:cs="Calibri Light"/>
          <w:color w:val="000000"/>
          <w:szCs w:val="20"/>
        </w:rPr>
        <w:t xml:space="preserve"> whole of </w:t>
      </w:r>
      <w:r w:rsidRPr="00DB216A">
        <w:rPr>
          <w:rFonts w:eastAsia="Calibri" w:cs="Calibri Light"/>
          <w:color w:val="000000"/>
          <w:szCs w:val="20"/>
        </w:rPr>
        <w:t xml:space="preserve">APS remuneration bands, the APSC publishes summary </w:t>
      </w:r>
      <w:r w:rsidR="005C3820">
        <w:rPr>
          <w:rFonts w:eastAsia="Calibri" w:cs="Calibri Light"/>
          <w:color w:val="000000"/>
          <w:szCs w:val="20"/>
        </w:rPr>
        <w:t>statistics</w:t>
      </w:r>
      <w:r w:rsidR="005C3820" w:rsidRPr="00DB216A">
        <w:rPr>
          <w:rFonts w:eastAsia="Calibri" w:cs="Calibri Light"/>
          <w:color w:val="000000"/>
          <w:szCs w:val="20"/>
        </w:rPr>
        <w:t xml:space="preserve"> </w:t>
      </w:r>
      <w:r w:rsidRPr="00DB216A">
        <w:rPr>
          <w:rFonts w:eastAsia="Calibri" w:cs="Calibri Light"/>
          <w:color w:val="000000"/>
          <w:szCs w:val="20"/>
        </w:rPr>
        <w:t xml:space="preserve">on actual </w:t>
      </w:r>
      <w:r w:rsidR="00EE19DC">
        <w:rPr>
          <w:rFonts w:eastAsia="Calibri" w:cs="Calibri Light"/>
          <w:color w:val="000000"/>
          <w:szCs w:val="20"/>
        </w:rPr>
        <w:t>remuneration p</w:t>
      </w:r>
      <w:r w:rsidRPr="00DB216A">
        <w:rPr>
          <w:rFonts w:eastAsia="Calibri" w:cs="Calibri Light"/>
          <w:color w:val="000000"/>
          <w:szCs w:val="20"/>
        </w:rPr>
        <w:t>aid to the SES</w:t>
      </w:r>
      <w:r w:rsidR="005C3820">
        <w:rPr>
          <w:rFonts w:eastAsia="Calibri" w:cs="Calibri Light"/>
          <w:color w:val="000000"/>
          <w:szCs w:val="20"/>
        </w:rPr>
        <w:t xml:space="preserve">. </w:t>
      </w:r>
      <w:r w:rsidRPr="00DB216A">
        <w:rPr>
          <w:rFonts w:eastAsia="Calibri" w:cs="Calibri Light"/>
          <w:color w:val="000000"/>
          <w:szCs w:val="20"/>
        </w:rPr>
        <w:t>Table 5.</w:t>
      </w:r>
      <w:r w:rsidR="00EE19DC">
        <w:rPr>
          <w:rFonts w:eastAsia="Calibri" w:cs="Calibri Light"/>
          <w:color w:val="000000"/>
          <w:szCs w:val="20"/>
        </w:rPr>
        <w:t>2</w:t>
      </w:r>
      <w:r w:rsidRPr="00DB216A">
        <w:rPr>
          <w:rFonts w:eastAsia="Calibri" w:cs="Calibri Light"/>
          <w:color w:val="000000"/>
          <w:szCs w:val="20"/>
        </w:rPr>
        <w:t xml:space="preserve"> shows the 5</w:t>
      </w:r>
      <w:r w:rsidRPr="00DB216A">
        <w:rPr>
          <w:rFonts w:eastAsia="Calibri" w:cs="Calibri Light"/>
          <w:color w:val="000000"/>
          <w:szCs w:val="20"/>
          <w:vertAlign w:val="superscript"/>
        </w:rPr>
        <w:t>th</w:t>
      </w:r>
      <w:r w:rsidRPr="00DB216A">
        <w:rPr>
          <w:rFonts w:eastAsia="Calibri" w:cs="Calibri Light"/>
          <w:color w:val="000000"/>
          <w:szCs w:val="20"/>
        </w:rPr>
        <w:t xml:space="preserve">, </w:t>
      </w:r>
      <w:r w:rsidR="005C3820">
        <w:rPr>
          <w:rFonts w:eastAsia="Calibri" w:cs="Calibri Light"/>
          <w:color w:val="000000"/>
          <w:szCs w:val="20"/>
        </w:rPr>
        <w:t>50</w:t>
      </w:r>
      <w:r w:rsidR="005C3820" w:rsidRPr="004C7FE7">
        <w:rPr>
          <w:rFonts w:eastAsia="Calibri" w:cs="Calibri Light"/>
          <w:color w:val="000000"/>
          <w:szCs w:val="20"/>
          <w:vertAlign w:val="superscript"/>
        </w:rPr>
        <w:t>th</w:t>
      </w:r>
      <w:r w:rsidR="005C3820">
        <w:rPr>
          <w:rFonts w:eastAsia="Calibri" w:cs="Calibri Light"/>
          <w:color w:val="000000"/>
          <w:szCs w:val="20"/>
        </w:rPr>
        <w:t xml:space="preserve"> (</w:t>
      </w:r>
      <w:r w:rsidRPr="00DB216A">
        <w:rPr>
          <w:rFonts w:eastAsia="Calibri" w:cs="Calibri Light"/>
          <w:color w:val="000000"/>
          <w:szCs w:val="20"/>
        </w:rPr>
        <w:t>median</w:t>
      </w:r>
      <w:r w:rsidR="005C3820">
        <w:rPr>
          <w:rFonts w:eastAsia="Calibri" w:cs="Calibri Light"/>
          <w:color w:val="000000"/>
          <w:szCs w:val="20"/>
        </w:rPr>
        <w:t>)</w:t>
      </w:r>
      <w:r w:rsidRPr="00DB216A">
        <w:rPr>
          <w:rFonts w:eastAsia="Calibri" w:cs="Calibri Light"/>
          <w:color w:val="000000"/>
          <w:szCs w:val="20"/>
        </w:rPr>
        <w:t xml:space="preserve"> and 95</w:t>
      </w:r>
      <w:r w:rsidRPr="00DB216A">
        <w:rPr>
          <w:rFonts w:eastAsia="Calibri" w:cs="Calibri Light"/>
          <w:color w:val="000000"/>
          <w:szCs w:val="20"/>
          <w:vertAlign w:val="superscript"/>
        </w:rPr>
        <w:t>th</w:t>
      </w:r>
      <w:r w:rsidRPr="00DB216A">
        <w:rPr>
          <w:rFonts w:eastAsia="Calibri" w:cs="Calibri Light"/>
          <w:color w:val="000000"/>
          <w:szCs w:val="20"/>
        </w:rPr>
        <w:t xml:space="preserve"> percentiles </w:t>
      </w:r>
      <w:r w:rsidR="005C3820">
        <w:rPr>
          <w:rFonts w:eastAsia="Calibri" w:cs="Calibri Light"/>
          <w:color w:val="000000"/>
          <w:szCs w:val="20"/>
        </w:rPr>
        <w:t xml:space="preserve">of the remuneration distributions </w:t>
      </w:r>
      <w:r w:rsidRPr="00DB216A">
        <w:rPr>
          <w:rFonts w:eastAsia="Calibri" w:cs="Calibri Light"/>
          <w:color w:val="000000"/>
          <w:szCs w:val="20"/>
        </w:rPr>
        <w:t>for each of the SES</w:t>
      </w:r>
      <w:r w:rsidR="005C3820">
        <w:rPr>
          <w:rFonts w:eastAsia="Calibri" w:cs="Calibri Light"/>
          <w:color w:val="000000"/>
          <w:szCs w:val="20"/>
        </w:rPr>
        <w:t>-</w:t>
      </w:r>
      <w:r w:rsidRPr="00DB216A">
        <w:rPr>
          <w:rFonts w:eastAsia="Calibri" w:cs="Calibri Light"/>
          <w:color w:val="000000"/>
          <w:szCs w:val="20"/>
        </w:rPr>
        <w:t xml:space="preserve">1, </w:t>
      </w:r>
      <w:r w:rsidR="005C3820">
        <w:rPr>
          <w:rFonts w:eastAsia="Calibri" w:cs="Calibri Light"/>
          <w:color w:val="000000"/>
          <w:szCs w:val="20"/>
        </w:rPr>
        <w:t>SES</w:t>
      </w:r>
      <w:r w:rsidR="005C3820">
        <w:rPr>
          <w:rFonts w:eastAsia="Calibri" w:cs="Calibri Light"/>
          <w:color w:val="000000"/>
          <w:szCs w:val="20"/>
        </w:rPr>
        <w:noBreakHyphen/>
      </w:r>
      <w:r w:rsidRPr="00DB216A">
        <w:rPr>
          <w:rFonts w:eastAsia="Calibri" w:cs="Calibri Light"/>
          <w:color w:val="000000"/>
          <w:szCs w:val="20"/>
        </w:rPr>
        <w:t xml:space="preserve">2 and </w:t>
      </w:r>
      <w:r w:rsidR="005C3820">
        <w:rPr>
          <w:rFonts w:eastAsia="Calibri" w:cs="Calibri Light"/>
          <w:color w:val="000000"/>
          <w:szCs w:val="20"/>
        </w:rPr>
        <w:t>SES-</w:t>
      </w:r>
      <w:r w:rsidRPr="00DB216A">
        <w:rPr>
          <w:rFonts w:eastAsia="Calibri" w:cs="Calibri Light"/>
          <w:color w:val="000000"/>
          <w:szCs w:val="20"/>
        </w:rPr>
        <w:t xml:space="preserve">3 classifications, using the most recent data published for the 2022 calendar year. </w:t>
      </w:r>
    </w:p>
    <w:p w14:paraId="6F89E0BC" w14:textId="77777777" w:rsidR="00883AD5" w:rsidRDefault="00883AD5">
      <w:pPr>
        <w:spacing w:before="0" w:after="80" w:line="240" w:lineRule="auto"/>
        <w:jc w:val="left"/>
        <w:rPr>
          <w:rFonts w:eastAsia="Calibri" w:cs="Calibri Light"/>
          <w:color w:val="000000"/>
          <w:szCs w:val="20"/>
        </w:rPr>
      </w:pPr>
      <w:r>
        <w:rPr>
          <w:rFonts w:eastAsia="Calibri" w:cs="Calibri Light"/>
          <w:color w:val="000000"/>
          <w:szCs w:val="20"/>
        </w:rPr>
        <w:br w:type="page"/>
      </w:r>
    </w:p>
    <w:p w14:paraId="6AFE8E33" w14:textId="3FEBD13F" w:rsidR="00DB216A" w:rsidRPr="00DB216A" w:rsidRDefault="00DB216A" w:rsidP="00144BE8">
      <w:pPr>
        <w:pStyle w:val="08Figuretableboxheading"/>
      </w:pPr>
      <w:bookmarkStart w:id="119" w:name="_Toc170393558"/>
      <w:bookmarkStart w:id="120" w:name="_Hlk159431935"/>
      <w:r w:rsidRPr="00DB216A">
        <w:lastRenderedPageBreak/>
        <w:t>Table 5.2: T</w:t>
      </w:r>
      <w:r w:rsidR="0098027B">
        <w:t xml:space="preserve">otal </w:t>
      </w:r>
      <w:r w:rsidR="005F34A2">
        <w:t>r</w:t>
      </w:r>
      <w:r w:rsidR="0098027B">
        <w:t xml:space="preserve">emuneration </w:t>
      </w:r>
      <w:r w:rsidR="005F34A2">
        <w:t>p</w:t>
      </w:r>
      <w:r w:rsidR="0098027B">
        <w:t>ackage</w:t>
      </w:r>
      <w:r w:rsidRPr="00DB216A">
        <w:rPr>
          <w:vertAlign w:val="superscript"/>
        </w:rPr>
        <w:t>(a)</w:t>
      </w:r>
      <w:r w:rsidRPr="00DB216A">
        <w:t xml:space="preserve"> by APS SES classification, 2022</w:t>
      </w:r>
      <w:bookmarkEnd w:id="119"/>
    </w:p>
    <w:tbl>
      <w:tblPr>
        <w:tblStyle w:val="ListTable3-Accent29"/>
        <w:tblW w:w="0" w:type="auto"/>
        <w:tblBorders>
          <w:left w:val="none" w:sz="0" w:space="0" w:color="auto"/>
          <w:right w:val="none" w:sz="0" w:space="0" w:color="auto"/>
          <w:insideH w:val="single" w:sz="4" w:space="0" w:color="148A5D"/>
        </w:tblBorders>
        <w:tblLook w:val="04A0" w:firstRow="1" w:lastRow="0" w:firstColumn="1" w:lastColumn="0" w:noHBand="0" w:noVBand="1"/>
      </w:tblPr>
      <w:tblGrid>
        <w:gridCol w:w="1937"/>
        <w:gridCol w:w="1436"/>
        <w:gridCol w:w="1710"/>
        <w:gridCol w:w="1710"/>
        <w:gridCol w:w="1711"/>
      </w:tblGrid>
      <w:tr w:rsidR="00DB216A" w:rsidRPr="00D871CB" w14:paraId="2A6B33C5" w14:textId="77777777" w:rsidTr="00AA227C">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1937" w:type="dxa"/>
          </w:tcPr>
          <w:p w14:paraId="42A236E9" w14:textId="739793FE" w:rsidR="00DB216A" w:rsidRPr="00AA227C" w:rsidRDefault="000A612D" w:rsidP="00AA227C">
            <w:pPr>
              <w:pStyle w:val="10Tabletext"/>
              <w:rPr>
                <w:color w:val="FFFFFF" w:themeColor="background1"/>
              </w:rPr>
            </w:pPr>
            <w:r>
              <w:rPr>
                <w:color w:val="FFFFFF" w:themeColor="background1"/>
              </w:rPr>
              <w:t>Percentile</w:t>
            </w:r>
            <w:r w:rsidRPr="00320447">
              <w:rPr>
                <w:color w:val="FFFFFF" w:themeColor="background1"/>
                <w:vertAlign w:val="superscript"/>
              </w:rPr>
              <w:t>(b)</w:t>
            </w:r>
          </w:p>
        </w:tc>
        <w:tc>
          <w:tcPr>
            <w:tcW w:w="1436" w:type="dxa"/>
          </w:tcPr>
          <w:p w14:paraId="64215033" w14:textId="77777777" w:rsidR="00DB216A" w:rsidRPr="00AA227C" w:rsidRDefault="00DB216A" w:rsidP="00AA227C">
            <w:pPr>
              <w:pStyle w:val="10Tabletext"/>
              <w:cnfStyle w:val="100000000000" w:firstRow="1" w:lastRow="0" w:firstColumn="0" w:lastColumn="0" w:oddVBand="0" w:evenVBand="0" w:oddHBand="0" w:evenHBand="0" w:firstRowFirstColumn="0" w:firstRowLastColumn="0" w:lastRowFirstColumn="0" w:lastRowLastColumn="0"/>
              <w:rPr>
                <w:color w:val="FFFFFF" w:themeColor="background1"/>
              </w:rPr>
            </w:pPr>
          </w:p>
        </w:tc>
        <w:tc>
          <w:tcPr>
            <w:tcW w:w="1710" w:type="dxa"/>
          </w:tcPr>
          <w:p w14:paraId="6D0EA046" w14:textId="402112D5" w:rsidR="00DB216A" w:rsidRPr="00AA227C" w:rsidRDefault="00DB216A" w:rsidP="00AA227C">
            <w:pPr>
              <w:pStyle w:val="10Tabletext"/>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AA227C">
              <w:rPr>
                <w:color w:val="FFFFFF" w:themeColor="background1"/>
              </w:rPr>
              <w:t>SES-1</w:t>
            </w:r>
            <w:r w:rsidR="007F1658">
              <w:rPr>
                <w:color w:val="FFFFFF" w:themeColor="background1"/>
              </w:rPr>
              <w:br/>
              <w:t>($ p.a.)</w:t>
            </w:r>
          </w:p>
        </w:tc>
        <w:tc>
          <w:tcPr>
            <w:tcW w:w="1710" w:type="dxa"/>
          </w:tcPr>
          <w:p w14:paraId="65277EE9" w14:textId="008C5A6D" w:rsidR="00DB216A" w:rsidRPr="00AA227C" w:rsidRDefault="00DB216A" w:rsidP="00AA227C">
            <w:pPr>
              <w:pStyle w:val="10Tabletext"/>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AA227C">
              <w:rPr>
                <w:color w:val="FFFFFF" w:themeColor="background1"/>
              </w:rPr>
              <w:t>SES-2</w:t>
            </w:r>
            <w:r w:rsidR="007F1658">
              <w:rPr>
                <w:color w:val="FFFFFF" w:themeColor="background1"/>
              </w:rPr>
              <w:br/>
              <w:t>($ p.a.)</w:t>
            </w:r>
          </w:p>
        </w:tc>
        <w:tc>
          <w:tcPr>
            <w:tcW w:w="1711" w:type="dxa"/>
          </w:tcPr>
          <w:p w14:paraId="373C969F" w14:textId="44161E14" w:rsidR="00DB216A" w:rsidRPr="00AA227C" w:rsidRDefault="00DB216A" w:rsidP="00AA227C">
            <w:pPr>
              <w:pStyle w:val="10Tabletext"/>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AA227C">
              <w:rPr>
                <w:color w:val="FFFFFF" w:themeColor="background1"/>
              </w:rPr>
              <w:t>SES-3</w:t>
            </w:r>
            <w:r w:rsidR="007F1658">
              <w:rPr>
                <w:color w:val="FFFFFF" w:themeColor="background1"/>
              </w:rPr>
              <w:br/>
              <w:t>($ p.a.)</w:t>
            </w:r>
          </w:p>
        </w:tc>
      </w:tr>
      <w:tr w:rsidR="00DB216A" w:rsidRPr="00D871CB" w14:paraId="312D9B45" w14:textId="77777777" w:rsidTr="00AA22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tcPr>
          <w:p w14:paraId="6DADD685" w14:textId="501BAADE" w:rsidR="00DB216A" w:rsidRPr="00AA227C" w:rsidRDefault="00DB216A" w:rsidP="00AA227C">
            <w:pPr>
              <w:pStyle w:val="10Tabletext"/>
            </w:pPr>
            <w:r w:rsidRPr="00AA227C">
              <w:t>5</w:t>
            </w:r>
            <w:r w:rsidRPr="00320447">
              <w:rPr>
                <w:vertAlign w:val="superscript"/>
              </w:rPr>
              <w:t>th</w:t>
            </w:r>
            <w:r w:rsidRPr="00AA227C">
              <w:t xml:space="preserve"> percentile</w:t>
            </w:r>
          </w:p>
        </w:tc>
        <w:tc>
          <w:tcPr>
            <w:tcW w:w="1436" w:type="dxa"/>
          </w:tcPr>
          <w:p w14:paraId="410B90DF" w14:textId="77777777" w:rsidR="00DB216A" w:rsidRPr="00AA227C" w:rsidRDefault="00DB216A" w:rsidP="00AA227C">
            <w:pPr>
              <w:pStyle w:val="10Tabletext"/>
              <w:cnfStyle w:val="000000100000" w:firstRow="0" w:lastRow="0" w:firstColumn="0" w:lastColumn="0" w:oddVBand="0" w:evenVBand="0" w:oddHBand="1" w:evenHBand="0" w:firstRowFirstColumn="0" w:firstRowLastColumn="0" w:lastRowFirstColumn="0" w:lastRowLastColumn="0"/>
            </w:pPr>
          </w:p>
        </w:tc>
        <w:tc>
          <w:tcPr>
            <w:tcW w:w="1710" w:type="dxa"/>
          </w:tcPr>
          <w:p w14:paraId="73C18BDB" w14:textId="32DBC84C" w:rsidR="00DB216A" w:rsidRPr="00AA227C" w:rsidRDefault="00DB216A" w:rsidP="00AA227C">
            <w:pPr>
              <w:pStyle w:val="10Tabletext"/>
              <w:jc w:val="right"/>
              <w:cnfStyle w:val="000000100000" w:firstRow="0" w:lastRow="0" w:firstColumn="0" w:lastColumn="0" w:oddVBand="0" w:evenVBand="0" w:oddHBand="1" w:evenHBand="0" w:firstRowFirstColumn="0" w:firstRowLastColumn="0" w:lastRowFirstColumn="0" w:lastRowLastColumn="0"/>
            </w:pPr>
            <w:r w:rsidRPr="00AA227C">
              <w:t>235,089</w:t>
            </w:r>
          </w:p>
        </w:tc>
        <w:tc>
          <w:tcPr>
            <w:tcW w:w="1710" w:type="dxa"/>
          </w:tcPr>
          <w:p w14:paraId="631F5062" w14:textId="349FED3E" w:rsidR="00DB216A" w:rsidRPr="00AA227C" w:rsidRDefault="00DB216A" w:rsidP="00AA227C">
            <w:pPr>
              <w:pStyle w:val="10Tabletext"/>
              <w:jc w:val="right"/>
              <w:cnfStyle w:val="000000100000" w:firstRow="0" w:lastRow="0" w:firstColumn="0" w:lastColumn="0" w:oddVBand="0" w:evenVBand="0" w:oddHBand="1" w:evenHBand="0" w:firstRowFirstColumn="0" w:firstRowLastColumn="0" w:lastRowFirstColumn="0" w:lastRowLastColumn="0"/>
            </w:pPr>
            <w:r w:rsidRPr="00AA227C">
              <w:t>304,405</w:t>
            </w:r>
          </w:p>
        </w:tc>
        <w:tc>
          <w:tcPr>
            <w:tcW w:w="1711" w:type="dxa"/>
          </w:tcPr>
          <w:p w14:paraId="435BBB4F" w14:textId="765D30FF" w:rsidR="00DB216A" w:rsidRPr="00AA227C" w:rsidRDefault="00DB216A" w:rsidP="00AA227C">
            <w:pPr>
              <w:pStyle w:val="10Tabletext"/>
              <w:jc w:val="right"/>
              <w:cnfStyle w:val="000000100000" w:firstRow="0" w:lastRow="0" w:firstColumn="0" w:lastColumn="0" w:oddVBand="0" w:evenVBand="0" w:oddHBand="1" w:evenHBand="0" w:firstRowFirstColumn="0" w:firstRowLastColumn="0" w:lastRowFirstColumn="0" w:lastRowLastColumn="0"/>
            </w:pPr>
            <w:r w:rsidRPr="00AA227C">
              <w:t>399,233</w:t>
            </w:r>
          </w:p>
        </w:tc>
      </w:tr>
      <w:tr w:rsidR="00DB216A" w:rsidRPr="00D871CB" w14:paraId="7DFAF3EA" w14:textId="77777777" w:rsidTr="00AA227C">
        <w:tc>
          <w:tcPr>
            <w:cnfStyle w:val="001000000000" w:firstRow="0" w:lastRow="0" w:firstColumn="1" w:lastColumn="0" w:oddVBand="0" w:evenVBand="0" w:oddHBand="0" w:evenHBand="0" w:firstRowFirstColumn="0" w:firstRowLastColumn="0" w:lastRowFirstColumn="0" w:lastRowLastColumn="0"/>
            <w:tcW w:w="1937" w:type="dxa"/>
          </w:tcPr>
          <w:p w14:paraId="3DAA6A2D" w14:textId="77777777" w:rsidR="00DB216A" w:rsidRPr="00AA227C" w:rsidRDefault="00DB216A" w:rsidP="00AA227C">
            <w:pPr>
              <w:pStyle w:val="10Tabletext"/>
            </w:pPr>
            <w:r w:rsidRPr="00AA227C">
              <w:t>Median</w:t>
            </w:r>
          </w:p>
        </w:tc>
        <w:tc>
          <w:tcPr>
            <w:tcW w:w="1436" w:type="dxa"/>
          </w:tcPr>
          <w:p w14:paraId="4DB81E75" w14:textId="77777777" w:rsidR="00DB216A" w:rsidRPr="00AA227C" w:rsidRDefault="00DB216A" w:rsidP="00AA227C">
            <w:pPr>
              <w:pStyle w:val="10Tabletext"/>
              <w:cnfStyle w:val="000000000000" w:firstRow="0" w:lastRow="0" w:firstColumn="0" w:lastColumn="0" w:oddVBand="0" w:evenVBand="0" w:oddHBand="0" w:evenHBand="0" w:firstRowFirstColumn="0" w:firstRowLastColumn="0" w:lastRowFirstColumn="0" w:lastRowLastColumn="0"/>
            </w:pPr>
          </w:p>
        </w:tc>
        <w:tc>
          <w:tcPr>
            <w:tcW w:w="1710" w:type="dxa"/>
          </w:tcPr>
          <w:p w14:paraId="2B754DBD" w14:textId="702D9FCB" w:rsidR="00DB216A" w:rsidRPr="00AA227C" w:rsidRDefault="00DB216A" w:rsidP="00AA227C">
            <w:pPr>
              <w:pStyle w:val="10Tabletext"/>
              <w:jc w:val="right"/>
              <w:cnfStyle w:val="000000000000" w:firstRow="0" w:lastRow="0" w:firstColumn="0" w:lastColumn="0" w:oddVBand="0" w:evenVBand="0" w:oddHBand="0" w:evenHBand="0" w:firstRowFirstColumn="0" w:firstRowLastColumn="0" w:lastRowFirstColumn="0" w:lastRowLastColumn="0"/>
            </w:pPr>
            <w:r w:rsidRPr="00AA227C">
              <w:t>266,235</w:t>
            </w:r>
          </w:p>
        </w:tc>
        <w:tc>
          <w:tcPr>
            <w:tcW w:w="1710" w:type="dxa"/>
          </w:tcPr>
          <w:p w14:paraId="4E342054" w14:textId="21582403" w:rsidR="00DB216A" w:rsidRPr="00AA227C" w:rsidRDefault="00DB216A" w:rsidP="00AA227C">
            <w:pPr>
              <w:pStyle w:val="10Tabletext"/>
              <w:jc w:val="right"/>
              <w:cnfStyle w:val="000000000000" w:firstRow="0" w:lastRow="0" w:firstColumn="0" w:lastColumn="0" w:oddVBand="0" w:evenVBand="0" w:oddHBand="0" w:evenHBand="0" w:firstRowFirstColumn="0" w:firstRowLastColumn="0" w:lastRowFirstColumn="0" w:lastRowLastColumn="0"/>
            </w:pPr>
            <w:r w:rsidRPr="00AA227C">
              <w:t>339,782</w:t>
            </w:r>
          </w:p>
        </w:tc>
        <w:tc>
          <w:tcPr>
            <w:tcW w:w="1711" w:type="dxa"/>
          </w:tcPr>
          <w:p w14:paraId="40C91A18" w14:textId="4D6A44E8" w:rsidR="00DB216A" w:rsidRPr="00AA227C" w:rsidRDefault="00DB216A" w:rsidP="00AA227C">
            <w:pPr>
              <w:pStyle w:val="10Tabletext"/>
              <w:jc w:val="right"/>
              <w:cnfStyle w:val="000000000000" w:firstRow="0" w:lastRow="0" w:firstColumn="0" w:lastColumn="0" w:oddVBand="0" w:evenVBand="0" w:oddHBand="0" w:evenHBand="0" w:firstRowFirstColumn="0" w:firstRowLastColumn="0" w:lastRowFirstColumn="0" w:lastRowLastColumn="0"/>
            </w:pPr>
            <w:r w:rsidRPr="00AA227C">
              <w:t>457,474</w:t>
            </w:r>
          </w:p>
        </w:tc>
      </w:tr>
      <w:tr w:rsidR="00DB216A" w:rsidRPr="00D871CB" w14:paraId="1B91413F" w14:textId="77777777" w:rsidTr="00AA22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tcPr>
          <w:p w14:paraId="1F6C591D" w14:textId="77777777" w:rsidR="00DB216A" w:rsidRPr="00AA227C" w:rsidRDefault="00DB216A" w:rsidP="00AA227C">
            <w:pPr>
              <w:pStyle w:val="10Tabletext"/>
            </w:pPr>
            <w:r w:rsidRPr="00AA227C">
              <w:t>95</w:t>
            </w:r>
            <w:r w:rsidRPr="00320447">
              <w:rPr>
                <w:vertAlign w:val="superscript"/>
              </w:rPr>
              <w:t>th</w:t>
            </w:r>
            <w:r w:rsidRPr="00AA227C">
              <w:t xml:space="preserve"> percentile</w:t>
            </w:r>
          </w:p>
        </w:tc>
        <w:tc>
          <w:tcPr>
            <w:tcW w:w="1436" w:type="dxa"/>
          </w:tcPr>
          <w:p w14:paraId="1AA35FD1" w14:textId="77777777" w:rsidR="00DB216A" w:rsidRPr="00AA227C" w:rsidRDefault="00DB216A" w:rsidP="00AA227C">
            <w:pPr>
              <w:pStyle w:val="10Tabletext"/>
              <w:cnfStyle w:val="000000100000" w:firstRow="0" w:lastRow="0" w:firstColumn="0" w:lastColumn="0" w:oddVBand="0" w:evenVBand="0" w:oddHBand="1" w:evenHBand="0" w:firstRowFirstColumn="0" w:firstRowLastColumn="0" w:lastRowFirstColumn="0" w:lastRowLastColumn="0"/>
            </w:pPr>
          </w:p>
        </w:tc>
        <w:tc>
          <w:tcPr>
            <w:tcW w:w="1710" w:type="dxa"/>
          </w:tcPr>
          <w:p w14:paraId="089F83D6" w14:textId="00E24C81" w:rsidR="00DB216A" w:rsidRPr="00AA227C" w:rsidRDefault="00DB216A" w:rsidP="00AA227C">
            <w:pPr>
              <w:pStyle w:val="10Tabletext"/>
              <w:jc w:val="right"/>
              <w:cnfStyle w:val="000000100000" w:firstRow="0" w:lastRow="0" w:firstColumn="0" w:lastColumn="0" w:oddVBand="0" w:evenVBand="0" w:oddHBand="1" w:evenHBand="0" w:firstRowFirstColumn="0" w:firstRowLastColumn="0" w:lastRowFirstColumn="0" w:lastRowLastColumn="0"/>
              <w:rPr>
                <w:highlight w:val="yellow"/>
              </w:rPr>
            </w:pPr>
            <w:r w:rsidRPr="00AA227C">
              <w:t>300,554</w:t>
            </w:r>
          </w:p>
        </w:tc>
        <w:tc>
          <w:tcPr>
            <w:tcW w:w="1710" w:type="dxa"/>
          </w:tcPr>
          <w:p w14:paraId="6A9150FA" w14:textId="049DAAA3" w:rsidR="00DB216A" w:rsidRPr="00AA227C" w:rsidRDefault="00DB216A" w:rsidP="00AA227C">
            <w:pPr>
              <w:pStyle w:val="10Tabletext"/>
              <w:jc w:val="right"/>
              <w:cnfStyle w:val="000000100000" w:firstRow="0" w:lastRow="0" w:firstColumn="0" w:lastColumn="0" w:oddVBand="0" w:evenVBand="0" w:oddHBand="1" w:evenHBand="0" w:firstRowFirstColumn="0" w:firstRowLastColumn="0" w:lastRowFirstColumn="0" w:lastRowLastColumn="0"/>
            </w:pPr>
            <w:r w:rsidRPr="00AA227C">
              <w:t>391,852</w:t>
            </w:r>
          </w:p>
        </w:tc>
        <w:tc>
          <w:tcPr>
            <w:tcW w:w="1711" w:type="dxa"/>
          </w:tcPr>
          <w:p w14:paraId="63DC756A" w14:textId="2FA7E46B" w:rsidR="00DB216A" w:rsidRPr="00AA227C" w:rsidRDefault="00DB216A" w:rsidP="00AA227C">
            <w:pPr>
              <w:pStyle w:val="10Tabletext"/>
              <w:jc w:val="right"/>
              <w:cnfStyle w:val="000000100000" w:firstRow="0" w:lastRow="0" w:firstColumn="0" w:lastColumn="0" w:oddVBand="0" w:evenVBand="0" w:oddHBand="1" w:evenHBand="0" w:firstRowFirstColumn="0" w:firstRowLastColumn="0" w:lastRowFirstColumn="0" w:lastRowLastColumn="0"/>
            </w:pPr>
            <w:r w:rsidRPr="00AA227C">
              <w:t>551,727</w:t>
            </w:r>
          </w:p>
        </w:tc>
      </w:tr>
    </w:tbl>
    <w:p w14:paraId="2E80CA48" w14:textId="2AA53B0C" w:rsidR="00DB216A" w:rsidRPr="000C2AB9" w:rsidRDefault="00DB216A" w:rsidP="000C2AB9">
      <w:pPr>
        <w:pStyle w:val="09Sourcesandnotesfortablesfiguresboxes"/>
      </w:pPr>
      <w:bookmarkStart w:id="121" w:name="_Hlk159405934"/>
      <w:r w:rsidRPr="000C2AB9">
        <w:t xml:space="preserve">Notes: (a) For </w:t>
      </w:r>
      <w:r w:rsidR="00306A3D" w:rsidRPr="000C2AB9">
        <w:t>the</w:t>
      </w:r>
      <w:r w:rsidRPr="000C2AB9">
        <w:t xml:space="preserve"> APS SES, TRP is defined as base salary plus benefits including employer superannuation contributions, motor vehicle cost (or cash in lieu of a vehicle), motor vehicle parking, personal benefits and supplementary payments. (b) Percentiles mark intervals within the data, in relation to the whole dataset. For example, the 5th percentile is the position at which 5 per cent of positions are paid below and 95 per cent are paid above.</w:t>
      </w:r>
    </w:p>
    <w:p w14:paraId="1DDCEF12" w14:textId="4DFA0B75" w:rsidR="00DB216A" w:rsidRPr="000C2AB9" w:rsidRDefault="00DB216A" w:rsidP="000C2AB9">
      <w:pPr>
        <w:pStyle w:val="09Sourcesandnotesfortablesfiguresboxes"/>
      </w:pPr>
      <w:r w:rsidRPr="000C2AB9">
        <w:t xml:space="preserve">Source: </w:t>
      </w:r>
      <w:r w:rsidR="00AA548E" w:rsidRPr="000C2AB9">
        <w:t>APSC (2023</w:t>
      </w:r>
      <w:r w:rsidR="002410E3" w:rsidRPr="000C2AB9">
        <w:t>b</w:t>
      </w:r>
      <w:r w:rsidR="00AA548E" w:rsidRPr="000C2AB9">
        <w:t>)</w:t>
      </w:r>
      <w:r w:rsidR="00945941" w:rsidRPr="000C2AB9">
        <w:t xml:space="preserve">, </w:t>
      </w:r>
      <w:r w:rsidRPr="000C2AB9">
        <w:t>pp</w:t>
      </w:r>
      <w:r w:rsidR="00945941" w:rsidRPr="000C2AB9">
        <w:t>.</w:t>
      </w:r>
      <w:r w:rsidRPr="000C2AB9">
        <w:t xml:space="preserve"> 73-75</w:t>
      </w:r>
      <w:r w:rsidR="00945941" w:rsidRPr="000C2AB9">
        <w:t>.</w:t>
      </w:r>
    </w:p>
    <w:bookmarkEnd w:id="120"/>
    <w:bookmarkEnd w:id="121"/>
    <w:p w14:paraId="3FCC40E2" w14:textId="77777777" w:rsidR="00DB216A" w:rsidRPr="00DB216A" w:rsidRDefault="00DB216A" w:rsidP="00AA227C">
      <w:pPr>
        <w:pStyle w:val="05Paragraph"/>
      </w:pPr>
      <w:r w:rsidRPr="00DB216A">
        <w:t xml:space="preserve">Under the Commonwealth Government’s </w:t>
      </w:r>
      <w:r w:rsidRPr="00DB216A">
        <w:rPr>
          <w:i/>
          <w:iCs/>
        </w:rPr>
        <w:t>Public Sector Workplace Relations Policy 2023</w:t>
      </w:r>
      <w:r w:rsidRPr="00DB216A">
        <w:t>, general pay increases for SES executives must not exceed those provided for non-SES employees of the APS.</w:t>
      </w:r>
      <w:r w:rsidRPr="00DB216A">
        <w:rPr>
          <w:vertAlign w:val="superscript"/>
        </w:rPr>
        <w:footnoteReference w:id="159"/>
      </w:r>
      <w:r w:rsidRPr="00DB216A">
        <w:t xml:space="preserve"> The Commonwealth Government’s final APS pay offer in November 2023 was for pay increases of four per cent from December 2023, 3.8 per cent from March 2025 and 3.4 per cent from March 2026.</w:t>
      </w:r>
      <w:r w:rsidRPr="00DB216A">
        <w:rPr>
          <w:vertAlign w:val="superscript"/>
        </w:rPr>
        <w:footnoteReference w:id="160"/>
      </w:r>
    </w:p>
    <w:p w14:paraId="19E1F28C" w14:textId="77777777" w:rsidR="00DB216A" w:rsidRPr="00DB216A" w:rsidRDefault="00DB216A" w:rsidP="00DB216A">
      <w:pPr>
        <w:spacing w:after="0"/>
        <w:rPr>
          <w:rFonts w:eastAsia="Calibri" w:cs="Calibri Light"/>
          <w:color w:val="000000"/>
          <w:szCs w:val="20"/>
        </w:rPr>
      </w:pPr>
      <w:r w:rsidRPr="00DB216A">
        <w:rPr>
          <w:rFonts w:eastAsia="Calibri" w:cs="Calibri Light"/>
          <w:color w:val="000000"/>
          <w:szCs w:val="20"/>
        </w:rPr>
        <w:t xml:space="preserve">While comparisons with the more centralised VPS executive remuneration framework are difficult, based on the latest APS data the Tribunal observed that: </w:t>
      </w:r>
    </w:p>
    <w:p w14:paraId="0C22B38A" w14:textId="23F700F8" w:rsidR="00DB216A" w:rsidRPr="00DB216A" w:rsidRDefault="00DB216A" w:rsidP="003448F7">
      <w:pPr>
        <w:pStyle w:val="06VIRTBulletpoints"/>
      </w:pPr>
      <w:r w:rsidRPr="00DB216A">
        <w:t>the lowest TRPs paid to APS executives — based on the 5</w:t>
      </w:r>
      <w:r w:rsidRPr="00DB216A">
        <w:rPr>
          <w:vertAlign w:val="superscript"/>
        </w:rPr>
        <w:t>th</w:t>
      </w:r>
      <w:r w:rsidRPr="00DB216A">
        <w:t xml:space="preserve"> percentile of the</w:t>
      </w:r>
      <w:r w:rsidR="00A6626D">
        <w:t xml:space="preserve"> remuneration distribution for</w:t>
      </w:r>
      <w:r w:rsidRPr="00DB216A">
        <w:t xml:space="preserve"> SES</w:t>
      </w:r>
      <w:r w:rsidRPr="00DB216A">
        <w:noBreakHyphen/>
        <w:t xml:space="preserve">1 </w:t>
      </w:r>
      <w:r w:rsidR="00A6626D">
        <w:t>executives</w:t>
      </w:r>
      <w:r w:rsidR="00A6626D" w:rsidRPr="00DB216A">
        <w:t xml:space="preserve"> </w:t>
      </w:r>
      <w:r w:rsidRPr="00DB216A">
        <w:t xml:space="preserve">— are around 9 per cent higher than the minimum that can be paid to a VPS executive </w:t>
      </w:r>
    </w:p>
    <w:p w14:paraId="2A4E5DF8" w14:textId="55ECF878" w:rsidR="00DB216A" w:rsidRPr="00DB216A" w:rsidRDefault="00DB216A" w:rsidP="003448F7">
      <w:pPr>
        <w:pStyle w:val="06VIRTBulletpoints"/>
      </w:pPr>
      <w:r w:rsidRPr="00DB216A">
        <w:t>the highest TRPs paid to APS SES — based on the 95</w:t>
      </w:r>
      <w:r w:rsidRPr="00DB216A">
        <w:rPr>
          <w:vertAlign w:val="superscript"/>
        </w:rPr>
        <w:t>th</w:t>
      </w:r>
      <w:r w:rsidRPr="00DB216A">
        <w:t xml:space="preserve"> percentile of the </w:t>
      </w:r>
      <w:r w:rsidR="00A6626D">
        <w:t xml:space="preserve">remuneration distribution for </w:t>
      </w:r>
      <w:r w:rsidRPr="00DB216A">
        <w:t xml:space="preserve">SES-3 </w:t>
      </w:r>
      <w:r w:rsidR="00A6626D">
        <w:t>executives</w:t>
      </w:r>
      <w:r w:rsidR="00A6626D" w:rsidRPr="00DB216A">
        <w:t xml:space="preserve"> </w:t>
      </w:r>
      <w:r w:rsidRPr="00DB216A">
        <w:t>— are around 3 per cent higher than the maximum of the VPS SES-3 band</w:t>
      </w:r>
    </w:p>
    <w:p w14:paraId="1B77CCB6" w14:textId="77777777" w:rsidR="00DB216A" w:rsidRPr="00DB216A" w:rsidRDefault="00DB216A" w:rsidP="003448F7">
      <w:pPr>
        <w:pStyle w:val="06VIRTBulletpoints"/>
      </w:pPr>
      <w:r w:rsidRPr="00DB216A">
        <w:t>the ‘notional amount’ is around 5 per cent lower than the maximum of the VPS SES</w:t>
      </w:r>
      <w:r w:rsidRPr="00DB216A">
        <w:noBreakHyphen/>
        <w:t xml:space="preserve">3 band. </w:t>
      </w:r>
    </w:p>
    <w:p w14:paraId="5DF51EE2" w14:textId="77777777" w:rsidR="00DB216A" w:rsidRPr="00DB216A" w:rsidRDefault="00DB216A" w:rsidP="0040621A">
      <w:pPr>
        <w:pStyle w:val="04VIRTheading4"/>
      </w:pPr>
      <w:r w:rsidRPr="00DB216A">
        <w:t>Progression within the band and performance bonuses</w:t>
      </w:r>
    </w:p>
    <w:p w14:paraId="1FAEA9DB" w14:textId="77777777" w:rsidR="00DB216A" w:rsidRPr="00DB216A" w:rsidRDefault="00DB216A" w:rsidP="0040621A">
      <w:pPr>
        <w:pStyle w:val="05Paragraph"/>
      </w:pPr>
      <w:r w:rsidRPr="00DB216A">
        <w:t xml:space="preserve">The APSC has implemented an overarching </w:t>
      </w:r>
      <w:r w:rsidRPr="00DB216A">
        <w:rPr>
          <w:i/>
          <w:iCs/>
        </w:rPr>
        <w:t>SES Performance Leadership Framework</w:t>
      </w:r>
      <w:r w:rsidRPr="00DB216A">
        <w:t xml:space="preserve"> that provides discretion for APS agencies to establish their own performance management approach.</w:t>
      </w:r>
      <w:r w:rsidRPr="00DB216A">
        <w:rPr>
          <w:vertAlign w:val="superscript"/>
        </w:rPr>
        <w:footnoteReference w:id="161"/>
      </w:r>
      <w:r w:rsidRPr="00DB216A">
        <w:t xml:space="preserve"> Under this framework APS agencies have discretion to establish their own reward and recognition arrangements, including through adjustments to base pay (‘progression’) and non-monetary rewards, such as public recognition.</w:t>
      </w:r>
      <w:r w:rsidRPr="00DB216A">
        <w:rPr>
          <w:vertAlign w:val="superscript"/>
        </w:rPr>
        <w:footnoteReference w:id="162"/>
      </w:r>
    </w:p>
    <w:p w14:paraId="0AB703AA" w14:textId="3BD0D089" w:rsidR="00DB216A" w:rsidRPr="00DB216A" w:rsidRDefault="00DB216A" w:rsidP="00DB216A">
      <w:pPr>
        <w:spacing w:after="0"/>
        <w:rPr>
          <w:rFonts w:eastAsia="Calibri" w:cs="Calibri Light"/>
          <w:color w:val="000000"/>
          <w:szCs w:val="20"/>
        </w:rPr>
      </w:pPr>
      <w:r w:rsidRPr="00DB216A">
        <w:rPr>
          <w:rFonts w:eastAsia="Calibri" w:cs="Calibri Light"/>
          <w:color w:val="000000"/>
          <w:szCs w:val="20"/>
        </w:rPr>
        <w:lastRenderedPageBreak/>
        <w:t xml:space="preserve">The Commonwealth Government has also released guidance on paying performance bonuses for Commonwealth entities and companies. The guidance sets out the expectation that performance bonuses are used only in limited circumstances. These include </w:t>
      </w:r>
      <w:r w:rsidR="00DE3B61">
        <w:rPr>
          <w:rFonts w:eastAsia="Calibri" w:cs="Calibri Light"/>
          <w:color w:val="000000"/>
          <w:szCs w:val="20"/>
        </w:rPr>
        <w:t xml:space="preserve">for </w:t>
      </w:r>
      <w:r w:rsidRPr="00DB216A">
        <w:rPr>
          <w:rFonts w:eastAsia="Calibri" w:cs="Calibri Light"/>
          <w:color w:val="000000"/>
          <w:szCs w:val="20"/>
        </w:rPr>
        <w:t>roles that involve significant at-risk investment outcomes, meet significant public milestones or involve non-tax revenue raising.</w:t>
      </w:r>
      <w:r w:rsidRPr="00DB216A">
        <w:rPr>
          <w:rFonts w:eastAsia="Calibri" w:cs="Calibri Light"/>
          <w:color w:val="000000"/>
          <w:szCs w:val="20"/>
          <w:vertAlign w:val="superscript"/>
        </w:rPr>
        <w:footnoteReference w:id="163"/>
      </w:r>
      <w:r w:rsidRPr="00DB216A">
        <w:rPr>
          <w:rFonts w:eastAsia="Calibri" w:cs="Calibri Light"/>
          <w:color w:val="000000"/>
          <w:szCs w:val="20"/>
        </w:rPr>
        <w:t xml:space="preserve"> APSC data shows that the use and size of SES performance bonuses decreased in 2022, with only 36 </w:t>
      </w:r>
      <w:r w:rsidR="005B1EBA">
        <w:rPr>
          <w:rFonts w:eastAsia="Calibri" w:cs="Calibri Light"/>
          <w:color w:val="000000"/>
          <w:szCs w:val="20"/>
        </w:rPr>
        <w:t>(</w:t>
      </w:r>
      <w:r w:rsidRPr="00DB216A">
        <w:rPr>
          <w:rFonts w:eastAsia="Calibri" w:cs="Calibri Light"/>
          <w:color w:val="000000"/>
          <w:szCs w:val="20"/>
        </w:rPr>
        <w:t>or 1.2 per cent of</w:t>
      </w:r>
      <w:r w:rsidR="005B1EBA">
        <w:rPr>
          <w:rFonts w:eastAsia="Calibri" w:cs="Calibri Light"/>
          <w:color w:val="000000"/>
          <w:szCs w:val="20"/>
        </w:rPr>
        <w:t>)</w:t>
      </w:r>
      <w:r w:rsidRPr="00DB216A">
        <w:rPr>
          <w:rFonts w:eastAsia="Calibri" w:cs="Calibri Light"/>
          <w:color w:val="000000"/>
          <w:szCs w:val="20"/>
        </w:rPr>
        <w:t xml:space="preserve"> SES employees paid a bonus, a 69 per cent decrease from 2021. The median SES performance bonus paid in 2022 was $6,022, compared to $10,249 in 2021.</w:t>
      </w:r>
      <w:r w:rsidRPr="00DB216A">
        <w:rPr>
          <w:rFonts w:eastAsia="Calibri" w:cs="Calibri Light"/>
          <w:color w:val="000000"/>
          <w:szCs w:val="20"/>
          <w:vertAlign w:val="superscript"/>
        </w:rPr>
        <w:footnoteReference w:id="164"/>
      </w:r>
      <w:r w:rsidRPr="00DB216A">
        <w:rPr>
          <w:rFonts w:eastAsia="Calibri" w:cs="Calibri Light"/>
          <w:color w:val="000000"/>
          <w:szCs w:val="20"/>
        </w:rPr>
        <w:t xml:space="preserve"> </w:t>
      </w:r>
    </w:p>
    <w:p w14:paraId="2A1440B7" w14:textId="77777777" w:rsidR="00DB216A" w:rsidRPr="00DB216A" w:rsidRDefault="00DB216A" w:rsidP="0040621A">
      <w:pPr>
        <w:pStyle w:val="03VIRTHeading3"/>
      </w:pPr>
      <w:r w:rsidRPr="00DB216A">
        <w:t>Other relevant contractual matters</w:t>
      </w:r>
    </w:p>
    <w:p w14:paraId="6603698C" w14:textId="77777777" w:rsidR="00DB216A" w:rsidRPr="00DB216A" w:rsidRDefault="00DB216A" w:rsidP="0040621A">
      <w:pPr>
        <w:pStyle w:val="05Paragraph"/>
      </w:pPr>
      <w:r w:rsidRPr="00DB216A">
        <w:t xml:space="preserve">The Tribunal also compared other relevant contractual matters that affect executive attraction and retention, namely termination and right of return provisions. </w:t>
      </w:r>
    </w:p>
    <w:p w14:paraId="2BF4FB20" w14:textId="123D1143" w:rsidR="00DB216A" w:rsidRPr="00DB216A" w:rsidRDefault="00DB216A" w:rsidP="0040621A">
      <w:pPr>
        <w:pStyle w:val="05Paragraph"/>
      </w:pPr>
      <w:r w:rsidRPr="00DB216A">
        <w:t xml:space="preserve">As discussed in </w:t>
      </w:r>
      <w:r w:rsidR="002315B8">
        <w:t>C</w:t>
      </w:r>
      <w:r w:rsidRPr="00DB216A">
        <w:t xml:space="preserve">hapter 3, in Victoria there is no compensation for termination of a contract without cause beyond payment in lieu of notice and accrued leave. </w:t>
      </w:r>
    </w:p>
    <w:p w14:paraId="7052B73D" w14:textId="77777777" w:rsidR="00DB216A" w:rsidRPr="00DB216A" w:rsidRDefault="00DB216A" w:rsidP="0040621A">
      <w:pPr>
        <w:pStyle w:val="05Paragraph"/>
      </w:pPr>
      <w:r w:rsidRPr="00DB216A">
        <w:t>In the Commonwealth, before terminating the employment of a Secretary or SES executive, the APS Commissioner must issue a report or a certificate respectively.</w:t>
      </w:r>
      <w:r w:rsidRPr="00DB216A">
        <w:rPr>
          <w:vertAlign w:val="superscript"/>
        </w:rPr>
        <w:footnoteReference w:id="165"/>
      </w:r>
      <w:r w:rsidRPr="00DB216A">
        <w:t xml:space="preserve"> For an SES executive, the certificate must state that relevant employment provisions have been satisfied and that the termination of the executive is in the public interest.</w:t>
      </w:r>
    </w:p>
    <w:p w14:paraId="304C9D57" w14:textId="77777777" w:rsidR="00DB216A" w:rsidRPr="00DB216A" w:rsidRDefault="00DB216A" w:rsidP="00DB216A">
      <w:pPr>
        <w:spacing w:after="0"/>
        <w:rPr>
          <w:rFonts w:eastAsia="Calibri" w:cs="Calibri Light"/>
          <w:color w:val="000000"/>
          <w:szCs w:val="20"/>
        </w:rPr>
      </w:pPr>
      <w:r w:rsidRPr="00DB216A">
        <w:rPr>
          <w:rFonts w:eastAsia="Calibri" w:cs="Calibri Light"/>
          <w:color w:val="000000"/>
          <w:szCs w:val="20"/>
        </w:rPr>
        <w:t>Also, if a Secretary is terminated and an ‘exclusion event’ (such as a breach of the APS Code of Conduct) has not occurred, the Secretary is entitled to be paid based on the term of their appointment:</w:t>
      </w:r>
      <w:r w:rsidRPr="00DB216A">
        <w:rPr>
          <w:rFonts w:eastAsia="Calibri" w:cs="Calibri Light"/>
          <w:color w:val="000000"/>
          <w:szCs w:val="20"/>
          <w:vertAlign w:val="superscript"/>
        </w:rPr>
        <w:footnoteReference w:id="166"/>
      </w:r>
    </w:p>
    <w:p w14:paraId="063CE7F4" w14:textId="77777777" w:rsidR="00DB216A" w:rsidRPr="00DB216A" w:rsidRDefault="00DB216A" w:rsidP="00A11B2B">
      <w:pPr>
        <w:pStyle w:val="06VIRTBulletpoints"/>
      </w:pPr>
      <w:r w:rsidRPr="00DB216A">
        <w:t>for a termination 12 months or more before the end of the Secretary’s term of appointment — 12 months’ reference salary at the time of termination</w:t>
      </w:r>
    </w:p>
    <w:p w14:paraId="699B2AD8" w14:textId="77777777" w:rsidR="00DB216A" w:rsidRPr="00DB216A" w:rsidRDefault="00DB216A" w:rsidP="00A11B2B">
      <w:pPr>
        <w:pStyle w:val="06VIRTBulletpoints"/>
      </w:pPr>
      <w:r w:rsidRPr="00DB216A">
        <w:t>for a termination less than 12 months before the end of the Secretary’s term of appointment — one month’s reference salary for each full month of the balance of the term not served, subject to a minimum payment of six months’ reference salary at the time of termination.</w:t>
      </w:r>
    </w:p>
    <w:p w14:paraId="00C78AF2" w14:textId="3C040623" w:rsidR="00DB216A" w:rsidRPr="00DB216A" w:rsidRDefault="00DB216A" w:rsidP="00DB216A">
      <w:pPr>
        <w:spacing w:after="0"/>
        <w:rPr>
          <w:rFonts w:eastAsia="Calibri" w:cs="Calibri Light"/>
          <w:color w:val="000000"/>
          <w:szCs w:val="20"/>
        </w:rPr>
      </w:pPr>
      <w:r w:rsidRPr="00DB216A">
        <w:rPr>
          <w:rFonts w:eastAsia="Calibri" w:cs="Calibri Light"/>
          <w:color w:val="000000"/>
          <w:szCs w:val="20"/>
        </w:rPr>
        <w:lastRenderedPageBreak/>
        <w:t xml:space="preserve">As discussed in </w:t>
      </w:r>
      <w:r w:rsidR="002315B8">
        <w:rPr>
          <w:rFonts w:eastAsia="Calibri" w:cs="Calibri Light"/>
          <w:color w:val="000000"/>
          <w:szCs w:val="20"/>
        </w:rPr>
        <w:t>C</w:t>
      </w:r>
      <w:r w:rsidRPr="00DB216A">
        <w:rPr>
          <w:rFonts w:eastAsia="Calibri" w:cs="Calibri Light"/>
          <w:color w:val="000000"/>
          <w:szCs w:val="20"/>
        </w:rPr>
        <w:t>hapter 3, Victoria provides a right of return for some executives.</w:t>
      </w:r>
      <w:r w:rsidRPr="00DB216A">
        <w:rPr>
          <w:rFonts w:eastAsia="Calibri" w:cs="Calibri Light"/>
          <w:color w:val="000000"/>
          <w:szCs w:val="20"/>
          <w:vertAlign w:val="superscript"/>
        </w:rPr>
        <w:footnoteReference w:id="167"/>
      </w:r>
      <w:r w:rsidRPr="00DB216A">
        <w:rPr>
          <w:rFonts w:eastAsia="Calibri" w:cs="Calibri Light"/>
          <w:color w:val="000000"/>
          <w:szCs w:val="20"/>
        </w:rPr>
        <w:t xml:space="preserve"> The right of return is available to an executive where their contract is terminated and the executive was a VPS employee prior to their initial employment as an executive and this employment was continuous.</w:t>
      </w:r>
    </w:p>
    <w:p w14:paraId="022A1DAA" w14:textId="77777777" w:rsidR="00DB216A" w:rsidRPr="00DB216A" w:rsidRDefault="00DB216A" w:rsidP="00DB216A">
      <w:pPr>
        <w:spacing w:after="0"/>
        <w:rPr>
          <w:rFonts w:eastAsia="Calibri" w:cs="Calibri Light"/>
          <w:color w:val="000000"/>
          <w:szCs w:val="20"/>
        </w:rPr>
      </w:pPr>
      <w:r w:rsidRPr="00DB216A">
        <w:rPr>
          <w:rFonts w:eastAsia="Calibri" w:cs="Calibri Light"/>
          <w:color w:val="000000"/>
          <w:szCs w:val="20"/>
        </w:rPr>
        <w:t>Unlike Victoria, the Commonwealth public service does not have right of return provisions for Secretaries or the SES.</w:t>
      </w:r>
    </w:p>
    <w:p w14:paraId="24C0BBA2" w14:textId="769E5CB2" w:rsidR="00DB216A" w:rsidRPr="00DB216A" w:rsidRDefault="00DB216A" w:rsidP="0040621A">
      <w:pPr>
        <w:pStyle w:val="05Paragraph"/>
        <w:rPr>
          <w:rFonts w:ascii="Segoe UI" w:hAnsi="Segoe UI" w:cs="Segoe UI"/>
          <w:shd w:val="clear" w:color="auto" w:fill="FFFFFF"/>
        </w:rPr>
      </w:pPr>
      <w:r w:rsidRPr="00DB216A">
        <w:t xml:space="preserve">An APS agency may offer </w:t>
      </w:r>
      <w:r w:rsidRPr="00DB216A" w:rsidDel="00642451">
        <w:t xml:space="preserve">an </w:t>
      </w:r>
      <w:r w:rsidRPr="00DB216A">
        <w:t>incentive to retire payment</w:t>
      </w:r>
      <w:r w:rsidRPr="00DB216A" w:rsidDel="00642451">
        <w:t xml:space="preserve"> </w:t>
      </w:r>
      <w:r w:rsidRPr="00DB216A">
        <w:t xml:space="preserve">to any SES employee regardless of whether the employee has reached </w:t>
      </w:r>
      <w:r w:rsidR="00C8559F">
        <w:t xml:space="preserve">the prescribed minimum </w:t>
      </w:r>
      <w:r w:rsidRPr="00DB216A">
        <w:t>retirement age.</w:t>
      </w:r>
      <w:r w:rsidRPr="00A265B2">
        <w:rPr>
          <w:rFonts w:cs="Calibri Light"/>
          <w:shd w:val="clear" w:color="auto" w:fill="FFFFFF"/>
          <w:vertAlign w:val="superscript"/>
        </w:rPr>
        <w:footnoteReference w:id="168"/>
      </w:r>
      <w:r w:rsidRPr="00DB216A">
        <w:t xml:space="preserve"> In certain circumstances, an SES employee who has received an incentive to retire payment can be re-engaged by an APS agency, including as an ongoing or non-ongoing employee.</w:t>
      </w:r>
      <w:r w:rsidRPr="00DB216A">
        <w:rPr>
          <w:vertAlign w:val="superscript"/>
        </w:rPr>
        <w:footnoteReference w:id="169"/>
      </w:r>
      <w:r w:rsidRPr="00DB216A">
        <w:rPr>
          <w:rFonts w:ascii="Segoe UI" w:hAnsi="Segoe UI" w:cs="Segoe UI"/>
          <w:shd w:val="clear" w:color="auto" w:fill="FFFFFF"/>
        </w:rPr>
        <w:t xml:space="preserve"> </w:t>
      </w:r>
    </w:p>
    <w:p w14:paraId="10EAEFA9" w14:textId="5F276AFB" w:rsidR="00DB216A" w:rsidRPr="00DB216A" w:rsidRDefault="00257B8F" w:rsidP="00FF5EC1">
      <w:pPr>
        <w:pStyle w:val="02VIRTHeading2"/>
      </w:pPr>
      <w:bookmarkStart w:id="122" w:name="_Toc170396234"/>
      <w:r>
        <w:t>5.2</w:t>
      </w:r>
      <w:r>
        <w:tab/>
      </w:r>
      <w:r w:rsidR="00DB216A" w:rsidRPr="00DB216A">
        <w:t>New South Wales public service</w:t>
      </w:r>
      <w:bookmarkEnd w:id="122"/>
      <w:r w:rsidR="00DB216A" w:rsidRPr="00DB216A">
        <w:t xml:space="preserve"> </w:t>
      </w:r>
    </w:p>
    <w:p w14:paraId="1FF8DB42" w14:textId="77777777" w:rsidR="00DB216A" w:rsidRPr="00DB216A" w:rsidRDefault="00DB216A" w:rsidP="00FF5EC1">
      <w:pPr>
        <w:pStyle w:val="05Paragraph"/>
      </w:pPr>
      <w:r w:rsidRPr="00DB216A">
        <w:t xml:space="preserve">NSW has an integrated classification and remuneration framework for Secretaries and other public service executives.  </w:t>
      </w:r>
    </w:p>
    <w:p w14:paraId="29003F4B" w14:textId="77777777" w:rsidR="00DB216A" w:rsidRPr="00DB216A" w:rsidRDefault="00DB216A" w:rsidP="00FF5EC1">
      <w:pPr>
        <w:pStyle w:val="03VIRTHeading3"/>
      </w:pPr>
      <w:r w:rsidRPr="00DB216A">
        <w:t>Classification framework</w:t>
      </w:r>
    </w:p>
    <w:p w14:paraId="0988E6F2" w14:textId="03821754" w:rsidR="00DB216A" w:rsidRPr="00DB216A" w:rsidRDefault="00DB216A" w:rsidP="00FF5EC1">
      <w:pPr>
        <w:pStyle w:val="05Paragraph"/>
      </w:pPr>
      <w:r w:rsidRPr="00DB216A">
        <w:t xml:space="preserve">In NSW, a classification band framework may be applied to ‘Public Service </w:t>
      </w:r>
      <w:r w:rsidR="00314F0F">
        <w:t>S</w:t>
      </w:r>
      <w:r w:rsidRPr="00DB216A">
        <w:t xml:space="preserve">enior </w:t>
      </w:r>
      <w:r w:rsidR="00314F0F">
        <w:t>E</w:t>
      </w:r>
      <w:r w:rsidRPr="00DB216A">
        <w:t>xecutives’</w:t>
      </w:r>
      <w:r w:rsidR="00A11B2B">
        <w:t xml:space="preserve"> (PSSE)</w:t>
      </w:r>
      <w:r w:rsidRPr="00DB216A">
        <w:t>, comprised of Secretaries and other executives employed in the public service.</w:t>
      </w:r>
      <w:r w:rsidRPr="00DB216A">
        <w:rPr>
          <w:vertAlign w:val="superscript"/>
        </w:rPr>
        <w:footnoteReference w:id="170"/>
      </w:r>
      <w:r w:rsidRPr="00DB216A">
        <w:t xml:space="preserve"> </w:t>
      </w:r>
    </w:p>
    <w:p w14:paraId="641080B4" w14:textId="77777777" w:rsidR="00DB216A" w:rsidRPr="00DB216A" w:rsidRDefault="00DB216A" w:rsidP="00FF5EC1">
      <w:pPr>
        <w:pStyle w:val="05Paragraph"/>
      </w:pPr>
      <w:r w:rsidRPr="00DB216A">
        <w:t>The following four band classification structure is currently applied:</w:t>
      </w:r>
      <w:r w:rsidRPr="00DB216A">
        <w:rPr>
          <w:vertAlign w:val="superscript"/>
        </w:rPr>
        <w:footnoteReference w:id="171"/>
      </w:r>
    </w:p>
    <w:p w14:paraId="68267715" w14:textId="203D399F" w:rsidR="00DB216A" w:rsidRPr="00DB216A" w:rsidRDefault="00A11B2B" w:rsidP="00A11B2B">
      <w:pPr>
        <w:pStyle w:val="06VIRTBulletpoints"/>
      </w:pPr>
      <w:r>
        <w:t xml:space="preserve">PSSE </w:t>
      </w:r>
      <w:r w:rsidR="00DB216A" w:rsidRPr="00DB216A">
        <w:t>Band 1 – Director</w:t>
      </w:r>
    </w:p>
    <w:p w14:paraId="26B34230" w14:textId="718803CE" w:rsidR="00DB216A" w:rsidRPr="00DB216A" w:rsidRDefault="00A11B2B" w:rsidP="00A11B2B">
      <w:pPr>
        <w:pStyle w:val="06VIRTBulletpoints"/>
      </w:pPr>
      <w:r>
        <w:t xml:space="preserve">PSSE </w:t>
      </w:r>
      <w:r w:rsidR="00DB216A" w:rsidRPr="00DB216A">
        <w:t>Band 2 – Executive Director</w:t>
      </w:r>
    </w:p>
    <w:p w14:paraId="45FEF1F2" w14:textId="1BB9A886" w:rsidR="00DB216A" w:rsidRPr="00DB216A" w:rsidRDefault="00A11B2B" w:rsidP="00A11B2B">
      <w:pPr>
        <w:pStyle w:val="06VIRTBulletpoints"/>
      </w:pPr>
      <w:r>
        <w:t xml:space="preserve">PSSE </w:t>
      </w:r>
      <w:r w:rsidR="00DB216A" w:rsidRPr="00DB216A">
        <w:t>Band 3 – Deputy Secretary</w:t>
      </w:r>
    </w:p>
    <w:p w14:paraId="6094A7D4" w14:textId="742DE8B7" w:rsidR="00DB216A" w:rsidRPr="00DB216A" w:rsidRDefault="00A11B2B" w:rsidP="00A11B2B">
      <w:pPr>
        <w:pStyle w:val="06VIRTBulletpoints"/>
      </w:pPr>
      <w:r>
        <w:t xml:space="preserve">PSSE </w:t>
      </w:r>
      <w:r w:rsidR="00DB216A" w:rsidRPr="00DB216A">
        <w:t>Band 4 – Secretary.</w:t>
      </w:r>
    </w:p>
    <w:p w14:paraId="41F764D4" w14:textId="0CB27BDD" w:rsidR="00DB216A" w:rsidRPr="00DB216A" w:rsidRDefault="00DB216A" w:rsidP="00FF5EC1">
      <w:pPr>
        <w:pStyle w:val="05Paragraph"/>
      </w:pPr>
      <w:r w:rsidRPr="00DB216A">
        <w:t xml:space="preserve">The NSW Public Sector Commission (NSWPSC) issues work level standards to assist departments and agencies to determine an appropriate </w:t>
      </w:r>
      <w:r w:rsidR="00314F0F" w:rsidRPr="00DB216A">
        <w:t xml:space="preserve">PSSE </w:t>
      </w:r>
      <w:r w:rsidRPr="00DB216A">
        <w:t xml:space="preserve">band. The standards </w:t>
      </w:r>
      <w:r w:rsidRPr="00DB216A">
        <w:lastRenderedPageBreak/>
        <w:t xml:space="preserve">are the </w:t>
      </w:r>
      <w:r w:rsidRPr="00B449EC">
        <w:t>classifying</w:t>
      </w:r>
      <w:r w:rsidRPr="00DB216A">
        <w:t xml:space="preserve"> tool for determining the band for a new PSSE role.</w:t>
      </w:r>
      <w:r w:rsidRPr="00DB216A">
        <w:rPr>
          <w:vertAlign w:val="superscript"/>
        </w:rPr>
        <w:footnoteReference w:id="172"/>
      </w:r>
      <w:r w:rsidRPr="00DB216A">
        <w:t xml:space="preserve"> Applying the standards involves considering:</w:t>
      </w:r>
      <w:r w:rsidRPr="00DB216A">
        <w:rPr>
          <w:vertAlign w:val="superscript"/>
        </w:rPr>
        <w:footnoteReference w:id="173"/>
      </w:r>
    </w:p>
    <w:p w14:paraId="4AE3F9AC" w14:textId="77777777" w:rsidR="00DB216A" w:rsidRPr="00B449EC" w:rsidRDefault="00DB216A" w:rsidP="00B449EC">
      <w:pPr>
        <w:pStyle w:val="06VIRTBulletpoints"/>
      </w:pPr>
      <w:r w:rsidRPr="00DB216A">
        <w:t xml:space="preserve">the ‘Distinguishing </w:t>
      </w:r>
      <w:r w:rsidRPr="00B449EC">
        <w:t>Characteristics’ of a role, for example, Band 1 executives are characterised as ‘Deliverers of agency services and outcomes’</w:t>
      </w:r>
    </w:p>
    <w:p w14:paraId="26EE2177" w14:textId="1D0354B8" w:rsidR="00DB216A" w:rsidRPr="00B449EC" w:rsidRDefault="00DB216A" w:rsidP="00B449EC">
      <w:pPr>
        <w:pStyle w:val="06VIRTBulletpoints"/>
      </w:pPr>
      <w:r w:rsidRPr="00B449EC">
        <w:t>six factors for describing</w:t>
      </w:r>
      <w:r w:rsidRPr="00B449EC" w:rsidDel="00D87678">
        <w:t xml:space="preserve"> </w:t>
      </w:r>
      <w:r w:rsidRPr="00B449EC">
        <w:t xml:space="preserve">the Band: Expertise; Accountability; Dimensions; Key </w:t>
      </w:r>
      <w:r w:rsidR="00BB2AA5">
        <w:t>R</w:t>
      </w:r>
      <w:r w:rsidRPr="00B449EC">
        <w:t>elationships; Role Context and Environment; Judgement and Independence</w:t>
      </w:r>
    </w:p>
    <w:p w14:paraId="18868DE0" w14:textId="3D96FA64" w:rsidR="00DB216A" w:rsidRPr="00DB216A" w:rsidRDefault="00DB216A" w:rsidP="00B449EC">
      <w:pPr>
        <w:pStyle w:val="06VIRTBulletpoints"/>
      </w:pPr>
      <w:r w:rsidRPr="00B449EC">
        <w:t>the relevant work contribution stream to confirm the band.</w:t>
      </w:r>
      <w:r w:rsidRPr="00B449EC" w:rsidDel="00673EAA">
        <w:t xml:space="preserve"> </w:t>
      </w:r>
      <w:r w:rsidRPr="00B449EC">
        <w:t>There are five streams: Service/Operational Delivery; Professional/</w:t>
      </w:r>
      <w:r w:rsidR="0012201C">
        <w:t>Technical/</w:t>
      </w:r>
      <w:r w:rsidRPr="00B449EC">
        <w:t>Specialist; Policy; Regulatory/Compliance; Agency Head</w:t>
      </w:r>
      <w:r w:rsidRPr="00DB216A">
        <w:t>.</w:t>
      </w:r>
    </w:p>
    <w:p w14:paraId="7CFD9453" w14:textId="77777777" w:rsidR="00DB216A" w:rsidRPr="00DB216A" w:rsidRDefault="00DB216A" w:rsidP="00FF5EC1">
      <w:pPr>
        <w:pStyle w:val="03VIRTHeading3"/>
      </w:pPr>
      <w:r w:rsidRPr="00DB216A">
        <w:t>Remuneration framework</w:t>
      </w:r>
    </w:p>
    <w:p w14:paraId="27303F12" w14:textId="03D51929" w:rsidR="00DB216A" w:rsidRPr="00DB216A" w:rsidRDefault="00DB216A" w:rsidP="00FF5EC1">
      <w:pPr>
        <w:pStyle w:val="05Paragraph"/>
      </w:pPr>
      <w:r w:rsidRPr="00DB216A">
        <w:t>The NSW Statutory and Other Offices Remuneration Tribunal (SOORT) determines remuneration bands for each classification</w:t>
      </w:r>
      <w:r w:rsidR="00F138CD">
        <w:t xml:space="preserve"> (Table 5.3)</w:t>
      </w:r>
      <w:r w:rsidRPr="00DB216A">
        <w:t>.</w:t>
      </w:r>
      <w:r w:rsidRPr="00DB216A">
        <w:rPr>
          <w:vertAlign w:val="superscript"/>
        </w:rPr>
        <w:footnoteReference w:id="174"/>
      </w:r>
      <w:r w:rsidRPr="00DB216A">
        <w:t xml:space="preserve"> </w:t>
      </w:r>
    </w:p>
    <w:p w14:paraId="2194BD6E" w14:textId="77777777" w:rsidR="00DB216A" w:rsidRPr="00DB216A" w:rsidRDefault="00DB216A" w:rsidP="00144BE8">
      <w:pPr>
        <w:pStyle w:val="08Figuretableboxheading"/>
      </w:pPr>
      <w:bookmarkStart w:id="123" w:name="_Toc170393559"/>
      <w:bookmarkStart w:id="124" w:name="_Hlk159589869"/>
      <w:bookmarkStart w:id="125" w:name="_Hlk159582775"/>
      <w:r w:rsidRPr="00DB216A">
        <w:t>Table 5.3: Classification and remuneration framework for NSW Secretaries and senior executives, from 1 July 2023</w:t>
      </w:r>
      <w:bookmarkEnd w:id="123"/>
    </w:p>
    <w:tbl>
      <w:tblPr>
        <w:tblStyle w:val="ListTable3-Accent29"/>
        <w:tblW w:w="0" w:type="auto"/>
        <w:tblBorders>
          <w:left w:val="none" w:sz="0" w:space="0" w:color="auto"/>
          <w:right w:val="none" w:sz="0" w:space="0" w:color="auto"/>
          <w:insideH w:val="single" w:sz="4" w:space="0" w:color="148A5D"/>
        </w:tblBorders>
        <w:tblLook w:val="04A0" w:firstRow="1" w:lastRow="0" w:firstColumn="1" w:lastColumn="0" w:noHBand="0" w:noVBand="1"/>
      </w:tblPr>
      <w:tblGrid>
        <w:gridCol w:w="4115"/>
        <w:gridCol w:w="4389"/>
      </w:tblGrid>
      <w:tr w:rsidR="00DB216A" w:rsidRPr="00DB216A" w14:paraId="51F3FF77" w14:textId="77777777" w:rsidTr="00DB216A">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4253" w:type="dxa"/>
          </w:tcPr>
          <w:p w14:paraId="6233FA27" w14:textId="77777777" w:rsidR="00DB216A" w:rsidRPr="00FF5EC1" w:rsidRDefault="00DB216A" w:rsidP="00FF5EC1">
            <w:pPr>
              <w:pStyle w:val="10Tabletext"/>
              <w:rPr>
                <w:color w:val="FFFFFF" w:themeColor="background1"/>
              </w:rPr>
            </w:pPr>
            <w:r w:rsidRPr="00FF5EC1">
              <w:rPr>
                <w:color w:val="FFFFFF" w:themeColor="background1"/>
              </w:rPr>
              <w:t xml:space="preserve">Classification </w:t>
            </w:r>
          </w:p>
        </w:tc>
        <w:tc>
          <w:tcPr>
            <w:tcW w:w="4536" w:type="dxa"/>
          </w:tcPr>
          <w:p w14:paraId="7F10A3A9" w14:textId="77777777" w:rsidR="00DB216A" w:rsidRPr="00FF5EC1" w:rsidRDefault="00DB216A" w:rsidP="00FF5EC1">
            <w:pPr>
              <w:pStyle w:val="10Tabletext"/>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FF5EC1">
              <w:rPr>
                <w:color w:val="FFFFFF" w:themeColor="background1"/>
              </w:rPr>
              <w:t xml:space="preserve">Values of the remuneration band </w:t>
            </w:r>
          </w:p>
          <w:p w14:paraId="3C638BB9" w14:textId="77777777" w:rsidR="00DB216A" w:rsidRPr="00FF5EC1" w:rsidRDefault="00DB216A" w:rsidP="00FF5EC1">
            <w:pPr>
              <w:pStyle w:val="10Tabletext"/>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FF5EC1">
              <w:rPr>
                <w:color w:val="FFFFFF" w:themeColor="background1"/>
              </w:rPr>
              <w:t>($ p.a.)</w:t>
            </w:r>
            <w:r w:rsidRPr="00FF5EC1">
              <w:rPr>
                <w:color w:val="FFFFFF" w:themeColor="background1"/>
                <w:vertAlign w:val="superscript"/>
              </w:rPr>
              <w:t>(a)</w:t>
            </w:r>
          </w:p>
        </w:tc>
      </w:tr>
      <w:tr w:rsidR="00DB216A" w:rsidRPr="00DB216A" w14:paraId="5C01438C" w14:textId="77777777" w:rsidTr="00DB216A">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4253" w:type="dxa"/>
          </w:tcPr>
          <w:p w14:paraId="189C481B" w14:textId="77777777" w:rsidR="00DB216A" w:rsidRPr="00DB216A" w:rsidRDefault="00DB216A" w:rsidP="00FF5EC1">
            <w:pPr>
              <w:pStyle w:val="10Tabletext"/>
              <w:rPr>
                <w:color w:val="4D4D4D"/>
              </w:rPr>
            </w:pPr>
            <w:r w:rsidRPr="00DB216A">
              <w:rPr>
                <w:color w:val="4D4D4D"/>
              </w:rPr>
              <w:t>PSSE Band 1 – Director</w:t>
            </w:r>
          </w:p>
        </w:tc>
        <w:tc>
          <w:tcPr>
            <w:tcW w:w="4536" w:type="dxa"/>
          </w:tcPr>
          <w:p w14:paraId="3E86FF69" w14:textId="77777777" w:rsidR="00DB216A" w:rsidRPr="00DB216A" w:rsidRDefault="00DB216A" w:rsidP="00FF5EC1">
            <w:pPr>
              <w:pStyle w:val="10Tabletext"/>
              <w:jc w:val="right"/>
              <w:cnfStyle w:val="000000100000" w:firstRow="0" w:lastRow="0" w:firstColumn="0" w:lastColumn="0" w:oddVBand="0" w:evenVBand="0" w:oddHBand="1" w:evenHBand="0" w:firstRowFirstColumn="0" w:firstRowLastColumn="0" w:lastRowFirstColumn="0" w:lastRowLastColumn="0"/>
              <w:rPr>
                <w:color w:val="4D4D4D"/>
              </w:rPr>
            </w:pPr>
            <w:r w:rsidRPr="00DB216A">
              <w:rPr>
                <w:color w:val="4D4D4D"/>
              </w:rPr>
              <w:t>$201,350 – $287,200</w:t>
            </w:r>
          </w:p>
        </w:tc>
      </w:tr>
      <w:tr w:rsidR="00DB216A" w:rsidRPr="00DB216A" w14:paraId="2F74651D" w14:textId="77777777" w:rsidTr="00DB216A">
        <w:tc>
          <w:tcPr>
            <w:cnfStyle w:val="001000000000" w:firstRow="0" w:lastRow="0" w:firstColumn="1" w:lastColumn="0" w:oddVBand="0" w:evenVBand="0" w:oddHBand="0" w:evenHBand="0" w:firstRowFirstColumn="0" w:firstRowLastColumn="0" w:lastRowFirstColumn="0" w:lastRowLastColumn="0"/>
            <w:tcW w:w="4253" w:type="dxa"/>
          </w:tcPr>
          <w:p w14:paraId="37893AFC" w14:textId="77777777" w:rsidR="00DB216A" w:rsidRPr="00DB216A" w:rsidRDefault="00DB216A" w:rsidP="00FF5EC1">
            <w:pPr>
              <w:pStyle w:val="10Tabletext"/>
              <w:rPr>
                <w:color w:val="4D4D4D"/>
                <w:szCs w:val="20"/>
              </w:rPr>
            </w:pPr>
            <w:r w:rsidRPr="00DB216A">
              <w:rPr>
                <w:color w:val="4D4D4D"/>
              </w:rPr>
              <w:t>PSSE Band 2 – Executive Director</w:t>
            </w:r>
          </w:p>
        </w:tc>
        <w:tc>
          <w:tcPr>
            <w:tcW w:w="4536" w:type="dxa"/>
          </w:tcPr>
          <w:p w14:paraId="26A8A952" w14:textId="77777777" w:rsidR="00DB216A" w:rsidRPr="00DB216A" w:rsidRDefault="00DB216A" w:rsidP="00FF5EC1">
            <w:pPr>
              <w:pStyle w:val="10Tabletext"/>
              <w:jc w:val="right"/>
              <w:cnfStyle w:val="000000000000" w:firstRow="0" w:lastRow="0" w:firstColumn="0" w:lastColumn="0" w:oddVBand="0" w:evenVBand="0" w:oddHBand="0" w:evenHBand="0" w:firstRowFirstColumn="0" w:firstRowLastColumn="0" w:lastRowFirstColumn="0" w:lastRowLastColumn="0"/>
              <w:rPr>
                <w:color w:val="4D4D4D"/>
              </w:rPr>
            </w:pPr>
            <w:r w:rsidRPr="00DB216A">
              <w:rPr>
                <w:color w:val="4D4D4D"/>
              </w:rPr>
              <w:t>$287,201 – $361,300</w:t>
            </w:r>
          </w:p>
        </w:tc>
      </w:tr>
      <w:tr w:rsidR="00DB216A" w:rsidRPr="00DB216A" w14:paraId="5B982EA2" w14:textId="77777777" w:rsidTr="00DB2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1F57D777" w14:textId="77777777" w:rsidR="00DB216A" w:rsidRPr="00DB216A" w:rsidRDefault="00DB216A" w:rsidP="00FF5EC1">
            <w:pPr>
              <w:pStyle w:val="10Tabletext"/>
              <w:rPr>
                <w:color w:val="4D4D4D"/>
                <w:szCs w:val="20"/>
              </w:rPr>
            </w:pPr>
            <w:r w:rsidRPr="00DB216A">
              <w:rPr>
                <w:color w:val="4D4D4D"/>
              </w:rPr>
              <w:t>PSSE Band 3 – Deputy Secretary</w:t>
            </w:r>
          </w:p>
        </w:tc>
        <w:tc>
          <w:tcPr>
            <w:tcW w:w="4536" w:type="dxa"/>
          </w:tcPr>
          <w:p w14:paraId="07F1A01D" w14:textId="77777777" w:rsidR="00DB216A" w:rsidRPr="00DB216A" w:rsidRDefault="00DB216A" w:rsidP="00FF5EC1">
            <w:pPr>
              <w:pStyle w:val="10Tabletext"/>
              <w:jc w:val="right"/>
              <w:cnfStyle w:val="000000100000" w:firstRow="0" w:lastRow="0" w:firstColumn="0" w:lastColumn="0" w:oddVBand="0" w:evenVBand="0" w:oddHBand="1" w:evenHBand="0" w:firstRowFirstColumn="0" w:firstRowLastColumn="0" w:lastRowFirstColumn="0" w:lastRowLastColumn="0"/>
              <w:rPr>
                <w:color w:val="4D4D4D"/>
              </w:rPr>
            </w:pPr>
            <w:r w:rsidRPr="00DB216A">
              <w:rPr>
                <w:color w:val="4D4D4D"/>
              </w:rPr>
              <w:t>$361,301 – $509,250</w:t>
            </w:r>
          </w:p>
        </w:tc>
      </w:tr>
      <w:tr w:rsidR="00DB216A" w:rsidRPr="00DB216A" w14:paraId="607066C1" w14:textId="77777777" w:rsidTr="00DB216A">
        <w:tc>
          <w:tcPr>
            <w:cnfStyle w:val="001000000000" w:firstRow="0" w:lastRow="0" w:firstColumn="1" w:lastColumn="0" w:oddVBand="0" w:evenVBand="0" w:oddHBand="0" w:evenHBand="0" w:firstRowFirstColumn="0" w:firstRowLastColumn="0" w:lastRowFirstColumn="0" w:lastRowLastColumn="0"/>
            <w:tcW w:w="4253" w:type="dxa"/>
          </w:tcPr>
          <w:p w14:paraId="7841DC3B" w14:textId="77777777" w:rsidR="00DB216A" w:rsidRPr="00DB216A" w:rsidRDefault="00DB216A" w:rsidP="00FF5EC1">
            <w:pPr>
              <w:pStyle w:val="10Tabletext"/>
              <w:rPr>
                <w:color w:val="4D4D4D"/>
                <w:szCs w:val="20"/>
              </w:rPr>
            </w:pPr>
            <w:r w:rsidRPr="00DB216A">
              <w:rPr>
                <w:color w:val="4D4D4D"/>
              </w:rPr>
              <w:t>PSSE Band 4 – Secretary</w:t>
            </w:r>
          </w:p>
        </w:tc>
        <w:tc>
          <w:tcPr>
            <w:tcW w:w="4536" w:type="dxa"/>
          </w:tcPr>
          <w:p w14:paraId="11AACC68" w14:textId="77777777" w:rsidR="00DB216A" w:rsidRPr="00DB216A" w:rsidRDefault="00DB216A" w:rsidP="00FF5EC1">
            <w:pPr>
              <w:pStyle w:val="10Tabletext"/>
              <w:jc w:val="right"/>
              <w:cnfStyle w:val="000000000000" w:firstRow="0" w:lastRow="0" w:firstColumn="0" w:lastColumn="0" w:oddVBand="0" w:evenVBand="0" w:oddHBand="0" w:evenHBand="0" w:firstRowFirstColumn="0" w:firstRowLastColumn="0" w:lastRowFirstColumn="0" w:lastRowLastColumn="0"/>
              <w:rPr>
                <w:color w:val="4D4D4D"/>
              </w:rPr>
            </w:pPr>
            <w:r w:rsidRPr="00DB216A">
              <w:rPr>
                <w:color w:val="4D4D4D"/>
              </w:rPr>
              <w:t>$509,251 – $588,250</w:t>
            </w:r>
          </w:p>
        </w:tc>
      </w:tr>
    </w:tbl>
    <w:p w14:paraId="5322E410" w14:textId="77777777" w:rsidR="00DB216A" w:rsidRPr="00FB61BF" w:rsidRDefault="00DB216A" w:rsidP="00314F0F">
      <w:pPr>
        <w:pStyle w:val="09Sourcesandnotesfortablesfiguresboxes"/>
      </w:pPr>
      <w:r w:rsidRPr="00FB61BF">
        <w:t xml:space="preserve">Note: (a) SOORT determinations set TRP bands, where TRP is defined by the NSWPSC as the total amount paid to a senior executive out of which the executive is required to pay the employer contributions to superannuation.  </w:t>
      </w:r>
    </w:p>
    <w:p w14:paraId="7C940D81" w14:textId="4C8F2135" w:rsidR="00DB216A" w:rsidRPr="00DB216A" w:rsidRDefault="00DB216A" w:rsidP="00314F0F">
      <w:pPr>
        <w:pStyle w:val="09Sourcesandnotesfortablesfiguresboxes"/>
        <w:rPr>
          <w:rFonts w:eastAsia="Calibri" w:cs="Calibri Light"/>
          <w:color w:val="4D4D4D"/>
        </w:rPr>
      </w:pPr>
      <w:r w:rsidRPr="00E80E88">
        <w:t>Source</w:t>
      </w:r>
      <w:r w:rsidR="00806537">
        <w:t>s</w:t>
      </w:r>
      <w:r w:rsidRPr="00E80E88">
        <w:t>: NSWPSC (</w:t>
      </w:r>
      <w:r w:rsidR="00A14754" w:rsidRPr="00E80E88">
        <w:t>n</w:t>
      </w:r>
      <w:r w:rsidR="00BB3F78" w:rsidRPr="00E80E88">
        <w:t>.d.</w:t>
      </w:r>
      <w:r w:rsidR="00FE3D0A" w:rsidRPr="00E80E88">
        <w:t>)</w:t>
      </w:r>
      <w:r w:rsidR="00EE254C" w:rsidRPr="00E80E88">
        <w:t>;</w:t>
      </w:r>
      <w:r w:rsidRPr="00E80E88">
        <w:t xml:space="preserve"> SOORT (2023).</w:t>
      </w:r>
      <w:r w:rsidRPr="00DB216A">
        <w:rPr>
          <w:rFonts w:eastAsia="Calibri" w:cs="Calibri Light"/>
          <w:color w:val="4D4D4D"/>
        </w:rPr>
        <w:t xml:space="preserve"> </w:t>
      </w:r>
      <w:bookmarkEnd w:id="124"/>
    </w:p>
    <w:bookmarkEnd w:id="125"/>
    <w:p w14:paraId="56D709F2" w14:textId="133B102E" w:rsidR="00DB216A" w:rsidRPr="00DB216A" w:rsidRDefault="00DB216A" w:rsidP="001452F7">
      <w:pPr>
        <w:pStyle w:val="05Paragraph"/>
      </w:pPr>
      <w:r w:rsidRPr="00DB216A">
        <w:t xml:space="preserve">On 30 May </w:t>
      </w:r>
      <w:r w:rsidRPr="000F0730">
        <w:t>2023</w:t>
      </w:r>
      <w:r w:rsidRPr="00DB216A">
        <w:t xml:space="preserve">, </w:t>
      </w:r>
      <w:r w:rsidR="00E8501A">
        <w:t xml:space="preserve">the </w:t>
      </w:r>
      <w:r w:rsidRPr="00DB216A">
        <w:t>NSW</w:t>
      </w:r>
      <w:r w:rsidR="00E8501A">
        <w:t xml:space="preserve"> Government</w:t>
      </w:r>
      <w:r w:rsidRPr="00DB216A">
        <w:t xml:space="preserve"> announced a freeze on wages for PSSEs for the 2023-24 and 2024-25 financial years.</w:t>
      </w:r>
      <w:r w:rsidRPr="00DB216A">
        <w:rPr>
          <w:vertAlign w:val="superscript"/>
        </w:rPr>
        <w:footnoteReference w:id="175"/>
      </w:r>
      <w:r w:rsidRPr="00DB216A">
        <w:t xml:space="preserve"> SOORT’s governing legislation</w:t>
      </w:r>
      <w:r w:rsidR="00C87F98">
        <w:t xml:space="preserve"> was amended</w:t>
      </w:r>
      <w:r w:rsidRPr="00DB216A">
        <w:t xml:space="preserve">, </w:t>
      </w:r>
      <w:r w:rsidR="00C87F98">
        <w:t>requiring it</w:t>
      </w:r>
      <w:r w:rsidRPr="00DB216A">
        <w:t xml:space="preserve"> to give effect to any government policy about the remuneration of executives that is declared by regulations.</w:t>
      </w:r>
      <w:r w:rsidRPr="00DB216A">
        <w:rPr>
          <w:vertAlign w:val="superscript"/>
        </w:rPr>
        <w:footnoteReference w:id="176"/>
      </w:r>
      <w:r w:rsidRPr="00DB216A">
        <w:t xml:space="preserve"> Consequently, SOORT determined there was to be no increase to the remuneration ranges in its </w:t>
      </w:r>
      <w:r w:rsidR="00D534F3">
        <w:t xml:space="preserve">2023 </w:t>
      </w:r>
      <w:r w:rsidR="002537C8" w:rsidRPr="00D157D8">
        <w:rPr>
          <w:i/>
          <w:iCs/>
        </w:rPr>
        <w:t xml:space="preserve">Public Service </w:t>
      </w:r>
      <w:r w:rsidR="00D534F3" w:rsidRPr="00D157D8">
        <w:rPr>
          <w:i/>
          <w:iCs/>
        </w:rPr>
        <w:t>Senior Executives</w:t>
      </w:r>
      <w:r w:rsidRPr="00D157D8">
        <w:rPr>
          <w:i/>
          <w:iCs/>
        </w:rPr>
        <w:t xml:space="preserve"> Annual Determination</w:t>
      </w:r>
      <w:r w:rsidR="00D534F3">
        <w:t xml:space="preserve"> (PSSE </w:t>
      </w:r>
      <w:r w:rsidR="00BF1BF0">
        <w:t>Determination)</w:t>
      </w:r>
      <w:r w:rsidRPr="00DB216A">
        <w:t>.</w:t>
      </w:r>
      <w:r w:rsidRPr="00DB216A">
        <w:rPr>
          <w:vertAlign w:val="superscript"/>
        </w:rPr>
        <w:footnoteReference w:id="177"/>
      </w:r>
    </w:p>
    <w:p w14:paraId="12A55AF7" w14:textId="21098A2E" w:rsidR="00DB216A" w:rsidRPr="00DB216A" w:rsidRDefault="00DB216A" w:rsidP="001452F7">
      <w:pPr>
        <w:pStyle w:val="05Paragraph"/>
      </w:pPr>
      <w:r w:rsidRPr="00DB216A">
        <w:t xml:space="preserve">The NSWPSC also publishes a </w:t>
      </w:r>
      <w:r w:rsidRPr="00DB216A">
        <w:rPr>
          <w:i/>
          <w:iCs/>
        </w:rPr>
        <w:t>Public Service Senior Executive Remuneration Management Framework</w:t>
      </w:r>
      <w:r w:rsidRPr="00DB216A">
        <w:t xml:space="preserve"> </w:t>
      </w:r>
      <w:r w:rsidR="008C029E">
        <w:t xml:space="preserve">(PSSE Framework) </w:t>
      </w:r>
      <w:r w:rsidRPr="00DB216A">
        <w:t xml:space="preserve">to guide the placement of an </w:t>
      </w:r>
      <w:r w:rsidRPr="00DB216A">
        <w:lastRenderedPageBreak/>
        <w:t xml:space="preserve">executive within the relevant remuneration band. </w:t>
      </w:r>
      <w:bookmarkStart w:id="126" w:name="_Hlk144370661"/>
      <w:r w:rsidRPr="00DB216A">
        <w:t>An executive’s remuneration within the band is set by combining a base remuneration point (BRP) and a discretionary remuneration range.</w:t>
      </w:r>
      <w:r w:rsidRPr="00DB216A">
        <w:rPr>
          <w:vertAlign w:val="superscript"/>
        </w:rPr>
        <w:footnoteReference w:id="178"/>
      </w:r>
    </w:p>
    <w:p w14:paraId="6C9F653C" w14:textId="059E2F2B" w:rsidR="00DB216A" w:rsidRPr="00DB216A" w:rsidRDefault="00DB216A" w:rsidP="00B54286">
      <w:pPr>
        <w:pStyle w:val="05Paragraph"/>
      </w:pPr>
      <w:r w:rsidRPr="00DB216A">
        <w:t xml:space="preserve">The BRP for a role is calculated using a proprietary work value methodology </w:t>
      </w:r>
      <w:r w:rsidR="00DB32C0">
        <w:t xml:space="preserve">to </w:t>
      </w:r>
      <w:r w:rsidRPr="00DB216A">
        <w:t xml:space="preserve">determine the work value points for the role. The formula assumes a </w:t>
      </w:r>
      <w:r w:rsidR="00260CA2">
        <w:t>linear</w:t>
      </w:r>
      <w:r w:rsidR="00260CA2" w:rsidRPr="00DB216A">
        <w:t xml:space="preserve"> </w:t>
      </w:r>
      <w:r w:rsidRPr="00DB216A">
        <w:t>relationship between work value and remuneration.</w:t>
      </w:r>
      <w:r w:rsidRPr="00DB216A">
        <w:rPr>
          <w:rFonts w:ascii="Calibri" w:hAnsi="Calibri" w:cs="Calibri"/>
        </w:rPr>
        <w:t xml:space="preserve"> </w:t>
      </w:r>
      <w:r w:rsidRPr="00DB216A">
        <w:t>For example, for a PSSE Band 3 role evaluated using the Mercer</w:t>
      </w:r>
      <w:r w:rsidR="00E22F6D">
        <w:t xml:space="preserve"> </w:t>
      </w:r>
      <w:r w:rsidRPr="00DB216A">
        <w:t xml:space="preserve">CED methodology, the </w:t>
      </w:r>
      <w:r w:rsidR="00B2725A">
        <w:t>BRP</w:t>
      </w:r>
      <w:r w:rsidRPr="00DB216A">
        <w:t xml:space="preserve"> is calculated as 92.871 multiplied by the work value point</w:t>
      </w:r>
      <w:r w:rsidR="001D28C3">
        <w:t>s</w:t>
      </w:r>
      <w:r w:rsidRPr="00DB216A">
        <w:t xml:space="preserve"> </w:t>
      </w:r>
      <w:r w:rsidR="00171D2E">
        <w:t>(ranging from 1,475 to 2,459)</w:t>
      </w:r>
      <w:r w:rsidR="00D25B40">
        <w:t>,</w:t>
      </w:r>
      <w:r w:rsidR="00171D2E" w:rsidRPr="00DB216A">
        <w:t xml:space="preserve"> </w:t>
      </w:r>
      <w:r w:rsidRPr="00DB216A">
        <w:t>plus 224,316.</w:t>
      </w:r>
      <w:r w:rsidRPr="00DB216A">
        <w:rPr>
          <w:vertAlign w:val="superscript"/>
        </w:rPr>
        <w:footnoteReference w:id="179"/>
      </w:r>
      <w:r w:rsidRPr="00DB216A">
        <w:t xml:space="preserve"> </w:t>
      </w:r>
    </w:p>
    <w:p w14:paraId="39FB8EC8" w14:textId="77777777" w:rsidR="00DB216A" w:rsidRPr="00DB216A" w:rsidRDefault="00DB216A" w:rsidP="00B54286">
      <w:pPr>
        <w:pStyle w:val="05Paragraph"/>
      </w:pPr>
      <w:r w:rsidRPr="00DB216A">
        <w:t>As discussed, each PSSE Band 1 to 3 executive role has an individual discretionary remuneration range that can be applied. The maximum remuneration that can be paid to an executive within each band is obtained by adding the amount of the discretionary remuneration range for the relevant band to the BRP for a PSSE role.</w:t>
      </w:r>
      <w:r w:rsidRPr="00DB216A">
        <w:rPr>
          <w:vertAlign w:val="superscript"/>
        </w:rPr>
        <w:footnoteReference w:id="180"/>
      </w:r>
      <w:r w:rsidRPr="00DB216A">
        <w:t xml:space="preserve"> </w:t>
      </w:r>
    </w:p>
    <w:p w14:paraId="02A15C5C" w14:textId="77777777" w:rsidR="00DB216A" w:rsidRPr="00DB216A" w:rsidRDefault="00DB216A" w:rsidP="00B54286">
      <w:pPr>
        <w:pStyle w:val="05Paragraph"/>
      </w:pPr>
      <w:r w:rsidRPr="00DB216A">
        <w:t>The discretionary remuneration ranges</w:t>
      </w:r>
      <w:r w:rsidRPr="00DB216A" w:rsidDel="008F271F">
        <w:t xml:space="preserve"> </w:t>
      </w:r>
      <w:r w:rsidRPr="00DB216A">
        <w:t>are as follows:</w:t>
      </w:r>
      <w:r w:rsidRPr="00DB216A">
        <w:rPr>
          <w:vertAlign w:val="superscript"/>
        </w:rPr>
        <w:footnoteReference w:id="181"/>
      </w:r>
      <w:r w:rsidRPr="00DB216A">
        <w:rPr>
          <w:sz w:val="24"/>
          <w:szCs w:val="24"/>
        </w:rPr>
        <w:t xml:space="preserve"> </w:t>
      </w:r>
    </w:p>
    <w:p w14:paraId="0360F6C3" w14:textId="77777777" w:rsidR="00DB216A" w:rsidRPr="00DB216A" w:rsidRDefault="00DB216A" w:rsidP="000D481E">
      <w:pPr>
        <w:pStyle w:val="06VIRTBulletpoints"/>
      </w:pPr>
      <w:bookmarkStart w:id="127" w:name="_Hlk158631038"/>
      <w:r w:rsidRPr="00DB216A">
        <w:t xml:space="preserve">PSSE Band 1: up to $24,103 </w:t>
      </w:r>
      <w:bookmarkEnd w:id="127"/>
    </w:p>
    <w:p w14:paraId="39E7594E" w14:textId="77777777" w:rsidR="00DB216A" w:rsidRPr="00DB216A" w:rsidRDefault="00DB216A" w:rsidP="000D481E">
      <w:pPr>
        <w:pStyle w:val="06VIRTBulletpoints"/>
      </w:pPr>
      <w:r w:rsidRPr="00DB216A">
        <w:t xml:space="preserve">PSSE Band 2: up to $36,154 </w:t>
      </w:r>
    </w:p>
    <w:p w14:paraId="7B59D439" w14:textId="3935236B" w:rsidR="00DB216A" w:rsidRPr="00DB216A" w:rsidRDefault="00DB216A" w:rsidP="000D481E">
      <w:pPr>
        <w:pStyle w:val="06VIRTBulletpoints"/>
      </w:pPr>
      <w:r w:rsidRPr="00DB216A">
        <w:t>PSSE Band 3: up to $48,205</w:t>
      </w:r>
      <w:r w:rsidR="000D481E">
        <w:t>.</w:t>
      </w:r>
      <w:r w:rsidRPr="00DB216A">
        <w:t xml:space="preserve"> </w:t>
      </w:r>
      <w:bookmarkStart w:id="128" w:name="_Hlk144370841"/>
      <w:bookmarkEnd w:id="126"/>
    </w:p>
    <w:p w14:paraId="402F89E4" w14:textId="5051C78D" w:rsidR="00DB216A" w:rsidRPr="00DB216A" w:rsidRDefault="00DB216A" w:rsidP="00B54286">
      <w:pPr>
        <w:pStyle w:val="05Paragraph"/>
      </w:pPr>
      <w:r w:rsidRPr="00DB216A">
        <w:t>An executive’s initial remuneration within the discretionary remuneration range is determined by the agency based on individual merit factors, including capability and knowledge</w:t>
      </w:r>
      <w:r w:rsidR="004A6AC5">
        <w:t>,</w:t>
      </w:r>
      <w:r w:rsidRPr="00DB216A">
        <w:t xml:space="preserve"> and experience.</w:t>
      </w:r>
      <w:bookmarkEnd w:id="128"/>
      <w:r w:rsidRPr="00DB216A">
        <w:t xml:space="preserve"> Labour market factors may be taken into account in exceptional cases but only if based on verifiable evidence.</w:t>
      </w:r>
      <w:r w:rsidRPr="00DB216A">
        <w:rPr>
          <w:vertAlign w:val="superscript"/>
        </w:rPr>
        <w:footnoteReference w:id="182"/>
      </w:r>
    </w:p>
    <w:p w14:paraId="7AC9BAFA" w14:textId="14E9B24D" w:rsidR="00DB216A" w:rsidRPr="00DB216A" w:rsidRDefault="00DB216A" w:rsidP="00DB216A">
      <w:pPr>
        <w:spacing w:after="0"/>
        <w:rPr>
          <w:rFonts w:eastAsia="Calibri" w:cs="Calibri Light"/>
          <w:color w:val="000000"/>
          <w:szCs w:val="20"/>
        </w:rPr>
      </w:pPr>
      <w:r w:rsidRPr="00DB216A">
        <w:rPr>
          <w:rFonts w:eastAsia="Calibri" w:cs="Calibri Light"/>
          <w:color w:val="000000"/>
          <w:szCs w:val="20"/>
        </w:rPr>
        <w:t>The Tribunal sought to examine the Victorian and NSW executive remuneration bands on a consistent basis using the Mercer</w:t>
      </w:r>
      <w:r w:rsidR="00D94041">
        <w:rPr>
          <w:rFonts w:eastAsia="Calibri" w:cs="Calibri Light"/>
          <w:color w:val="000000"/>
          <w:szCs w:val="20"/>
        </w:rPr>
        <w:t xml:space="preserve"> </w:t>
      </w:r>
      <w:r w:rsidRPr="00DB216A">
        <w:rPr>
          <w:rFonts w:eastAsia="Calibri" w:cs="Calibri Light"/>
          <w:color w:val="000000"/>
          <w:szCs w:val="20"/>
        </w:rPr>
        <w:t>CED work value methodology to compare remuneration at the same work value points (Figure 5.1).</w:t>
      </w:r>
      <w:r w:rsidRPr="00DB216A">
        <w:rPr>
          <w:rFonts w:eastAsia="Calibri" w:cs="Calibri Light"/>
          <w:color w:val="000000"/>
          <w:szCs w:val="20"/>
          <w:vertAlign w:val="superscript"/>
        </w:rPr>
        <w:footnoteReference w:id="183"/>
      </w:r>
      <w:r w:rsidRPr="00DB216A">
        <w:rPr>
          <w:rFonts w:eastAsia="Calibri" w:cs="Calibri Light"/>
          <w:color w:val="000000"/>
          <w:szCs w:val="20"/>
        </w:rPr>
        <w:t xml:space="preserve"> </w:t>
      </w:r>
    </w:p>
    <w:p w14:paraId="28171025" w14:textId="4F1404BF" w:rsidR="00DB216A" w:rsidRDefault="00DB216A" w:rsidP="00144BE8">
      <w:pPr>
        <w:pStyle w:val="08Figuretableboxheading"/>
      </w:pPr>
      <w:bookmarkStart w:id="129" w:name="_Toc170393560"/>
      <w:r w:rsidRPr="00DB216A">
        <w:lastRenderedPageBreak/>
        <w:t>Figure 5.1: Comparison of executive remuneration in Victoria and NSW for equivalent positions based on Mercer</w:t>
      </w:r>
      <w:r w:rsidR="00D94041">
        <w:t xml:space="preserve"> </w:t>
      </w:r>
      <w:r w:rsidRPr="00DB216A">
        <w:t>CED work value methodology</w:t>
      </w:r>
      <w:bookmarkEnd w:id="129"/>
    </w:p>
    <w:p w14:paraId="3BABB37A" w14:textId="6C7E4EF5" w:rsidR="007C0434" w:rsidRDefault="007C0434" w:rsidP="00144BE8">
      <w:pPr>
        <w:pStyle w:val="08Figuretableboxheading"/>
      </w:pPr>
      <w:r>
        <w:rPr>
          <w:noProof/>
        </w:rPr>
        <w:drawing>
          <wp:inline distT="0" distB="0" distL="0" distR="0" wp14:anchorId="3B1AA176" wp14:editId="4D8117E3">
            <wp:extent cx="5414010" cy="3121660"/>
            <wp:effectExtent l="0" t="0" r="0" b="2540"/>
            <wp:docPr id="1362355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14010" cy="3121660"/>
                    </a:xfrm>
                    <a:prstGeom prst="rect">
                      <a:avLst/>
                    </a:prstGeom>
                    <a:noFill/>
                  </pic:spPr>
                </pic:pic>
              </a:graphicData>
            </a:graphic>
          </wp:inline>
        </w:drawing>
      </w:r>
    </w:p>
    <w:p w14:paraId="42785F73" w14:textId="59C28BBF" w:rsidR="006536C4" w:rsidRPr="00DB216A" w:rsidRDefault="006536C4" w:rsidP="00A8799E">
      <w:pPr>
        <w:pStyle w:val="09Sourcesandnotesfortablesfiguresboxes"/>
      </w:pPr>
      <w:r>
        <w:t>Source</w:t>
      </w:r>
      <w:r w:rsidR="001A5A44">
        <w:t xml:space="preserve">s: </w:t>
      </w:r>
      <w:r w:rsidR="00674088" w:rsidRPr="00674088">
        <w:t>NSWPSC (n.d.)</w:t>
      </w:r>
      <w:r w:rsidR="00674088">
        <w:t>;</w:t>
      </w:r>
      <w:r w:rsidR="001A5A44">
        <w:t xml:space="preserve"> (Tribunal (2023b).</w:t>
      </w:r>
    </w:p>
    <w:p w14:paraId="17D310B8" w14:textId="56FFC242" w:rsidR="00DB216A" w:rsidRPr="00DB216A" w:rsidRDefault="00DB216A" w:rsidP="009E0549">
      <w:pPr>
        <w:pStyle w:val="05Paragraph"/>
      </w:pPr>
      <w:r w:rsidRPr="00DB216A">
        <w:t xml:space="preserve">There are, however, some challenges in making a clear comparison between the remuneration bands in this way. These include differences in the design of the remuneration bands in each jurisdiction </w:t>
      </w:r>
      <w:r w:rsidR="00104585">
        <w:t>—</w:t>
      </w:r>
      <w:r w:rsidRPr="00DB216A">
        <w:t xml:space="preserve"> for example, based on work value, the NSW PSSE Band 2 overlaps with the top of the SES-1 band and bottom of the SES</w:t>
      </w:r>
      <w:r w:rsidR="00A377DA">
        <w:softHyphen/>
      </w:r>
      <w:r w:rsidRPr="00DB216A">
        <w:t xml:space="preserve">2 band in Victoria </w:t>
      </w:r>
      <w:r w:rsidR="00104585">
        <w:t>—</w:t>
      </w:r>
      <w:r w:rsidRPr="00DB216A">
        <w:t xml:space="preserve"> and a lack of publicly available information on whether or how discretionary remuneration ranges are applied in NSW.</w:t>
      </w:r>
    </w:p>
    <w:p w14:paraId="17351BF1" w14:textId="77777777" w:rsidR="00DB216A" w:rsidRPr="00DB216A" w:rsidRDefault="00DB216A" w:rsidP="009E0549">
      <w:pPr>
        <w:pStyle w:val="05Paragraph"/>
      </w:pPr>
      <w:r w:rsidRPr="00DB216A">
        <w:t xml:space="preserve">Overall, </w:t>
      </w:r>
      <w:r w:rsidRPr="00104585">
        <w:t>the</w:t>
      </w:r>
      <w:r w:rsidRPr="00DB216A">
        <w:t xml:space="preserve"> Tribunal considered that the structure and level of the current remuneration bands in Victoria and NSW were broadly comparable, but noted the following points: </w:t>
      </w:r>
    </w:p>
    <w:p w14:paraId="6B7DAFC2" w14:textId="77777777" w:rsidR="00DB216A" w:rsidRPr="00DB216A" w:rsidRDefault="00DB216A" w:rsidP="00F91787">
      <w:pPr>
        <w:pStyle w:val="06VIRTBulletpoints"/>
      </w:pPr>
      <w:r w:rsidRPr="00DB216A">
        <w:t>the bottom of each remuneration band in Victoria was generally below the minimum remuneration payable to an equivalent executive in NSW – particularly for the SES-1 and SES-2 bands</w:t>
      </w:r>
    </w:p>
    <w:p w14:paraId="4FCCA30E" w14:textId="77777777" w:rsidR="00DB216A" w:rsidRPr="00DB216A" w:rsidRDefault="00DB216A" w:rsidP="00F91787">
      <w:pPr>
        <w:pStyle w:val="06VIRTBulletpoints"/>
      </w:pPr>
      <w:r w:rsidRPr="00DB216A">
        <w:t xml:space="preserve">the maximum of the SES-1 band in Victoria means that executives in the upper part of that band (based on work value) are currently paid below their counterparts in NSW </w:t>
      </w:r>
    </w:p>
    <w:p w14:paraId="78983A68" w14:textId="77777777" w:rsidR="00DB216A" w:rsidRPr="00DB216A" w:rsidRDefault="00DB216A" w:rsidP="00F91787">
      <w:pPr>
        <w:pStyle w:val="06VIRTBulletpoints"/>
      </w:pPr>
      <w:r w:rsidRPr="00DB216A">
        <w:t>the SES-2 remuneration band in Victoria generally provides sufficient flexibility for executives to be paid comparably to their counterparts in NSW</w:t>
      </w:r>
    </w:p>
    <w:p w14:paraId="03059E52" w14:textId="77777777" w:rsidR="00DB216A" w:rsidRPr="00DB216A" w:rsidRDefault="00DB216A" w:rsidP="00F91787">
      <w:pPr>
        <w:pStyle w:val="06VIRTBulletpoints"/>
      </w:pPr>
      <w:r w:rsidRPr="00DB216A">
        <w:t>the SES-3 remuneration band provides greater flexibility for VPS employers to pay Victorian executives more than their NSW counterparts where they deem it appropriate.</w:t>
      </w:r>
    </w:p>
    <w:p w14:paraId="0997710E" w14:textId="77777777" w:rsidR="00DB216A" w:rsidRPr="00DB216A" w:rsidRDefault="00DB216A" w:rsidP="009E0549">
      <w:pPr>
        <w:pStyle w:val="04VIRTheading4"/>
      </w:pPr>
      <w:r w:rsidRPr="00DB216A">
        <w:lastRenderedPageBreak/>
        <w:t>Progression within the band</w:t>
      </w:r>
    </w:p>
    <w:p w14:paraId="11D8E196" w14:textId="19403AA6" w:rsidR="00DB216A" w:rsidRPr="00DB216A" w:rsidRDefault="00DB216A" w:rsidP="00DB216A">
      <w:pPr>
        <w:spacing w:after="0"/>
        <w:rPr>
          <w:rFonts w:eastAsia="Calibri" w:cs="Calibri Light"/>
          <w:color w:val="000000"/>
          <w:szCs w:val="20"/>
        </w:rPr>
      </w:pPr>
      <w:r w:rsidRPr="00DB216A">
        <w:rPr>
          <w:rFonts w:eastAsia="Calibri" w:cs="Calibri Light"/>
          <w:color w:val="000000"/>
          <w:szCs w:val="20"/>
        </w:rPr>
        <w:t xml:space="preserve">The NSW </w:t>
      </w:r>
      <w:r w:rsidR="00CE7A22">
        <w:rPr>
          <w:rFonts w:eastAsia="Calibri" w:cs="Calibri Light"/>
          <w:color w:val="000000"/>
          <w:szCs w:val="20"/>
        </w:rPr>
        <w:t>PSSE Framework</w:t>
      </w:r>
      <w:r w:rsidRPr="00DB216A">
        <w:rPr>
          <w:rFonts w:eastAsia="Calibri" w:cs="Calibri Light"/>
          <w:color w:val="000000"/>
          <w:szCs w:val="20"/>
        </w:rPr>
        <w:t xml:space="preserve"> provides for progression within the remuneration range over time based on assessed performance. However, it notes that progression should not be ‘automatic’.</w:t>
      </w:r>
      <w:r w:rsidRPr="00DB216A">
        <w:rPr>
          <w:rFonts w:eastAsia="Calibri" w:cs="Calibri Light"/>
          <w:color w:val="000000"/>
          <w:szCs w:val="20"/>
          <w:vertAlign w:val="superscript"/>
        </w:rPr>
        <w:footnoteReference w:id="184"/>
      </w:r>
    </w:p>
    <w:p w14:paraId="4852E424" w14:textId="3C31F37D" w:rsidR="00DB216A" w:rsidRPr="00DB216A" w:rsidRDefault="00DB216A" w:rsidP="00DB216A">
      <w:pPr>
        <w:spacing w:after="0"/>
        <w:rPr>
          <w:rFonts w:eastAsia="Calibri" w:cs="Calibri Light"/>
          <w:color w:val="000000"/>
          <w:szCs w:val="20"/>
        </w:rPr>
      </w:pPr>
      <w:r w:rsidRPr="00DB216A">
        <w:rPr>
          <w:rFonts w:eastAsia="Calibri" w:cs="Calibri Light"/>
          <w:color w:val="000000"/>
          <w:szCs w:val="20"/>
        </w:rPr>
        <w:t>There is also the opportunity for an employer to approve within band remuneration adjustments due to labour market factors. In this case, ‘verifiable market remuneration evidence’ is required, and the employer should consider the impact of an increase on the average remuneration of senior executives within a band for their Department or agency.</w:t>
      </w:r>
      <w:r w:rsidRPr="00DB216A">
        <w:rPr>
          <w:rFonts w:eastAsia="Calibri" w:cs="Calibri Light"/>
          <w:color w:val="000000"/>
          <w:szCs w:val="20"/>
          <w:vertAlign w:val="superscript"/>
        </w:rPr>
        <w:footnoteReference w:id="185"/>
      </w:r>
    </w:p>
    <w:p w14:paraId="2F070D90" w14:textId="77777777" w:rsidR="00DB216A" w:rsidRPr="00DB216A" w:rsidRDefault="00DB216A" w:rsidP="009E0549">
      <w:pPr>
        <w:pStyle w:val="04VIRTheading4"/>
      </w:pPr>
      <w:r w:rsidRPr="00DB216A">
        <w:t>Payment above the relevant band</w:t>
      </w:r>
    </w:p>
    <w:p w14:paraId="3CA00C41" w14:textId="77777777" w:rsidR="00DB216A" w:rsidRPr="00DB216A" w:rsidRDefault="00DB216A" w:rsidP="009E0549">
      <w:pPr>
        <w:pStyle w:val="05Paragraph"/>
      </w:pPr>
      <w:r w:rsidRPr="00DB216A">
        <w:t>The NSW Premier has the power to direct SOORT to make a determination to pay an executive above the relevant band.</w:t>
      </w:r>
      <w:r w:rsidRPr="00DB216A">
        <w:rPr>
          <w:vertAlign w:val="superscript"/>
        </w:rPr>
        <w:footnoteReference w:id="186"/>
      </w:r>
      <w:r w:rsidRPr="00DB216A">
        <w:t xml:space="preserve"> </w:t>
      </w:r>
    </w:p>
    <w:p w14:paraId="6302E344" w14:textId="5FA5D1AA" w:rsidR="00DB216A" w:rsidRPr="00DB216A" w:rsidRDefault="00DB216A" w:rsidP="009E0549">
      <w:pPr>
        <w:pStyle w:val="05Paragraph"/>
      </w:pPr>
      <w:r w:rsidRPr="00DB216A">
        <w:t xml:space="preserve">The </w:t>
      </w:r>
      <w:r w:rsidR="00CE7A22">
        <w:t xml:space="preserve">PSSE Framework </w:t>
      </w:r>
      <w:r w:rsidRPr="00DB216A">
        <w:t>states that an employer should seek a SOORT determination only where there is clear market-based evidence to support the application for such a determination and in line with guidance issued by the NSWPSC.</w:t>
      </w:r>
      <w:r w:rsidR="003E381F">
        <w:rPr>
          <w:rStyle w:val="FootnoteReference"/>
          <w:rFonts w:eastAsia="Calibri" w:cs="Calibri Light"/>
          <w:color w:val="000000"/>
        </w:rPr>
        <w:footnoteReference w:id="187"/>
      </w:r>
    </w:p>
    <w:p w14:paraId="00D596C0" w14:textId="5A0E0895" w:rsidR="00DB216A" w:rsidRPr="00DB216A" w:rsidRDefault="00DB216A" w:rsidP="009E0549">
      <w:pPr>
        <w:pStyle w:val="05Paragraph"/>
      </w:pPr>
      <w:r w:rsidRPr="00DB216A">
        <w:t xml:space="preserve">The 2023 </w:t>
      </w:r>
      <w:r w:rsidR="0065324A">
        <w:t xml:space="preserve">PSSE </w:t>
      </w:r>
      <w:r w:rsidR="0004212C" w:rsidRPr="0004212C">
        <w:t xml:space="preserve">Determination </w:t>
      </w:r>
      <w:r w:rsidRPr="00DB216A">
        <w:t>provided for continued payment above the band for the following executive roles:</w:t>
      </w:r>
      <w:r w:rsidRPr="00DB216A">
        <w:rPr>
          <w:vertAlign w:val="superscript"/>
        </w:rPr>
        <w:footnoteReference w:id="188"/>
      </w:r>
    </w:p>
    <w:p w14:paraId="1D04FE92" w14:textId="77777777" w:rsidR="00DB216A" w:rsidRPr="00DB216A" w:rsidRDefault="00DB216A" w:rsidP="00F91787">
      <w:pPr>
        <w:pStyle w:val="06VIRTBulletpoints"/>
      </w:pPr>
      <w:r w:rsidRPr="00DB216A">
        <w:t>the Secretary of the Premier’s Department and the Cabinet Office, paid $657,750 per annum, or around 12 per cent above PSSE Band 4</w:t>
      </w:r>
    </w:p>
    <w:p w14:paraId="63A6F111" w14:textId="58A79946" w:rsidR="00DB216A" w:rsidRPr="00DB216A" w:rsidRDefault="00401DB3" w:rsidP="00F91787">
      <w:pPr>
        <w:pStyle w:val="06VIRTBulletpoints"/>
      </w:pPr>
      <w:r>
        <w:t>seven</w:t>
      </w:r>
      <w:r w:rsidRPr="00DB216A">
        <w:t xml:space="preserve"> </w:t>
      </w:r>
      <w:r w:rsidR="00DB216A" w:rsidRPr="00DB216A">
        <w:t>other Secretaries and the C</w:t>
      </w:r>
      <w:r w:rsidR="00DF68B0">
        <w:t xml:space="preserve">hief </w:t>
      </w:r>
      <w:r w:rsidR="00DB216A" w:rsidRPr="00DB216A">
        <w:t>E</w:t>
      </w:r>
      <w:r w:rsidR="00DF68B0">
        <w:t xml:space="preserve">xecutive </w:t>
      </w:r>
      <w:r w:rsidR="00DB216A" w:rsidRPr="00DB216A">
        <w:t>O</w:t>
      </w:r>
      <w:r w:rsidR="00DF68B0">
        <w:t>fficer</w:t>
      </w:r>
      <w:r w:rsidR="00DB216A" w:rsidRPr="00DB216A">
        <w:t xml:space="preserve"> of the NSW Reconstruction Authority paid $623,300, or around 6 per cent above PSSE Band</w:t>
      </w:r>
      <w:r w:rsidR="00D77B9C">
        <w:t> </w:t>
      </w:r>
      <w:r w:rsidR="00DB216A" w:rsidRPr="00DB216A">
        <w:t>4.</w:t>
      </w:r>
    </w:p>
    <w:p w14:paraId="167B1034" w14:textId="77777777" w:rsidR="00DB216A" w:rsidRPr="00DB216A" w:rsidRDefault="00DB216A" w:rsidP="00F543EF">
      <w:pPr>
        <w:pStyle w:val="03VIRTHeading3"/>
      </w:pPr>
      <w:r w:rsidRPr="00DB216A">
        <w:t>Other relevant contractual matters</w:t>
      </w:r>
    </w:p>
    <w:p w14:paraId="0A294FCB" w14:textId="77777777" w:rsidR="00DB216A" w:rsidRPr="00DB216A" w:rsidRDefault="00DB216A" w:rsidP="009E0549">
      <w:pPr>
        <w:pStyle w:val="05Paragraph"/>
      </w:pPr>
      <w:bookmarkStart w:id="130" w:name="_Hlk159591863"/>
      <w:r w:rsidRPr="00DB216A">
        <w:t xml:space="preserve">The Tribunal also compared other relevant contractual matters, namely termination and right of return provisions.  </w:t>
      </w:r>
    </w:p>
    <w:p w14:paraId="6DE6DB5C" w14:textId="18758754" w:rsidR="00DB216A" w:rsidRPr="00DB216A" w:rsidRDefault="00DB216A" w:rsidP="009E0549">
      <w:pPr>
        <w:pStyle w:val="05Paragraph"/>
      </w:pPr>
      <w:r w:rsidRPr="00DB216A">
        <w:t>A Secretary</w:t>
      </w:r>
      <w:r w:rsidR="00A8799E">
        <w:t>’s</w:t>
      </w:r>
      <w:r w:rsidRPr="00DB216A">
        <w:t xml:space="preserve"> or other PSSE executive’s employment may be terminated at any time, for any or no stated reason without notice.</w:t>
      </w:r>
      <w:r w:rsidRPr="00DB216A">
        <w:rPr>
          <w:vertAlign w:val="superscript"/>
        </w:rPr>
        <w:footnoteReference w:id="189"/>
      </w:r>
      <w:r w:rsidRPr="00DB216A">
        <w:t xml:space="preserve"> The employer is required to </w:t>
      </w:r>
      <w:r w:rsidRPr="00DB216A">
        <w:lastRenderedPageBreak/>
        <w:t xml:space="preserve">provide a written report to the </w:t>
      </w:r>
      <w:r w:rsidR="00A275E0">
        <w:t>NSW Public Service</w:t>
      </w:r>
      <w:r w:rsidRPr="00DB216A">
        <w:t xml:space="preserve"> Commissioner on the termination, including the reasons for the termination.</w:t>
      </w:r>
      <w:r w:rsidRPr="00DB216A">
        <w:rPr>
          <w:vertAlign w:val="superscript"/>
        </w:rPr>
        <w:footnoteReference w:id="190"/>
      </w:r>
      <w:r w:rsidRPr="00DB216A">
        <w:t xml:space="preserve"> </w:t>
      </w:r>
    </w:p>
    <w:p w14:paraId="4C7A569A" w14:textId="35AB601D" w:rsidR="00DB216A" w:rsidRPr="00DB216A" w:rsidRDefault="00DB216A" w:rsidP="009E0549">
      <w:pPr>
        <w:pStyle w:val="05Paragraph"/>
      </w:pPr>
      <w:r w:rsidRPr="00DB216A">
        <w:t xml:space="preserve">When an executive’s employment is terminated they are entitled to an amount equal to their remuneration package for a period of 38 weeks or for the period remaining on the term of the contract (whichever is </w:t>
      </w:r>
      <w:r w:rsidR="000C5483">
        <w:t xml:space="preserve">the </w:t>
      </w:r>
      <w:r w:rsidRPr="00DB216A">
        <w:t>lesser), although other arrangements apply where an executive’s employment is terminated for unsatisfactory performance or misconduct.</w:t>
      </w:r>
      <w:r w:rsidRPr="00DB216A">
        <w:rPr>
          <w:vertAlign w:val="superscript"/>
        </w:rPr>
        <w:footnoteReference w:id="191"/>
      </w:r>
      <w:r w:rsidRPr="00DB216A">
        <w:t xml:space="preserve"> </w:t>
      </w:r>
    </w:p>
    <w:p w14:paraId="0C59274B" w14:textId="77777777" w:rsidR="00DB216A" w:rsidRPr="00DB216A" w:rsidRDefault="00DB216A" w:rsidP="009E0549">
      <w:pPr>
        <w:pStyle w:val="05Paragraph"/>
      </w:pPr>
      <w:r w:rsidRPr="00DB216A">
        <w:t xml:space="preserve">The NSW public service does not have right of return provisions for Secretaries or PSSE executives. </w:t>
      </w:r>
    </w:p>
    <w:p w14:paraId="53451773" w14:textId="21FC550A" w:rsidR="00DB216A" w:rsidRPr="00DB216A" w:rsidRDefault="00290715" w:rsidP="007A04B2">
      <w:pPr>
        <w:pStyle w:val="02VIRTHeading2"/>
      </w:pPr>
      <w:bookmarkStart w:id="131" w:name="_Toc170396235"/>
      <w:bookmarkEnd w:id="130"/>
      <w:r>
        <w:t>5.3</w:t>
      </w:r>
      <w:r>
        <w:tab/>
      </w:r>
      <w:r w:rsidR="00DB216A" w:rsidRPr="00DB216A">
        <w:t>Queensland public service</w:t>
      </w:r>
      <w:bookmarkEnd w:id="131"/>
      <w:r w:rsidR="00DB216A" w:rsidRPr="00DB216A">
        <w:t xml:space="preserve"> </w:t>
      </w:r>
    </w:p>
    <w:p w14:paraId="1CA18141" w14:textId="12454E43" w:rsidR="00DB216A" w:rsidRPr="00DB216A" w:rsidRDefault="00DB216A" w:rsidP="007A04B2">
      <w:pPr>
        <w:pStyle w:val="05Paragraph"/>
      </w:pPr>
      <w:r w:rsidRPr="00DB216A">
        <w:t xml:space="preserve">Queensland has separate classification and remuneration frameworks for Chief Executives (CEs) of departments </w:t>
      </w:r>
      <w:r w:rsidR="004E1F31">
        <w:t>—</w:t>
      </w:r>
      <w:r w:rsidRPr="00DB216A">
        <w:t xml:space="preserve"> equivalent to a Victorian Secretary </w:t>
      </w:r>
      <w:r w:rsidR="004E1F31">
        <w:t>—</w:t>
      </w:r>
      <w:r w:rsidRPr="00DB216A">
        <w:t xml:space="preserve"> and senior executives.</w:t>
      </w:r>
    </w:p>
    <w:p w14:paraId="7AE8525B" w14:textId="77777777" w:rsidR="00DB216A" w:rsidRPr="00DB216A" w:rsidRDefault="00DB216A" w:rsidP="007A04B2">
      <w:pPr>
        <w:pStyle w:val="03VIRTHeading3"/>
      </w:pPr>
      <w:r w:rsidRPr="00DB216A">
        <w:t>Chief executive classification and remuneration</w:t>
      </w:r>
    </w:p>
    <w:p w14:paraId="3DAC72A8" w14:textId="77777777" w:rsidR="00DB216A" w:rsidRPr="00DB216A" w:rsidRDefault="00DB216A" w:rsidP="007A04B2">
      <w:pPr>
        <w:pStyle w:val="05Paragraph"/>
      </w:pPr>
      <w:r w:rsidRPr="00DB216A">
        <w:t xml:space="preserve">The </w:t>
      </w:r>
      <w:r w:rsidRPr="00DB216A">
        <w:rPr>
          <w:i/>
        </w:rPr>
        <w:t>Queensland public sector chief executive remuneration framework</w:t>
      </w:r>
      <w:r w:rsidRPr="00DB216A">
        <w:t xml:space="preserve"> applies to CEs on appointment.</w:t>
      </w:r>
      <w:r w:rsidRPr="00DB216A">
        <w:rPr>
          <w:vertAlign w:val="superscript"/>
        </w:rPr>
        <w:footnoteReference w:id="192"/>
      </w:r>
      <w:r w:rsidRPr="00DB216A">
        <w:t xml:space="preserve"> Table 5.4 sets out the current TRP ranges that apply to CEs. Band 1 is the highest and band 6 is the lowest classification.</w:t>
      </w:r>
    </w:p>
    <w:p w14:paraId="1BB76BC7" w14:textId="06BC86DB" w:rsidR="00DB216A" w:rsidRPr="00DB216A" w:rsidRDefault="00DB216A" w:rsidP="00144BE8">
      <w:pPr>
        <w:pStyle w:val="08Figuretableboxheading"/>
      </w:pPr>
      <w:bookmarkStart w:id="132" w:name="_Toc170393561"/>
      <w:r w:rsidRPr="00DB216A">
        <w:t>Table 5.4: Classification and remuneration for Queensland CEs, from 1 September 2022</w:t>
      </w:r>
      <w:bookmarkEnd w:id="132"/>
      <w:r w:rsidRPr="00DB216A">
        <w:t xml:space="preserve"> </w:t>
      </w:r>
    </w:p>
    <w:tbl>
      <w:tblPr>
        <w:tblStyle w:val="ListTable3-Accent29"/>
        <w:tblW w:w="0" w:type="auto"/>
        <w:tblBorders>
          <w:left w:val="none" w:sz="0" w:space="0" w:color="auto"/>
          <w:right w:val="none" w:sz="0" w:space="0" w:color="auto"/>
          <w:insideH w:val="single" w:sz="4" w:space="0" w:color="148A5D"/>
        </w:tblBorders>
        <w:tblLook w:val="04A0" w:firstRow="1" w:lastRow="0" w:firstColumn="1" w:lastColumn="0" w:noHBand="0" w:noVBand="1"/>
      </w:tblPr>
      <w:tblGrid>
        <w:gridCol w:w="4124"/>
        <w:gridCol w:w="4380"/>
      </w:tblGrid>
      <w:tr w:rsidR="00DB216A" w:rsidRPr="00DB216A" w14:paraId="4C785A2B" w14:textId="77777777" w:rsidTr="00DB216A">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4253" w:type="dxa"/>
          </w:tcPr>
          <w:p w14:paraId="66AE757A" w14:textId="77777777" w:rsidR="00DB216A" w:rsidRPr="00E71604" w:rsidRDefault="00DB216A" w:rsidP="00E71604">
            <w:pPr>
              <w:pStyle w:val="10Tabletext"/>
              <w:rPr>
                <w:color w:val="FFFFFF" w:themeColor="background1"/>
              </w:rPr>
            </w:pPr>
            <w:r w:rsidRPr="00E71604">
              <w:rPr>
                <w:color w:val="FFFFFF" w:themeColor="background1"/>
              </w:rPr>
              <w:t xml:space="preserve">Classification </w:t>
            </w:r>
          </w:p>
        </w:tc>
        <w:tc>
          <w:tcPr>
            <w:tcW w:w="4536" w:type="dxa"/>
          </w:tcPr>
          <w:p w14:paraId="4DDDAE66" w14:textId="2F838500" w:rsidR="00DB216A" w:rsidRPr="00E71604" w:rsidRDefault="00DB216A" w:rsidP="00E71604">
            <w:pPr>
              <w:pStyle w:val="10Tabletext"/>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E71604">
              <w:rPr>
                <w:color w:val="FFFFFF" w:themeColor="background1"/>
              </w:rPr>
              <w:t>TRP range</w:t>
            </w:r>
            <w:r w:rsidR="00A172F3">
              <w:rPr>
                <w:color w:val="FFFFFF" w:themeColor="background1"/>
              </w:rPr>
              <w:br/>
            </w:r>
            <w:r w:rsidRPr="00E71604">
              <w:rPr>
                <w:color w:val="FFFFFF" w:themeColor="background1"/>
              </w:rPr>
              <w:t>($ p.a.)</w:t>
            </w:r>
            <w:r w:rsidRPr="00E71604">
              <w:rPr>
                <w:color w:val="FFFFFF" w:themeColor="background1"/>
                <w:vertAlign w:val="superscript"/>
              </w:rPr>
              <w:t>(a)</w:t>
            </w:r>
          </w:p>
        </w:tc>
      </w:tr>
      <w:tr w:rsidR="00DB216A" w:rsidRPr="00DB216A" w14:paraId="12CA3386" w14:textId="77777777" w:rsidTr="00DB216A">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4253" w:type="dxa"/>
          </w:tcPr>
          <w:p w14:paraId="4027F8AA" w14:textId="77777777" w:rsidR="00DB216A" w:rsidRPr="00DB216A" w:rsidRDefault="00DB216A" w:rsidP="00E71604">
            <w:pPr>
              <w:pStyle w:val="10Tabletext"/>
              <w:rPr>
                <w:color w:val="4D4D4D"/>
              </w:rPr>
            </w:pPr>
            <w:r w:rsidRPr="00DB216A">
              <w:rPr>
                <w:color w:val="4D4D4D"/>
              </w:rPr>
              <w:t>Band 1 (Central agencies)</w:t>
            </w:r>
          </w:p>
        </w:tc>
        <w:tc>
          <w:tcPr>
            <w:tcW w:w="4536" w:type="dxa"/>
          </w:tcPr>
          <w:p w14:paraId="587B71D1" w14:textId="77777777" w:rsidR="00DB216A" w:rsidRPr="00DB216A" w:rsidRDefault="00DB216A" w:rsidP="00E71604">
            <w:pPr>
              <w:pStyle w:val="10Tabletext"/>
              <w:jc w:val="right"/>
              <w:cnfStyle w:val="000000100000" w:firstRow="0" w:lastRow="0" w:firstColumn="0" w:lastColumn="0" w:oddVBand="0" w:evenVBand="0" w:oddHBand="1" w:evenHBand="0" w:firstRowFirstColumn="0" w:firstRowLastColumn="0" w:lastRowFirstColumn="0" w:lastRowLastColumn="0"/>
              <w:rPr>
                <w:color w:val="4D4D4D"/>
              </w:rPr>
            </w:pPr>
            <w:r w:rsidRPr="00DB216A">
              <w:rPr>
                <w:color w:val="4D4D4D"/>
              </w:rPr>
              <w:t>$682,125 – $852,628</w:t>
            </w:r>
          </w:p>
        </w:tc>
      </w:tr>
      <w:tr w:rsidR="00DB216A" w:rsidRPr="00DB216A" w14:paraId="4327894F" w14:textId="77777777" w:rsidTr="00DB216A">
        <w:tc>
          <w:tcPr>
            <w:cnfStyle w:val="001000000000" w:firstRow="0" w:lastRow="0" w:firstColumn="1" w:lastColumn="0" w:oddVBand="0" w:evenVBand="0" w:oddHBand="0" w:evenHBand="0" w:firstRowFirstColumn="0" w:firstRowLastColumn="0" w:lastRowFirstColumn="0" w:lastRowLastColumn="0"/>
            <w:tcW w:w="4253" w:type="dxa"/>
          </w:tcPr>
          <w:p w14:paraId="722751ED" w14:textId="77777777" w:rsidR="00DB216A" w:rsidRPr="00DB216A" w:rsidRDefault="00DB216A" w:rsidP="00E71604">
            <w:pPr>
              <w:pStyle w:val="10Tabletext"/>
              <w:rPr>
                <w:color w:val="4D4D4D"/>
                <w:szCs w:val="20"/>
              </w:rPr>
            </w:pPr>
            <w:r w:rsidRPr="00DB216A">
              <w:rPr>
                <w:color w:val="4D4D4D"/>
              </w:rPr>
              <w:t xml:space="preserve">Band 2 </w:t>
            </w:r>
          </w:p>
        </w:tc>
        <w:tc>
          <w:tcPr>
            <w:tcW w:w="4536" w:type="dxa"/>
          </w:tcPr>
          <w:p w14:paraId="697EDE6A" w14:textId="77777777" w:rsidR="00DB216A" w:rsidRPr="00DB216A" w:rsidRDefault="00DB216A" w:rsidP="00E71604">
            <w:pPr>
              <w:pStyle w:val="10Tabletext"/>
              <w:jc w:val="right"/>
              <w:cnfStyle w:val="000000000000" w:firstRow="0" w:lastRow="0" w:firstColumn="0" w:lastColumn="0" w:oddVBand="0" w:evenVBand="0" w:oddHBand="0" w:evenHBand="0" w:firstRowFirstColumn="0" w:firstRowLastColumn="0" w:lastRowFirstColumn="0" w:lastRowLastColumn="0"/>
              <w:rPr>
                <w:color w:val="4D4D4D"/>
              </w:rPr>
            </w:pPr>
            <w:r w:rsidRPr="00DB216A">
              <w:rPr>
                <w:color w:val="4D4D4D"/>
              </w:rPr>
              <w:t>$610,960 – $763,699</w:t>
            </w:r>
          </w:p>
        </w:tc>
      </w:tr>
      <w:tr w:rsidR="00DB216A" w:rsidRPr="00DB216A" w14:paraId="592598C7" w14:textId="77777777" w:rsidTr="00DB2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5ECB7EC1" w14:textId="77777777" w:rsidR="00DB216A" w:rsidRPr="00DB216A" w:rsidRDefault="00DB216A" w:rsidP="00E71604">
            <w:pPr>
              <w:pStyle w:val="10Tabletext"/>
              <w:rPr>
                <w:color w:val="4D4D4D"/>
                <w:szCs w:val="20"/>
              </w:rPr>
            </w:pPr>
            <w:r w:rsidRPr="00DB216A">
              <w:rPr>
                <w:color w:val="4D4D4D"/>
              </w:rPr>
              <w:t xml:space="preserve">Band 3 </w:t>
            </w:r>
          </w:p>
        </w:tc>
        <w:tc>
          <w:tcPr>
            <w:tcW w:w="4536" w:type="dxa"/>
          </w:tcPr>
          <w:p w14:paraId="3FCA90E6" w14:textId="77777777" w:rsidR="00DB216A" w:rsidRPr="00DB216A" w:rsidRDefault="00DB216A" w:rsidP="00E71604">
            <w:pPr>
              <w:pStyle w:val="10Tabletext"/>
              <w:jc w:val="right"/>
              <w:cnfStyle w:val="000000100000" w:firstRow="0" w:lastRow="0" w:firstColumn="0" w:lastColumn="0" w:oddVBand="0" w:evenVBand="0" w:oddHBand="1" w:evenHBand="0" w:firstRowFirstColumn="0" w:firstRowLastColumn="0" w:lastRowFirstColumn="0" w:lastRowLastColumn="0"/>
              <w:rPr>
                <w:color w:val="4D4D4D"/>
              </w:rPr>
            </w:pPr>
            <w:r w:rsidRPr="00DB216A">
              <w:rPr>
                <w:color w:val="4D4D4D"/>
              </w:rPr>
              <w:t>$473,154 – $709,732</w:t>
            </w:r>
          </w:p>
        </w:tc>
      </w:tr>
      <w:tr w:rsidR="00DB216A" w:rsidRPr="00DB216A" w14:paraId="40F74341" w14:textId="77777777" w:rsidTr="00DB216A">
        <w:tc>
          <w:tcPr>
            <w:cnfStyle w:val="001000000000" w:firstRow="0" w:lastRow="0" w:firstColumn="1" w:lastColumn="0" w:oddVBand="0" w:evenVBand="0" w:oddHBand="0" w:evenHBand="0" w:firstRowFirstColumn="0" w:firstRowLastColumn="0" w:lastRowFirstColumn="0" w:lastRowLastColumn="0"/>
            <w:tcW w:w="4253" w:type="dxa"/>
          </w:tcPr>
          <w:p w14:paraId="1262E03D" w14:textId="4F53EE9B" w:rsidR="00DB216A" w:rsidRPr="00DB216A" w:rsidRDefault="00DB216A" w:rsidP="00E71604">
            <w:pPr>
              <w:pStyle w:val="10Tabletext"/>
              <w:rPr>
                <w:color w:val="4D4D4D"/>
                <w:szCs w:val="20"/>
              </w:rPr>
            </w:pPr>
            <w:r w:rsidRPr="00DB216A">
              <w:rPr>
                <w:color w:val="4D4D4D"/>
              </w:rPr>
              <w:t>Band 4</w:t>
            </w:r>
          </w:p>
        </w:tc>
        <w:tc>
          <w:tcPr>
            <w:tcW w:w="4536" w:type="dxa"/>
          </w:tcPr>
          <w:p w14:paraId="764144BF" w14:textId="77777777" w:rsidR="00DB216A" w:rsidRPr="00DB216A" w:rsidRDefault="00DB216A" w:rsidP="00E71604">
            <w:pPr>
              <w:pStyle w:val="10Tabletext"/>
              <w:jc w:val="right"/>
              <w:cnfStyle w:val="000000000000" w:firstRow="0" w:lastRow="0" w:firstColumn="0" w:lastColumn="0" w:oddVBand="0" w:evenVBand="0" w:oddHBand="0" w:evenHBand="0" w:firstRowFirstColumn="0" w:firstRowLastColumn="0" w:lastRowFirstColumn="0" w:lastRowLastColumn="0"/>
              <w:rPr>
                <w:color w:val="4D4D4D"/>
              </w:rPr>
            </w:pPr>
            <w:r w:rsidRPr="00DB216A">
              <w:rPr>
                <w:color w:val="4D4D4D"/>
              </w:rPr>
              <w:t>$371,667 – $502,910</w:t>
            </w:r>
          </w:p>
        </w:tc>
      </w:tr>
      <w:tr w:rsidR="00DB216A" w:rsidRPr="00DB216A" w14:paraId="6D0EF33C" w14:textId="77777777" w:rsidTr="00DB2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68DBF5CB" w14:textId="77777777" w:rsidR="00DB216A" w:rsidRPr="00DB216A" w:rsidRDefault="00DB216A" w:rsidP="00E71604">
            <w:pPr>
              <w:pStyle w:val="10Tabletext"/>
              <w:rPr>
                <w:color w:val="4D4D4D"/>
              </w:rPr>
            </w:pPr>
            <w:r w:rsidRPr="00DB216A">
              <w:rPr>
                <w:color w:val="4D4D4D"/>
              </w:rPr>
              <w:t>Band 5</w:t>
            </w:r>
          </w:p>
        </w:tc>
        <w:tc>
          <w:tcPr>
            <w:tcW w:w="4536" w:type="dxa"/>
          </w:tcPr>
          <w:p w14:paraId="59715D23" w14:textId="77777777" w:rsidR="00DB216A" w:rsidRPr="00DB216A" w:rsidRDefault="00DB216A" w:rsidP="00E71604">
            <w:pPr>
              <w:pStyle w:val="10Tabletext"/>
              <w:jc w:val="right"/>
              <w:cnfStyle w:val="000000100000" w:firstRow="0" w:lastRow="0" w:firstColumn="0" w:lastColumn="0" w:oddVBand="0" w:evenVBand="0" w:oddHBand="1" w:evenHBand="0" w:firstRowFirstColumn="0" w:firstRowLastColumn="0" w:lastRowFirstColumn="0" w:lastRowLastColumn="0"/>
              <w:rPr>
                <w:color w:val="4D4D4D"/>
              </w:rPr>
            </w:pPr>
            <w:r w:rsidRPr="00DB216A">
              <w:rPr>
                <w:color w:val="4D4D4D"/>
              </w:rPr>
              <w:t>$290,206 – $392,711</w:t>
            </w:r>
          </w:p>
        </w:tc>
      </w:tr>
      <w:tr w:rsidR="00DB216A" w:rsidRPr="00DB216A" w14:paraId="3218430B" w14:textId="77777777" w:rsidTr="00DB216A">
        <w:tc>
          <w:tcPr>
            <w:cnfStyle w:val="001000000000" w:firstRow="0" w:lastRow="0" w:firstColumn="1" w:lastColumn="0" w:oddVBand="0" w:evenVBand="0" w:oddHBand="0" w:evenHBand="0" w:firstRowFirstColumn="0" w:firstRowLastColumn="0" w:lastRowFirstColumn="0" w:lastRowLastColumn="0"/>
            <w:tcW w:w="4253" w:type="dxa"/>
          </w:tcPr>
          <w:p w14:paraId="719637BC" w14:textId="77777777" w:rsidR="00DB216A" w:rsidRPr="00DB216A" w:rsidRDefault="00DB216A" w:rsidP="00E71604">
            <w:pPr>
              <w:pStyle w:val="10Tabletext"/>
              <w:rPr>
                <w:color w:val="4D4D4D"/>
              </w:rPr>
            </w:pPr>
            <w:r w:rsidRPr="00DB216A">
              <w:rPr>
                <w:color w:val="4D4D4D"/>
              </w:rPr>
              <w:t>Band 6</w:t>
            </w:r>
          </w:p>
        </w:tc>
        <w:tc>
          <w:tcPr>
            <w:tcW w:w="4536" w:type="dxa"/>
          </w:tcPr>
          <w:p w14:paraId="2AE519B7" w14:textId="77777777" w:rsidR="00DB216A" w:rsidRPr="00DB216A" w:rsidRDefault="00DB216A" w:rsidP="00E71604">
            <w:pPr>
              <w:pStyle w:val="10Tabletext"/>
              <w:jc w:val="right"/>
              <w:cnfStyle w:val="000000000000" w:firstRow="0" w:lastRow="0" w:firstColumn="0" w:lastColumn="0" w:oddVBand="0" w:evenVBand="0" w:oddHBand="0" w:evenHBand="0" w:firstRowFirstColumn="0" w:firstRowLastColumn="0" w:lastRowFirstColumn="0" w:lastRowLastColumn="0"/>
              <w:rPr>
                <w:color w:val="4D4D4D"/>
              </w:rPr>
            </w:pPr>
            <w:r w:rsidRPr="00DB216A">
              <w:rPr>
                <w:color w:val="4D4D4D"/>
              </w:rPr>
              <w:t>$210,215 – $284,436</w:t>
            </w:r>
          </w:p>
        </w:tc>
      </w:tr>
    </w:tbl>
    <w:p w14:paraId="67D0D45C" w14:textId="206CE8BC" w:rsidR="00DB216A" w:rsidRPr="00DB216A" w:rsidRDefault="00DB216A" w:rsidP="00A172F3">
      <w:pPr>
        <w:pStyle w:val="09Sourcesandnotesfortablesfiguresboxes"/>
      </w:pPr>
      <w:r w:rsidRPr="00DB216A">
        <w:t>Note: (a) TRP comprises superannuable salary (including an executive vehicle allowance and annual leave loading) set at 88.69176</w:t>
      </w:r>
      <w:r w:rsidR="00F858DA">
        <w:t xml:space="preserve"> per cent</w:t>
      </w:r>
      <w:r w:rsidRPr="00DB216A">
        <w:t xml:space="preserve"> of TRP and employer </w:t>
      </w:r>
      <w:r w:rsidRPr="00A172F3">
        <w:t>superannuation</w:t>
      </w:r>
      <w:r w:rsidRPr="00DB216A">
        <w:t xml:space="preserve"> contributions at 12.75 per cent of superannuable salary. </w:t>
      </w:r>
    </w:p>
    <w:p w14:paraId="516FC5AE" w14:textId="36E8CDC7" w:rsidR="00DB216A" w:rsidRPr="00DB216A" w:rsidRDefault="00DB216A" w:rsidP="00A57DF1">
      <w:pPr>
        <w:pStyle w:val="09Sourcesandnotesfortablesfiguresboxes"/>
        <w:rPr>
          <w:rFonts w:eastAsia="Calibri" w:cs="Arial"/>
          <w:color w:val="4D4D4D"/>
        </w:rPr>
      </w:pPr>
      <w:r w:rsidRPr="00DB216A">
        <w:t xml:space="preserve">Source: </w:t>
      </w:r>
      <w:bookmarkStart w:id="133" w:name="_Hlk166244905"/>
      <w:r w:rsidR="008434CB">
        <w:t>Queensland Public Sector Commission (</w:t>
      </w:r>
      <w:r w:rsidRPr="00DB216A">
        <w:t>QPSC</w:t>
      </w:r>
      <w:r w:rsidR="008434CB">
        <w:t>)</w:t>
      </w:r>
      <w:r w:rsidRPr="00DB216A">
        <w:t xml:space="preserve"> (2023</w:t>
      </w:r>
      <w:r w:rsidR="00A214FC">
        <w:t>b</w:t>
      </w:r>
      <w:r w:rsidRPr="00DB216A">
        <w:t>).</w:t>
      </w:r>
      <w:bookmarkEnd w:id="133"/>
    </w:p>
    <w:p w14:paraId="47FF9281" w14:textId="77777777" w:rsidR="00DB216A" w:rsidRPr="00DB216A" w:rsidRDefault="00DB216A" w:rsidP="007A04B2">
      <w:pPr>
        <w:pStyle w:val="05Paragraph"/>
      </w:pPr>
      <w:r w:rsidRPr="00DB216A">
        <w:t>The Tribunal observed that the CE bands overlap and that the maximum TRP that may be paid to a CE in a central agency is around 10 per cent higher than the maximum TRP that may be paid to a Victorian Secretary.</w:t>
      </w:r>
    </w:p>
    <w:p w14:paraId="32A44717" w14:textId="77777777" w:rsidR="00DB216A" w:rsidRPr="00DB216A" w:rsidRDefault="00DB216A" w:rsidP="007A04B2">
      <w:pPr>
        <w:pStyle w:val="03VIRTHeading3"/>
      </w:pPr>
      <w:r w:rsidRPr="00DB216A">
        <w:lastRenderedPageBreak/>
        <w:t>Senior executive classification and remuneration</w:t>
      </w:r>
    </w:p>
    <w:p w14:paraId="63480A3B" w14:textId="7E88D8DD" w:rsidR="00DB216A" w:rsidRPr="00DB216A" w:rsidRDefault="00DB216A" w:rsidP="007A04B2">
      <w:pPr>
        <w:pStyle w:val="05Paragraph"/>
      </w:pPr>
      <w:r w:rsidRPr="00DB216A">
        <w:t xml:space="preserve">The Queensland Public Sector Commission </w:t>
      </w:r>
      <w:r w:rsidR="00793C16">
        <w:t xml:space="preserve">(QPSC) </w:t>
      </w:r>
      <w:r w:rsidRPr="00DB216A">
        <w:t>issues directives governing senior executive employment and employment conditions.</w:t>
      </w:r>
      <w:r w:rsidRPr="00DB216A">
        <w:rPr>
          <w:vertAlign w:val="superscript"/>
        </w:rPr>
        <w:footnoteReference w:id="193"/>
      </w:r>
      <w:r w:rsidRPr="00DB216A">
        <w:t xml:space="preserve"> </w:t>
      </w:r>
    </w:p>
    <w:p w14:paraId="5DBD6135" w14:textId="4B05474E" w:rsidR="00DB216A" w:rsidRPr="00DB216A" w:rsidRDefault="00DB216A" w:rsidP="007A04B2">
      <w:pPr>
        <w:pStyle w:val="05Paragraph"/>
      </w:pPr>
      <w:r w:rsidRPr="00DB216A">
        <w:t>There are four classification and remuneration bands, with each band split into low/high ranges based on work value (the low/high ranges are treated as different classification levels). Band 1 is the lowest and band 4 is the highest.</w:t>
      </w:r>
    </w:p>
    <w:p w14:paraId="45471E0C" w14:textId="61A73194" w:rsidR="00DB216A" w:rsidRPr="00DB216A" w:rsidRDefault="00DB216A" w:rsidP="007A04B2">
      <w:pPr>
        <w:pStyle w:val="05Paragraph"/>
      </w:pPr>
      <w:r w:rsidRPr="00DB216A">
        <w:t>Bands are differentiated by the Mercer points score for each role. There is a further split within each band into four or five ‘package’ points for remuneration</w:t>
      </w:r>
      <w:r w:rsidR="00472E52">
        <w:t xml:space="preserve"> purposes</w:t>
      </w:r>
      <w:r w:rsidRPr="00DB216A">
        <w:t>. Senior executive remuneration is set in accordance with the assessed classification level and work value range.</w:t>
      </w:r>
      <w:r w:rsidRPr="00DB216A">
        <w:rPr>
          <w:vertAlign w:val="superscript"/>
        </w:rPr>
        <w:footnoteReference w:id="194"/>
      </w:r>
      <w:r w:rsidRPr="00DB216A">
        <w:t xml:space="preserve"> </w:t>
      </w:r>
    </w:p>
    <w:p w14:paraId="54588C7F" w14:textId="77777777" w:rsidR="00DB216A" w:rsidRPr="00DB216A" w:rsidRDefault="00DB216A" w:rsidP="007A04B2">
      <w:pPr>
        <w:pStyle w:val="05Paragraph"/>
      </w:pPr>
      <w:r w:rsidRPr="00DB216A">
        <w:t>The classification of an executive position is determined using a Job Evaluation Management System that uses a points system to assess the work value of a position across three broad factors:</w:t>
      </w:r>
      <w:r w:rsidRPr="00DB216A">
        <w:rPr>
          <w:vertAlign w:val="superscript"/>
        </w:rPr>
        <w:footnoteReference w:id="195"/>
      </w:r>
    </w:p>
    <w:p w14:paraId="6412D1AE" w14:textId="77777777" w:rsidR="00DB216A" w:rsidRPr="00DB216A" w:rsidRDefault="00DB216A" w:rsidP="00A57DF1">
      <w:pPr>
        <w:pStyle w:val="06VIRTBulletpoints"/>
      </w:pPr>
      <w:r w:rsidRPr="00DB216A">
        <w:t>expertise, which considers the knowledge, skills and experience needed for the position</w:t>
      </w:r>
    </w:p>
    <w:p w14:paraId="4102EF7B" w14:textId="77777777" w:rsidR="00DB216A" w:rsidRPr="00DB216A" w:rsidRDefault="00DB216A" w:rsidP="00A57DF1">
      <w:pPr>
        <w:pStyle w:val="06VIRTBulletpoints"/>
      </w:pPr>
      <w:r w:rsidRPr="00DB216A">
        <w:t>judgement, which incorporates the operating environment for the employing agency, the complexity of the position’s requirements and problem solving</w:t>
      </w:r>
    </w:p>
    <w:p w14:paraId="28AA1169" w14:textId="77777777" w:rsidR="00DB216A" w:rsidRPr="00DB216A" w:rsidRDefault="00DB216A" w:rsidP="00A57DF1">
      <w:pPr>
        <w:pStyle w:val="06VIRTBulletpoints"/>
      </w:pPr>
      <w:r w:rsidRPr="00DB216A">
        <w:t>accountability, which reflects the scope, responsibility, impact and influence of the position.</w:t>
      </w:r>
    </w:p>
    <w:p w14:paraId="1F6AA6D0" w14:textId="77777777" w:rsidR="00DB216A" w:rsidRPr="00DB216A" w:rsidRDefault="00DB216A" w:rsidP="007A04B2">
      <w:pPr>
        <w:pStyle w:val="05Paragraph"/>
      </w:pPr>
      <w:r w:rsidRPr="00DB216A">
        <w:t>Table 5.5 shows the current value of the Queensland remuneration bands. A four per cent increase to the bands is scheduled from 1 July 2024 and a further three per cent increase is scheduled from 1 July 2025.</w:t>
      </w:r>
      <w:r w:rsidRPr="00DB216A">
        <w:rPr>
          <w:vertAlign w:val="superscript"/>
        </w:rPr>
        <w:footnoteReference w:id="196"/>
      </w:r>
    </w:p>
    <w:p w14:paraId="598E3FD8" w14:textId="3CDF375F" w:rsidR="00DB216A" w:rsidRPr="00B6553D" w:rsidRDefault="00DB216A" w:rsidP="00E76E49">
      <w:pPr>
        <w:pStyle w:val="08Figuretableboxheading"/>
        <w:spacing w:before="120"/>
        <w:rPr>
          <w:spacing w:val="-6"/>
        </w:rPr>
      </w:pPr>
      <w:bookmarkStart w:id="134" w:name="_Toc170393562"/>
      <w:r w:rsidRPr="00B6553D">
        <w:rPr>
          <w:spacing w:val="-6"/>
        </w:rPr>
        <w:t>Table 5.5: Classification and remuneration for Queensland senior executives, from 1 July 2023</w:t>
      </w:r>
      <w:bookmarkEnd w:id="134"/>
    </w:p>
    <w:tbl>
      <w:tblPr>
        <w:tblStyle w:val="ListTable3-Accent29"/>
        <w:tblW w:w="0" w:type="auto"/>
        <w:tblBorders>
          <w:left w:val="none" w:sz="0" w:space="0" w:color="auto"/>
          <w:right w:val="none" w:sz="0" w:space="0" w:color="auto"/>
          <w:insideH w:val="single" w:sz="4" w:space="0" w:color="148A5D"/>
        </w:tblBorders>
        <w:tblLook w:val="04A0" w:firstRow="1" w:lastRow="0" w:firstColumn="1" w:lastColumn="0" w:noHBand="0" w:noVBand="1"/>
      </w:tblPr>
      <w:tblGrid>
        <w:gridCol w:w="4124"/>
        <w:gridCol w:w="4380"/>
      </w:tblGrid>
      <w:tr w:rsidR="00DB216A" w:rsidRPr="00DB216A" w14:paraId="7C348FB0" w14:textId="77777777" w:rsidTr="00DB216A">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4253" w:type="dxa"/>
          </w:tcPr>
          <w:p w14:paraId="413429D8" w14:textId="77777777" w:rsidR="00DB216A" w:rsidRPr="0096156C" w:rsidRDefault="00DB216A" w:rsidP="0096156C">
            <w:pPr>
              <w:pStyle w:val="10Tabletext"/>
              <w:rPr>
                <w:color w:val="FFFFFF" w:themeColor="background1"/>
              </w:rPr>
            </w:pPr>
            <w:r w:rsidRPr="0096156C">
              <w:rPr>
                <w:color w:val="FFFFFF" w:themeColor="background1"/>
              </w:rPr>
              <w:t xml:space="preserve">Classification </w:t>
            </w:r>
          </w:p>
        </w:tc>
        <w:tc>
          <w:tcPr>
            <w:tcW w:w="4536" w:type="dxa"/>
          </w:tcPr>
          <w:p w14:paraId="09361E49" w14:textId="6E28683E" w:rsidR="00DB216A" w:rsidRPr="0096156C" w:rsidRDefault="00DB216A" w:rsidP="0096156C">
            <w:pPr>
              <w:pStyle w:val="10Tabletext"/>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96156C">
              <w:rPr>
                <w:color w:val="FFFFFF" w:themeColor="background1"/>
              </w:rPr>
              <w:t>TRP range</w:t>
            </w:r>
            <w:r w:rsidR="00452DC8">
              <w:rPr>
                <w:color w:val="FFFFFF" w:themeColor="background1"/>
              </w:rPr>
              <w:br/>
            </w:r>
            <w:r w:rsidRPr="0096156C">
              <w:rPr>
                <w:color w:val="FFFFFF" w:themeColor="background1"/>
              </w:rPr>
              <w:t>($ p.a.)</w:t>
            </w:r>
            <w:r w:rsidRPr="0096156C">
              <w:rPr>
                <w:color w:val="FFFFFF" w:themeColor="background1"/>
                <w:vertAlign w:val="superscript"/>
              </w:rPr>
              <w:t>(a)</w:t>
            </w:r>
          </w:p>
        </w:tc>
      </w:tr>
      <w:tr w:rsidR="00DB216A" w:rsidRPr="00DB216A" w14:paraId="7ADDB4BB" w14:textId="77777777" w:rsidTr="00DB216A">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4253" w:type="dxa"/>
          </w:tcPr>
          <w:p w14:paraId="0779437C" w14:textId="38975A4D" w:rsidR="00DB216A" w:rsidRPr="009279A0" w:rsidRDefault="00DB216A" w:rsidP="009279A0">
            <w:pPr>
              <w:pStyle w:val="10Tabletext"/>
            </w:pPr>
            <w:r w:rsidRPr="009279A0">
              <w:t>Band 1</w:t>
            </w:r>
          </w:p>
        </w:tc>
        <w:tc>
          <w:tcPr>
            <w:tcW w:w="4536" w:type="dxa"/>
          </w:tcPr>
          <w:p w14:paraId="521E98EE" w14:textId="77777777" w:rsidR="00DB216A" w:rsidRPr="009279A0" w:rsidRDefault="00DB216A" w:rsidP="009279A0">
            <w:pPr>
              <w:pStyle w:val="10Tabletext"/>
              <w:jc w:val="right"/>
              <w:cnfStyle w:val="000000100000" w:firstRow="0" w:lastRow="0" w:firstColumn="0" w:lastColumn="0" w:oddVBand="0" w:evenVBand="0" w:oddHBand="1" w:evenHBand="0" w:firstRowFirstColumn="0" w:firstRowLastColumn="0" w:lastRowFirstColumn="0" w:lastRowLastColumn="0"/>
            </w:pPr>
            <w:r w:rsidRPr="009279A0">
              <w:t>$183,637 - $206,382</w:t>
            </w:r>
          </w:p>
        </w:tc>
      </w:tr>
      <w:tr w:rsidR="00DB216A" w:rsidRPr="00DB216A" w14:paraId="79FC4C7E" w14:textId="77777777" w:rsidTr="00DB216A">
        <w:tc>
          <w:tcPr>
            <w:cnfStyle w:val="001000000000" w:firstRow="0" w:lastRow="0" w:firstColumn="1" w:lastColumn="0" w:oddVBand="0" w:evenVBand="0" w:oddHBand="0" w:evenHBand="0" w:firstRowFirstColumn="0" w:firstRowLastColumn="0" w:lastRowFirstColumn="0" w:lastRowLastColumn="0"/>
            <w:tcW w:w="4253" w:type="dxa"/>
          </w:tcPr>
          <w:p w14:paraId="266B54B5" w14:textId="21700EC5" w:rsidR="00DB216A" w:rsidRPr="009279A0" w:rsidRDefault="00DB216A" w:rsidP="009279A0">
            <w:pPr>
              <w:pStyle w:val="10Tabletext"/>
            </w:pPr>
            <w:r w:rsidRPr="009279A0">
              <w:t>Band 2</w:t>
            </w:r>
          </w:p>
        </w:tc>
        <w:tc>
          <w:tcPr>
            <w:tcW w:w="4536" w:type="dxa"/>
          </w:tcPr>
          <w:p w14:paraId="7E9D7772" w14:textId="77777777" w:rsidR="00DB216A" w:rsidRPr="009279A0" w:rsidRDefault="00DB216A" w:rsidP="009279A0">
            <w:pPr>
              <w:pStyle w:val="10Tabletext"/>
              <w:jc w:val="right"/>
              <w:cnfStyle w:val="000000000000" w:firstRow="0" w:lastRow="0" w:firstColumn="0" w:lastColumn="0" w:oddVBand="0" w:evenVBand="0" w:oddHBand="0" w:evenHBand="0" w:firstRowFirstColumn="0" w:firstRowLastColumn="0" w:lastRowFirstColumn="0" w:lastRowLastColumn="0"/>
              <w:rPr>
                <w:highlight w:val="yellow"/>
              </w:rPr>
            </w:pPr>
            <w:r w:rsidRPr="009279A0">
              <w:t>$216,238 - $251,015</w:t>
            </w:r>
          </w:p>
        </w:tc>
      </w:tr>
      <w:tr w:rsidR="00DB216A" w:rsidRPr="00DB216A" w14:paraId="7BEDE367" w14:textId="77777777" w:rsidTr="00DB2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5F0F762E" w14:textId="62F36A64" w:rsidR="00DB216A" w:rsidRPr="009279A0" w:rsidRDefault="00DB216A" w:rsidP="009279A0">
            <w:pPr>
              <w:pStyle w:val="10Tabletext"/>
            </w:pPr>
            <w:r w:rsidRPr="009279A0">
              <w:t>Band 3</w:t>
            </w:r>
          </w:p>
        </w:tc>
        <w:tc>
          <w:tcPr>
            <w:tcW w:w="4536" w:type="dxa"/>
          </w:tcPr>
          <w:p w14:paraId="6F35BF04" w14:textId="77777777" w:rsidR="00DB216A" w:rsidRPr="009279A0" w:rsidRDefault="00DB216A" w:rsidP="009279A0">
            <w:pPr>
              <w:pStyle w:val="10Tabletext"/>
              <w:jc w:val="right"/>
              <w:cnfStyle w:val="000000100000" w:firstRow="0" w:lastRow="0" w:firstColumn="0" w:lastColumn="0" w:oddVBand="0" w:evenVBand="0" w:oddHBand="1" w:evenHBand="0" w:firstRowFirstColumn="0" w:firstRowLastColumn="0" w:lastRowFirstColumn="0" w:lastRowLastColumn="0"/>
              <w:rPr>
                <w:highlight w:val="yellow"/>
              </w:rPr>
            </w:pPr>
            <w:r w:rsidRPr="009279A0">
              <w:t>$255,975 - $292,625</w:t>
            </w:r>
          </w:p>
        </w:tc>
      </w:tr>
      <w:tr w:rsidR="00DB216A" w:rsidRPr="00DB216A" w14:paraId="52C88A46" w14:textId="77777777" w:rsidTr="00DB216A">
        <w:tc>
          <w:tcPr>
            <w:cnfStyle w:val="001000000000" w:firstRow="0" w:lastRow="0" w:firstColumn="1" w:lastColumn="0" w:oddVBand="0" w:evenVBand="0" w:oddHBand="0" w:evenHBand="0" w:firstRowFirstColumn="0" w:firstRowLastColumn="0" w:lastRowFirstColumn="0" w:lastRowLastColumn="0"/>
            <w:tcW w:w="4253" w:type="dxa"/>
          </w:tcPr>
          <w:p w14:paraId="7039D66F" w14:textId="1F33FAFA" w:rsidR="00DB216A" w:rsidRPr="009279A0" w:rsidRDefault="00DB216A" w:rsidP="009279A0">
            <w:pPr>
              <w:pStyle w:val="10Tabletext"/>
            </w:pPr>
            <w:r w:rsidRPr="009279A0">
              <w:t>Band 4</w:t>
            </w:r>
          </w:p>
        </w:tc>
        <w:tc>
          <w:tcPr>
            <w:tcW w:w="4536" w:type="dxa"/>
          </w:tcPr>
          <w:p w14:paraId="75E44F71" w14:textId="77777777" w:rsidR="00DB216A" w:rsidRPr="009279A0" w:rsidRDefault="00DB216A" w:rsidP="009279A0">
            <w:pPr>
              <w:pStyle w:val="10Tabletext"/>
              <w:jc w:val="right"/>
              <w:cnfStyle w:val="000000000000" w:firstRow="0" w:lastRow="0" w:firstColumn="0" w:lastColumn="0" w:oddVBand="0" w:evenVBand="0" w:oddHBand="0" w:evenHBand="0" w:firstRowFirstColumn="0" w:firstRowLastColumn="0" w:lastRowFirstColumn="0" w:lastRowLastColumn="0"/>
            </w:pPr>
            <w:r w:rsidRPr="009279A0">
              <w:t>$302,860 - $360,779</w:t>
            </w:r>
          </w:p>
        </w:tc>
      </w:tr>
    </w:tbl>
    <w:p w14:paraId="726D92BE" w14:textId="7BF25714" w:rsidR="00DB216A" w:rsidRPr="00DB216A" w:rsidRDefault="00DB216A" w:rsidP="00A57DF1">
      <w:pPr>
        <w:pStyle w:val="09Sourcesandnotesfortablesfiguresboxes"/>
      </w:pPr>
      <w:r w:rsidRPr="00DB216A">
        <w:t>Note: (a) TRP for Queensland senior executives is defined in terms of Total Fixed Remuneration, comprising remuneration package (salary plus an executive vehicle allowance)</w:t>
      </w:r>
      <w:r w:rsidR="003110BC">
        <w:t>,</w:t>
      </w:r>
      <w:r w:rsidRPr="00DB216A">
        <w:t xml:space="preserve"> leave loading </w:t>
      </w:r>
      <w:r w:rsidR="003110BC">
        <w:t>and</w:t>
      </w:r>
      <w:r w:rsidRPr="00DB216A">
        <w:t xml:space="preserve"> superannuation (which is 12.75 per cent of remuneration package plus leave loading). </w:t>
      </w:r>
    </w:p>
    <w:p w14:paraId="70A371C4" w14:textId="529C4F4E" w:rsidR="00DB216A" w:rsidRPr="00DB216A" w:rsidRDefault="00DB216A" w:rsidP="00A57DF1">
      <w:pPr>
        <w:pStyle w:val="09Sourcesandnotesfortablesfiguresboxes"/>
      </w:pPr>
      <w:r w:rsidRPr="00DB216A">
        <w:t>Source: QPSC (2023</w:t>
      </w:r>
      <w:r w:rsidR="008050D4">
        <w:t>c</w:t>
      </w:r>
      <w:r w:rsidRPr="00DB216A">
        <w:t>)</w:t>
      </w:r>
      <w:r w:rsidR="008050D4">
        <w:t>.</w:t>
      </w:r>
      <w:r w:rsidRPr="00DB216A">
        <w:t xml:space="preserve"> </w:t>
      </w:r>
    </w:p>
    <w:p w14:paraId="49505806" w14:textId="2E114E77" w:rsidR="00DB216A" w:rsidRPr="00DB216A" w:rsidRDefault="00DB216A" w:rsidP="00384E76">
      <w:pPr>
        <w:pStyle w:val="05Paragraph"/>
      </w:pPr>
      <w:r w:rsidRPr="00DB216A">
        <w:lastRenderedPageBreak/>
        <w:t xml:space="preserve">The default positioning for an executive’s TRP on appointment is at the bottom of the remuneration band. </w:t>
      </w:r>
      <w:r w:rsidR="002D7749">
        <w:t>T</w:t>
      </w:r>
      <w:r w:rsidRPr="00DB216A">
        <w:t>here is limited flexibility to position an executive</w:t>
      </w:r>
      <w:r w:rsidR="002D7749">
        <w:t>’s</w:t>
      </w:r>
      <w:r w:rsidRPr="00DB216A">
        <w:t xml:space="preserve"> TRP above the band minimum on appointment in ‘exceptional circumstances</w:t>
      </w:r>
      <w:r w:rsidR="00C71EF5">
        <w:t>’</w:t>
      </w:r>
      <w:r w:rsidRPr="00DB216A">
        <w:t xml:space="preserve"> with the approval of the Queensland Public Sector Commissioner.</w:t>
      </w:r>
      <w:r w:rsidRPr="00DB216A">
        <w:rPr>
          <w:vertAlign w:val="superscript"/>
        </w:rPr>
        <w:footnoteReference w:id="197"/>
      </w:r>
    </w:p>
    <w:p w14:paraId="2A4DC6B5" w14:textId="77777777" w:rsidR="00DB216A" w:rsidRPr="00DB216A" w:rsidRDefault="00DB216A" w:rsidP="00096E86">
      <w:pPr>
        <w:pStyle w:val="05Paragraph"/>
      </w:pPr>
      <w:r w:rsidRPr="00DB216A">
        <w:t>The Tribunal observed that:</w:t>
      </w:r>
    </w:p>
    <w:p w14:paraId="04CCD025" w14:textId="39CE1CA5" w:rsidR="00DB216A" w:rsidRPr="00A57DF1" w:rsidRDefault="00DB216A" w:rsidP="00A57DF1">
      <w:pPr>
        <w:pStyle w:val="06VIRTBulletpoints"/>
      </w:pPr>
      <w:r w:rsidRPr="00A57DF1">
        <w:t xml:space="preserve">the minimum TRP that can be paid to a Queensland executive is around </w:t>
      </w:r>
      <w:r w:rsidR="00C61DFC">
        <w:t>15</w:t>
      </w:r>
      <w:r w:rsidR="00C61DFC" w:rsidRPr="00A57DF1">
        <w:t> </w:t>
      </w:r>
      <w:r w:rsidRPr="00A57DF1">
        <w:t>per cent lower than that for a Victorian executive</w:t>
      </w:r>
    </w:p>
    <w:p w14:paraId="4059CC5F" w14:textId="65B5D50C" w:rsidR="00DB216A" w:rsidRPr="00A57DF1" w:rsidRDefault="00DB216A" w:rsidP="00A57DF1">
      <w:pPr>
        <w:pStyle w:val="06VIRTBulletpoints"/>
      </w:pPr>
      <w:r w:rsidRPr="00A57DF1">
        <w:t xml:space="preserve">the maximum TRP that can be paid to a Queensland executive is around </w:t>
      </w:r>
      <w:r w:rsidR="000E793D">
        <w:t>32</w:t>
      </w:r>
      <w:r w:rsidR="000E793D" w:rsidRPr="00A57DF1">
        <w:t> </w:t>
      </w:r>
      <w:r w:rsidRPr="00A57DF1">
        <w:t>per cent lower than that for a Victorian executive.</w:t>
      </w:r>
    </w:p>
    <w:p w14:paraId="50022370" w14:textId="77777777" w:rsidR="00DB216A" w:rsidRPr="00DB216A" w:rsidRDefault="00DB216A" w:rsidP="00096E86">
      <w:pPr>
        <w:pStyle w:val="04VIRTheading4"/>
      </w:pPr>
      <w:r w:rsidRPr="00DB216A">
        <w:t>Progression within the band</w:t>
      </w:r>
    </w:p>
    <w:p w14:paraId="7D167219" w14:textId="77777777" w:rsidR="00DB216A" w:rsidRPr="00DB216A" w:rsidRDefault="00DB216A" w:rsidP="00096E86">
      <w:pPr>
        <w:pStyle w:val="05Paragraph"/>
      </w:pPr>
      <w:r w:rsidRPr="00DB216A">
        <w:t>There are opportunities for an executive to progress within their band. This is tied to the executive achieving and exceeding agreed performance objectives. The employer may approve:</w:t>
      </w:r>
      <w:r w:rsidRPr="00DB216A">
        <w:rPr>
          <w:vertAlign w:val="superscript"/>
        </w:rPr>
        <w:footnoteReference w:id="198"/>
      </w:r>
    </w:p>
    <w:p w14:paraId="6124374B" w14:textId="5A779EF9" w:rsidR="00DB216A" w:rsidRPr="00DB216A" w:rsidRDefault="00DB216A" w:rsidP="00384E76">
      <w:pPr>
        <w:pStyle w:val="06VIRTBulletpoints"/>
      </w:pPr>
      <w:r w:rsidRPr="00DB216A">
        <w:t>a single package point increase based on evidence of sustained high performance</w:t>
      </w:r>
    </w:p>
    <w:p w14:paraId="456A2F28" w14:textId="77777777" w:rsidR="00DB216A" w:rsidRPr="00DB216A" w:rsidRDefault="00DB216A" w:rsidP="00384E76">
      <w:pPr>
        <w:pStyle w:val="06VIRTBulletpoints"/>
      </w:pPr>
      <w:r w:rsidRPr="00DB216A">
        <w:t>other package point increases, in exceptional circumstances, with prior endorsement by the Commissioner.</w:t>
      </w:r>
    </w:p>
    <w:p w14:paraId="159FF57D" w14:textId="77777777" w:rsidR="00DB216A" w:rsidRPr="00DB216A" w:rsidRDefault="00DB216A" w:rsidP="00096E86">
      <w:pPr>
        <w:pStyle w:val="04VIRTheading4"/>
      </w:pPr>
      <w:r w:rsidRPr="00DB216A">
        <w:t>Payment above the band</w:t>
      </w:r>
    </w:p>
    <w:p w14:paraId="34997BBA" w14:textId="77777777" w:rsidR="00DB216A" w:rsidRPr="00DB216A" w:rsidRDefault="00DB216A" w:rsidP="00096E86">
      <w:pPr>
        <w:pStyle w:val="05Paragraph"/>
      </w:pPr>
      <w:r w:rsidRPr="00DB216A">
        <w:t>There is no published information on paying an executive above the relevant band in Queensland.</w:t>
      </w:r>
    </w:p>
    <w:p w14:paraId="7F2C54B3" w14:textId="77777777" w:rsidR="00DB216A" w:rsidRPr="00DB216A" w:rsidRDefault="00DB216A" w:rsidP="00096E86">
      <w:pPr>
        <w:pStyle w:val="03VIRTHeading3"/>
      </w:pPr>
      <w:r w:rsidRPr="00DB216A">
        <w:t>Other relevant contractual matters</w:t>
      </w:r>
    </w:p>
    <w:p w14:paraId="62BA57D4" w14:textId="77777777" w:rsidR="00DB216A" w:rsidRPr="00DB216A" w:rsidRDefault="00DB216A" w:rsidP="00096E86">
      <w:pPr>
        <w:pStyle w:val="05Paragraph"/>
      </w:pPr>
      <w:r w:rsidRPr="00DB216A">
        <w:t>In Queensland, when a Secretary or an executive has their employment terminated, they are provided with at least a one month notice period.</w:t>
      </w:r>
      <w:r w:rsidRPr="00DB216A">
        <w:rPr>
          <w:vertAlign w:val="superscript"/>
        </w:rPr>
        <w:footnoteReference w:id="199"/>
      </w:r>
      <w:r w:rsidRPr="00DB216A">
        <w:t xml:space="preserve"> </w:t>
      </w:r>
    </w:p>
    <w:p w14:paraId="21C84326" w14:textId="2B6F1111" w:rsidR="00DB216A" w:rsidRPr="00DB216A" w:rsidRDefault="00DB216A" w:rsidP="00096E86">
      <w:pPr>
        <w:pStyle w:val="05Paragraph"/>
      </w:pPr>
      <w:r w:rsidRPr="00DB216A" w:rsidDel="00780E0D">
        <w:t xml:space="preserve">The </w:t>
      </w:r>
      <w:r w:rsidRPr="00DB216A">
        <w:t>standard executive contract states that if a</w:t>
      </w:r>
      <w:r w:rsidR="007F0DDE">
        <w:t>n</w:t>
      </w:r>
      <w:r w:rsidRPr="00DB216A">
        <w:t xml:space="preserve"> </w:t>
      </w:r>
      <w:r w:rsidR="007F0DDE">
        <w:t>e</w:t>
      </w:r>
      <w:r w:rsidRPr="00DB216A">
        <w:t>xecutive’s employment is terminated without reason, they will be paid a Separation Payment and a Service Payment.</w:t>
      </w:r>
      <w:r w:rsidRPr="00DB216A">
        <w:rPr>
          <w:vertAlign w:val="superscript"/>
        </w:rPr>
        <w:footnoteReference w:id="200"/>
      </w:r>
      <w:r w:rsidRPr="00DB216A">
        <w:t xml:space="preserve"> Where an executive’s employment is terminated for other specified reasons, including a breach of the employment contract or relevant code of conduct, a termination payment is not available.</w:t>
      </w:r>
    </w:p>
    <w:p w14:paraId="1AC4C832" w14:textId="77777777" w:rsidR="00DB216A" w:rsidRPr="00B6553D" w:rsidRDefault="00DB216A" w:rsidP="00096E86">
      <w:pPr>
        <w:pStyle w:val="05Paragraph"/>
        <w:rPr>
          <w:spacing w:val="-4"/>
        </w:rPr>
      </w:pPr>
      <w:r w:rsidRPr="00B6553D">
        <w:rPr>
          <w:spacing w:val="-4"/>
        </w:rPr>
        <w:lastRenderedPageBreak/>
        <w:t>The Separation Payment is</w:t>
      </w:r>
      <w:r w:rsidRPr="00B6553D" w:rsidDel="008660D1">
        <w:rPr>
          <w:spacing w:val="-4"/>
        </w:rPr>
        <w:t xml:space="preserve"> </w:t>
      </w:r>
      <w:r w:rsidRPr="00B6553D">
        <w:rPr>
          <w:spacing w:val="-4"/>
        </w:rPr>
        <w:t>based on the executive’s contract period remaining. If the contract has 2.5 years or greater remaining, the executive is entitled to an amount equal to 26 weeks’ remuneration. If the contract has less than 2.5 years remaining, an amount equal to 20 per cent of the executive’s remuneration will be paid.</w:t>
      </w:r>
      <w:r w:rsidRPr="00B6553D">
        <w:rPr>
          <w:spacing w:val="-4"/>
          <w:vertAlign w:val="superscript"/>
        </w:rPr>
        <w:footnoteReference w:id="201"/>
      </w:r>
      <w:r w:rsidRPr="00B6553D">
        <w:rPr>
          <w:spacing w:val="-4"/>
        </w:rPr>
        <w:t xml:space="preserve"> </w:t>
      </w:r>
    </w:p>
    <w:p w14:paraId="0A40F345" w14:textId="2DB95CF2" w:rsidR="00DB216A" w:rsidRPr="00DB216A" w:rsidRDefault="00DB216A" w:rsidP="00096E86">
      <w:pPr>
        <w:pStyle w:val="05Paragraph"/>
      </w:pPr>
      <w:r w:rsidRPr="00DB216A">
        <w:t>A Service Payment is equal to two weeks of the executive’s remuneration</w:t>
      </w:r>
      <w:r w:rsidRPr="00DB216A" w:rsidDel="00F103BA">
        <w:t xml:space="preserve"> </w:t>
      </w:r>
      <w:r w:rsidRPr="00DB216A">
        <w:t>for each year</w:t>
      </w:r>
      <w:r w:rsidRPr="00DB216A" w:rsidDel="00BF3719">
        <w:t xml:space="preserve"> </w:t>
      </w:r>
      <w:r w:rsidRPr="00DB216A">
        <w:t>of continuous service as a public service officer (with a proportionate amount for an incomplete year)</w:t>
      </w:r>
      <w:r w:rsidR="004F4A86">
        <w:t>,</w:t>
      </w:r>
      <w:r w:rsidRPr="00DB216A">
        <w:t xml:space="preserve"> </w:t>
      </w:r>
      <w:r w:rsidR="004F4A86">
        <w:t>with</w:t>
      </w:r>
      <w:r w:rsidR="004F4A86" w:rsidRPr="00DB216A">
        <w:t xml:space="preserve"> </w:t>
      </w:r>
      <w:r w:rsidRPr="00DB216A">
        <w:t>a minimum payment of four weeks and a maximum payment of 52 weeks.</w:t>
      </w:r>
      <w:r w:rsidRPr="00DB216A">
        <w:rPr>
          <w:vertAlign w:val="superscript"/>
        </w:rPr>
        <w:footnoteReference w:id="202"/>
      </w:r>
    </w:p>
    <w:p w14:paraId="78C14E04" w14:textId="77777777" w:rsidR="00DB216A" w:rsidRPr="00DB216A" w:rsidRDefault="00DB216A" w:rsidP="00096E86">
      <w:pPr>
        <w:pStyle w:val="05Paragraph"/>
      </w:pPr>
      <w:r w:rsidRPr="00DB216A">
        <w:t>The Queensland public service does not have right of return provisions for Secretaries or SES.</w:t>
      </w:r>
    </w:p>
    <w:p w14:paraId="2ADAF93F" w14:textId="4C4F038D" w:rsidR="00DB216A" w:rsidRPr="00DB216A" w:rsidRDefault="00381FE8" w:rsidP="00096E86">
      <w:pPr>
        <w:pStyle w:val="02VIRTHeading2"/>
      </w:pPr>
      <w:bookmarkStart w:id="135" w:name="_Toc170396236"/>
      <w:r>
        <w:t>5.4</w:t>
      </w:r>
      <w:r>
        <w:tab/>
      </w:r>
      <w:r w:rsidR="00DB216A" w:rsidRPr="00DB216A">
        <w:t>Summary</w:t>
      </w:r>
      <w:bookmarkEnd w:id="135"/>
      <w:r w:rsidR="00DB216A" w:rsidRPr="00DB216A">
        <w:t xml:space="preserve"> </w:t>
      </w:r>
    </w:p>
    <w:p w14:paraId="2D98C13A" w14:textId="77777777" w:rsidR="00DB216A" w:rsidRPr="00DB216A" w:rsidRDefault="00DB216A" w:rsidP="00CF6CA7">
      <w:pPr>
        <w:pStyle w:val="05Paragraph"/>
      </w:pPr>
      <w:r w:rsidRPr="00DB216A">
        <w:t>This chapter</w:t>
      </w:r>
      <w:r w:rsidRPr="00DB216A" w:rsidDel="00487076">
        <w:t xml:space="preserve"> </w:t>
      </w:r>
      <w:r w:rsidRPr="00DB216A">
        <w:t>compared the VPS executive classification and remuneration framework with arrangements in the Commonwealth, NSW and Queensland.</w:t>
      </w:r>
    </w:p>
    <w:p w14:paraId="583991A8" w14:textId="77777777" w:rsidR="00DB216A" w:rsidRPr="00DB216A" w:rsidRDefault="00DB216A" w:rsidP="00CF6CA7">
      <w:pPr>
        <w:pStyle w:val="05Paragraph"/>
      </w:pPr>
      <w:r w:rsidRPr="00DB216A">
        <w:t xml:space="preserve">Both the Commonwealth and Queensland have separate classification and remuneration frameworks for their Secretaries and their SES respectively, while Victoria and NSW have integrated frameworks. </w:t>
      </w:r>
    </w:p>
    <w:p w14:paraId="3395ADBA" w14:textId="77777777" w:rsidR="00DB216A" w:rsidRPr="00B6553D" w:rsidRDefault="00DB216A" w:rsidP="00CF6CA7">
      <w:pPr>
        <w:pStyle w:val="05Paragraph"/>
        <w:rPr>
          <w:spacing w:val="-4"/>
        </w:rPr>
      </w:pPr>
      <w:r w:rsidRPr="00B6553D">
        <w:rPr>
          <w:spacing w:val="-4"/>
        </w:rPr>
        <w:t xml:space="preserve">The Commonwealth uses six defined pay points for the Secretary cohort. The lowest Commonwealth remuneration point ($781,760) is above the maximum set for Secretaries in other jurisdictions, with the exception of the maximum remuneration for Queensland Secretaries ($852,628). The NSW Secretary band is narrower than the equivalent Victorian band, although all NSW Secretaries are paid outside the band.   </w:t>
      </w:r>
    </w:p>
    <w:p w14:paraId="10368E4B" w14:textId="4BB40A66" w:rsidR="00DB216A" w:rsidRPr="00DB216A" w:rsidRDefault="00DB216A" w:rsidP="00CF6CA7">
      <w:pPr>
        <w:pStyle w:val="05Paragraph"/>
      </w:pPr>
      <w:r w:rsidRPr="00DB216A">
        <w:t xml:space="preserve">There are no whole of APS remuneration bands for SES executives, although data is published on the actual remuneration paid to SES executives at different remuneration percentiles. Victoria and NSW have three remuneration bands for the SES, whereas Queensland has four. The values of the Victorian and NSW remuneration bands are broadly comparable, whereas the Queensland bands are generally narrower and lower. NSW is the only jurisdiction that calculates </w:t>
      </w:r>
      <w:r w:rsidR="00317BEA">
        <w:t>the</w:t>
      </w:r>
      <w:r w:rsidRPr="00DB216A">
        <w:t xml:space="preserve"> remuneration </w:t>
      </w:r>
      <w:r w:rsidR="00317BEA">
        <w:t>f</w:t>
      </w:r>
      <w:r w:rsidR="000F064A">
        <w:t>or</w:t>
      </w:r>
      <w:r w:rsidR="00317BEA">
        <w:t xml:space="preserve"> individual executives </w:t>
      </w:r>
      <w:r w:rsidRPr="00DB216A">
        <w:t>based on work value assessment</w:t>
      </w:r>
      <w:r w:rsidR="00E37ACE">
        <w:t> </w:t>
      </w:r>
      <w:r w:rsidRPr="00DB216A">
        <w:t>formulas.</w:t>
      </w:r>
    </w:p>
    <w:p w14:paraId="17FD7EEF" w14:textId="268FCE29" w:rsidR="00DB216A" w:rsidRPr="00DB216A" w:rsidRDefault="00DB216A" w:rsidP="00CF6CA7">
      <w:pPr>
        <w:pStyle w:val="05Paragraph"/>
      </w:pPr>
      <w:r w:rsidRPr="00DB216A">
        <w:t xml:space="preserve">The lowest TRP paid to a Commonwealth SES executive is around 9 per cent higher than the minimum that can be paid to a VPS SES executive. When compared with </w:t>
      </w:r>
      <w:r w:rsidRPr="00DB216A">
        <w:lastRenderedPageBreak/>
        <w:t>NSW and Queensland, Victoria has the highest minimum TRP required to be paid to a</w:t>
      </w:r>
      <w:r w:rsidR="00E37ACE">
        <w:t>n</w:t>
      </w:r>
      <w:r w:rsidRPr="00DB216A">
        <w:t xml:space="preserve"> SES executive ($216,376). </w:t>
      </w:r>
    </w:p>
    <w:p w14:paraId="72FB4653" w14:textId="51FEEDAC" w:rsidR="00DB216A" w:rsidRPr="00B6553D" w:rsidRDefault="00DB216A" w:rsidP="00CF6CA7">
      <w:pPr>
        <w:pStyle w:val="05Paragraph"/>
        <w:rPr>
          <w:spacing w:val="-4"/>
        </w:rPr>
      </w:pPr>
      <w:r w:rsidRPr="00B6553D">
        <w:rPr>
          <w:spacing w:val="-4"/>
        </w:rPr>
        <w:t xml:space="preserve">Some jurisdictions have </w:t>
      </w:r>
      <w:r w:rsidR="009B5E9F" w:rsidRPr="00B6553D">
        <w:rPr>
          <w:spacing w:val="-4"/>
        </w:rPr>
        <w:t xml:space="preserve">recently </w:t>
      </w:r>
      <w:r w:rsidRPr="00B6553D">
        <w:rPr>
          <w:spacing w:val="-4"/>
        </w:rPr>
        <w:t xml:space="preserve">implemented increases to executive remuneration, with increases for Commonwealth </w:t>
      </w:r>
      <w:r w:rsidR="00E37ACE" w:rsidRPr="00B6553D">
        <w:rPr>
          <w:spacing w:val="-4"/>
        </w:rPr>
        <w:t>S</w:t>
      </w:r>
      <w:r w:rsidR="00E1769C" w:rsidRPr="00B6553D">
        <w:rPr>
          <w:spacing w:val="-4"/>
        </w:rPr>
        <w:t xml:space="preserve">ecretaries </w:t>
      </w:r>
      <w:r w:rsidR="00200B33" w:rsidRPr="00B6553D">
        <w:rPr>
          <w:spacing w:val="-4"/>
        </w:rPr>
        <w:t>(3.5 per cent from 1</w:t>
      </w:r>
      <w:r w:rsidR="00557DB5" w:rsidRPr="00B6553D">
        <w:rPr>
          <w:spacing w:val="-4"/>
        </w:rPr>
        <w:t> </w:t>
      </w:r>
      <w:r w:rsidR="00200B33" w:rsidRPr="00B6553D">
        <w:rPr>
          <w:spacing w:val="-4"/>
        </w:rPr>
        <w:t xml:space="preserve">July 2024) and </w:t>
      </w:r>
      <w:r w:rsidRPr="00B6553D">
        <w:rPr>
          <w:spacing w:val="-4"/>
        </w:rPr>
        <w:t xml:space="preserve">executives </w:t>
      </w:r>
      <w:r w:rsidR="00200B33" w:rsidRPr="00B6553D">
        <w:rPr>
          <w:spacing w:val="-4"/>
        </w:rPr>
        <w:t>(</w:t>
      </w:r>
      <w:r w:rsidRPr="00B6553D">
        <w:rPr>
          <w:spacing w:val="-4"/>
        </w:rPr>
        <w:t>up to 3.8 per cent from December 2023</w:t>
      </w:r>
      <w:r w:rsidR="00200B33" w:rsidRPr="00B6553D">
        <w:rPr>
          <w:spacing w:val="-4"/>
        </w:rPr>
        <w:t>,</w:t>
      </w:r>
      <w:r w:rsidR="00CC590E" w:rsidRPr="00B6553D">
        <w:rPr>
          <w:spacing w:val="-4"/>
        </w:rPr>
        <w:t xml:space="preserve"> </w:t>
      </w:r>
      <w:r w:rsidRPr="00B6553D">
        <w:rPr>
          <w:spacing w:val="-4"/>
        </w:rPr>
        <w:t>consistent with the pay offer for non-</w:t>
      </w:r>
      <w:r w:rsidR="007D6515" w:rsidRPr="00B6553D">
        <w:rPr>
          <w:spacing w:val="-4"/>
        </w:rPr>
        <w:t xml:space="preserve">executive </w:t>
      </w:r>
      <w:r w:rsidRPr="00B6553D">
        <w:rPr>
          <w:spacing w:val="-4"/>
        </w:rPr>
        <w:t>employees) and a 4 per cent increase to the Queensland executive remuneration bands from 1 July 2024. However, the executive remuneration bands in NSW will not increase in the 2023</w:t>
      </w:r>
      <w:r w:rsidR="00C16BE0" w:rsidRPr="00B6553D">
        <w:rPr>
          <w:spacing w:val="-4"/>
        </w:rPr>
        <w:softHyphen/>
      </w:r>
      <w:r w:rsidRPr="00B6553D">
        <w:rPr>
          <w:spacing w:val="-4"/>
        </w:rPr>
        <w:t>24 and 2024</w:t>
      </w:r>
      <w:r w:rsidR="00CF6CA7" w:rsidRPr="00B6553D">
        <w:rPr>
          <w:spacing w:val="-4"/>
        </w:rPr>
        <w:softHyphen/>
      </w:r>
      <w:r w:rsidRPr="00B6553D">
        <w:rPr>
          <w:spacing w:val="-4"/>
        </w:rPr>
        <w:t>25 financial years.</w:t>
      </w:r>
    </w:p>
    <w:p w14:paraId="2CC5E480" w14:textId="77777777" w:rsidR="00DB216A" w:rsidRPr="00DB216A" w:rsidRDefault="00DB216A" w:rsidP="00CF6CA7">
      <w:pPr>
        <w:pStyle w:val="05Paragraph"/>
      </w:pPr>
      <w:r w:rsidRPr="00DB216A">
        <w:t>Although the Tribunal did not undertake a systematic comparison of the employment and remuneration arrangements in each jurisdiction, it did note that:</w:t>
      </w:r>
    </w:p>
    <w:p w14:paraId="3EDBD033" w14:textId="77777777" w:rsidR="00DB216A" w:rsidRPr="00DB216A" w:rsidRDefault="00DB216A" w:rsidP="00AB32A1">
      <w:pPr>
        <w:pStyle w:val="06VIRTBulletpoints"/>
      </w:pPr>
      <w:r w:rsidRPr="00DB216A">
        <w:t>the Commonwealth, NSW and Queensland have formal progression mechanisms that enable executive remuneration to be increased following a performance review</w:t>
      </w:r>
    </w:p>
    <w:p w14:paraId="11CF1C3B" w14:textId="2C5600CC" w:rsidR="00DB216A" w:rsidRPr="00DB216A" w:rsidRDefault="00DB216A" w:rsidP="00AB32A1">
      <w:pPr>
        <w:pStyle w:val="06VIRTBulletpoints"/>
      </w:pPr>
      <w:r w:rsidRPr="00DB216A">
        <w:t xml:space="preserve">default termination provisions for executive employment in other jurisdictions appear more generous than those in Victoria. </w:t>
      </w:r>
    </w:p>
    <w:p w14:paraId="517AC5E5" w14:textId="0A316C0E" w:rsidR="00DB216A" w:rsidRPr="00DB216A" w:rsidRDefault="00DB216A" w:rsidP="00CC590E">
      <w:pPr>
        <w:pStyle w:val="05Paragraph"/>
      </w:pPr>
      <w:r w:rsidRPr="00DB216A">
        <w:t xml:space="preserve">Figures 5.2 and 5.3 illustrate the remuneration ranges for both Secretaries (or equivalents) and SES (or equivalent) for Victoria, </w:t>
      </w:r>
      <w:r w:rsidR="00525E9E">
        <w:t>the</w:t>
      </w:r>
      <w:r w:rsidRPr="00DB216A">
        <w:t xml:space="preserve"> Commonwealth, NSW and Queensland.</w:t>
      </w:r>
    </w:p>
    <w:p w14:paraId="6E06C073" w14:textId="77777777" w:rsidR="00DB216A" w:rsidRDefault="00DB216A" w:rsidP="00144BE8">
      <w:pPr>
        <w:pStyle w:val="08Figuretableboxheading"/>
        <w:rPr>
          <w:spacing w:val="-4"/>
        </w:rPr>
      </w:pPr>
      <w:bookmarkStart w:id="136" w:name="_Toc170393563"/>
      <w:r w:rsidRPr="00B6553D">
        <w:rPr>
          <w:spacing w:val="-4"/>
        </w:rPr>
        <w:t>Figure 5.2: Secretary remuneration bands, selected jurisdictions, current as at 1 July 2023</w:t>
      </w:r>
      <w:bookmarkEnd w:id="136"/>
    </w:p>
    <w:p w14:paraId="1D07ACAD" w14:textId="1BF1AA6E" w:rsidR="007C0434" w:rsidRPr="00B6553D" w:rsidRDefault="007C0434" w:rsidP="00144BE8">
      <w:pPr>
        <w:pStyle w:val="08Figuretableboxheading"/>
        <w:rPr>
          <w:spacing w:val="-4"/>
        </w:rPr>
      </w:pPr>
      <w:r>
        <w:rPr>
          <w:noProof/>
          <w:spacing w:val="-4"/>
        </w:rPr>
        <w:drawing>
          <wp:inline distT="0" distB="0" distL="0" distR="0" wp14:anchorId="04246CDC" wp14:editId="29F7A13F">
            <wp:extent cx="5596890" cy="2834640"/>
            <wp:effectExtent l="0" t="0" r="3810" b="3810"/>
            <wp:docPr id="7788963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96890" cy="2834640"/>
                    </a:xfrm>
                    <a:prstGeom prst="rect">
                      <a:avLst/>
                    </a:prstGeom>
                    <a:noFill/>
                  </pic:spPr>
                </pic:pic>
              </a:graphicData>
            </a:graphic>
          </wp:inline>
        </w:drawing>
      </w:r>
    </w:p>
    <w:p w14:paraId="0E227EC8" w14:textId="7D2FE865" w:rsidR="00DB216A" w:rsidRPr="00DB216A" w:rsidRDefault="00DB216A" w:rsidP="00834572">
      <w:pPr>
        <w:pStyle w:val="09Sourcesandnotesfortablesfiguresboxes"/>
        <w:rPr>
          <w:rFonts w:eastAsia="Calibri" w:cs="Arial"/>
          <w:color w:val="4D4D4D"/>
        </w:rPr>
      </w:pPr>
      <w:r w:rsidRPr="00DB216A">
        <w:t xml:space="preserve">Notes: </w:t>
      </w:r>
      <w:r w:rsidR="00CC31B8">
        <w:t>The lighter s</w:t>
      </w:r>
      <w:r w:rsidRPr="00DB216A">
        <w:t xml:space="preserve">haded bar is the upper bound of </w:t>
      </w:r>
      <w:r w:rsidR="00830465">
        <w:t xml:space="preserve">actual </w:t>
      </w:r>
      <w:r w:rsidRPr="00DB216A">
        <w:t>remuneration paid to Department Secretaries in New South Wales</w:t>
      </w:r>
      <w:r w:rsidR="00830465">
        <w:t xml:space="preserve"> approved by SOORT</w:t>
      </w:r>
      <w:r w:rsidRPr="00DB216A">
        <w:t xml:space="preserve">. </w:t>
      </w:r>
      <w:r w:rsidR="00CC31B8">
        <w:t>The r</w:t>
      </w:r>
      <w:r w:rsidRPr="00DB216A">
        <w:t>emuneration range for Department Secretaries in Queensland is based on Bands 1 to</w:t>
      </w:r>
      <w:r w:rsidR="00B6553D">
        <w:t> </w:t>
      </w:r>
      <w:r w:rsidRPr="00DB216A">
        <w:t xml:space="preserve">3 of the Queensland public sector chief executive </w:t>
      </w:r>
      <w:r w:rsidRPr="00834572">
        <w:t>remuneration</w:t>
      </w:r>
      <w:r w:rsidR="007A04E6">
        <w:t xml:space="preserve"> framework</w:t>
      </w:r>
      <w:r w:rsidR="00CB2CC0">
        <w:rPr>
          <w:rFonts w:eastAsia="Calibri" w:cs="Arial"/>
          <w:color w:val="4D4D4D"/>
        </w:rPr>
        <w:t>.</w:t>
      </w:r>
    </w:p>
    <w:p w14:paraId="5C668397" w14:textId="66BFA974" w:rsidR="00DB216A" w:rsidRPr="00286F06" w:rsidRDefault="00DB216A" w:rsidP="00286F06">
      <w:pPr>
        <w:pStyle w:val="09Sourcesandnotesfortablesfiguresboxes"/>
      </w:pPr>
      <w:r w:rsidRPr="00286F06">
        <w:t>Sources:</w:t>
      </w:r>
      <w:r w:rsidR="00B74BAC" w:rsidRPr="00286F06">
        <w:t xml:space="preserve"> </w:t>
      </w:r>
      <w:r w:rsidRPr="00286F06">
        <w:t>Remuneration Tribunal</w:t>
      </w:r>
      <w:r w:rsidR="00B74BAC" w:rsidRPr="00286F06">
        <w:t xml:space="preserve"> (Cth)</w:t>
      </w:r>
      <w:r w:rsidRPr="00286F06">
        <w:t xml:space="preserve"> (2023</w:t>
      </w:r>
      <w:r w:rsidR="001B4280" w:rsidRPr="00286F06">
        <w:t>b</w:t>
      </w:r>
      <w:r w:rsidRPr="00286F06">
        <w:t>); SOORT (2023); QPSC (2023</w:t>
      </w:r>
      <w:r w:rsidR="00B12588" w:rsidRPr="00286F06">
        <w:t>b</w:t>
      </w:r>
      <w:r w:rsidRPr="00286F06">
        <w:t>)</w:t>
      </w:r>
      <w:hyperlink w:history="1"/>
      <w:r w:rsidRPr="00286F06">
        <w:t>; Tribunal (2023</w:t>
      </w:r>
      <w:r w:rsidR="008032C9" w:rsidRPr="00286F06">
        <w:t>b</w:t>
      </w:r>
      <w:r w:rsidRPr="00286F06">
        <w:t>)</w:t>
      </w:r>
      <w:r w:rsidR="0066706E" w:rsidRPr="00286F06">
        <w:t>.</w:t>
      </w:r>
    </w:p>
    <w:p w14:paraId="63D315E3" w14:textId="77777777" w:rsidR="00DB216A" w:rsidRDefault="00DB216A" w:rsidP="00144BE8">
      <w:pPr>
        <w:pStyle w:val="08Figuretableboxheading"/>
        <w:rPr>
          <w:spacing w:val="-2"/>
        </w:rPr>
      </w:pPr>
      <w:bookmarkStart w:id="137" w:name="_Toc170393564"/>
      <w:r w:rsidRPr="00F20E3E">
        <w:rPr>
          <w:spacing w:val="-2"/>
        </w:rPr>
        <w:lastRenderedPageBreak/>
        <w:t>Figure 5.3: Executive remuneration bands, selected jurisdictions, current as at 1 July 2023</w:t>
      </w:r>
      <w:bookmarkEnd w:id="137"/>
    </w:p>
    <w:p w14:paraId="211FEB64" w14:textId="7D850F08" w:rsidR="007C0434" w:rsidRPr="00F20E3E" w:rsidRDefault="007C0434" w:rsidP="00144BE8">
      <w:pPr>
        <w:pStyle w:val="08Figuretableboxheading"/>
        <w:rPr>
          <w:spacing w:val="-2"/>
        </w:rPr>
      </w:pPr>
      <w:r>
        <w:rPr>
          <w:noProof/>
          <w:spacing w:val="-2"/>
        </w:rPr>
        <w:drawing>
          <wp:inline distT="0" distB="0" distL="0" distR="0" wp14:anchorId="7CFE4A3D" wp14:editId="2C8821CA">
            <wp:extent cx="5505450" cy="4121150"/>
            <wp:effectExtent l="0" t="0" r="0" b="0"/>
            <wp:docPr id="13620633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05450" cy="4121150"/>
                    </a:xfrm>
                    <a:prstGeom prst="rect">
                      <a:avLst/>
                    </a:prstGeom>
                    <a:noFill/>
                  </pic:spPr>
                </pic:pic>
              </a:graphicData>
            </a:graphic>
          </wp:inline>
        </w:drawing>
      </w:r>
    </w:p>
    <w:p w14:paraId="57D30582" w14:textId="77777777" w:rsidR="00DB216A" w:rsidRPr="00DB216A" w:rsidRDefault="00DB216A" w:rsidP="0066706E">
      <w:pPr>
        <w:pStyle w:val="09Sourcesandnotesfortablesfiguresboxes"/>
      </w:pPr>
      <w:r w:rsidRPr="00DB216A">
        <w:t>Note: The remuneration bands for the APS are based on the actual TRPs paid at the 5</w:t>
      </w:r>
      <w:r w:rsidRPr="00240731">
        <w:rPr>
          <w:vertAlign w:val="superscript"/>
        </w:rPr>
        <w:t>th</w:t>
      </w:r>
      <w:r w:rsidRPr="00DB216A">
        <w:t>, median and 95</w:t>
      </w:r>
      <w:r w:rsidRPr="00240731">
        <w:rPr>
          <w:vertAlign w:val="superscript"/>
        </w:rPr>
        <w:t>th</w:t>
      </w:r>
      <w:r w:rsidRPr="00DB216A">
        <w:t xml:space="preserve"> percentiles for each of the SES 1, 2 and 3 classifications using the most recent data published by the APSC for the 2022 calendar year.</w:t>
      </w:r>
    </w:p>
    <w:p w14:paraId="55872F6E" w14:textId="642F1AA5" w:rsidR="00DB216A" w:rsidRPr="00DB216A" w:rsidRDefault="00DB216A" w:rsidP="0066706E">
      <w:pPr>
        <w:pStyle w:val="09Sourcesandnotesfortablesfiguresboxes"/>
        <w:rPr>
          <w:rFonts w:cs="Calibri Light"/>
        </w:rPr>
      </w:pPr>
      <w:r w:rsidRPr="00BD054F">
        <w:t xml:space="preserve">Sources: </w:t>
      </w:r>
      <w:r w:rsidRPr="00E80E88">
        <w:t>APSC (202</w:t>
      </w:r>
      <w:r w:rsidR="007A04E6" w:rsidRPr="00E80E88">
        <w:t>3</w:t>
      </w:r>
      <w:r w:rsidR="00BD054F" w:rsidRPr="00E80E88">
        <w:t>b</w:t>
      </w:r>
      <w:r w:rsidRPr="00E80E88">
        <w:t>)</w:t>
      </w:r>
      <w:r w:rsidR="00D157D8" w:rsidRPr="00E80E88">
        <w:t xml:space="preserve"> APS rem report</w:t>
      </w:r>
      <w:r w:rsidRPr="00E80E88">
        <w:t xml:space="preserve">; SOORT </w:t>
      </w:r>
      <w:r w:rsidR="00D157D8" w:rsidRPr="00E80E88">
        <w:t>(</w:t>
      </w:r>
      <w:r w:rsidRPr="00E80E88">
        <w:t>2023</w:t>
      </w:r>
      <w:r w:rsidR="00D157D8" w:rsidRPr="00E80E88">
        <w:t>)</w:t>
      </w:r>
      <w:r w:rsidRPr="00E80E88">
        <w:t>; QPSC (2023</w:t>
      </w:r>
      <w:r w:rsidR="00D54FD3" w:rsidRPr="00E80E88">
        <w:t>c</w:t>
      </w:r>
      <w:r w:rsidRPr="00E80E88">
        <w:t>); Tribunal (2023</w:t>
      </w:r>
      <w:r w:rsidR="008032C9" w:rsidRPr="00E80E88">
        <w:t>b</w:t>
      </w:r>
      <w:r w:rsidRPr="00E80E88">
        <w:t>)</w:t>
      </w:r>
      <w:r w:rsidR="00D157D8" w:rsidRPr="00E80E88">
        <w:t>.</w:t>
      </w:r>
    </w:p>
    <w:p w14:paraId="26F089BE" w14:textId="74E0FBD6" w:rsidR="00DB216A" w:rsidRDefault="00DB216A">
      <w:pPr>
        <w:spacing w:before="0" w:after="80" w:line="240" w:lineRule="auto"/>
        <w:jc w:val="left"/>
        <w:rPr>
          <w:color w:val="auto"/>
        </w:rPr>
      </w:pPr>
      <w:r>
        <w:rPr>
          <w:color w:val="auto"/>
        </w:rPr>
        <w:br w:type="page"/>
      </w:r>
    </w:p>
    <w:p w14:paraId="29E60EFE" w14:textId="63914640" w:rsidR="00764645" w:rsidRPr="00134CFE" w:rsidRDefault="00153744" w:rsidP="00E76E49">
      <w:pPr>
        <w:pStyle w:val="01Chapterheading"/>
        <w:spacing w:after="120"/>
      </w:pPr>
      <w:bookmarkStart w:id="138" w:name="_Toc169878478"/>
      <w:bookmarkStart w:id="139" w:name="_Toc170396237"/>
      <w:r>
        <w:lastRenderedPageBreak/>
        <w:t>6</w:t>
      </w:r>
      <w:r>
        <w:tab/>
      </w:r>
      <w:r w:rsidR="008478FE" w:rsidRPr="008478FE">
        <w:t>Economic and financial considerations</w:t>
      </w:r>
      <w:r w:rsidR="00764645">
        <w:br/>
      </w:r>
      <w:r w:rsidR="00764645" w:rsidRPr="00C02C39">
        <w:rPr>
          <w:noProof/>
        </w:rPr>
        <w:drawing>
          <wp:inline distT="0" distB="0" distL="0" distR="0" wp14:anchorId="361325F5" wp14:editId="17A3F329">
            <wp:extent cx="2222500" cy="253365"/>
            <wp:effectExtent l="0" t="0" r="6350" b="0"/>
            <wp:docPr id="1693827898" name="Picture 1693827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23">
                      <a:extLst>
                        <a:ext uri="{28A0092B-C50C-407E-A947-70E740481C1C}">
                          <a14:useLocalDpi xmlns:a14="http://schemas.microsoft.com/office/drawing/2010/main" val="0"/>
                        </a:ext>
                      </a:extLst>
                    </a:blip>
                    <a:stretch>
                      <a:fillRect/>
                    </a:stretch>
                  </pic:blipFill>
                  <pic:spPr>
                    <a:xfrm>
                      <a:off x="0" y="0"/>
                      <a:ext cx="2222500" cy="253365"/>
                    </a:xfrm>
                    <a:prstGeom prst="rect">
                      <a:avLst/>
                    </a:prstGeom>
                  </pic:spPr>
                </pic:pic>
              </a:graphicData>
            </a:graphic>
          </wp:inline>
        </w:drawing>
      </w:r>
      <w:bookmarkEnd w:id="138"/>
      <w:bookmarkEnd w:id="139"/>
    </w:p>
    <w:p w14:paraId="61C47358" w14:textId="77777777" w:rsidR="008478FE" w:rsidRPr="008478FE" w:rsidRDefault="008478FE" w:rsidP="0027105C">
      <w:pPr>
        <w:pStyle w:val="05Paragraph"/>
        <w:rPr>
          <w:noProof/>
          <w:lang w:eastAsia="en-AU"/>
        </w:rPr>
      </w:pPr>
      <w:r w:rsidRPr="008478FE">
        <w:rPr>
          <w:noProof/>
          <w:lang w:eastAsia="en-AU"/>
        </w:rPr>
        <w:t>In making its Determination, the Tribunal was required to consider:</w:t>
      </w:r>
      <w:r w:rsidRPr="008478FE">
        <w:rPr>
          <w:noProof/>
          <w:vertAlign w:val="superscript"/>
          <w:lang w:eastAsia="en-AU"/>
        </w:rPr>
        <w:footnoteReference w:id="203"/>
      </w:r>
    </w:p>
    <w:p w14:paraId="4889E650" w14:textId="77777777" w:rsidR="008478FE" w:rsidRPr="008478FE" w:rsidRDefault="008478FE" w:rsidP="00E76E49">
      <w:pPr>
        <w:pStyle w:val="06VIRTBulletpoints"/>
        <w:spacing w:after="60"/>
        <w:ind w:left="357" w:hanging="357"/>
        <w:rPr>
          <w:noProof/>
          <w:lang w:eastAsia="en-AU"/>
        </w:rPr>
      </w:pPr>
      <w:r w:rsidRPr="008478FE">
        <w:rPr>
          <w:noProof/>
          <w:lang w:eastAsia="en-AU"/>
        </w:rPr>
        <w:t>current and projected economic conditions and trends</w:t>
      </w:r>
    </w:p>
    <w:p w14:paraId="6D5561C1" w14:textId="77777777" w:rsidR="008478FE" w:rsidRPr="008478FE" w:rsidRDefault="008478FE" w:rsidP="00AB32A1">
      <w:pPr>
        <w:pStyle w:val="06VIRTBulletpoints"/>
        <w:rPr>
          <w:noProof/>
          <w:lang w:eastAsia="en-AU"/>
        </w:rPr>
      </w:pPr>
      <w:r w:rsidRPr="008478FE">
        <w:rPr>
          <w:noProof/>
          <w:lang w:eastAsia="en-AU"/>
        </w:rPr>
        <w:t>the financial position and fiscal strategy of the State of Victoria</w:t>
      </w:r>
    </w:p>
    <w:p w14:paraId="7F940905" w14:textId="77777777" w:rsidR="008478FE" w:rsidRPr="008478FE" w:rsidRDefault="008478FE" w:rsidP="00AB32A1">
      <w:pPr>
        <w:pStyle w:val="06VIRTBulletpoints"/>
        <w:rPr>
          <w:noProof/>
          <w:lang w:eastAsia="en-AU"/>
        </w:rPr>
      </w:pPr>
      <w:r w:rsidRPr="008478FE">
        <w:rPr>
          <w:noProof/>
          <w:lang w:eastAsia="en-AU"/>
        </w:rPr>
        <w:t>any statement or policy issued by the Government of Victoria which is in force with respect to its wages policy (or equivalent) and the remuneration of executives employed in public service bodies.</w:t>
      </w:r>
    </w:p>
    <w:p w14:paraId="760F5EC6" w14:textId="17F021BC" w:rsidR="00980572" w:rsidRDefault="00980572" w:rsidP="00E76E49">
      <w:pPr>
        <w:pStyle w:val="02VIRTHeading2"/>
        <w:spacing w:before="120" w:after="120"/>
        <w:rPr>
          <w:noProof/>
          <w:lang w:eastAsia="en-AU"/>
        </w:rPr>
      </w:pPr>
      <w:bookmarkStart w:id="140" w:name="_Toc170396238"/>
      <w:r>
        <w:rPr>
          <w:noProof/>
          <w:lang w:eastAsia="en-AU"/>
        </w:rPr>
        <w:t>6.1</w:t>
      </w:r>
      <w:r>
        <w:rPr>
          <w:noProof/>
          <w:lang w:eastAsia="en-AU"/>
        </w:rPr>
        <w:tab/>
        <w:t>Current economic conditions</w:t>
      </w:r>
      <w:bookmarkEnd w:id="140"/>
    </w:p>
    <w:p w14:paraId="238C83AC" w14:textId="5947D643" w:rsidR="008478FE" w:rsidRPr="008478FE" w:rsidRDefault="008478FE" w:rsidP="0027105C">
      <w:pPr>
        <w:pStyle w:val="05Paragraph"/>
        <w:rPr>
          <w:noProof/>
          <w:lang w:eastAsia="en-AU"/>
        </w:rPr>
      </w:pPr>
      <w:r w:rsidRPr="008478FE">
        <w:rPr>
          <w:noProof/>
          <w:lang w:eastAsia="en-AU"/>
        </w:rPr>
        <w:t xml:space="preserve">The </w:t>
      </w:r>
      <w:r w:rsidR="00B6087F">
        <w:rPr>
          <w:noProof/>
          <w:lang w:eastAsia="en-AU"/>
        </w:rPr>
        <w:t>following discussion</w:t>
      </w:r>
      <w:r w:rsidRPr="008478FE">
        <w:rPr>
          <w:noProof/>
          <w:lang w:eastAsia="en-AU"/>
        </w:rPr>
        <w:t xml:space="preserve"> of current economic conditions has been informed by a range of sources, including the latest data on key economic indicators published by the ABS, statements by the RBA and the </w:t>
      </w:r>
      <w:r w:rsidR="00A72EFB" w:rsidRPr="00A72EFB">
        <w:rPr>
          <w:noProof/>
          <w:lang w:eastAsia="en-AU"/>
        </w:rPr>
        <w:t>2024-25</w:t>
      </w:r>
      <w:r w:rsidRPr="008478FE">
        <w:rPr>
          <w:noProof/>
          <w:lang w:eastAsia="en-AU"/>
        </w:rPr>
        <w:t xml:space="preserve"> Budget.</w:t>
      </w:r>
    </w:p>
    <w:p w14:paraId="60A42ABC" w14:textId="77777777" w:rsidR="008478FE" w:rsidRPr="008478FE" w:rsidRDefault="008478FE" w:rsidP="0027105C">
      <w:pPr>
        <w:pStyle w:val="05Paragraph"/>
        <w:rPr>
          <w:noProof/>
          <w:lang w:eastAsia="en-AU"/>
        </w:rPr>
      </w:pPr>
      <w:r w:rsidRPr="008478FE">
        <w:rPr>
          <w:noProof/>
          <w:lang w:eastAsia="en-AU"/>
        </w:rPr>
        <w:t>Figure 6.1 provides a high-level overview of current economic conditions, which are described in further detail in the coming sections.</w:t>
      </w:r>
    </w:p>
    <w:p w14:paraId="1508528E" w14:textId="4172630C" w:rsidR="008478FE" w:rsidRPr="008478FE" w:rsidRDefault="008478FE" w:rsidP="00144BE8">
      <w:pPr>
        <w:pStyle w:val="08Figuretableboxheading"/>
      </w:pPr>
      <w:bookmarkStart w:id="141" w:name="_Toc170393565"/>
      <w:r w:rsidRPr="008478FE">
        <w:t>Figure 6.1: Overview of conditions in the Australian and Victorian economies, June 2024</w:t>
      </w:r>
      <w:bookmarkEnd w:id="141"/>
    </w:p>
    <w:p w14:paraId="7B53C668" w14:textId="5C4E9F4C" w:rsidR="008478FE" w:rsidRPr="008478FE" w:rsidRDefault="000F5636" w:rsidP="00E76E49">
      <w:pPr>
        <w:spacing w:after="0"/>
        <w:jc w:val="center"/>
        <w:rPr>
          <w:rFonts w:ascii="Calibri" w:eastAsia="Rockwell" w:hAnsi="Calibri" w:cs="Calibri"/>
          <w:noProof/>
          <w:color w:val="000000"/>
          <w:szCs w:val="20"/>
          <w:lang w:eastAsia="en-AU"/>
        </w:rPr>
      </w:pPr>
      <w:r>
        <w:rPr>
          <w:rFonts w:ascii="Calibri" w:eastAsia="Rockwell" w:hAnsi="Calibri" w:cs="Calibri"/>
          <w:noProof/>
          <w:color w:val="000000"/>
          <w:szCs w:val="20"/>
          <w:lang w:eastAsia="en-AU"/>
        </w:rPr>
        <w:drawing>
          <wp:inline distT="0" distB="0" distL="0" distR="0" wp14:anchorId="3FF15849" wp14:editId="35E452BC">
            <wp:extent cx="5322627" cy="2844938"/>
            <wp:effectExtent l="0" t="0" r="0" b="0"/>
            <wp:docPr id="978598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43103" cy="2855883"/>
                    </a:xfrm>
                    <a:prstGeom prst="rect">
                      <a:avLst/>
                    </a:prstGeom>
                    <a:noFill/>
                  </pic:spPr>
                </pic:pic>
              </a:graphicData>
            </a:graphic>
          </wp:inline>
        </w:drawing>
      </w:r>
    </w:p>
    <w:p w14:paraId="57EF8628" w14:textId="77777777" w:rsidR="008478FE" w:rsidRPr="008478FE" w:rsidRDefault="008478FE" w:rsidP="00E27FF7">
      <w:pPr>
        <w:pStyle w:val="03VIRTHeading3"/>
      </w:pPr>
      <w:r w:rsidRPr="008478FE">
        <w:lastRenderedPageBreak/>
        <w:t>Economic growth is subdued as cost-of-living pressures and higher interest rates weigh on household consumption</w:t>
      </w:r>
    </w:p>
    <w:p w14:paraId="1AFA8879" w14:textId="77777777" w:rsidR="008478FE" w:rsidRPr="008478FE" w:rsidRDefault="008478FE" w:rsidP="001143E5">
      <w:pPr>
        <w:pStyle w:val="05Paragraph"/>
        <w:rPr>
          <w:noProof/>
          <w:lang w:eastAsia="en-AU"/>
        </w:rPr>
      </w:pPr>
      <w:r w:rsidRPr="008478FE">
        <w:rPr>
          <w:noProof/>
          <w:lang w:eastAsia="en-AU"/>
        </w:rPr>
        <w:t>Economic growth has slowed in Australia and Victoria from the high levels associated with the recovery from the COVID-19 pandemic.</w:t>
      </w:r>
    </w:p>
    <w:p w14:paraId="18523891" w14:textId="1B91600D" w:rsidR="008478FE" w:rsidRPr="008478FE" w:rsidRDefault="008478FE" w:rsidP="008478FE">
      <w:pPr>
        <w:spacing w:after="0"/>
        <w:rPr>
          <w:rFonts w:eastAsia="Rockwell" w:cs="Calibri Light"/>
          <w:noProof/>
          <w:color w:val="000000"/>
          <w:szCs w:val="20"/>
          <w:lang w:eastAsia="en-AU"/>
        </w:rPr>
      </w:pPr>
      <w:r w:rsidRPr="008478FE">
        <w:rPr>
          <w:rFonts w:eastAsia="Rockwell" w:cs="Calibri Light"/>
          <w:noProof/>
          <w:color w:val="000000"/>
          <w:szCs w:val="20"/>
          <w:lang w:eastAsia="en-AU"/>
        </w:rPr>
        <w:t>Australia’s real Gross Domestic Product (GDP) rose 0.1 per cent over the March quarter 2024 (down from a revised 0.3 per cent in the December quarter 2023), and 1.1 per cent through the year. Excluding the pandemic, this was the weakest annual growth since the early 1990s. Victoria’s State Final Demand held steady in the March quarter 2024 (up from a revised 0.1 per cent fall in the December quarter 2023) and rose 1.5 per cent through the year (Figure 6.2). The latter is well below its long-run (excluding the pandemic) average growth rate of 3.</w:t>
      </w:r>
      <w:r w:rsidR="00F965CD">
        <w:rPr>
          <w:rFonts w:eastAsia="Rockwell" w:cs="Calibri Light"/>
          <w:noProof/>
          <w:color w:val="000000"/>
          <w:szCs w:val="20"/>
          <w:lang w:eastAsia="en-AU"/>
        </w:rPr>
        <w:t>5</w:t>
      </w:r>
      <w:r w:rsidRPr="008478FE">
        <w:rPr>
          <w:rFonts w:eastAsia="Rockwell" w:cs="Calibri Light"/>
          <w:noProof/>
          <w:color w:val="000000"/>
          <w:szCs w:val="20"/>
          <w:lang w:eastAsia="en-AU"/>
        </w:rPr>
        <w:t> per cent.</w:t>
      </w:r>
      <w:r w:rsidRPr="008478FE">
        <w:rPr>
          <w:rFonts w:eastAsia="Rockwell" w:cs="Calibri Light"/>
          <w:noProof/>
          <w:color w:val="000000"/>
          <w:szCs w:val="20"/>
          <w:vertAlign w:val="superscript"/>
          <w:lang w:eastAsia="en-AU"/>
        </w:rPr>
        <w:footnoteReference w:id="204"/>
      </w:r>
    </w:p>
    <w:p w14:paraId="2550C567" w14:textId="77777777" w:rsidR="008478FE" w:rsidRDefault="008478FE" w:rsidP="00144BE8">
      <w:pPr>
        <w:pStyle w:val="08Figuretableboxheading"/>
      </w:pPr>
      <w:bookmarkStart w:id="142" w:name="_Toc170393566"/>
      <w:r w:rsidRPr="008478FE">
        <w:t>Figure 6.2: Quarterly and annual growth in real GDP and Victoria’s State Final Demand, December quarter 2021 to March quarter 2024</w:t>
      </w:r>
      <w:bookmarkEnd w:id="142"/>
    </w:p>
    <w:p w14:paraId="5ACA24EB" w14:textId="257F8749" w:rsidR="00C15CC8" w:rsidRPr="008478FE" w:rsidRDefault="00C15CC8" w:rsidP="00144BE8">
      <w:pPr>
        <w:pStyle w:val="08Figuretableboxheading"/>
      </w:pPr>
      <w:r>
        <w:rPr>
          <w:noProof/>
        </w:rPr>
        <w:drawing>
          <wp:inline distT="0" distB="0" distL="0" distR="0" wp14:anchorId="31564F41" wp14:editId="0597A41C">
            <wp:extent cx="5377180" cy="2853055"/>
            <wp:effectExtent l="0" t="0" r="0" b="4445"/>
            <wp:docPr id="129869719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77180" cy="2853055"/>
                    </a:xfrm>
                    <a:prstGeom prst="rect">
                      <a:avLst/>
                    </a:prstGeom>
                    <a:noFill/>
                  </pic:spPr>
                </pic:pic>
              </a:graphicData>
            </a:graphic>
          </wp:inline>
        </w:drawing>
      </w:r>
    </w:p>
    <w:p w14:paraId="0FE3C997" w14:textId="089CAA3C" w:rsidR="008478FE" w:rsidRPr="008478FE" w:rsidRDefault="008478FE" w:rsidP="00C15CC8">
      <w:pPr>
        <w:pStyle w:val="09Sourcesandnotesfortablesfiguresboxes"/>
        <w:rPr>
          <w:rFonts w:eastAsia="Rockwell" w:cs="Times New Roman"/>
          <w:color w:val="000000"/>
        </w:rPr>
      </w:pPr>
      <w:r w:rsidRPr="008478FE">
        <w:t xml:space="preserve">Source: </w:t>
      </w:r>
      <w:r w:rsidR="00A013AB" w:rsidRPr="00A013AB">
        <w:t>ABS (2024a)</w:t>
      </w:r>
      <w:r w:rsidRPr="008478FE">
        <w:rPr>
          <w:rFonts w:eastAsia="Rockwell" w:cs="Times New Roman"/>
          <w:color w:val="000000"/>
        </w:rPr>
        <w:t>.</w:t>
      </w:r>
    </w:p>
    <w:p w14:paraId="30B97056" w14:textId="3AE22F6B" w:rsidR="008478FE" w:rsidRPr="008478FE" w:rsidRDefault="008478FE" w:rsidP="00570E18">
      <w:pPr>
        <w:pStyle w:val="05Paragraph"/>
        <w:rPr>
          <w:noProof/>
          <w:lang w:eastAsia="en-AU"/>
        </w:rPr>
      </w:pPr>
      <w:r w:rsidRPr="008478FE">
        <w:rPr>
          <w:noProof/>
          <w:lang w:eastAsia="en-AU"/>
        </w:rPr>
        <w:t xml:space="preserve">According to the ABS, the ‘weak’ GDP result in the March quarter 2024 reflects subdued domestic demand, with increased consumption offset by falling investment. The ABS noted that its latest release included upward revisions to recent data on household consumption, which has been stronger than previously </w:t>
      </w:r>
      <w:r w:rsidRPr="008478FE">
        <w:rPr>
          <w:noProof/>
          <w:lang w:eastAsia="en-AU"/>
        </w:rPr>
        <w:lastRenderedPageBreak/>
        <w:t>indicated. Despite this, growth in household consumption remains subdued by historical standards and continues to be driven by spending on essentials.</w:t>
      </w:r>
      <w:r w:rsidRPr="008478FE">
        <w:rPr>
          <w:noProof/>
          <w:vertAlign w:val="superscript"/>
          <w:lang w:eastAsia="en-AU"/>
        </w:rPr>
        <w:footnoteReference w:id="205"/>
      </w:r>
    </w:p>
    <w:p w14:paraId="55175BD9" w14:textId="316FD078" w:rsidR="008478FE" w:rsidRPr="008478FE" w:rsidRDefault="008478FE" w:rsidP="00570E18">
      <w:pPr>
        <w:pStyle w:val="05Paragraph"/>
        <w:rPr>
          <w:noProof/>
          <w:lang w:eastAsia="en-AU"/>
        </w:rPr>
      </w:pPr>
      <w:r w:rsidRPr="008478FE">
        <w:rPr>
          <w:noProof/>
          <w:lang w:eastAsia="en-AU"/>
        </w:rPr>
        <w:t xml:space="preserve">The </w:t>
      </w:r>
      <w:r>
        <w:rPr>
          <w:lang w:eastAsia="en-AU"/>
        </w:rPr>
        <w:t>2024</w:t>
      </w:r>
      <w:r w:rsidR="00B9157D">
        <w:rPr>
          <w:lang w:eastAsia="en-AU"/>
        </w:rPr>
        <w:noBreakHyphen/>
      </w:r>
      <w:r>
        <w:rPr>
          <w:lang w:eastAsia="en-AU"/>
        </w:rPr>
        <w:t>25</w:t>
      </w:r>
      <w:r w:rsidRPr="008478FE">
        <w:rPr>
          <w:noProof/>
          <w:lang w:eastAsia="en-AU"/>
        </w:rPr>
        <w:t xml:space="preserve"> </w:t>
      </w:r>
      <w:r w:rsidR="00B9157D">
        <w:rPr>
          <w:noProof/>
          <w:lang w:eastAsia="en-AU"/>
        </w:rPr>
        <w:t>Budget</w:t>
      </w:r>
      <w:r w:rsidR="0050116E">
        <w:rPr>
          <w:noProof/>
          <w:lang w:eastAsia="en-AU"/>
        </w:rPr>
        <w:t xml:space="preserve"> </w:t>
      </w:r>
      <w:r w:rsidRPr="008478FE">
        <w:rPr>
          <w:noProof/>
          <w:lang w:eastAsia="en-AU"/>
        </w:rPr>
        <w:t>observed that growth in the Victorian economy over 2023-24 has been supported by strong business investment and population growth. Meanwhile, growth in household consumption has been subdued amid ongoing pressure on household budgets from high inflation and higher interest rates.</w:t>
      </w:r>
      <w:r w:rsidRPr="008478FE">
        <w:rPr>
          <w:noProof/>
          <w:vertAlign w:val="superscript"/>
          <w:lang w:eastAsia="en-AU"/>
        </w:rPr>
        <w:footnoteReference w:id="206"/>
      </w:r>
    </w:p>
    <w:p w14:paraId="7C2B6E0B" w14:textId="18323A2C" w:rsidR="008478FE" w:rsidRPr="008478FE" w:rsidRDefault="008478FE" w:rsidP="00570E18">
      <w:pPr>
        <w:pStyle w:val="05Paragraph"/>
        <w:rPr>
          <w:noProof/>
          <w:lang w:eastAsia="en-AU"/>
        </w:rPr>
      </w:pPr>
      <w:r w:rsidRPr="008478FE">
        <w:rPr>
          <w:noProof/>
          <w:lang w:eastAsia="en-AU"/>
        </w:rPr>
        <w:t>Population growth has rebounded significantly since Australia’s international borders were re-opened in early 2022 and has exceeded economic growth rates in recent times.</w:t>
      </w:r>
      <w:r w:rsidR="007861D6">
        <w:rPr>
          <w:rStyle w:val="FootnoteReference"/>
          <w:noProof/>
          <w:lang w:eastAsia="en-AU"/>
        </w:rPr>
        <w:footnoteReference w:id="207"/>
      </w:r>
      <w:r w:rsidRPr="008478FE">
        <w:rPr>
          <w:noProof/>
          <w:lang w:eastAsia="en-AU"/>
        </w:rPr>
        <w:t xml:space="preserve"> As a result, real GDP per capita has declined for four consecutive quarters, falling 0.4 per cent in the March quarter 2024 and 1.3 per cent through the year.</w:t>
      </w:r>
      <w:r w:rsidRPr="008478FE">
        <w:rPr>
          <w:noProof/>
          <w:vertAlign w:val="superscript"/>
          <w:lang w:eastAsia="en-AU"/>
        </w:rPr>
        <w:footnoteReference w:id="208"/>
      </w:r>
    </w:p>
    <w:p w14:paraId="29299083" w14:textId="4F562181" w:rsidR="008478FE" w:rsidRPr="008478FE" w:rsidRDefault="008478FE" w:rsidP="00570E18">
      <w:pPr>
        <w:pStyle w:val="05Paragraph"/>
        <w:rPr>
          <w:noProof/>
          <w:lang w:eastAsia="en-AU"/>
        </w:rPr>
      </w:pPr>
      <w:r w:rsidRPr="008478FE">
        <w:rPr>
          <w:noProof/>
          <w:lang w:eastAsia="en-AU"/>
        </w:rPr>
        <w:t>ABS data show</w:t>
      </w:r>
      <w:r w:rsidR="00E920AD">
        <w:rPr>
          <w:noProof/>
          <w:lang w:eastAsia="en-AU"/>
        </w:rPr>
        <w:t>s</w:t>
      </w:r>
      <w:r w:rsidRPr="008478FE">
        <w:rPr>
          <w:noProof/>
          <w:lang w:eastAsia="en-AU"/>
        </w:rPr>
        <w:t xml:space="preserve"> that GDP per hour worked — a measure of labour productivity — held steady in the March quarter 2024, after growing over the second half of 2023. This recent growth follows a period of five quarters in which labour productivity declined.</w:t>
      </w:r>
      <w:r w:rsidRPr="008478FE">
        <w:rPr>
          <w:noProof/>
          <w:vertAlign w:val="superscript"/>
          <w:lang w:eastAsia="en-AU"/>
        </w:rPr>
        <w:footnoteReference w:id="209"/>
      </w:r>
      <w:r w:rsidRPr="008478FE">
        <w:rPr>
          <w:noProof/>
          <w:lang w:eastAsia="en-AU"/>
        </w:rPr>
        <w:t xml:space="preserve"> The RBA observed that an improvement in productivity outcomes had been expected, partly due to strong business investment, though it noted that growth was weaker than expected in the December quarter 2023.</w:t>
      </w:r>
      <w:r w:rsidRPr="008478FE">
        <w:rPr>
          <w:noProof/>
          <w:vertAlign w:val="superscript"/>
          <w:lang w:eastAsia="en-AU"/>
        </w:rPr>
        <w:footnoteReference w:id="210"/>
      </w:r>
    </w:p>
    <w:p w14:paraId="3A99B673" w14:textId="1815CF9F" w:rsidR="008478FE" w:rsidRPr="008478FE" w:rsidRDefault="008478FE" w:rsidP="00570E18">
      <w:pPr>
        <w:pStyle w:val="03VIRTHeading3"/>
      </w:pPr>
      <w:r w:rsidRPr="008478FE">
        <w:t xml:space="preserve">Inflation </w:t>
      </w:r>
      <w:r w:rsidR="00AE55AD">
        <w:t>has</w:t>
      </w:r>
      <w:r w:rsidRPr="008478FE">
        <w:t xml:space="preserve"> moderate</w:t>
      </w:r>
      <w:r w:rsidR="00430F64">
        <w:t>d</w:t>
      </w:r>
      <w:r w:rsidRPr="008478FE">
        <w:t>, but remains high</w:t>
      </w:r>
    </w:p>
    <w:p w14:paraId="35F930D8" w14:textId="58077B90" w:rsidR="008478FE" w:rsidRPr="008478FE" w:rsidRDefault="008478FE" w:rsidP="00570E18">
      <w:pPr>
        <w:pStyle w:val="05Paragraph"/>
        <w:rPr>
          <w:noProof/>
          <w:lang w:eastAsia="en-AU"/>
        </w:rPr>
      </w:pPr>
      <w:r w:rsidRPr="008478FE">
        <w:rPr>
          <w:noProof/>
          <w:lang w:eastAsia="en-AU"/>
        </w:rPr>
        <w:t>Headline inflation has moderate</w:t>
      </w:r>
      <w:r w:rsidR="00430F64">
        <w:rPr>
          <w:noProof/>
          <w:lang w:eastAsia="en-AU"/>
        </w:rPr>
        <w:t>d</w:t>
      </w:r>
      <w:r w:rsidRPr="008478FE">
        <w:rPr>
          <w:noProof/>
          <w:lang w:eastAsia="en-AU"/>
        </w:rPr>
        <w:t xml:space="preserve"> in Victoria and Australia more broadly but remains above the RBA’s 2 </w:t>
      </w:r>
      <w:r w:rsidR="006E2B5F">
        <w:rPr>
          <w:noProof/>
          <w:lang w:eastAsia="en-AU"/>
        </w:rPr>
        <w:t>to</w:t>
      </w:r>
      <w:r w:rsidRPr="008478FE">
        <w:rPr>
          <w:noProof/>
          <w:lang w:eastAsia="en-AU"/>
        </w:rPr>
        <w:t xml:space="preserve"> 3 per cent target band.</w:t>
      </w:r>
    </w:p>
    <w:p w14:paraId="33D3AADB" w14:textId="4BF297A8" w:rsidR="008478FE" w:rsidRPr="008478FE" w:rsidRDefault="008478FE" w:rsidP="00570E18">
      <w:pPr>
        <w:pStyle w:val="05Paragraph"/>
        <w:rPr>
          <w:noProof/>
          <w:lang w:eastAsia="en-AU"/>
        </w:rPr>
      </w:pPr>
      <w:r w:rsidRPr="008478FE">
        <w:rPr>
          <w:noProof/>
          <w:lang w:eastAsia="en-AU"/>
        </w:rPr>
        <w:t>ABS data show that annual growth in the All Groups Consumer Price Index for Melbourne (Melbourne CPI) declined to 3.6 per cent in the March quarter 2024, well below the peak of 8 per cent recorded in the December quarter 2022. However, strong price growth in the ‘education’ (6.2 per cent) and ‘health’ (3.1 per cent) groups and ‘rents’ sub-group (2.1 per cent) contributed to a larger than expected quarterly rise (1</w:t>
      </w:r>
      <w:r w:rsidR="002E0AFD">
        <w:rPr>
          <w:noProof/>
          <w:lang w:eastAsia="en-AU"/>
        </w:rPr>
        <w:t xml:space="preserve"> </w:t>
      </w:r>
      <w:r w:rsidRPr="008478FE">
        <w:rPr>
          <w:noProof/>
          <w:lang w:eastAsia="en-AU"/>
        </w:rPr>
        <w:t>per cent), which saw the annual inflation rate decline more slowly than in previous quarters (Figure 6.3).</w:t>
      </w:r>
    </w:p>
    <w:p w14:paraId="5A4E6BF9" w14:textId="6787E986" w:rsidR="008478FE" w:rsidRPr="008478FE" w:rsidRDefault="008478FE" w:rsidP="00144BE8">
      <w:pPr>
        <w:pStyle w:val="08Figuretableboxheading"/>
      </w:pPr>
      <w:bookmarkStart w:id="143" w:name="_Toc170393567"/>
      <w:r w:rsidRPr="008478FE">
        <w:lastRenderedPageBreak/>
        <w:t>Figure 6.3: Quarterly and annual growth in the Melbourne CPI, March quarter 2015 to March quarter 2024</w:t>
      </w:r>
      <w:bookmarkEnd w:id="143"/>
    </w:p>
    <w:p w14:paraId="0D911630" w14:textId="5D31B0C9" w:rsidR="008478FE" w:rsidRPr="008478FE" w:rsidRDefault="001F1EE6" w:rsidP="008478FE">
      <w:pPr>
        <w:spacing w:after="0"/>
        <w:rPr>
          <w:rFonts w:ascii="Calibri" w:eastAsia="Rockwell" w:hAnsi="Calibri" w:cs="Calibri"/>
          <w:noProof/>
          <w:color w:val="000000"/>
          <w:szCs w:val="20"/>
          <w:lang w:eastAsia="en-AU"/>
        </w:rPr>
      </w:pPr>
      <w:r>
        <w:rPr>
          <w:noProof/>
        </w:rPr>
        <mc:AlternateContent>
          <mc:Choice Requires="wps">
            <w:drawing>
              <wp:anchor distT="0" distB="0" distL="114300" distR="114300" simplePos="0" relativeHeight="251658246" behindDoc="0" locked="0" layoutInCell="1" allowOverlap="1" wp14:anchorId="3E06898E" wp14:editId="229946A2">
                <wp:simplePos x="0" y="0"/>
                <wp:positionH relativeFrom="column">
                  <wp:posOffset>3194685</wp:posOffset>
                </wp:positionH>
                <wp:positionV relativeFrom="paragraph">
                  <wp:posOffset>693632</wp:posOffset>
                </wp:positionV>
                <wp:extent cx="1375314" cy="487595"/>
                <wp:effectExtent l="0" t="0" r="0" b="0"/>
                <wp:wrapNone/>
                <wp:docPr id="27774180" name="TextBox 3">
                  <a:extLst xmlns:a="http://schemas.openxmlformats.org/drawingml/2006/main">
                    <a:ext uri="{FF2B5EF4-FFF2-40B4-BE49-F238E27FC236}">
                      <a16:creationId xmlns:a16="http://schemas.microsoft.com/office/drawing/2014/main" id="{8A0429CF-8E11-C4C9-DB82-FA88B0F607E9}"/>
                    </a:ext>
                  </a:extLst>
                </wp:docPr>
                <wp:cNvGraphicFramePr/>
                <a:graphic xmlns:a="http://schemas.openxmlformats.org/drawingml/2006/main">
                  <a:graphicData uri="http://schemas.microsoft.com/office/word/2010/wordprocessingShape">
                    <wps:wsp>
                      <wps:cNvSpPr txBox="1"/>
                      <wps:spPr>
                        <a:xfrm>
                          <a:off x="0" y="0"/>
                          <a:ext cx="1375314" cy="48759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457D3B5" w14:textId="77777777" w:rsidR="001F1EE6" w:rsidRDefault="001F1EE6" w:rsidP="001F1EE6">
                            <w:pPr>
                              <w:rPr>
                                <w:rFonts w:ascii="Calibri" w:hAnsi="Calibri" w:cs="Calibri"/>
                                <w:color w:val="148A5D" w:themeColor="accent2"/>
                                <w:sz w:val="20"/>
                                <w:szCs w:val="20"/>
                              </w:rPr>
                            </w:pPr>
                            <w:r>
                              <w:rPr>
                                <w:rFonts w:ascii="Calibri" w:hAnsi="Calibri" w:cs="Calibri"/>
                                <w:color w:val="148A5D" w:themeColor="accent2"/>
                                <w:sz w:val="20"/>
                                <w:szCs w:val="20"/>
                              </w:rPr>
                              <w:t>Annual CPI growth</w:t>
                            </w:r>
                          </w:p>
                        </w:txbxContent>
                      </wps:txbx>
                      <wps:bodyPr wrap="square" rtlCol="0" anchor="t"/>
                    </wps:wsp>
                  </a:graphicData>
                </a:graphic>
              </wp:anchor>
            </w:drawing>
          </mc:Choice>
          <mc:Fallback>
            <w:pict>
              <v:shape w14:anchorId="3E06898E" id="TextBox 3" o:spid="_x0000_s1036" type="#_x0000_t202" style="position:absolute;left:0;text-align:left;margin-left:251.55pt;margin-top:54.6pt;width:108.3pt;height:38.4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" filled="f" stroked="f">
                <v:textbox>
                  <w:txbxContent>
                    <w:p w14:paraId="5457D3B5" w14:textId="77777777" w:rsidR="001F1EE6" w:rsidRDefault="001F1EE6" w:rsidP="001F1EE6">
                      <w:pPr>
                        <w:rPr>
                          <w:rFonts w:ascii="Calibri" w:hAnsi="Calibri" w:cs="Calibri"/>
                          <w:color w:val="148A5D" w:themeColor="accent2"/>
                          <w:sz w:val="20"/>
                          <w:szCs w:val="20"/>
                        </w:rPr>
                      </w:pPr>
                      <w:r>
                        <w:rPr>
                          <w:rFonts w:ascii="Calibri" w:hAnsi="Calibri" w:cs="Calibri"/>
                          <w:color w:val="148A5D" w:themeColor="accent2"/>
                          <w:sz w:val="20"/>
                          <w:szCs w:val="20"/>
                        </w:rPr>
                        <w:t>Annual CPI growth</w:t>
                      </w:r>
                    </w:p>
                  </w:txbxContent>
                </v:textbox>
              </v:shape>
            </w:pict>
          </mc:Fallback>
        </mc:AlternateContent>
      </w:r>
      <w:r>
        <w:rPr>
          <w:noProof/>
        </w:rPr>
        <mc:AlternateContent>
          <mc:Choice Requires="wps">
            <w:drawing>
              <wp:anchor distT="0" distB="0" distL="114300" distR="114300" simplePos="0" relativeHeight="251658248" behindDoc="0" locked="0" layoutInCell="1" allowOverlap="1" wp14:anchorId="377C7593" wp14:editId="2BA065FB">
                <wp:simplePos x="0" y="0"/>
                <wp:positionH relativeFrom="column">
                  <wp:posOffset>651510</wp:posOffset>
                </wp:positionH>
                <wp:positionV relativeFrom="paragraph">
                  <wp:posOffset>1113790</wp:posOffset>
                </wp:positionV>
                <wp:extent cx="2262505" cy="509270"/>
                <wp:effectExtent l="0" t="0" r="0" b="0"/>
                <wp:wrapNone/>
                <wp:docPr id="795378551" name="TextBox 5">
                  <a:extLst xmlns:a="http://schemas.openxmlformats.org/drawingml/2006/main">
                    <a:ext uri="{FF2B5EF4-FFF2-40B4-BE49-F238E27FC236}">
                      <a16:creationId xmlns:a16="http://schemas.microsoft.com/office/drawing/2014/main" id="{E5FFCFE2-91CA-69D8-91B0-E2FCCDDF80F8}"/>
                    </a:ext>
                  </a:extLst>
                </wp:docPr>
                <wp:cNvGraphicFramePr/>
                <a:graphic xmlns:a="http://schemas.openxmlformats.org/drawingml/2006/main">
                  <a:graphicData uri="http://schemas.microsoft.com/office/word/2010/wordprocessingShape">
                    <wps:wsp>
                      <wps:cNvSpPr txBox="1"/>
                      <wps:spPr>
                        <a:xfrm>
                          <a:off x="0" y="0"/>
                          <a:ext cx="2262505" cy="50927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6BC1D79" w14:textId="77777777" w:rsidR="001F1EE6" w:rsidRDefault="001F1EE6" w:rsidP="001F1EE6">
                            <w:pPr>
                              <w:rPr>
                                <w:rFonts w:ascii="Calibri" w:hAnsi="Calibri" w:cs="Calibri"/>
                                <w:color w:val="7F7F7F" w:themeColor="text1" w:themeTint="80"/>
                                <w:sz w:val="20"/>
                                <w:szCs w:val="20"/>
                              </w:rPr>
                            </w:pPr>
                            <w:r>
                              <w:rPr>
                                <w:rFonts w:ascii="Calibri" w:hAnsi="Calibri" w:cs="Calibri"/>
                                <w:color w:val="7F7F7F" w:themeColor="text1" w:themeTint="80"/>
                                <w:sz w:val="20"/>
                                <w:szCs w:val="20"/>
                              </w:rPr>
                              <w:t>RBA target band (annual)</w:t>
                            </w:r>
                          </w:p>
                        </w:txbxContent>
                      </wps:txbx>
                      <wps:bodyPr wrap="square" rtlCol="0" anchor="t"/>
                    </wps:wsp>
                  </a:graphicData>
                </a:graphic>
              </wp:anchor>
            </w:drawing>
          </mc:Choice>
          <mc:Fallback>
            <w:pict>
              <v:shape w14:anchorId="377C7593" id="TextBox 5" o:spid="_x0000_s1037" type="#_x0000_t202" style="position:absolute;left:0;text-align:left;margin-left:51.3pt;margin-top:87.7pt;width:178.15pt;height:40.1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" filled="f" stroked="f">
                <v:textbox>
                  <w:txbxContent>
                    <w:p w14:paraId="66BC1D79" w14:textId="77777777" w:rsidR="001F1EE6" w:rsidRDefault="001F1EE6" w:rsidP="001F1EE6">
                      <w:pPr>
                        <w:rPr>
                          <w:rFonts w:ascii="Calibri" w:hAnsi="Calibri" w:cs="Calibri"/>
                          <w:color w:val="7F7F7F" w:themeColor="text1" w:themeTint="80"/>
                          <w:sz w:val="20"/>
                          <w:szCs w:val="20"/>
                        </w:rPr>
                      </w:pPr>
                      <w:r>
                        <w:rPr>
                          <w:rFonts w:ascii="Calibri" w:hAnsi="Calibri" w:cs="Calibri"/>
                          <w:color w:val="7F7F7F" w:themeColor="text1" w:themeTint="80"/>
                          <w:sz w:val="20"/>
                          <w:szCs w:val="20"/>
                        </w:rPr>
                        <w:t>RBA target band (annual)</w:t>
                      </w:r>
                    </w:p>
                  </w:txbxContent>
                </v:textbox>
              </v:shape>
            </w:pict>
          </mc:Fallback>
        </mc:AlternateContent>
      </w:r>
      <w:r>
        <w:rPr>
          <w:noProof/>
        </w:rPr>
        <mc:AlternateContent>
          <mc:Choice Requires="wps">
            <w:drawing>
              <wp:anchor distT="0" distB="0" distL="114300" distR="114300" simplePos="0" relativeHeight="251658247" behindDoc="0" locked="0" layoutInCell="1" allowOverlap="1" wp14:anchorId="45ACA9E4" wp14:editId="5F9BD313">
                <wp:simplePos x="0" y="0"/>
                <wp:positionH relativeFrom="column">
                  <wp:posOffset>3877310</wp:posOffset>
                </wp:positionH>
                <wp:positionV relativeFrom="paragraph">
                  <wp:posOffset>2073910</wp:posOffset>
                </wp:positionV>
                <wp:extent cx="1518285" cy="462280"/>
                <wp:effectExtent l="0" t="0" r="0" b="0"/>
                <wp:wrapNone/>
                <wp:docPr id="197840344" name="TextBox 4">
                  <a:extLst xmlns:a="http://schemas.openxmlformats.org/drawingml/2006/main">
                    <a:ext uri="{FF2B5EF4-FFF2-40B4-BE49-F238E27FC236}">
                      <a16:creationId xmlns:a16="http://schemas.microsoft.com/office/drawing/2014/main" id="{1B5B8C18-0895-5028-2482-18BDB7FC1F99}"/>
                    </a:ext>
                  </a:extLst>
                </wp:docPr>
                <wp:cNvGraphicFramePr/>
                <a:graphic xmlns:a="http://schemas.openxmlformats.org/drawingml/2006/main">
                  <a:graphicData uri="http://schemas.microsoft.com/office/word/2010/wordprocessingShape">
                    <wps:wsp>
                      <wps:cNvSpPr txBox="1"/>
                      <wps:spPr>
                        <a:xfrm>
                          <a:off x="0" y="0"/>
                          <a:ext cx="1518285" cy="46228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861B07A" w14:textId="77777777" w:rsidR="001F1EE6" w:rsidRDefault="001F1EE6" w:rsidP="001F1EE6">
                            <w:pPr>
                              <w:rPr>
                                <w:rFonts w:ascii="Calibri" w:hAnsi="Calibri" w:cs="Calibri"/>
                                <w:color w:val="26664E" w:themeColor="accent1"/>
                                <w:sz w:val="20"/>
                                <w:szCs w:val="20"/>
                              </w:rPr>
                            </w:pPr>
                            <w:r>
                              <w:rPr>
                                <w:rFonts w:ascii="Calibri" w:hAnsi="Calibri" w:cs="Calibri"/>
                                <w:color w:val="26664E" w:themeColor="accent1"/>
                                <w:sz w:val="20"/>
                                <w:szCs w:val="20"/>
                              </w:rPr>
                              <w:t>Quarterly CPI growth</w:t>
                            </w:r>
                          </w:p>
                        </w:txbxContent>
                      </wps:txbx>
                      <wps:bodyPr wrap="square" rtlCol="0" anchor="t"/>
                    </wps:wsp>
                  </a:graphicData>
                </a:graphic>
              </wp:anchor>
            </w:drawing>
          </mc:Choice>
          <mc:Fallback>
            <w:pict>
              <v:shape w14:anchorId="45ACA9E4" id="TextBox 4" o:spid="_x0000_s1038" type="#_x0000_t202" style="position:absolute;left:0;text-align:left;margin-left:305.3pt;margin-top:163.3pt;width:119.55pt;height:36.4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" filled="f" stroked="f">
                <v:textbox>
                  <w:txbxContent>
                    <w:p w14:paraId="4861B07A" w14:textId="77777777" w:rsidR="001F1EE6" w:rsidRDefault="001F1EE6" w:rsidP="001F1EE6">
                      <w:pPr>
                        <w:rPr>
                          <w:rFonts w:ascii="Calibri" w:hAnsi="Calibri" w:cs="Calibri"/>
                          <w:color w:val="26664E" w:themeColor="accent1"/>
                          <w:sz w:val="20"/>
                          <w:szCs w:val="20"/>
                        </w:rPr>
                      </w:pPr>
                      <w:r>
                        <w:rPr>
                          <w:rFonts w:ascii="Calibri" w:hAnsi="Calibri" w:cs="Calibri"/>
                          <w:color w:val="26664E" w:themeColor="accent1"/>
                          <w:sz w:val="20"/>
                          <w:szCs w:val="20"/>
                        </w:rPr>
                        <w:t>Quarterly CPI growth</w:t>
                      </w:r>
                    </w:p>
                  </w:txbxContent>
                </v:textbox>
              </v:shape>
            </w:pict>
          </mc:Fallback>
        </mc:AlternateContent>
      </w:r>
      <w:r>
        <w:rPr>
          <w:rFonts w:ascii="Calibri" w:eastAsia="Rockwell" w:hAnsi="Calibri" w:cs="Calibri"/>
          <w:noProof/>
          <w:color w:val="000000"/>
          <w:szCs w:val="20"/>
          <w:lang w:eastAsia="en-AU"/>
        </w:rPr>
        <w:drawing>
          <wp:inline distT="0" distB="0" distL="0" distR="0" wp14:anchorId="6E7F57E8" wp14:editId="77717097">
            <wp:extent cx="5651500" cy="2974975"/>
            <wp:effectExtent l="0" t="0" r="6350" b="0"/>
            <wp:docPr id="1044091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51500" cy="2974975"/>
                    </a:xfrm>
                    <a:prstGeom prst="rect">
                      <a:avLst/>
                    </a:prstGeom>
                    <a:noFill/>
                  </pic:spPr>
                </pic:pic>
              </a:graphicData>
            </a:graphic>
          </wp:inline>
        </w:drawing>
      </w:r>
    </w:p>
    <w:p w14:paraId="120CE40A" w14:textId="29A4E93C" w:rsidR="008478FE" w:rsidRPr="008478FE" w:rsidRDefault="008478FE" w:rsidP="009A0AD7">
      <w:pPr>
        <w:pStyle w:val="09Sourcesandnotesfortablesfiguresboxes"/>
        <w:rPr>
          <w:rFonts w:eastAsia="Rockwell" w:cs="Calibri Light"/>
          <w:color w:val="000000"/>
        </w:rPr>
      </w:pPr>
      <w:r w:rsidRPr="008478FE">
        <w:t xml:space="preserve">Source: </w:t>
      </w:r>
      <w:r w:rsidR="000E3D79" w:rsidRPr="000E3D79">
        <w:t>ABS (2024c).</w:t>
      </w:r>
    </w:p>
    <w:p w14:paraId="13951ABE" w14:textId="655F38B4" w:rsidR="008478FE" w:rsidRPr="008478FE" w:rsidRDefault="008478FE" w:rsidP="00570E18">
      <w:pPr>
        <w:pStyle w:val="05Paragraph"/>
        <w:rPr>
          <w:noProof/>
          <w:lang w:eastAsia="en-AU"/>
        </w:rPr>
      </w:pPr>
      <w:r w:rsidRPr="008478FE">
        <w:rPr>
          <w:noProof/>
          <w:lang w:eastAsia="en-AU"/>
        </w:rPr>
        <w:t xml:space="preserve">Movements in the Melbourne CPI were consistent with national outcomes, with </w:t>
      </w:r>
      <w:r w:rsidR="00123ABC">
        <w:rPr>
          <w:noProof/>
          <w:lang w:eastAsia="en-AU"/>
        </w:rPr>
        <w:t xml:space="preserve">the </w:t>
      </w:r>
      <w:r w:rsidRPr="008478FE">
        <w:rPr>
          <w:noProof/>
          <w:lang w:eastAsia="en-AU"/>
        </w:rPr>
        <w:t xml:space="preserve">Australian CPI rising 1 per cent in the March quarter 2024 and 3.6 per cent through the year. Measures of Australian underlying inflation, which reduce the impact of irregular or temporary price changes, </w:t>
      </w:r>
      <w:r w:rsidR="00430F64">
        <w:rPr>
          <w:noProof/>
          <w:lang w:eastAsia="en-AU"/>
        </w:rPr>
        <w:t xml:space="preserve">have </w:t>
      </w:r>
      <w:r w:rsidRPr="008478FE">
        <w:rPr>
          <w:noProof/>
          <w:lang w:eastAsia="en-AU"/>
        </w:rPr>
        <w:t>also ease</w:t>
      </w:r>
      <w:r w:rsidR="00430F64">
        <w:rPr>
          <w:noProof/>
          <w:lang w:eastAsia="en-AU"/>
        </w:rPr>
        <w:t>d</w:t>
      </w:r>
      <w:r w:rsidRPr="008478FE">
        <w:rPr>
          <w:noProof/>
          <w:lang w:eastAsia="en-AU"/>
        </w:rPr>
        <w:t xml:space="preserve">. </w:t>
      </w:r>
      <w:r w:rsidR="00937E49">
        <w:rPr>
          <w:noProof/>
          <w:lang w:eastAsia="en-AU"/>
        </w:rPr>
        <w:t>A</w:t>
      </w:r>
      <w:r w:rsidRPr="008478FE">
        <w:rPr>
          <w:noProof/>
          <w:lang w:eastAsia="en-AU"/>
        </w:rPr>
        <w:t xml:space="preserve">nnual trimmed mean inflation — the RBA’s preferred measure of underlying inflation </w:t>
      </w:r>
      <w:bookmarkStart w:id="144" w:name="_Hlk166847778"/>
      <w:r w:rsidRPr="008478FE">
        <w:rPr>
          <w:noProof/>
          <w:lang w:eastAsia="en-AU"/>
        </w:rPr>
        <w:t>—</w:t>
      </w:r>
      <w:bookmarkEnd w:id="144"/>
      <w:r w:rsidRPr="008478FE">
        <w:rPr>
          <w:noProof/>
          <w:lang w:eastAsia="en-AU"/>
        </w:rPr>
        <w:t xml:space="preserve"> fell to 4 per cent in the March quarter 2024, having decreased for five consecutive quarters since peaking at 6.8 per cent in the December quarter 2022.</w:t>
      </w:r>
      <w:r w:rsidRPr="008478FE">
        <w:rPr>
          <w:noProof/>
          <w:vertAlign w:val="superscript"/>
          <w:lang w:eastAsia="en-AU"/>
        </w:rPr>
        <w:footnoteReference w:id="211"/>
      </w:r>
      <w:r w:rsidRPr="008478FE">
        <w:rPr>
          <w:noProof/>
          <w:lang w:eastAsia="en-AU"/>
        </w:rPr>
        <w:t xml:space="preserve"> </w:t>
      </w:r>
    </w:p>
    <w:p w14:paraId="5A2FACF6" w14:textId="2354753A" w:rsidR="008478FE" w:rsidRPr="008478FE" w:rsidRDefault="001608A9" w:rsidP="00570E18">
      <w:pPr>
        <w:pStyle w:val="05Paragraph"/>
        <w:rPr>
          <w:noProof/>
          <w:lang w:eastAsia="en-AU"/>
        </w:rPr>
      </w:pPr>
      <w:r>
        <w:rPr>
          <w:noProof/>
          <w:lang w:eastAsia="en-AU"/>
        </w:rPr>
        <w:t>Conversely</w:t>
      </w:r>
      <w:r w:rsidR="008478FE" w:rsidRPr="008478FE">
        <w:rPr>
          <w:noProof/>
          <w:lang w:eastAsia="en-AU"/>
        </w:rPr>
        <w:t>, the monthly Australian CPI indicator has risen for two consecutive months, from 3.4 per cent in February 2024 to 3.6 per cent in April 2024.</w:t>
      </w:r>
      <w:r w:rsidR="008478FE" w:rsidRPr="008478FE">
        <w:rPr>
          <w:noProof/>
          <w:vertAlign w:val="superscript"/>
          <w:lang w:eastAsia="en-AU"/>
        </w:rPr>
        <w:footnoteReference w:id="212"/>
      </w:r>
      <w:r w:rsidR="008478FE" w:rsidRPr="008478FE">
        <w:rPr>
          <w:noProof/>
          <w:lang w:eastAsia="en-AU"/>
        </w:rPr>
        <w:t xml:space="preserve"> Eight out of the 11 CPI groups also recorded increases over that period, indicating that inflationary pressures remain elevated and broad-based.</w:t>
      </w:r>
    </w:p>
    <w:p w14:paraId="720B2D36" w14:textId="531E835E" w:rsidR="008478FE" w:rsidRPr="008478FE" w:rsidRDefault="008478FE" w:rsidP="00570E18">
      <w:pPr>
        <w:pStyle w:val="05Paragraph"/>
        <w:rPr>
          <w:noProof/>
          <w:lang w:eastAsia="en-AU"/>
        </w:rPr>
      </w:pPr>
      <w:r w:rsidRPr="008478FE">
        <w:rPr>
          <w:noProof/>
          <w:lang w:eastAsia="en-AU"/>
        </w:rPr>
        <w:t xml:space="preserve">The RBA’s latest </w:t>
      </w:r>
      <w:r w:rsidRPr="008478FE">
        <w:rPr>
          <w:i/>
          <w:noProof/>
          <w:lang w:eastAsia="en-AU"/>
        </w:rPr>
        <w:t>Statement on Monetary Policy</w:t>
      </w:r>
      <w:r w:rsidRPr="008478FE">
        <w:rPr>
          <w:noProof/>
          <w:lang w:eastAsia="en-AU"/>
        </w:rPr>
        <w:t xml:space="preserve"> (May 2024</w:t>
      </w:r>
      <w:r w:rsidR="00B7747B">
        <w:rPr>
          <w:noProof/>
          <w:lang w:eastAsia="en-AU"/>
        </w:rPr>
        <w:t xml:space="preserve"> Statement</w:t>
      </w:r>
      <w:r w:rsidRPr="008478FE">
        <w:rPr>
          <w:noProof/>
          <w:lang w:eastAsia="en-AU"/>
        </w:rPr>
        <w:t xml:space="preserve">) and the </w:t>
      </w:r>
      <w:r w:rsidRPr="009708AE">
        <w:rPr>
          <w:iCs/>
          <w:noProof/>
          <w:lang w:eastAsia="en-AU"/>
        </w:rPr>
        <w:t>2024-25</w:t>
      </w:r>
      <w:r w:rsidR="009708AE" w:rsidRPr="009708AE">
        <w:rPr>
          <w:iCs/>
          <w:noProof/>
          <w:lang w:eastAsia="en-AU"/>
        </w:rPr>
        <w:t xml:space="preserve"> Budget</w:t>
      </w:r>
      <w:r w:rsidRPr="008478FE">
        <w:rPr>
          <w:noProof/>
          <w:lang w:eastAsia="en-AU"/>
        </w:rPr>
        <w:t xml:space="preserve"> both noted that the recent moderation in inflation outcomes in Australia and Victoria has been largely due to slower growth in the prices of goods. ABS data show that goods inflation has fallen sharply since its peak in mid</w:t>
      </w:r>
      <w:r w:rsidRPr="008478FE">
        <w:rPr>
          <w:noProof/>
          <w:lang w:eastAsia="en-AU"/>
        </w:rPr>
        <w:noBreakHyphen/>
        <w:t>2022, consistent with the easing of global supply chain pressures.</w:t>
      </w:r>
      <w:r w:rsidRPr="008478FE">
        <w:rPr>
          <w:noProof/>
          <w:vertAlign w:val="superscript"/>
          <w:lang w:eastAsia="en-AU"/>
        </w:rPr>
        <w:footnoteReference w:id="213"/>
      </w:r>
      <w:r w:rsidRPr="008478FE">
        <w:rPr>
          <w:noProof/>
          <w:lang w:eastAsia="en-AU"/>
        </w:rPr>
        <w:t xml:space="preserve"> By contrast, services</w:t>
      </w:r>
      <w:r w:rsidRPr="008478FE">
        <w:rPr>
          <w:rFonts w:ascii="Calibri" w:hAnsi="Calibri" w:cs="Calibri"/>
          <w:noProof/>
          <w:lang w:eastAsia="en-AU"/>
        </w:rPr>
        <w:t xml:space="preserve"> </w:t>
      </w:r>
      <w:r w:rsidRPr="008478FE">
        <w:rPr>
          <w:noProof/>
          <w:lang w:eastAsia="en-AU"/>
        </w:rPr>
        <w:lastRenderedPageBreak/>
        <w:t xml:space="preserve">inflation peaked later and is declining more gradually. According to the </w:t>
      </w:r>
      <w:r w:rsidRPr="009708AE">
        <w:rPr>
          <w:lang w:eastAsia="en-AU"/>
        </w:rPr>
        <w:t>2024-25 Budget</w:t>
      </w:r>
      <w:r w:rsidRPr="008478FE">
        <w:rPr>
          <w:noProof/>
          <w:lang w:eastAsia="en-AU"/>
        </w:rPr>
        <w:t>, the so-called ‘stickiness’ of services inflation reflects:</w:t>
      </w:r>
      <w:r w:rsidR="00AB32A1" w:rsidRPr="008478FE">
        <w:rPr>
          <w:rFonts w:cs="Times New Roman (Body CS)"/>
          <w:iCs/>
          <w:spacing w:val="-6"/>
          <w:vertAlign w:val="superscript"/>
        </w:rPr>
        <w:footnoteReference w:id="214"/>
      </w:r>
    </w:p>
    <w:p w14:paraId="31D25446" w14:textId="53B896AE" w:rsidR="008478FE" w:rsidRPr="00AB32A1" w:rsidRDefault="008478FE" w:rsidP="00BD0053">
      <w:pPr>
        <w:pStyle w:val="07VIRTBreakouttext"/>
      </w:pPr>
      <w:r w:rsidRPr="00AB32A1">
        <w:t xml:space="preserve">… the pass-through of domestic cost pressures to consumers in an environment of </w:t>
      </w:r>
      <w:r w:rsidRPr="00BD0053">
        <w:t>elevated</w:t>
      </w:r>
      <w:r w:rsidRPr="00AB32A1">
        <w:t xml:space="preserve"> demand … includ[ing] labour costs, which have risen due to higher wages growth coupled with a lack of productivity growth, as well as non-labour costs such as energy and transport.</w:t>
      </w:r>
    </w:p>
    <w:p w14:paraId="6CF7CB62" w14:textId="77777777" w:rsidR="008478FE" w:rsidRPr="008478FE" w:rsidRDefault="008478FE" w:rsidP="00570E18">
      <w:pPr>
        <w:pStyle w:val="03VIRTHeading3"/>
      </w:pPr>
      <w:r w:rsidRPr="008478FE">
        <w:t>Labour market conditions are gradually easing, but remain tight</w:t>
      </w:r>
    </w:p>
    <w:p w14:paraId="79425327" w14:textId="42282886" w:rsidR="008478FE" w:rsidRPr="008478FE" w:rsidRDefault="008478FE" w:rsidP="00570E18">
      <w:pPr>
        <w:pStyle w:val="05Paragraph"/>
        <w:rPr>
          <w:noProof/>
          <w:lang w:eastAsia="en-AU"/>
        </w:rPr>
      </w:pPr>
      <w:r w:rsidRPr="008478FE">
        <w:rPr>
          <w:noProof/>
          <w:lang w:eastAsia="en-AU"/>
        </w:rPr>
        <w:t xml:space="preserve">As discussed in further detail in </w:t>
      </w:r>
      <w:r w:rsidR="002315B8">
        <w:rPr>
          <w:noProof/>
          <w:lang w:eastAsia="en-AU"/>
        </w:rPr>
        <w:t>C</w:t>
      </w:r>
      <w:r w:rsidRPr="008478FE">
        <w:rPr>
          <w:noProof/>
          <w:lang w:eastAsia="en-AU"/>
        </w:rPr>
        <w:t>hapter 4, conditions in the Australian and Victorian labour markets have been ‘tight’ in recent years but are gradually easing.</w:t>
      </w:r>
    </w:p>
    <w:p w14:paraId="007CF662" w14:textId="77777777" w:rsidR="008478FE" w:rsidRPr="008478FE" w:rsidRDefault="008478FE" w:rsidP="00570E18">
      <w:pPr>
        <w:pStyle w:val="05Paragraph"/>
        <w:rPr>
          <w:noProof/>
          <w:lang w:eastAsia="en-AU"/>
        </w:rPr>
      </w:pPr>
      <w:r w:rsidRPr="008478FE">
        <w:rPr>
          <w:noProof/>
          <w:lang w:eastAsia="en-AU"/>
        </w:rPr>
        <w:t xml:space="preserve">In its May 2024 </w:t>
      </w:r>
      <w:r w:rsidRPr="00570E18">
        <w:rPr>
          <w:iCs/>
          <w:noProof/>
          <w:lang w:eastAsia="en-AU"/>
        </w:rPr>
        <w:t>Statement</w:t>
      </w:r>
      <w:r w:rsidRPr="008478FE">
        <w:rPr>
          <w:noProof/>
          <w:lang w:eastAsia="en-AU"/>
        </w:rPr>
        <w:t>, the RBA observed that the easing in the national labour market had been slower than expected, with much of the easing occurring through declines in average hours worked and job vacancies. On the other hand, it noted that the Australian unemployment rate — a key indicator of spare capacity in the labour market — had increased only modestly.</w:t>
      </w:r>
      <w:r w:rsidRPr="008478FE">
        <w:rPr>
          <w:noProof/>
          <w:vertAlign w:val="superscript"/>
          <w:lang w:eastAsia="en-AU"/>
        </w:rPr>
        <w:footnoteReference w:id="215"/>
      </w:r>
    </w:p>
    <w:p w14:paraId="2967030E" w14:textId="4EB83CA1" w:rsidR="00045AA4" w:rsidRDefault="00045AA4" w:rsidP="00045AA4">
      <w:pPr>
        <w:spacing w:after="0"/>
        <w:rPr>
          <w:rFonts w:eastAsia="Rockwell" w:cs="Arial"/>
          <w:color w:val="000000"/>
          <w:szCs w:val="20"/>
        </w:rPr>
      </w:pPr>
      <w:r w:rsidRPr="00606811">
        <w:rPr>
          <w:rFonts w:eastAsia="Rockwell" w:cs="Arial"/>
          <w:color w:val="000000"/>
          <w:szCs w:val="20"/>
        </w:rPr>
        <w:t xml:space="preserve">In its latest </w:t>
      </w:r>
      <w:r w:rsidRPr="00606811">
        <w:rPr>
          <w:rFonts w:eastAsia="Rockwell" w:cs="Arial"/>
          <w:i/>
          <w:iCs/>
          <w:color w:val="000000"/>
          <w:szCs w:val="20"/>
        </w:rPr>
        <w:t>Labour Force</w:t>
      </w:r>
      <w:r w:rsidRPr="00606811">
        <w:rPr>
          <w:rFonts w:eastAsia="Rockwell" w:cs="Arial"/>
          <w:color w:val="000000"/>
          <w:szCs w:val="20"/>
        </w:rPr>
        <w:t xml:space="preserve"> release (</w:t>
      </w:r>
      <w:r>
        <w:rPr>
          <w:rFonts w:eastAsia="Rockwell" w:cs="Arial"/>
          <w:color w:val="000000"/>
          <w:szCs w:val="20"/>
        </w:rPr>
        <w:t>May</w:t>
      </w:r>
      <w:r w:rsidRPr="00606811">
        <w:rPr>
          <w:rFonts w:eastAsia="Rockwell" w:cs="Arial"/>
          <w:color w:val="000000"/>
          <w:szCs w:val="20"/>
        </w:rPr>
        <w:t xml:space="preserve"> 2024), the ABS observed that </w:t>
      </w:r>
      <w:r>
        <w:rPr>
          <w:rFonts w:eastAsia="Rockwell" w:cs="Arial"/>
          <w:color w:val="000000"/>
          <w:szCs w:val="20"/>
        </w:rPr>
        <w:t>Australia’s</w:t>
      </w:r>
      <w:r w:rsidRPr="00606811">
        <w:rPr>
          <w:rFonts w:eastAsia="Rockwell" w:cs="Arial"/>
          <w:color w:val="000000"/>
          <w:szCs w:val="20"/>
        </w:rPr>
        <w:t xml:space="preserve"> employment-to-population ratio</w:t>
      </w:r>
      <w:r>
        <w:rPr>
          <w:rFonts w:eastAsia="Rockwell" w:cs="Arial"/>
          <w:color w:val="000000"/>
          <w:szCs w:val="20"/>
        </w:rPr>
        <w:t xml:space="preserve"> and participation rate remain much</w:t>
      </w:r>
      <w:r w:rsidRPr="00606811">
        <w:rPr>
          <w:rFonts w:eastAsia="Rockwell" w:cs="Arial"/>
          <w:color w:val="000000"/>
          <w:szCs w:val="20"/>
        </w:rPr>
        <w:t xml:space="preserve"> high</w:t>
      </w:r>
      <w:r>
        <w:rPr>
          <w:rFonts w:eastAsia="Rockwell" w:cs="Arial"/>
          <w:color w:val="000000"/>
          <w:szCs w:val="20"/>
        </w:rPr>
        <w:t>er</w:t>
      </w:r>
      <w:r w:rsidRPr="00606811">
        <w:rPr>
          <w:rFonts w:eastAsia="Rockwell" w:cs="Arial"/>
          <w:color w:val="000000"/>
          <w:szCs w:val="20"/>
        </w:rPr>
        <w:t xml:space="preserve"> </w:t>
      </w:r>
      <w:r>
        <w:rPr>
          <w:rFonts w:eastAsia="Rockwell" w:cs="Arial"/>
          <w:color w:val="000000"/>
          <w:szCs w:val="20"/>
        </w:rPr>
        <w:t xml:space="preserve">than their pre-pandemic </w:t>
      </w:r>
      <w:r w:rsidRPr="00606811">
        <w:rPr>
          <w:rFonts w:eastAsia="Rockwell" w:cs="Arial"/>
          <w:color w:val="000000"/>
          <w:szCs w:val="20"/>
        </w:rPr>
        <w:t>levels</w:t>
      </w:r>
      <w:r>
        <w:rPr>
          <w:rFonts w:eastAsia="Rockwell" w:cs="Arial"/>
          <w:color w:val="000000"/>
          <w:szCs w:val="20"/>
        </w:rPr>
        <w:t xml:space="preserve">. </w:t>
      </w:r>
      <w:r w:rsidRPr="003C4EC3">
        <w:rPr>
          <w:rFonts w:eastAsia="Rockwell" w:cs="Arial"/>
          <w:color w:val="000000"/>
          <w:szCs w:val="20"/>
        </w:rPr>
        <w:t>According to the ABS</w:t>
      </w:r>
      <w:r w:rsidR="003C4EC3" w:rsidRPr="003C4EC3">
        <w:rPr>
          <w:rFonts w:eastAsia="Rockwell" w:cs="Arial"/>
          <w:color w:val="000000"/>
          <w:szCs w:val="20"/>
        </w:rPr>
        <w:t>:</w:t>
      </w:r>
      <w:r w:rsidR="003C4EC3" w:rsidRPr="003C4EC3">
        <w:rPr>
          <w:rStyle w:val="FootnoteReference"/>
          <w:color w:val="auto"/>
        </w:rPr>
        <w:footnoteReference w:id="216"/>
      </w:r>
    </w:p>
    <w:p w14:paraId="6FECF804" w14:textId="2E2771DF" w:rsidR="00045AA4" w:rsidRPr="00144E06" w:rsidRDefault="00045AA4" w:rsidP="00144E06">
      <w:pPr>
        <w:pStyle w:val="07VIRTBreakouttext"/>
      </w:pPr>
      <w:r w:rsidRPr="00144E06">
        <w:t>Together with elevated levels of job vacancies, this suggests the labour market remains relatively tight, though less [tight] than in late 2022 and early 2023.</w:t>
      </w:r>
    </w:p>
    <w:p w14:paraId="51EE4D7A" w14:textId="28E0AAFF" w:rsidR="008478FE" w:rsidRPr="008478FE" w:rsidRDefault="008478FE" w:rsidP="00570E18">
      <w:pPr>
        <w:pStyle w:val="05Paragraph"/>
        <w:rPr>
          <w:noProof/>
          <w:lang w:eastAsia="en-AU"/>
        </w:rPr>
      </w:pPr>
      <w:r w:rsidRPr="008478FE">
        <w:rPr>
          <w:noProof/>
          <w:lang w:eastAsia="en-AU"/>
        </w:rPr>
        <w:t xml:space="preserve">The Australian participation rate also remains near record high levels, while the Australian unemployment rate rose modestly over the past year to be 4 per cent in </w:t>
      </w:r>
      <w:r w:rsidR="008F1804">
        <w:rPr>
          <w:noProof/>
          <w:lang w:eastAsia="en-AU"/>
        </w:rPr>
        <w:t>May</w:t>
      </w:r>
      <w:r w:rsidRPr="008478FE">
        <w:rPr>
          <w:noProof/>
          <w:lang w:eastAsia="en-AU"/>
        </w:rPr>
        <w:t xml:space="preserve"> 2024 (compared with </w:t>
      </w:r>
      <w:r w:rsidR="002B0CF0">
        <w:rPr>
          <w:noProof/>
          <w:lang w:eastAsia="en-AU"/>
        </w:rPr>
        <w:t>4.1</w:t>
      </w:r>
      <w:r w:rsidRPr="008478FE">
        <w:rPr>
          <w:noProof/>
          <w:lang w:eastAsia="en-AU"/>
        </w:rPr>
        <w:t xml:space="preserve"> per cent in </w:t>
      </w:r>
      <w:r w:rsidR="002B0CF0">
        <w:rPr>
          <w:noProof/>
          <w:lang w:eastAsia="en-AU"/>
        </w:rPr>
        <w:t>April</w:t>
      </w:r>
      <w:r w:rsidRPr="008478FE">
        <w:rPr>
          <w:noProof/>
          <w:lang w:eastAsia="en-AU"/>
        </w:rPr>
        <w:t xml:space="preserve"> 2024 and 3.</w:t>
      </w:r>
      <w:r w:rsidR="008F1804" w:rsidRPr="008F1804">
        <w:rPr>
          <w:noProof/>
          <w:lang w:eastAsia="en-AU"/>
        </w:rPr>
        <w:t>6</w:t>
      </w:r>
      <w:r w:rsidRPr="008478FE">
        <w:rPr>
          <w:noProof/>
          <w:lang w:eastAsia="en-AU"/>
        </w:rPr>
        <w:t xml:space="preserve"> per cent in </w:t>
      </w:r>
      <w:r w:rsidR="002B0CF0">
        <w:rPr>
          <w:noProof/>
          <w:lang w:eastAsia="en-AU"/>
        </w:rPr>
        <w:t>May</w:t>
      </w:r>
      <w:r w:rsidRPr="008478FE">
        <w:rPr>
          <w:noProof/>
          <w:lang w:eastAsia="en-AU"/>
        </w:rPr>
        <w:t xml:space="preserve"> 2023).</w:t>
      </w:r>
      <w:r w:rsidRPr="008478FE">
        <w:rPr>
          <w:noProof/>
          <w:vertAlign w:val="superscript"/>
          <w:lang w:eastAsia="en-AU"/>
        </w:rPr>
        <w:footnoteReference w:id="217"/>
      </w:r>
    </w:p>
    <w:p w14:paraId="3E1F2C65" w14:textId="4A089E4C" w:rsidR="008478FE" w:rsidRPr="008478FE" w:rsidRDefault="008478FE" w:rsidP="00570E18">
      <w:pPr>
        <w:pStyle w:val="05Paragraph"/>
        <w:rPr>
          <w:noProof/>
          <w:lang w:eastAsia="en-AU"/>
        </w:rPr>
      </w:pPr>
      <w:r w:rsidRPr="008478FE">
        <w:rPr>
          <w:noProof/>
          <w:lang w:eastAsia="en-AU"/>
        </w:rPr>
        <w:t xml:space="preserve">A similar scenario is unfolding in the Victorian labour market. According to the </w:t>
      </w:r>
      <w:r w:rsidRPr="009708AE">
        <w:rPr>
          <w:lang w:eastAsia="en-AU"/>
        </w:rPr>
        <w:t>2024-25 Budget</w:t>
      </w:r>
      <w:r w:rsidRPr="008478FE">
        <w:rPr>
          <w:noProof/>
          <w:lang w:eastAsia="en-AU"/>
        </w:rPr>
        <w:t xml:space="preserve">, the State’s labour market remains </w:t>
      </w:r>
      <w:r w:rsidR="003E03A4">
        <w:rPr>
          <w:noProof/>
          <w:lang w:eastAsia="en-AU"/>
        </w:rPr>
        <w:t>‘</w:t>
      </w:r>
      <w:r w:rsidRPr="008478FE">
        <w:rPr>
          <w:noProof/>
          <w:lang w:eastAsia="en-AU"/>
        </w:rPr>
        <w:t>strong</w:t>
      </w:r>
      <w:r w:rsidR="003E03A4">
        <w:rPr>
          <w:noProof/>
          <w:lang w:eastAsia="en-AU"/>
        </w:rPr>
        <w:t>’</w:t>
      </w:r>
      <w:r w:rsidRPr="008478FE">
        <w:rPr>
          <w:noProof/>
          <w:lang w:eastAsia="en-AU"/>
        </w:rPr>
        <w:t>, with the share of working-age Victorians in employment and labour force participation remaining near record levels. Nonetheless, it also noted that employment growth has eased from the relatively high levels observed in previous years.</w:t>
      </w:r>
      <w:r w:rsidRPr="008478FE">
        <w:rPr>
          <w:noProof/>
          <w:vertAlign w:val="superscript"/>
          <w:lang w:eastAsia="en-AU"/>
        </w:rPr>
        <w:footnoteReference w:id="218"/>
      </w:r>
      <w:r w:rsidRPr="008478FE">
        <w:rPr>
          <w:noProof/>
          <w:lang w:eastAsia="en-AU"/>
        </w:rPr>
        <w:t xml:space="preserve"> Since the release of </w:t>
      </w:r>
      <w:r w:rsidRPr="008478FE">
        <w:rPr>
          <w:noProof/>
          <w:lang w:eastAsia="en-AU"/>
        </w:rPr>
        <w:lastRenderedPageBreak/>
        <w:t xml:space="preserve">the </w:t>
      </w:r>
      <w:r w:rsidRPr="009708AE">
        <w:rPr>
          <w:lang w:eastAsia="en-AU"/>
        </w:rPr>
        <w:t>2024-25 Budget</w:t>
      </w:r>
      <w:r w:rsidRPr="008478FE">
        <w:rPr>
          <w:noProof/>
          <w:lang w:eastAsia="en-AU"/>
        </w:rPr>
        <w:t xml:space="preserve">, ABS data show that the Victorian unemployment rate </w:t>
      </w:r>
      <w:r w:rsidR="00AE0B47">
        <w:rPr>
          <w:noProof/>
          <w:lang w:eastAsia="en-AU"/>
        </w:rPr>
        <w:t>increased</w:t>
      </w:r>
      <w:r w:rsidRPr="008478FE">
        <w:rPr>
          <w:noProof/>
          <w:lang w:eastAsia="en-AU"/>
        </w:rPr>
        <w:t xml:space="preserve"> to 4.</w:t>
      </w:r>
      <w:r w:rsidR="00AE0B47">
        <w:rPr>
          <w:noProof/>
          <w:lang w:eastAsia="en-AU"/>
        </w:rPr>
        <w:t>4</w:t>
      </w:r>
      <w:r w:rsidRPr="008478FE">
        <w:rPr>
          <w:noProof/>
          <w:lang w:eastAsia="en-AU"/>
        </w:rPr>
        <w:t xml:space="preserve"> per cent in </w:t>
      </w:r>
      <w:r w:rsidR="00AE0B47">
        <w:rPr>
          <w:noProof/>
          <w:lang w:eastAsia="en-AU"/>
        </w:rPr>
        <w:t>May</w:t>
      </w:r>
      <w:r w:rsidRPr="008478FE">
        <w:rPr>
          <w:noProof/>
          <w:lang w:eastAsia="en-AU"/>
        </w:rPr>
        <w:t xml:space="preserve"> 2024 (compared with </w:t>
      </w:r>
      <w:r w:rsidRPr="00916098">
        <w:rPr>
          <w:noProof/>
          <w:lang w:eastAsia="en-AU"/>
        </w:rPr>
        <w:t>4.</w:t>
      </w:r>
      <w:r w:rsidR="00916098" w:rsidRPr="00916098">
        <w:rPr>
          <w:noProof/>
          <w:lang w:eastAsia="en-AU"/>
        </w:rPr>
        <w:t>3</w:t>
      </w:r>
      <w:r w:rsidRPr="008478FE">
        <w:rPr>
          <w:noProof/>
          <w:lang w:eastAsia="en-AU"/>
        </w:rPr>
        <w:t xml:space="preserve"> per cent in April 2024 and 3.</w:t>
      </w:r>
      <w:r w:rsidR="00916098" w:rsidRPr="00916098">
        <w:rPr>
          <w:noProof/>
          <w:lang w:eastAsia="en-AU"/>
        </w:rPr>
        <w:t>7</w:t>
      </w:r>
      <w:r w:rsidRPr="008478FE">
        <w:rPr>
          <w:noProof/>
          <w:lang w:eastAsia="en-AU"/>
        </w:rPr>
        <w:t xml:space="preserve"> per cent in </w:t>
      </w:r>
      <w:r w:rsidR="002B0CF0">
        <w:rPr>
          <w:noProof/>
          <w:lang w:eastAsia="en-AU"/>
        </w:rPr>
        <w:t>May</w:t>
      </w:r>
      <w:r w:rsidRPr="008478FE">
        <w:rPr>
          <w:noProof/>
          <w:lang w:eastAsia="en-AU"/>
        </w:rPr>
        <w:t xml:space="preserve"> 2023) </w:t>
      </w:r>
      <w:r w:rsidR="00AE0B47">
        <w:rPr>
          <w:noProof/>
          <w:lang w:eastAsia="en-AU"/>
        </w:rPr>
        <w:t>to be</w:t>
      </w:r>
      <w:r w:rsidRPr="008478FE">
        <w:rPr>
          <w:noProof/>
          <w:lang w:eastAsia="en-AU"/>
        </w:rPr>
        <w:t xml:space="preserve"> the highest of the states</w:t>
      </w:r>
      <w:r w:rsidR="00AE0B47">
        <w:rPr>
          <w:noProof/>
          <w:lang w:eastAsia="en-AU"/>
        </w:rPr>
        <w:t xml:space="preserve"> and territories</w:t>
      </w:r>
      <w:r w:rsidRPr="008478FE">
        <w:rPr>
          <w:noProof/>
          <w:lang w:eastAsia="en-AU"/>
        </w:rPr>
        <w:t>.</w:t>
      </w:r>
      <w:r w:rsidRPr="008478FE">
        <w:rPr>
          <w:noProof/>
          <w:vertAlign w:val="superscript"/>
          <w:lang w:eastAsia="en-AU"/>
        </w:rPr>
        <w:footnoteReference w:id="219"/>
      </w:r>
    </w:p>
    <w:p w14:paraId="4CF6E7D2" w14:textId="77777777" w:rsidR="008478FE" w:rsidRPr="008478FE" w:rsidRDefault="008478FE" w:rsidP="003E06AB">
      <w:pPr>
        <w:pStyle w:val="03VIRTHeading3"/>
      </w:pPr>
      <w:r w:rsidRPr="008478FE">
        <w:t>Nominal wages growth has picked up in recent years</w:t>
      </w:r>
    </w:p>
    <w:p w14:paraId="372847EB" w14:textId="04C01075" w:rsidR="008478FE" w:rsidRPr="008478FE" w:rsidRDefault="00621657" w:rsidP="003E06AB">
      <w:pPr>
        <w:pStyle w:val="05Paragraph"/>
        <w:rPr>
          <w:noProof/>
          <w:lang w:eastAsia="en-AU"/>
        </w:rPr>
      </w:pPr>
      <w:r w:rsidRPr="00E76E49">
        <w:rPr>
          <w:spacing w:val="-4"/>
          <w:lang w:eastAsia="en-AU"/>
        </w:rPr>
        <w:t>I</w:t>
      </w:r>
      <w:r w:rsidR="008478FE" w:rsidRPr="00E76E49">
        <w:rPr>
          <w:spacing w:val="-4"/>
          <w:lang w:eastAsia="en-AU"/>
        </w:rPr>
        <w:t xml:space="preserve">n response to the tight labour market and high inflation, </w:t>
      </w:r>
      <w:r w:rsidRPr="00E76E49">
        <w:rPr>
          <w:spacing w:val="-4"/>
          <w:lang w:eastAsia="en-AU"/>
        </w:rPr>
        <w:t>nominal wages growth</w:t>
      </w:r>
      <w:r w:rsidR="008478FE" w:rsidRPr="00E76E49">
        <w:rPr>
          <w:spacing w:val="-4"/>
          <w:lang w:eastAsia="en-AU"/>
        </w:rPr>
        <w:t xml:space="preserve"> is currently around its highest level in over a decade. The Australian Wage Price Index (WPI) rose 4.2 per cent over 2023, which was the highest annual growth rate since early 2009. Growth moderated slightly to 4.1 per cent in the March quarter 2024 but remains above its long</w:t>
      </w:r>
      <w:r w:rsidR="008478FE" w:rsidRPr="00E76E49">
        <w:rPr>
          <w:spacing w:val="-4"/>
          <w:lang w:eastAsia="en-AU"/>
        </w:rPr>
        <w:noBreakHyphen/>
        <w:t>run (excluding the pandemic) average of</w:t>
      </w:r>
      <w:r w:rsidR="00333312" w:rsidRPr="00E76E49">
        <w:rPr>
          <w:spacing w:val="-4"/>
          <w:lang w:eastAsia="en-AU"/>
        </w:rPr>
        <w:t xml:space="preserve"> </w:t>
      </w:r>
      <w:r w:rsidR="008478FE" w:rsidRPr="00E76E49">
        <w:rPr>
          <w:spacing w:val="-4"/>
          <w:lang w:eastAsia="en-AU"/>
        </w:rPr>
        <w:t>3.2 per</w:t>
      </w:r>
      <w:r w:rsidR="00333312" w:rsidRPr="00E76E49">
        <w:rPr>
          <w:spacing w:val="-4"/>
          <w:lang w:eastAsia="en-AU"/>
        </w:rPr>
        <w:t> </w:t>
      </w:r>
      <w:r w:rsidR="008478FE" w:rsidRPr="00E76E49">
        <w:rPr>
          <w:spacing w:val="-4"/>
          <w:lang w:eastAsia="en-AU"/>
        </w:rPr>
        <w:t>cent</w:t>
      </w:r>
      <w:r w:rsidR="008478FE" w:rsidRPr="008478FE">
        <w:rPr>
          <w:noProof/>
          <w:lang w:eastAsia="en-AU"/>
        </w:rPr>
        <w:t>.</w:t>
      </w:r>
      <w:r w:rsidR="008478FE" w:rsidRPr="008478FE">
        <w:rPr>
          <w:noProof/>
          <w:vertAlign w:val="superscript"/>
          <w:lang w:eastAsia="en-AU"/>
        </w:rPr>
        <w:footnoteReference w:id="220"/>
      </w:r>
    </w:p>
    <w:p w14:paraId="1F5BDA0A" w14:textId="77777777" w:rsidR="008478FE" w:rsidRPr="008478FE" w:rsidRDefault="008478FE" w:rsidP="003E06AB">
      <w:pPr>
        <w:pStyle w:val="05Paragraph"/>
        <w:rPr>
          <w:noProof/>
          <w:lang w:eastAsia="en-AU"/>
        </w:rPr>
      </w:pPr>
      <w:r w:rsidRPr="00E76E49">
        <w:rPr>
          <w:spacing w:val="-4"/>
          <w:lang w:eastAsia="en-AU"/>
        </w:rPr>
        <w:t>The RBA has observed that wages growth appears to have peaked for workers on individual arrangements, whose wages are the most responsive to economic conditions. By contrast, it noted that wages growth is continuing to strengthen for enterprise agreements (EAs), which are slower to respond to economic conditions.</w:t>
      </w:r>
      <w:r w:rsidRPr="00E76E49">
        <w:rPr>
          <w:spacing w:val="-4"/>
          <w:vertAlign w:val="superscript"/>
          <w:lang w:eastAsia="en-AU"/>
        </w:rPr>
        <w:footnoteReference w:id="221"/>
      </w:r>
      <w:r w:rsidRPr="00E76E49">
        <w:rPr>
          <w:spacing w:val="-4"/>
          <w:lang w:eastAsia="en-AU"/>
        </w:rPr>
        <w:t xml:space="preserve"> Data from the Commonwealth Department of Employment and Workplace Relations show that the average annualised wage increase for agreements approved in the December quarter 2023 was 4.3 per cent, compared with 4.1 per cent in the previous quarter and 3 per cent in the December quarter 2022</w:t>
      </w:r>
      <w:r w:rsidRPr="008478FE">
        <w:rPr>
          <w:noProof/>
          <w:lang w:eastAsia="en-AU"/>
        </w:rPr>
        <w:t>.</w:t>
      </w:r>
      <w:r w:rsidRPr="008478FE">
        <w:rPr>
          <w:noProof/>
          <w:vertAlign w:val="superscript"/>
          <w:lang w:eastAsia="en-AU"/>
        </w:rPr>
        <w:footnoteReference w:id="222"/>
      </w:r>
      <w:r w:rsidRPr="008478FE">
        <w:rPr>
          <w:noProof/>
          <w:lang w:eastAsia="en-AU"/>
        </w:rPr>
        <w:t xml:space="preserve"> </w:t>
      </w:r>
    </w:p>
    <w:p w14:paraId="21C8790B" w14:textId="355F3A16" w:rsidR="008478FE" w:rsidRPr="008478FE" w:rsidRDefault="008478FE" w:rsidP="003E06AB">
      <w:pPr>
        <w:pStyle w:val="05Paragraph"/>
        <w:rPr>
          <w:noProof/>
          <w:lang w:eastAsia="en-AU"/>
        </w:rPr>
      </w:pPr>
      <w:r w:rsidRPr="008478FE">
        <w:rPr>
          <w:noProof/>
          <w:lang w:eastAsia="en-AU"/>
        </w:rPr>
        <w:t xml:space="preserve">Award wages and the National Minimum Wage (NMW) have also grown in recent years. In its </w:t>
      </w:r>
      <w:r w:rsidRPr="008478FE">
        <w:rPr>
          <w:i/>
          <w:noProof/>
          <w:lang w:eastAsia="en-AU"/>
        </w:rPr>
        <w:t>Annual Wage Review 2023-24</w:t>
      </w:r>
      <w:r w:rsidRPr="008478FE">
        <w:rPr>
          <w:noProof/>
          <w:lang w:eastAsia="en-AU"/>
        </w:rPr>
        <w:t xml:space="preserve">, the </w:t>
      </w:r>
      <w:r w:rsidR="0050116E" w:rsidRPr="008478FE">
        <w:rPr>
          <w:noProof/>
          <w:lang w:eastAsia="en-AU"/>
        </w:rPr>
        <w:t>Fair Work Commission (FWC)</w:t>
      </w:r>
      <w:r w:rsidRPr="008478FE">
        <w:rPr>
          <w:noProof/>
          <w:lang w:eastAsia="en-AU"/>
        </w:rPr>
        <w:t xml:space="preserve"> increased the NMW and all modern award minimum wages by 3.75 per cent with effect from 1 July 2024. This followed a 5.75 per cent increase from 1 July 2023.</w:t>
      </w:r>
      <w:r w:rsidRPr="008478FE">
        <w:rPr>
          <w:noProof/>
          <w:vertAlign w:val="superscript"/>
          <w:lang w:eastAsia="en-AU"/>
        </w:rPr>
        <w:footnoteReference w:id="223"/>
      </w:r>
      <w:r w:rsidRPr="008478FE">
        <w:rPr>
          <w:noProof/>
          <w:lang w:eastAsia="en-AU"/>
        </w:rPr>
        <w:t xml:space="preserve"> In explaining the reasons for its latest decision, the FWC stated that:</w:t>
      </w:r>
      <w:r w:rsidR="008C0F54" w:rsidRPr="008478FE">
        <w:rPr>
          <w:rFonts w:cs="Times New Roman (Body CS)"/>
          <w:iCs/>
          <w:spacing w:val="-6"/>
          <w:vertAlign w:val="superscript"/>
        </w:rPr>
        <w:footnoteReference w:id="224"/>
      </w:r>
    </w:p>
    <w:p w14:paraId="22D85272" w14:textId="69715D4B" w:rsidR="008478FE" w:rsidRPr="008478FE" w:rsidRDefault="008478FE" w:rsidP="004429A4">
      <w:pPr>
        <w:pStyle w:val="07VIRTBreakouttext"/>
      </w:pPr>
      <w:r w:rsidRPr="008478FE">
        <w:t xml:space="preserve">… a primary consideration has been the cost-of-living pressures [being experienced by] modern award-reliant employees … At the same time, we consider that it is not </w:t>
      </w:r>
      <w:r w:rsidRPr="004429A4">
        <w:t>appropriate</w:t>
      </w:r>
      <w:r w:rsidR="001D7525">
        <w:t xml:space="preserve"> at this time </w:t>
      </w:r>
      <w:r w:rsidRPr="008478FE">
        <w:t>to increase award wages by any amount significantly above the inflation rate, principally because labour productivity is no higher than it was four years ago ….</w:t>
      </w:r>
    </w:p>
    <w:p w14:paraId="5FDFA2C6" w14:textId="0283A27C" w:rsidR="008478FE" w:rsidRPr="008478FE" w:rsidRDefault="008478FE" w:rsidP="003E06AB">
      <w:pPr>
        <w:pStyle w:val="05Paragraph"/>
        <w:rPr>
          <w:noProof/>
          <w:lang w:eastAsia="en-AU"/>
        </w:rPr>
      </w:pPr>
      <w:r w:rsidRPr="008478FE">
        <w:rPr>
          <w:noProof/>
          <w:lang w:eastAsia="en-AU"/>
        </w:rPr>
        <w:t xml:space="preserve">Wages growth has also picked up in Victoria, although to a lesser extent than in Australia as a whole. The Victorian WPI rose 3.6 per cent over the 12 months to </w:t>
      </w:r>
      <w:r w:rsidRPr="008478FE">
        <w:rPr>
          <w:noProof/>
          <w:lang w:eastAsia="en-AU"/>
        </w:rPr>
        <w:lastRenderedPageBreak/>
        <w:t>the March quarter 2024, the lowest growth among the states, and has grown more slowly than the national WPI since mid</w:t>
      </w:r>
      <w:r w:rsidRPr="008478FE">
        <w:rPr>
          <w:noProof/>
          <w:lang w:eastAsia="en-AU"/>
        </w:rPr>
        <w:noBreakHyphen/>
        <w:t>2023 (Figure 6.4).</w:t>
      </w:r>
      <w:r w:rsidR="00F76D45">
        <w:rPr>
          <w:rStyle w:val="FootnoteReference"/>
          <w:rFonts w:eastAsia="Rockwell" w:cs="Calibri Light"/>
          <w:noProof/>
          <w:color w:val="000000"/>
          <w:lang w:eastAsia="en-AU"/>
        </w:rPr>
        <w:footnoteReference w:id="225"/>
      </w:r>
    </w:p>
    <w:p w14:paraId="21746B16" w14:textId="5A7D91BA" w:rsidR="008478FE" w:rsidRDefault="008478FE" w:rsidP="00144BE8">
      <w:pPr>
        <w:pStyle w:val="08Figuretableboxheading"/>
      </w:pPr>
      <w:bookmarkStart w:id="145" w:name="_Toc170393568"/>
      <w:r w:rsidRPr="008478FE">
        <w:t>Figure 6.4: Annual WPI growth (all sectors), Victoria and Australia, March quarter 2015 to March quarter 2024</w:t>
      </w:r>
      <w:bookmarkEnd w:id="145"/>
    </w:p>
    <w:p w14:paraId="6670BC6C" w14:textId="49FAD44D" w:rsidR="00C15CC8" w:rsidRPr="008478FE" w:rsidRDefault="00C15CC8" w:rsidP="00144BE8">
      <w:pPr>
        <w:pStyle w:val="08Figuretableboxheading"/>
      </w:pPr>
      <w:r>
        <w:rPr>
          <w:noProof/>
        </w:rPr>
        <w:drawing>
          <wp:inline distT="0" distB="0" distL="0" distR="0" wp14:anchorId="33A8AFE6" wp14:editId="51086440">
            <wp:extent cx="5395595" cy="2707005"/>
            <wp:effectExtent l="0" t="0" r="0" b="0"/>
            <wp:docPr id="13234641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95595" cy="2707005"/>
                    </a:xfrm>
                    <a:prstGeom prst="rect">
                      <a:avLst/>
                    </a:prstGeom>
                    <a:noFill/>
                  </pic:spPr>
                </pic:pic>
              </a:graphicData>
            </a:graphic>
          </wp:inline>
        </w:drawing>
      </w:r>
    </w:p>
    <w:p w14:paraId="5D6BA50A" w14:textId="343E835B" w:rsidR="008478FE" w:rsidRPr="008478FE" w:rsidRDefault="008478FE" w:rsidP="004429A4">
      <w:pPr>
        <w:pStyle w:val="09Sourcesandnotesfortablesfiguresboxes"/>
      </w:pPr>
      <w:r w:rsidRPr="008478FE">
        <w:t xml:space="preserve">Source: </w:t>
      </w:r>
      <w:r w:rsidR="00171538" w:rsidRPr="00171538">
        <w:t>ABS (2024h)</w:t>
      </w:r>
      <w:r w:rsidR="00171538">
        <w:t>.</w:t>
      </w:r>
    </w:p>
    <w:p w14:paraId="05A75112" w14:textId="2E511994" w:rsidR="008478FE" w:rsidRPr="008478FE" w:rsidRDefault="008478FE" w:rsidP="004429A4">
      <w:pPr>
        <w:pStyle w:val="05Paragraph"/>
        <w:rPr>
          <w:lang w:eastAsia="en-AU"/>
        </w:rPr>
      </w:pPr>
      <w:r w:rsidRPr="008478FE">
        <w:rPr>
          <w:lang w:eastAsia="en-AU"/>
        </w:rPr>
        <w:t>The public sector in Victoria (which comprises the Victorian Government, local governments and Australian Government agencies operating in Victoria) has experienced lower wages growth than the private sector in recent years, in a reversal of the pre-pandemic trend. Over the</w:t>
      </w:r>
      <w:r w:rsidR="00EC150A">
        <w:rPr>
          <w:lang w:eastAsia="en-AU"/>
        </w:rPr>
        <w:t xml:space="preserve"> </w:t>
      </w:r>
      <w:r w:rsidR="00BC396C">
        <w:rPr>
          <w:lang w:eastAsia="en-AU"/>
        </w:rPr>
        <w:t>year</w:t>
      </w:r>
      <w:r w:rsidRPr="008478FE">
        <w:rPr>
          <w:lang w:eastAsia="en-AU"/>
        </w:rPr>
        <w:t xml:space="preserve"> to the March quarter 2024, public sector wages grew by 2.5 per cent, compared with 3.9 per cent in the private sector.</w:t>
      </w:r>
      <w:r w:rsidRPr="008478FE">
        <w:rPr>
          <w:vertAlign w:val="superscript"/>
          <w:lang w:eastAsia="en-AU"/>
        </w:rPr>
        <w:footnoteReference w:id="226"/>
      </w:r>
      <w:r w:rsidRPr="008478FE">
        <w:rPr>
          <w:lang w:eastAsia="en-AU"/>
        </w:rPr>
        <w:t xml:space="preserve"> The Victorian Government’s submission to the </w:t>
      </w:r>
      <w:r w:rsidR="00EE2D40">
        <w:rPr>
          <w:lang w:eastAsia="en-AU"/>
        </w:rPr>
        <w:t>FWC</w:t>
      </w:r>
      <w:r w:rsidRPr="008478FE">
        <w:rPr>
          <w:lang w:eastAsia="en-AU"/>
        </w:rPr>
        <w:t xml:space="preserve">’s </w:t>
      </w:r>
      <w:r w:rsidRPr="008478FE">
        <w:rPr>
          <w:i/>
          <w:lang w:eastAsia="en-AU"/>
        </w:rPr>
        <w:t>Annual Wage Review 2023-24</w:t>
      </w:r>
      <w:r w:rsidRPr="008478FE">
        <w:rPr>
          <w:lang w:eastAsia="en-AU"/>
        </w:rPr>
        <w:t xml:space="preserve"> observed that a relevant factor in this regard is the influence of the </w:t>
      </w:r>
      <w:r w:rsidRPr="00FE565B">
        <w:t>prevalent</w:t>
      </w:r>
      <w:r w:rsidRPr="008478FE">
        <w:rPr>
          <w:lang w:eastAsia="en-AU"/>
        </w:rPr>
        <w:t xml:space="preserve"> pay setting method in each sector (EAs in the public sector, individual arrangements in the private sector).</w:t>
      </w:r>
      <w:r w:rsidRPr="008478FE">
        <w:rPr>
          <w:vertAlign w:val="superscript"/>
          <w:lang w:eastAsia="en-AU"/>
        </w:rPr>
        <w:footnoteReference w:id="227"/>
      </w:r>
    </w:p>
    <w:p w14:paraId="7EDDCA3F" w14:textId="53F1C976" w:rsidR="008478FE" w:rsidRPr="008478FE" w:rsidRDefault="008478FE" w:rsidP="00E76E49">
      <w:pPr>
        <w:pStyle w:val="05Paragraph"/>
        <w:keepNext/>
        <w:rPr>
          <w:lang w:eastAsia="en-AU"/>
        </w:rPr>
      </w:pPr>
      <w:r w:rsidRPr="008478FE">
        <w:rPr>
          <w:lang w:eastAsia="en-AU"/>
        </w:rPr>
        <w:t>Nationally, broader measures of employee earnings have generally grown faster than base wages. Depending on the specific measure, this may reflect compositional factors (e.g. increases in full-time employment and hours worked)</w:t>
      </w:r>
      <w:r w:rsidRPr="008478FE">
        <w:rPr>
          <w:rFonts w:ascii="Calibri" w:hAnsi="Calibri" w:cs="Calibri"/>
          <w:lang w:eastAsia="en-AU"/>
        </w:rPr>
        <w:t xml:space="preserve"> </w:t>
      </w:r>
      <w:r w:rsidRPr="008478FE">
        <w:rPr>
          <w:lang w:eastAsia="en-AU"/>
        </w:rPr>
        <w:lastRenderedPageBreak/>
        <w:t>and/or the use of non</w:t>
      </w:r>
      <w:r w:rsidRPr="008478FE">
        <w:rPr>
          <w:lang w:eastAsia="en-AU"/>
        </w:rPr>
        <w:noBreakHyphen/>
        <w:t>base wage forms of compensation (e.g. bonuses) to attract and retain employees in a tight labour market. For example, ABS data show</w:t>
      </w:r>
      <w:r w:rsidR="008538EF">
        <w:rPr>
          <w:lang w:eastAsia="en-AU"/>
        </w:rPr>
        <w:t>s</w:t>
      </w:r>
      <w:r w:rsidRPr="008478FE">
        <w:rPr>
          <w:lang w:eastAsia="en-AU"/>
        </w:rPr>
        <w:t xml:space="preserve"> that:</w:t>
      </w:r>
    </w:p>
    <w:p w14:paraId="1DA4C142" w14:textId="3455E44A" w:rsidR="008478FE" w:rsidRPr="008478FE" w:rsidRDefault="008478FE" w:rsidP="004429A4">
      <w:pPr>
        <w:pStyle w:val="06VIRTBulletpoints"/>
        <w:rPr>
          <w:lang w:eastAsia="en-AU"/>
        </w:rPr>
      </w:pPr>
      <w:r w:rsidRPr="008478FE">
        <w:rPr>
          <w:lang w:eastAsia="en-AU"/>
        </w:rPr>
        <w:t>average compensation per employee (also known as Average Earnings from the National Accounts) grew by 5 per cent over 2023</w:t>
      </w:r>
      <w:r w:rsidRPr="008478FE">
        <w:rPr>
          <w:vertAlign w:val="superscript"/>
          <w:lang w:eastAsia="en-AU"/>
        </w:rPr>
        <w:footnoteReference w:id="228"/>
      </w:r>
    </w:p>
    <w:p w14:paraId="5496C9E2" w14:textId="77777777" w:rsidR="008478FE" w:rsidRPr="008478FE" w:rsidRDefault="008478FE" w:rsidP="004429A4">
      <w:pPr>
        <w:pStyle w:val="06VIRTBulletpoints"/>
        <w:rPr>
          <w:lang w:eastAsia="en-AU"/>
        </w:rPr>
      </w:pPr>
      <w:r w:rsidRPr="008478FE">
        <w:rPr>
          <w:lang w:eastAsia="en-AU"/>
        </w:rPr>
        <w:t>average weekly ordinary time earnings for full-time Australian adults grew by 4.5 per cent over the 12 months to November 2023</w:t>
      </w:r>
      <w:r w:rsidRPr="008478FE">
        <w:rPr>
          <w:vertAlign w:val="superscript"/>
          <w:lang w:eastAsia="en-AU"/>
        </w:rPr>
        <w:footnoteReference w:id="229"/>
      </w:r>
    </w:p>
    <w:p w14:paraId="37CBB2D3" w14:textId="77777777" w:rsidR="008478FE" w:rsidRPr="008478FE" w:rsidRDefault="008478FE" w:rsidP="004429A4">
      <w:pPr>
        <w:pStyle w:val="06VIRTBulletpoints"/>
        <w:rPr>
          <w:lang w:eastAsia="en-AU"/>
        </w:rPr>
      </w:pPr>
      <w:r w:rsidRPr="008478FE">
        <w:rPr>
          <w:lang w:eastAsia="en-AU"/>
        </w:rPr>
        <w:t xml:space="preserve">the Australian WPI including </w:t>
      </w:r>
      <w:r w:rsidRPr="003E06AB">
        <w:t>bonuses</w:t>
      </w:r>
      <w:r w:rsidRPr="008478FE">
        <w:rPr>
          <w:lang w:eastAsia="en-AU"/>
        </w:rPr>
        <w:t xml:space="preserve"> rose 4.2 per cent over the 12 months to the March quarter 2024.</w:t>
      </w:r>
      <w:r w:rsidRPr="008478FE">
        <w:rPr>
          <w:vertAlign w:val="superscript"/>
          <w:lang w:eastAsia="en-AU"/>
        </w:rPr>
        <w:footnoteReference w:id="230"/>
      </w:r>
    </w:p>
    <w:p w14:paraId="1C982CAF" w14:textId="77777777" w:rsidR="008478FE" w:rsidRPr="008478FE" w:rsidRDefault="008478FE" w:rsidP="003E06AB">
      <w:pPr>
        <w:pStyle w:val="03VIRTHeading3"/>
      </w:pPr>
      <w:r w:rsidRPr="008478FE">
        <w:t>Real wages are growing again following a period of decline due to high inflation</w:t>
      </w:r>
    </w:p>
    <w:p w14:paraId="14F6FBDC" w14:textId="52C0CC9F" w:rsidR="008478FE" w:rsidRPr="008478FE" w:rsidRDefault="008478FE" w:rsidP="004429A4">
      <w:pPr>
        <w:pStyle w:val="05Paragraph"/>
        <w:rPr>
          <w:lang w:eastAsia="en-AU"/>
        </w:rPr>
      </w:pPr>
      <w:r w:rsidRPr="008478FE">
        <w:rPr>
          <w:lang w:eastAsia="en-AU"/>
        </w:rPr>
        <w:t>While nominal wages are growing at the fastest pace in some time, real wages have declined considerably since the onset of the current inflationary episode and have only recently started growing again.</w:t>
      </w:r>
    </w:p>
    <w:p w14:paraId="567CF3A3" w14:textId="55E60785" w:rsidR="008478FE" w:rsidRPr="008478FE" w:rsidRDefault="008478FE" w:rsidP="004429A4">
      <w:pPr>
        <w:pStyle w:val="05Paragraph"/>
        <w:rPr>
          <w:rFonts w:eastAsia="Rockwell"/>
          <w:b/>
          <w:color w:val="26664E"/>
          <w:sz w:val="24"/>
        </w:rPr>
      </w:pPr>
      <w:r w:rsidRPr="008478FE">
        <w:rPr>
          <w:lang w:eastAsia="en-AU"/>
        </w:rPr>
        <w:t>The Australian headline inflation rate consistently exceeded annual WPI growth from mid</w:t>
      </w:r>
      <w:r w:rsidRPr="008478FE">
        <w:rPr>
          <w:lang w:eastAsia="en-AU"/>
        </w:rPr>
        <w:noBreakHyphen/>
        <w:t xml:space="preserve">2021 to mid-2023, signifying falling real wages. However, as inflation and nominal wages growth have </w:t>
      </w:r>
      <w:r w:rsidRPr="003E06AB">
        <w:t>moderated</w:t>
      </w:r>
      <w:r w:rsidRPr="008478FE">
        <w:rPr>
          <w:lang w:eastAsia="en-AU"/>
        </w:rPr>
        <w:t xml:space="preserve"> and strengthened, respectively, real wages have stabilised and begun to grow again. At the national level, real wages grew by 0.5 per cent over the 12 months to the March quarter 2024. By contrast, real wages in Victoria were unchanged over the same period and have not grown in annual terms since early 2021 (Figure 6.5).</w:t>
      </w:r>
    </w:p>
    <w:p w14:paraId="129B93C0" w14:textId="77777777" w:rsidR="008478FE" w:rsidRDefault="008478FE" w:rsidP="00144BE8">
      <w:pPr>
        <w:pStyle w:val="08Figuretableboxheading"/>
      </w:pPr>
      <w:bookmarkStart w:id="146" w:name="_Toc170393569"/>
      <w:r w:rsidRPr="008478FE">
        <w:lastRenderedPageBreak/>
        <w:t>Figure 6.5: Difference between annual CPI and WPI growth rates, Australia and Victoria, March quarter 2021 to March quarter 2024</w:t>
      </w:r>
      <w:bookmarkEnd w:id="146"/>
    </w:p>
    <w:p w14:paraId="208A05DD" w14:textId="6C708A25" w:rsidR="00C15CC8" w:rsidRPr="008478FE" w:rsidRDefault="00C15CC8" w:rsidP="00144BE8">
      <w:pPr>
        <w:pStyle w:val="08Figuretableboxheading"/>
      </w:pPr>
      <w:r>
        <w:rPr>
          <w:noProof/>
        </w:rPr>
        <w:drawing>
          <wp:inline distT="0" distB="0" distL="0" distR="0" wp14:anchorId="07986208" wp14:editId="1DFF7678">
            <wp:extent cx="5431790" cy="2426335"/>
            <wp:effectExtent l="0" t="0" r="0" b="0"/>
            <wp:docPr id="70359947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31790" cy="2426335"/>
                    </a:xfrm>
                    <a:prstGeom prst="rect">
                      <a:avLst/>
                    </a:prstGeom>
                    <a:noFill/>
                  </pic:spPr>
                </pic:pic>
              </a:graphicData>
            </a:graphic>
          </wp:inline>
        </w:drawing>
      </w:r>
    </w:p>
    <w:p w14:paraId="4930DB8E" w14:textId="14961B67" w:rsidR="008478FE" w:rsidRPr="00722379" w:rsidRDefault="008478FE" w:rsidP="00722379">
      <w:pPr>
        <w:pStyle w:val="09Sourcesandnotesfortablesfiguresboxes"/>
      </w:pPr>
      <w:r w:rsidRPr="00722379">
        <w:t>Note: Positive/negative values indicate that annual WPI growth for that period was higher/lower than annual CPI growth for the same period.</w:t>
      </w:r>
      <w:r w:rsidRPr="00722379">
        <w:br/>
        <w:t>Source</w:t>
      </w:r>
      <w:r w:rsidR="0097671A">
        <w:t>s</w:t>
      </w:r>
      <w:r w:rsidRPr="00722379">
        <w:t>: ABS (</w:t>
      </w:r>
      <w:r w:rsidR="00B2313F" w:rsidRPr="00722379">
        <w:t>2024c)</w:t>
      </w:r>
      <w:r w:rsidRPr="00722379">
        <w:t xml:space="preserve">; </w:t>
      </w:r>
      <w:r w:rsidR="00B2313F" w:rsidRPr="00722379">
        <w:t>ABS (2024h).</w:t>
      </w:r>
    </w:p>
    <w:p w14:paraId="7263C15B" w14:textId="02FFF12A" w:rsidR="008478FE" w:rsidRPr="008478FE" w:rsidRDefault="00B849BE" w:rsidP="003E06AB">
      <w:pPr>
        <w:pStyle w:val="02VIRTHeading2"/>
      </w:pPr>
      <w:bookmarkStart w:id="147" w:name="_Toc170396239"/>
      <w:r>
        <w:t>6.2</w:t>
      </w:r>
      <w:r>
        <w:tab/>
      </w:r>
      <w:r w:rsidR="008478FE" w:rsidRPr="008478FE">
        <w:t>Economic outlook</w:t>
      </w:r>
      <w:bookmarkEnd w:id="147"/>
    </w:p>
    <w:p w14:paraId="386D7D10" w14:textId="029A284B" w:rsidR="000E16BF" w:rsidRDefault="008478FE" w:rsidP="00872B7E">
      <w:pPr>
        <w:pStyle w:val="05Paragraph"/>
        <w:rPr>
          <w:lang w:eastAsia="en-AU"/>
        </w:rPr>
      </w:pPr>
      <w:r w:rsidRPr="008478FE">
        <w:rPr>
          <w:lang w:eastAsia="en-AU"/>
        </w:rPr>
        <w:t xml:space="preserve">The </w:t>
      </w:r>
      <w:r w:rsidR="00013213">
        <w:rPr>
          <w:lang w:eastAsia="en-AU"/>
        </w:rPr>
        <w:t>following discussion</w:t>
      </w:r>
      <w:r w:rsidRPr="008478FE">
        <w:rPr>
          <w:lang w:eastAsia="en-AU"/>
        </w:rPr>
        <w:t xml:space="preserve"> of the outlook for the Australian and Victorian economies has been </w:t>
      </w:r>
      <w:r w:rsidRPr="003E06AB">
        <w:t>informed</w:t>
      </w:r>
      <w:r w:rsidRPr="008478FE">
        <w:rPr>
          <w:lang w:eastAsia="en-AU"/>
        </w:rPr>
        <w:t xml:space="preserve"> by the latest forecasts and analysis from the RBA and the federal and Victorian budgets.</w:t>
      </w:r>
      <w:r w:rsidR="009419C5">
        <w:rPr>
          <w:lang w:eastAsia="en-AU"/>
        </w:rPr>
        <w:t xml:space="preserve"> </w:t>
      </w:r>
      <w:r w:rsidRPr="008478FE">
        <w:rPr>
          <w:lang w:eastAsia="en-AU"/>
        </w:rPr>
        <w:t>Key forecasts are reproduced in Tables 6.1 and 6.2, followed by more detailed analysis.</w:t>
      </w:r>
      <w:r w:rsidR="005F7377">
        <w:rPr>
          <w:lang w:eastAsia="en-AU"/>
        </w:rPr>
        <w:t xml:space="preserve"> </w:t>
      </w:r>
    </w:p>
    <w:p w14:paraId="632AA3A1" w14:textId="228A4584" w:rsidR="008478FE" w:rsidRPr="00916142" w:rsidRDefault="008478FE" w:rsidP="00144BE8">
      <w:pPr>
        <w:pStyle w:val="08Figuretableboxheading"/>
      </w:pPr>
      <w:bookmarkStart w:id="148" w:name="_Toc170393570"/>
      <w:r w:rsidRPr="00916142">
        <w:t>Table 6.1: Selected RBA and Commonwealth Treasury</w:t>
      </w:r>
      <w:r w:rsidR="00AD7FC5" w:rsidRPr="00A54EDF">
        <w:rPr>
          <w:vertAlign w:val="superscript"/>
        </w:rPr>
        <w:t>(a)</w:t>
      </w:r>
      <w:r w:rsidRPr="00916142">
        <w:t xml:space="preserve"> forecasts for the Australian economy</w:t>
      </w:r>
      <w:bookmarkEnd w:id="148"/>
    </w:p>
    <w:tbl>
      <w:tblPr>
        <w:tblStyle w:val="Glossary2"/>
        <w:tblW w:w="8505" w:type="dxa"/>
        <w:tblLook w:val="04A0" w:firstRow="1" w:lastRow="0" w:firstColumn="1" w:lastColumn="0" w:noHBand="0" w:noVBand="1"/>
      </w:tblPr>
      <w:tblGrid>
        <w:gridCol w:w="1831"/>
        <w:gridCol w:w="993"/>
        <w:gridCol w:w="1136"/>
        <w:gridCol w:w="1136"/>
        <w:gridCol w:w="1136"/>
        <w:gridCol w:w="1136"/>
        <w:gridCol w:w="1137"/>
      </w:tblGrid>
      <w:tr w:rsidR="008478FE" w:rsidRPr="008478FE" w14:paraId="17627668" w14:textId="77777777">
        <w:trPr>
          <w:cnfStyle w:val="100000000000" w:firstRow="1" w:lastRow="0" w:firstColumn="0" w:lastColumn="0" w:oddVBand="0" w:evenVBand="0" w:oddHBand="0" w:evenHBand="0" w:firstRowFirstColumn="0" w:firstRowLastColumn="0" w:lastRowFirstColumn="0" w:lastRowLastColumn="0"/>
        </w:trPr>
        <w:tc>
          <w:tcPr>
            <w:tcW w:w="1831" w:type="dxa"/>
            <w:tcBorders>
              <w:bottom w:val="single" w:sz="4" w:space="0" w:color="148A5D"/>
            </w:tcBorders>
          </w:tcPr>
          <w:p w14:paraId="75D433F2" w14:textId="77777777" w:rsidR="008478FE" w:rsidRPr="00772B9F" w:rsidRDefault="008478FE" w:rsidP="00772B9F">
            <w:pPr>
              <w:pStyle w:val="10Tabletext"/>
              <w:rPr>
                <w:color w:val="FFFFFF" w:themeColor="background1"/>
              </w:rPr>
            </w:pPr>
            <w:r w:rsidRPr="00772B9F">
              <w:rPr>
                <w:color w:val="FFFFFF" w:themeColor="background1"/>
              </w:rPr>
              <w:t>Indicator</w:t>
            </w:r>
          </w:p>
        </w:tc>
        <w:tc>
          <w:tcPr>
            <w:tcW w:w="993" w:type="dxa"/>
            <w:tcBorders>
              <w:bottom w:val="single" w:sz="4" w:space="0" w:color="148A5D"/>
            </w:tcBorders>
          </w:tcPr>
          <w:p w14:paraId="68D9D0A9" w14:textId="77777777" w:rsidR="008478FE" w:rsidRPr="00772B9F" w:rsidRDefault="008478FE" w:rsidP="00772B9F">
            <w:pPr>
              <w:pStyle w:val="10Tabletext"/>
              <w:rPr>
                <w:color w:val="FFFFFF" w:themeColor="background1"/>
              </w:rPr>
            </w:pPr>
            <w:r w:rsidRPr="00772B9F">
              <w:rPr>
                <w:color w:val="FFFFFF" w:themeColor="background1"/>
              </w:rPr>
              <w:t>Source</w:t>
            </w:r>
          </w:p>
        </w:tc>
        <w:tc>
          <w:tcPr>
            <w:tcW w:w="1136" w:type="dxa"/>
            <w:tcBorders>
              <w:bottom w:val="single" w:sz="4" w:space="0" w:color="148A5D"/>
            </w:tcBorders>
          </w:tcPr>
          <w:p w14:paraId="0726C614" w14:textId="77777777" w:rsidR="008478FE" w:rsidRPr="00772B9F" w:rsidRDefault="008478FE" w:rsidP="00772B9F">
            <w:pPr>
              <w:pStyle w:val="10Tabletext"/>
              <w:jc w:val="right"/>
              <w:rPr>
                <w:color w:val="FFFFFF" w:themeColor="background1"/>
              </w:rPr>
            </w:pPr>
            <w:r w:rsidRPr="00772B9F">
              <w:rPr>
                <w:color w:val="FFFFFF" w:themeColor="background1"/>
              </w:rPr>
              <w:t>June 2024</w:t>
            </w:r>
          </w:p>
        </w:tc>
        <w:tc>
          <w:tcPr>
            <w:tcW w:w="1136" w:type="dxa"/>
            <w:tcBorders>
              <w:bottom w:val="single" w:sz="4" w:space="0" w:color="148A5D"/>
            </w:tcBorders>
          </w:tcPr>
          <w:p w14:paraId="7589A935" w14:textId="77777777" w:rsidR="008478FE" w:rsidRPr="00772B9F" w:rsidRDefault="008478FE" w:rsidP="00772B9F">
            <w:pPr>
              <w:pStyle w:val="10Tabletext"/>
              <w:jc w:val="right"/>
              <w:rPr>
                <w:color w:val="FFFFFF" w:themeColor="background1"/>
              </w:rPr>
            </w:pPr>
            <w:r w:rsidRPr="00772B9F">
              <w:rPr>
                <w:color w:val="FFFFFF" w:themeColor="background1"/>
              </w:rPr>
              <w:t>Dec 2024</w:t>
            </w:r>
          </w:p>
        </w:tc>
        <w:tc>
          <w:tcPr>
            <w:tcW w:w="1136" w:type="dxa"/>
            <w:tcBorders>
              <w:bottom w:val="single" w:sz="4" w:space="0" w:color="148A5D"/>
            </w:tcBorders>
          </w:tcPr>
          <w:p w14:paraId="3D2D3C15" w14:textId="77777777" w:rsidR="008478FE" w:rsidRPr="00772B9F" w:rsidRDefault="008478FE" w:rsidP="00772B9F">
            <w:pPr>
              <w:pStyle w:val="10Tabletext"/>
              <w:jc w:val="right"/>
              <w:rPr>
                <w:color w:val="FFFFFF" w:themeColor="background1"/>
              </w:rPr>
            </w:pPr>
            <w:r w:rsidRPr="00772B9F">
              <w:rPr>
                <w:color w:val="FFFFFF" w:themeColor="background1"/>
              </w:rPr>
              <w:t>June 2025</w:t>
            </w:r>
          </w:p>
        </w:tc>
        <w:tc>
          <w:tcPr>
            <w:tcW w:w="1136" w:type="dxa"/>
            <w:tcBorders>
              <w:bottom w:val="single" w:sz="4" w:space="0" w:color="148A5D"/>
            </w:tcBorders>
          </w:tcPr>
          <w:p w14:paraId="0B66C5C7" w14:textId="77777777" w:rsidR="008478FE" w:rsidRPr="00772B9F" w:rsidRDefault="008478FE" w:rsidP="00772B9F">
            <w:pPr>
              <w:pStyle w:val="10Tabletext"/>
              <w:jc w:val="right"/>
              <w:rPr>
                <w:color w:val="FFFFFF" w:themeColor="background1"/>
              </w:rPr>
            </w:pPr>
            <w:r w:rsidRPr="00772B9F">
              <w:rPr>
                <w:color w:val="FFFFFF" w:themeColor="background1"/>
              </w:rPr>
              <w:t>Dec 2025</w:t>
            </w:r>
          </w:p>
        </w:tc>
        <w:tc>
          <w:tcPr>
            <w:tcW w:w="1137" w:type="dxa"/>
            <w:tcBorders>
              <w:bottom w:val="single" w:sz="4" w:space="0" w:color="148A5D"/>
            </w:tcBorders>
          </w:tcPr>
          <w:p w14:paraId="00BE1619" w14:textId="77777777" w:rsidR="008478FE" w:rsidRPr="00772B9F" w:rsidRDefault="008478FE" w:rsidP="00772B9F">
            <w:pPr>
              <w:pStyle w:val="10Tabletext"/>
              <w:jc w:val="right"/>
              <w:rPr>
                <w:color w:val="FFFFFF" w:themeColor="background1"/>
              </w:rPr>
            </w:pPr>
            <w:r w:rsidRPr="00772B9F">
              <w:rPr>
                <w:color w:val="FFFFFF" w:themeColor="background1"/>
              </w:rPr>
              <w:t>June 2026</w:t>
            </w:r>
          </w:p>
        </w:tc>
      </w:tr>
      <w:tr w:rsidR="008478FE" w:rsidRPr="005161D4" w14:paraId="021593C1" w14:textId="77777777" w:rsidTr="008478FE">
        <w:tc>
          <w:tcPr>
            <w:tcW w:w="1831" w:type="dxa"/>
            <w:tcBorders>
              <w:bottom w:val="single" w:sz="4" w:space="0" w:color="148A5D"/>
            </w:tcBorders>
            <w:shd w:val="clear" w:color="auto" w:fill="D1F5EB"/>
            <w:vAlign w:val="center"/>
          </w:tcPr>
          <w:p w14:paraId="37652589" w14:textId="77777777" w:rsidR="008478FE" w:rsidRPr="00772B9F" w:rsidRDefault="008478FE" w:rsidP="00772B9F">
            <w:pPr>
              <w:pStyle w:val="10Tabletext"/>
              <w:rPr>
                <w:b/>
                <w:bCs w:val="0"/>
              </w:rPr>
            </w:pPr>
            <w:r w:rsidRPr="00772B9F">
              <w:rPr>
                <w:b/>
                <w:bCs w:val="0"/>
              </w:rPr>
              <w:t>Real GDP</w:t>
            </w:r>
            <w:r w:rsidRPr="00772B9F">
              <w:rPr>
                <w:b/>
                <w:bCs w:val="0"/>
                <w:vertAlign w:val="superscript"/>
              </w:rPr>
              <w:t>(a)</w:t>
            </w:r>
          </w:p>
        </w:tc>
        <w:tc>
          <w:tcPr>
            <w:tcW w:w="993" w:type="dxa"/>
            <w:tcBorders>
              <w:bottom w:val="single" w:sz="4" w:space="0" w:color="148A5D"/>
            </w:tcBorders>
            <w:shd w:val="clear" w:color="auto" w:fill="D1F5EB"/>
          </w:tcPr>
          <w:p w14:paraId="3E5DCF20" w14:textId="77777777" w:rsidR="008478FE" w:rsidRPr="00772B9F" w:rsidRDefault="008478FE" w:rsidP="00772B9F">
            <w:pPr>
              <w:pStyle w:val="10Tabletext"/>
            </w:pPr>
            <w:r w:rsidRPr="00772B9F">
              <w:t>RBA</w:t>
            </w:r>
          </w:p>
        </w:tc>
        <w:tc>
          <w:tcPr>
            <w:tcW w:w="1136" w:type="dxa"/>
            <w:tcBorders>
              <w:bottom w:val="single" w:sz="4" w:space="0" w:color="148A5D"/>
            </w:tcBorders>
            <w:shd w:val="clear" w:color="auto" w:fill="D1F5EB"/>
          </w:tcPr>
          <w:p w14:paraId="2FDFD265" w14:textId="77777777" w:rsidR="008478FE" w:rsidRPr="00772B9F" w:rsidRDefault="008478FE" w:rsidP="00772B9F">
            <w:pPr>
              <w:pStyle w:val="10Tabletext"/>
              <w:jc w:val="right"/>
            </w:pPr>
            <w:r w:rsidRPr="00772B9F">
              <w:t>1.2</w:t>
            </w:r>
          </w:p>
        </w:tc>
        <w:tc>
          <w:tcPr>
            <w:tcW w:w="1136" w:type="dxa"/>
            <w:tcBorders>
              <w:bottom w:val="single" w:sz="4" w:space="0" w:color="148A5D"/>
            </w:tcBorders>
            <w:shd w:val="clear" w:color="auto" w:fill="D1F5EB"/>
          </w:tcPr>
          <w:p w14:paraId="38974961" w14:textId="77777777" w:rsidR="008478FE" w:rsidRPr="00772B9F" w:rsidRDefault="008478FE" w:rsidP="00772B9F">
            <w:pPr>
              <w:pStyle w:val="10Tabletext"/>
              <w:jc w:val="right"/>
            </w:pPr>
            <w:r w:rsidRPr="00772B9F">
              <w:t>1.6</w:t>
            </w:r>
          </w:p>
        </w:tc>
        <w:tc>
          <w:tcPr>
            <w:tcW w:w="1136" w:type="dxa"/>
            <w:tcBorders>
              <w:bottom w:val="single" w:sz="4" w:space="0" w:color="148A5D"/>
            </w:tcBorders>
            <w:shd w:val="clear" w:color="auto" w:fill="D1F5EB"/>
          </w:tcPr>
          <w:p w14:paraId="1EE6DC2B" w14:textId="77777777" w:rsidR="008478FE" w:rsidRPr="00772B9F" w:rsidRDefault="008478FE" w:rsidP="00772B9F">
            <w:pPr>
              <w:pStyle w:val="10Tabletext"/>
              <w:jc w:val="right"/>
            </w:pPr>
            <w:r w:rsidRPr="00772B9F">
              <w:t>2.1</w:t>
            </w:r>
          </w:p>
        </w:tc>
        <w:tc>
          <w:tcPr>
            <w:tcW w:w="1136" w:type="dxa"/>
            <w:tcBorders>
              <w:bottom w:val="single" w:sz="4" w:space="0" w:color="148A5D"/>
            </w:tcBorders>
            <w:shd w:val="clear" w:color="auto" w:fill="D1F5EB"/>
          </w:tcPr>
          <w:p w14:paraId="19990D81" w14:textId="77777777" w:rsidR="008478FE" w:rsidRPr="00772B9F" w:rsidRDefault="008478FE" w:rsidP="00772B9F">
            <w:pPr>
              <w:pStyle w:val="10Tabletext"/>
              <w:jc w:val="right"/>
            </w:pPr>
            <w:r w:rsidRPr="00772B9F">
              <w:t>2.3</w:t>
            </w:r>
          </w:p>
        </w:tc>
        <w:tc>
          <w:tcPr>
            <w:tcW w:w="1137" w:type="dxa"/>
            <w:tcBorders>
              <w:bottom w:val="single" w:sz="4" w:space="0" w:color="148A5D"/>
            </w:tcBorders>
            <w:shd w:val="clear" w:color="auto" w:fill="D1F5EB"/>
          </w:tcPr>
          <w:p w14:paraId="1FA7C3F7" w14:textId="77777777" w:rsidR="008478FE" w:rsidRPr="00772B9F" w:rsidRDefault="008478FE" w:rsidP="00772B9F">
            <w:pPr>
              <w:pStyle w:val="10Tabletext"/>
              <w:jc w:val="right"/>
            </w:pPr>
            <w:r w:rsidRPr="00772B9F">
              <w:t>2.4</w:t>
            </w:r>
          </w:p>
        </w:tc>
      </w:tr>
      <w:tr w:rsidR="008478FE" w:rsidRPr="005161D4" w14:paraId="267F9513" w14:textId="77777777" w:rsidTr="008478FE">
        <w:tc>
          <w:tcPr>
            <w:tcW w:w="1831" w:type="dxa"/>
            <w:tcBorders>
              <w:top w:val="single" w:sz="4" w:space="0" w:color="148A5D"/>
            </w:tcBorders>
            <w:vAlign w:val="center"/>
          </w:tcPr>
          <w:p w14:paraId="10D20F5C" w14:textId="77777777" w:rsidR="008478FE" w:rsidRPr="00772B9F" w:rsidRDefault="008478FE" w:rsidP="00772B9F">
            <w:pPr>
              <w:pStyle w:val="10Tabletext"/>
              <w:rPr>
                <w:b/>
                <w:bCs w:val="0"/>
              </w:rPr>
            </w:pPr>
            <w:r w:rsidRPr="00772B9F">
              <w:rPr>
                <w:b/>
                <w:bCs w:val="0"/>
              </w:rPr>
              <w:t>Population</w:t>
            </w:r>
            <w:r w:rsidRPr="00772B9F">
              <w:rPr>
                <w:b/>
                <w:bCs w:val="0"/>
                <w:vertAlign w:val="superscript"/>
              </w:rPr>
              <w:t>(a)</w:t>
            </w:r>
          </w:p>
        </w:tc>
        <w:tc>
          <w:tcPr>
            <w:tcW w:w="993" w:type="dxa"/>
            <w:tcBorders>
              <w:top w:val="single" w:sz="4" w:space="0" w:color="148A5D"/>
              <w:bottom w:val="single" w:sz="4" w:space="0" w:color="148A5D"/>
            </w:tcBorders>
          </w:tcPr>
          <w:p w14:paraId="65A3F166" w14:textId="77777777" w:rsidR="008478FE" w:rsidRPr="00772B9F" w:rsidRDefault="008478FE" w:rsidP="00772B9F">
            <w:pPr>
              <w:pStyle w:val="10Tabletext"/>
            </w:pPr>
            <w:r w:rsidRPr="00772B9F">
              <w:t>RBA</w:t>
            </w:r>
          </w:p>
        </w:tc>
        <w:tc>
          <w:tcPr>
            <w:tcW w:w="1136" w:type="dxa"/>
            <w:tcBorders>
              <w:top w:val="single" w:sz="4" w:space="0" w:color="148A5D"/>
              <w:bottom w:val="single" w:sz="4" w:space="0" w:color="148A5D"/>
            </w:tcBorders>
          </w:tcPr>
          <w:p w14:paraId="5D70B0A4" w14:textId="77777777" w:rsidR="008478FE" w:rsidRPr="00772B9F" w:rsidRDefault="008478FE" w:rsidP="00772B9F">
            <w:pPr>
              <w:pStyle w:val="10Tabletext"/>
              <w:jc w:val="right"/>
            </w:pPr>
            <w:r w:rsidRPr="00772B9F">
              <w:t>2.0</w:t>
            </w:r>
          </w:p>
        </w:tc>
        <w:tc>
          <w:tcPr>
            <w:tcW w:w="1136" w:type="dxa"/>
            <w:tcBorders>
              <w:top w:val="single" w:sz="4" w:space="0" w:color="148A5D"/>
              <w:bottom w:val="single" w:sz="4" w:space="0" w:color="148A5D"/>
            </w:tcBorders>
          </w:tcPr>
          <w:p w14:paraId="47357492" w14:textId="77777777" w:rsidR="008478FE" w:rsidRPr="00772B9F" w:rsidRDefault="008478FE" w:rsidP="00772B9F">
            <w:pPr>
              <w:pStyle w:val="10Tabletext"/>
              <w:jc w:val="right"/>
            </w:pPr>
            <w:r w:rsidRPr="00772B9F">
              <w:t>1.5</w:t>
            </w:r>
          </w:p>
        </w:tc>
        <w:tc>
          <w:tcPr>
            <w:tcW w:w="1136" w:type="dxa"/>
            <w:tcBorders>
              <w:top w:val="single" w:sz="4" w:space="0" w:color="148A5D"/>
              <w:bottom w:val="single" w:sz="4" w:space="0" w:color="148A5D"/>
            </w:tcBorders>
          </w:tcPr>
          <w:p w14:paraId="68C5DB94" w14:textId="77777777" w:rsidR="008478FE" w:rsidRPr="00772B9F" w:rsidRDefault="008478FE" w:rsidP="00772B9F">
            <w:pPr>
              <w:pStyle w:val="10Tabletext"/>
              <w:jc w:val="right"/>
            </w:pPr>
            <w:r w:rsidRPr="00772B9F">
              <w:t>1.4</w:t>
            </w:r>
          </w:p>
        </w:tc>
        <w:tc>
          <w:tcPr>
            <w:tcW w:w="1136" w:type="dxa"/>
            <w:tcBorders>
              <w:top w:val="single" w:sz="4" w:space="0" w:color="148A5D"/>
              <w:bottom w:val="single" w:sz="4" w:space="0" w:color="148A5D"/>
            </w:tcBorders>
          </w:tcPr>
          <w:p w14:paraId="0985B51B" w14:textId="77777777" w:rsidR="008478FE" w:rsidRPr="00772B9F" w:rsidRDefault="008478FE" w:rsidP="00772B9F">
            <w:pPr>
              <w:pStyle w:val="10Tabletext"/>
              <w:jc w:val="right"/>
            </w:pPr>
            <w:r w:rsidRPr="00772B9F">
              <w:t>1.4</w:t>
            </w:r>
          </w:p>
        </w:tc>
        <w:tc>
          <w:tcPr>
            <w:tcW w:w="1137" w:type="dxa"/>
            <w:tcBorders>
              <w:top w:val="single" w:sz="4" w:space="0" w:color="148A5D"/>
              <w:bottom w:val="single" w:sz="4" w:space="0" w:color="148A5D"/>
            </w:tcBorders>
          </w:tcPr>
          <w:p w14:paraId="69817558" w14:textId="77777777" w:rsidR="008478FE" w:rsidRPr="00772B9F" w:rsidRDefault="008478FE" w:rsidP="00772B9F">
            <w:pPr>
              <w:pStyle w:val="10Tabletext"/>
              <w:jc w:val="right"/>
            </w:pPr>
            <w:r w:rsidRPr="00772B9F">
              <w:t>1.4</w:t>
            </w:r>
          </w:p>
        </w:tc>
      </w:tr>
      <w:tr w:rsidR="008478FE" w:rsidRPr="005161D4" w14:paraId="1E0DB2FD" w14:textId="77777777" w:rsidTr="008478FE">
        <w:tc>
          <w:tcPr>
            <w:tcW w:w="1831" w:type="dxa"/>
            <w:vMerge w:val="restart"/>
            <w:shd w:val="clear" w:color="auto" w:fill="D1F5EB"/>
          </w:tcPr>
          <w:p w14:paraId="0786C728" w14:textId="77777777" w:rsidR="008478FE" w:rsidRPr="00772B9F" w:rsidRDefault="008478FE" w:rsidP="00772B9F">
            <w:pPr>
              <w:pStyle w:val="10Tabletext"/>
              <w:rPr>
                <w:b/>
                <w:bCs w:val="0"/>
              </w:rPr>
            </w:pPr>
            <w:r w:rsidRPr="00772B9F">
              <w:rPr>
                <w:b/>
                <w:bCs w:val="0"/>
              </w:rPr>
              <w:t>CPI</w:t>
            </w:r>
            <w:r w:rsidRPr="00772B9F">
              <w:rPr>
                <w:b/>
                <w:bCs w:val="0"/>
                <w:vertAlign w:val="superscript"/>
              </w:rPr>
              <w:t>(a)</w:t>
            </w:r>
          </w:p>
        </w:tc>
        <w:tc>
          <w:tcPr>
            <w:tcW w:w="993" w:type="dxa"/>
            <w:tcBorders>
              <w:bottom w:val="single" w:sz="4" w:space="0" w:color="148A5D"/>
            </w:tcBorders>
            <w:shd w:val="clear" w:color="auto" w:fill="D1F5EB"/>
          </w:tcPr>
          <w:p w14:paraId="5893076C" w14:textId="77777777" w:rsidR="008478FE" w:rsidRPr="00772B9F" w:rsidRDefault="008478FE" w:rsidP="00772B9F">
            <w:pPr>
              <w:pStyle w:val="10Tabletext"/>
            </w:pPr>
            <w:r w:rsidRPr="00772B9F">
              <w:t>RBA</w:t>
            </w:r>
          </w:p>
        </w:tc>
        <w:tc>
          <w:tcPr>
            <w:tcW w:w="1136" w:type="dxa"/>
            <w:tcBorders>
              <w:bottom w:val="single" w:sz="4" w:space="0" w:color="148A5D"/>
            </w:tcBorders>
            <w:shd w:val="clear" w:color="auto" w:fill="D1F5EB"/>
          </w:tcPr>
          <w:p w14:paraId="1B90956D" w14:textId="77777777" w:rsidR="008478FE" w:rsidRPr="00772B9F" w:rsidRDefault="008478FE" w:rsidP="00772B9F">
            <w:pPr>
              <w:pStyle w:val="10Tabletext"/>
              <w:jc w:val="right"/>
            </w:pPr>
            <w:r w:rsidRPr="00772B9F">
              <w:t>3.8</w:t>
            </w:r>
          </w:p>
        </w:tc>
        <w:tc>
          <w:tcPr>
            <w:tcW w:w="1136" w:type="dxa"/>
            <w:tcBorders>
              <w:bottom w:val="single" w:sz="4" w:space="0" w:color="148A5D"/>
            </w:tcBorders>
            <w:shd w:val="clear" w:color="auto" w:fill="D1F5EB"/>
          </w:tcPr>
          <w:p w14:paraId="14C12C40" w14:textId="77777777" w:rsidR="008478FE" w:rsidRPr="00772B9F" w:rsidRDefault="008478FE" w:rsidP="00772B9F">
            <w:pPr>
              <w:pStyle w:val="10Tabletext"/>
              <w:jc w:val="right"/>
            </w:pPr>
            <w:r w:rsidRPr="00772B9F">
              <w:t>3.8</w:t>
            </w:r>
          </w:p>
        </w:tc>
        <w:tc>
          <w:tcPr>
            <w:tcW w:w="1136" w:type="dxa"/>
            <w:tcBorders>
              <w:bottom w:val="single" w:sz="4" w:space="0" w:color="148A5D"/>
            </w:tcBorders>
            <w:shd w:val="clear" w:color="auto" w:fill="D1F5EB"/>
          </w:tcPr>
          <w:p w14:paraId="51CB48D3" w14:textId="77777777" w:rsidR="008478FE" w:rsidRPr="00772B9F" w:rsidRDefault="008478FE" w:rsidP="00772B9F">
            <w:pPr>
              <w:pStyle w:val="10Tabletext"/>
              <w:jc w:val="right"/>
            </w:pPr>
            <w:r w:rsidRPr="00772B9F">
              <w:t>3.2</w:t>
            </w:r>
          </w:p>
        </w:tc>
        <w:tc>
          <w:tcPr>
            <w:tcW w:w="1136" w:type="dxa"/>
            <w:tcBorders>
              <w:bottom w:val="single" w:sz="4" w:space="0" w:color="148A5D"/>
            </w:tcBorders>
            <w:shd w:val="clear" w:color="auto" w:fill="D1F5EB"/>
          </w:tcPr>
          <w:p w14:paraId="7EB59B9E" w14:textId="77777777" w:rsidR="008478FE" w:rsidRPr="00772B9F" w:rsidRDefault="008478FE" w:rsidP="00772B9F">
            <w:pPr>
              <w:pStyle w:val="10Tabletext"/>
              <w:jc w:val="right"/>
            </w:pPr>
            <w:r w:rsidRPr="00772B9F">
              <w:t>2.8</w:t>
            </w:r>
          </w:p>
        </w:tc>
        <w:tc>
          <w:tcPr>
            <w:tcW w:w="1137" w:type="dxa"/>
            <w:tcBorders>
              <w:bottom w:val="single" w:sz="4" w:space="0" w:color="148A5D"/>
            </w:tcBorders>
            <w:shd w:val="clear" w:color="auto" w:fill="D1F5EB"/>
          </w:tcPr>
          <w:p w14:paraId="181FFBDB" w14:textId="77777777" w:rsidR="008478FE" w:rsidRPr="00772B9F" w:rsidRDefault="008478FE" w:rsidP="00772B9F">
            <w:pPr>
              <w:pStyle w:val="10Tabletext"/>
              <w:jc w:val="right"/>
            </w:pPr>
            <w:r w:rsidRPr="00772B9F">
              <w:t>2.6</w:t>
            </w:r>
          </w:p>
        </w:tc>
      </w:tr>
      <w:tr w:rsidR="008478FE" w:rsidRPr="005161D4" w14:paraId="3D9FE4C9" w14:textId="77777777" w:rsidTr="008478FE">
        <w:tc>
          <w:tcPr>
            <w:tcW w:w="1831" w:type="dxa"/>
            <w:vMerge/>
            <w:shd w:val="clear" w:color="auto" w:fill="D1F5EB"/>
            <w:vAlign w:val="center"/>
          </w:tcPr>
          <w:p w14:paraId="0E9850C1" w14:textId="77777777" w:rsidR="008478FE" w:rsidRPr="00772B9F" w:rsidRDefault="008478FE" w:rsidP="00772B9F">
            <w:pPr>
              <w:pStyle w:val="10Tabletext"/>
              <w:rPr>
                <w:b/>
                <w:bCs w:val="0"/>
              </w:rPr>
            </w:pPr>
          </w:p>
        </w:tc>
        <w:tc>
          <w:tcPr>
            <w:tcW w:w="993" w:type="dxa"/>
            <w:tcBorders>
              <w:top w:val="single" w:sz="4" w:space="0" w:color="148A5D"/>
            </w:tcBorders>
            <w:shd w:val="clear" w:color="auto" w:fill="D1F5EB"/>
          </w:tcPr>
          <w:p w14:paraId="045EC27A" w14:textId="77777777" w:rsidR="008478FE" w:rsidRPr="00772B9F" w:rsidRDefault="008478FE" w:rsidP="00772B9F">
            <w:pPr>
              <w:pStyle w:val="10Tabletext"/>
            </w:pPr>
            <w:r w:rsidRPr="00772B9F">
              <w:t>Treasury</w:t>
            </w:r>
          </w:p>
        </w:tc>
        <w:tc>
          <w:tcPr>
            <w:tcW w:w="1136" w:type="dxa"/>
            <w:tcBorders>
              <w:top w:val="single" w:sz="4" w:space="0" w:color="148A5D"/>
            </w:tcBorders>
            <w:shd w:val="clear" w:color="auto" w:fill="D1F5EB"/>
          </w:tcPr>
          <w:p w14:paraId="425764F0" w14:textId="77777777" w:rsidR="008478FE" w:rsidRPr="00772B9F" w:rsidRDefault="008478FE" w:rsidP="00772B9F">
            <w:pPr>
              <w:pStyle w:val="10Tabletext"/>
              <w:jc w:val="right"/>
            </w:pPr>
            <w:r w:rsidRPr="00772B9F">
              <w:t>3.5</w:t>
            </w:r>
          </w:p>
        </w:tc>
        <w:tc>
          <w:tcPr>
            <w:tcW w:w="1136" w:type="dxa"/>
            <w:tcBorders>
              <w:top w:val="single" w:sz="4" w:space="0" w:color="148A5D"/>
            </w:tcBorders>
            <w:shd w:val="clear" w:color="auto" w:fill="D1F5EB"/>
          </w:tcPr>
          <w:p w14:paraId="2DC821E2" w14:textId="77777777" w:rsidR="008478FE" w:rsidRPr="00772B9F" w:rsidRDefault="008478FE" w:rsidP="00772B9F">
            <w:pPr>
              <w:pStyle w:val="10Tabletext"/>
              <w:jc w:val="right"/>
            </w:pPr>
            <w:r w:rsidRPr="00772B9F">
              <w:t>N/A</w:t>
            </w:r>
          </w:p>
        </w:tc>
        <w:tc>
          <w:tcPr>
            <w:tcW w:w="1136" w:type="dxa"/>
            <w:tcBorders>
              <w:top w:val="single" w:sz="4" w:space="0" w:color="148A5D"/>
            </w:tcBorders>
            <w:shd w:val="clear" w:color="auto" w:fill="D1F5EB"/>
          </w:tcPr>
          <w:p w14:paraId="71C894A5" w14:textId="77777777" w:rsidR="008478FE" w:rsidRPr="00772B9F" w:rsidRDefault="008478FE" w:rsidP="00772B9F">
            <w:pPr>
              <w:pStyle w:val="10Tabletext"/>
              <w:jc w:val="right"/>
            </w:pPr>
            <w:r w:rsidRPr="00772B9F">
              <w:t>2.8</w:t>
            </w:r>
          </w:p>
        </w:tc>
        <w:tc>
          <w:tcPr>
            <w:tcW w:w="1136" w:type="dxa"/>
            <w:tcBorders>
              <w:top w:val="single" w:sz="4" w:space="0" w:color="148A5D"/>
            </w:tcBorders>
            <w:shd w:val="clear" w:color="auto" w:fill="D1F5EB"/>
          </w:tcPr>
          <w:p w14:paraId="36FB6AF7" w14:textId="77777777" w:rsidR="008478FE" w:rsidRPr="00772B9F" w:rsidRDefault="008478FE" w:rsidP="00772B9F">
            <w:pPr>
              <w:pStyle w:val="10Tabletext"/>
              <w:jc w:val="right"/>
            </w:pPr>
            <w:r w:rsidRPr="00772B9F">
              <w:t>N/A</w:t>
            </w:r>
          </w:p>
        </w:tc>
        <w:tc>
          <w:tcPr>
            <w:tcW w:w="1137" w:type="dxa"/>
            <w:tcBorders>
              <w:top w:val="single" w:sz="4" w:space="0" w:color="148A5D"/>
            </w:tcBorders>
            <w:shd w:val="clear" w:color="auto" w:fill="D1F5EB"/>
          </w:tcPr>
          <w:p w14:paraId="6643444B" w14:textId="77777777" w:rsidR="008478FE" w:rsidRPr="00772B9F" w:rsidRDefault="008478FE" w:rsidP="00772B9F">
            <w:pPr>
              <w:pStyle w:val="10Tabletext"/>
              <w:jc w:val="right"/>
            </w:pPr>
            <w:r w:rsidRPr="00772B9F">
              <w:t>2.8</w:t>
            </w:r>
          </w:p>
        </w:tc>
      </w:tr>
      <w:tr w:rsidR="008478FE" w:rsidRPr="005161D4" w14:paraId="6C01F1FD" w14:textId="77777777">
        <w:tc>
          <w:tcPr>
            <w:tcW w:w="1831" w:type="dxa"/>
            <w:vAlign w:val="center"/>
          </w:tcPr>
          <w:p w14:paraId="3A18D04E" w14:textId="77777777" w:rsidR="008478FE" w:rsidRPr="00772B9F" w:rsidRDefault="008478FE" w:rsidP="00772B9F">
            <w:pPr>
              <w:pStyle w:val="10Tabletext"/>
              <w:rPr>
                <w:b/>
                <w:bCs w:val="0"/>
              </w:rPr>
            </w:pPr>
            <w:r w:rsidRPr="00772B9F">
              <w:rPr>
                <w:b/>
                <w:bCs w:val="0"/>
              </w:rPr>
              <w:t>Trimmed mean</w:t>
            </w:r>
            <w:r w:rsidRPr="00772B9F">
              <w:rPr>
                <w:b/>
                <w:bCs w:val="0"/>
                <w:vertAlign w:val="superscript"/>
              </w:rPr>
              <w:t>(a)</w:t>
            </w:r>
          </w:p>
        </w:tc>
        <w:tc>
          <w:tcPr>
            <w:tcW w:w="993" w:type="dxa"/>
            <w:tcBorders>
              <w:bottom w:val="single" w:sz="4" w:space="0" w:color="148A5D"/>
            </w:tcBorders>
          </w:tcPr>
          <w:p w14:paraId="64FC1FA5" w14:textId="77777777" w:rsidR="008478FE" w:rsidRPr="00772B9F" w:rsidRDefault="008478FE" w:rsidP="00772B9F">
            <w:pPr>
              <w:pStyle w:val="10Tabletext"/>
            </w:pPr>
            <w:r w:rsidRPr="00772B9F">
              <w:t>RBA</w:t>
            </w:r>
          </w:p>
        </w:tc>
        <w:tc>
          <w:tcPr>
            <w:tcW w:w="1136" w:type="dxa"/>
            <w:tcBorders>
              <w:bottom w:val="single" w:sz="4" w:space="0" w:color="148A5D"/>
            </w:tcBorders>
          </w:tcPr>
          <w:p w14:paraId="3756D894" w14:textId="77777777" w:rsidR="008478FE" w:rsidRPr="00772B9F" w:rsidRDefault="008478FE" w:rsidP="00772B9F">
            <w:pPr>
              <w:pStyle w:val="10Tabletext"/>
              <w:jc w:val="right"/>
            </w:pPr>
            <w:r w:rsidRPr="00772B9F">
              <w:t>3.8</w:t>
            </w:r>
          </w:p>
        </w:tc>
        <w:tc>
          <w:tcPr>
            <w:tcW w:w="1136" w:type="dxa"/>
            <w:tcBorders>
              <w:bottom w:val="single" w:sz="4" w:space="0" w:color="148A5D"/>
            </w:tcBorders>
          </w:tcPr>
          <w:p w14:paraId="19BF853A" w14:textId="77777777" w:rsidR="008478FE" w:rsidRPr="00772B9F" w:rsidRDefault="008478FE" w:rsidP="00772B9F">
            <w:pPr>
              <w:pStyle w:val="10Tabletext"/>
              <w:jc w:val="right"/>
            </w:pPr>
            <w:r w:rsidRPr="00772B9F">
              <w:t>3.4</w:t>
            </w:r>
          </w:p>
        </w:tc>
        <w:tc>
          <w:tcPr>
            <w:tcW w:w="1136" w:type="dxa"/>
            <w:tcBorders>
              <w:bottom w:val="single" w:sz="4" w:space="0" w:color="148A5D"/>
            </w:tcBorders>
          </w:tcPr>
          <w:p w14:paraId="6366C547" w14:textId="77777777" w:rsidR="008478FE" w:rsidRPr="00772B9F" w:rsidRDefault="008478FE" w:rsidP="00772B9F">
            <w:pPr>
              <w:pStyle w:val="10Tabletext"/>
              <w:jc w:val="right"/>
            </w:pPr>
            <w:r w:rsidRPr="00772B9F">
              <w:t>3.1</w:t>
            </w:r>
          </w:p>
        </w:tc>
        <w:tc>
          <w:tcPr>
            <w:tcW w:w="1136" w:type="dxa"/>
            <w:tcBorders>
              <w:bottom w:val="single" w:sz="4" w:space="0" w:color="148A5D"/>
            </w:tcBorders>
          </w:tcPr>
          <w:p w14:paraId="78AB325F" w14:textId="77777777" w:rsidR="008478FE" w:rsidRPr="00772B9F" w:rsidRDefault="008478FE" w:rsidP="00772B9F">
            <w:pPr>
              <w:pStyle w:val="10Tabletext"/>
              <w:jc w:val="right"/>
            </w:pPr>
            <w:r w:rsidRPr="00772B9F">
              <w:t>2.8</w:t>
            </w:r>
          </w:p>
        </w:tc>
        <w:tc>
          <w:tcPr>
            <w:tcW w:w="1137" w:type="dxa"/>
            <w:tcBorders>
              <w:bottom w:val="single" w:sz="4" w:space="0" w:color="148A5D"/>
            </w:tcBorders>
          </w:tcPr>
          <w:p w14:paraId="5AB850D5" w14:textId="77777777" w:rsidR="008478FE" w:rsidRPr="00772B9F" w:rsidRDefault="008478FE" w:rsidP="00772B9F">
            <w:pPr>
              <w:pStyle w:val="10Tabletext"/>
              <w:jc w:val="right"/>
            </w:pPr>
            <w:r w:rsidRPr="00772B9F">
              <w:t>2.6</w:t>
            </w:r>
          </w:p>
        </w:tc>
      </w:tr>
      <w:tr w:rsidR="008478FE" w:rsidRPr="005161D4" w14:paraId="51162F30" w14:textId="77777777" w:rsidTr="008478FE">
        <w:tc>
          <w:tcPr>
            <w:tcW w:w="1831" w:type="dxa"/>
            <w:vMerge w:val="restart"/>
            <w:shd w:val="clear" w:color="auto" w:fill="D1F5EB"/>
          </w:tcPr>
          <w:p w14:paraId="21AD655B" w14:textId="77777777" w:rsidR="008478FE" w:rsidRPr="00772B9F" w:rsidRDefault="008478FE" w:rsidP="00772B9F">
            <w:pPr>
              <w:pStyle w:val="10Tabletext"/>
              <w:rPr>
                <w:b/>
                <w:bCs w:val="0"/>
              </w:rPr>
            </w:pPr>
            <w:r w:rsidRPr="00772B9F">
              <w:rPr>
                <w:b/>
                <w:bCs w:val="0"/>
              </w:rPr>
              <w:t>Employment</w:t>
            </w:r>
            <w:r w:rsidRPr="00772B9F">
              <w:rPr>
                <w:b/>
                <w:bCs w:val="0"/>
                <w:vertAlign w:val="superscript"/>
              </w:rPr>
              <w:t>(a)</w:t>
            </w:r>
          </w:p>
        </w:tc>
        <w:tc>
          <w:tcPr>
            <w:tcW w:w="993" w:type="dxa"/>
            <w:tcBorders>
              <w:bottom w:val="single" w:sz="4" w:space="0" w:color="148A5D"/>
            </w:tcBorders>
            <w:shd w:val="clear" w:color="auto" w:fill="D1F5EB"/>
          </w:tcPr>
          <w:p w14:paraId="14162403" w14:textId="77777777" w:rsidR="008478FE" w:rsidRPr="00772B9F" w:rsidRDefault="008478FE" w:rsidP="00772B9F">
            <w:pPr>
              <w:pStyle w:val="10Tabletext"/>
            </w:pPr>
            <w:r w:rsidRPr="00772B9F">
              <w:t>RBA</w:t>
            </w:r>
          </w:p>
        </w:tc>
        <w:tc>
          <w:tcPr>
            <w:tcW w:w="1136" w:type="dxa"/>
            <w:tcBorders>
              <w:bottom w:val="single" w:sz="4" w:space="0" w:color="148A5D"/>
            </w:tcBorders>
            <w:shd w:val="clear" w:color="auto" w:fill="D1F5EB"/>
          </w:tcPr>
          <w:p w14:paraId="3070334C" w14:textId="77777777" w:rsidR="008478FE" w:rsidRPr="00772B9F" w:rsidRDefault="008478FE" w:rsidP="00772B9F">
            <w:pPr>
              <w:pStyle w:val="10Tabletext"/>
              <w:jc w:val="right"/>
            </w:pPr>
            <w:r w:rsidRPr="00772B9F">
              <w:t>2.1</w:t>
            </w:r>
          </w:p>
        </w:tc>
        <w:tc>
          <w:tcPr>
            <w:tcW w:w="1136" w:type="dxa"/>
            <w:tcBorders>
              <w:bottom w:val="single" w:sz="4" w:space="0" w:color="148A5D"/>
            </w:tcBorders>
            <w:shd w:val="clear" w:color="auto" w:fill="D1F5EB"/>
          </w:tcPr>
          <w:p w14:paraId="5B6CCAE4" w14:textId="77777777" w:rsidR="008478FE" w:rsidRPr="00772B9F" w:rsidRDefault="008478FE" w:rsidP="00772B9F">
            <w:pPr>
              <w:pStyle w:val="10Tabletext"/>
              <w:jc w:val="right"/>
            </w:pPr>
            <w:r w:rsidRPr="00772B9F">
              <w:t>1.4</w:t>
            </w:r>
          </w:p>
        </w:tc>
        <w:tc>
          <w:tcPr>
            <w:tcW w:w="1136" w:type="dxa"/>
            <w:tcBorders>
              <w:bottom w:val="single" w:sz="4" w:space="0" w:color="148A5D"/>
            </w:tcBorders>
            <w:shd w:val="clear" w:color="auto" w:fill="D1F5EB"/>
          </w:tcPr>
          <w:p w14:paraId="77B07653" w14:textId="77777777" w:rsidR="008478FE" w:rsidRPr="00772B9F" w:rsidRDefault="008478FE" w:rsidP="00772B9F">
            <w:pPr>
              <w:pStyle w:val="10Tabletext"/>
              <w:jc w:val="right"/>
            </w:pPr>
            <w:r w:rsidRPr="00772B9F">
              <w:t>1.2</w:t>
            </w:r>
          </w:p>
        </w:tc>
        <w:tc>
          <w:tcPr>
            <w:tcW w:w="1136" w:type="dxa"/>
            <w:tcBorders>
              <w:bottom w:val="single" w:sz="4" w:space="0" w:color="148A5D"/>
            </w:tcBorders>
            <w:shd w:val="clear" w:color="auto" w:fill="D1F5EB"/>
          </w:tcPr>
          <w:p w14:paraId="47B844C4" w14:textId="77777777" w:rsidR="008478FE" w:rsidRPr="00772B9F" w:rsidRDefault="008478FE" w:rsidP="00772B9F">
            <w:pPr>
              <w:pStyle w:val="10Tabletext"/>
              <w:jc w:val="right"/>
            </w:pPr>
            <w:r w:rsidRPr="00772B9F">
              <w:t>1.3</w:t>
            </w:r>
          </w:p>
        </w:tc>
        <w:tc>
          <w:tcPr>
            <w:tcW w:w="1137" w:type="dxa"/>
            <w:tcBorders>
              <w:bottom w:val="single" w:sz="4" w:space="0" w:color="148A5D"/>
            </w:tcBorders>
            <w:shd w:val="clear" w:color="auto" w:fill="D1F5EB"/>
          </w:tcPr>
          <w:p w14:paraId="0332DB5D" w14:textId="77777777" w:rsidR="008478FE" w:rsidRPr="00772B9F" w:rsidRDefault="008478FE" w:rsidP="00772B9F">
            <w:pPr>
              <w:pStyle w:val="10Tabletext"/>
              <w:jc w:val="right"/>
            </w:pPr>
            <w:r w:rsidRPr="00772B9F">
              <w:t>1.4</w:t>
            </w:r>
          </w:p>
        </w:tc>
      </w:tr>
      <w:tr w:rsidR="008478FE" w:rsidRPr="005161D4" w14:paraId="70B58A44" w14:textId="77777777" w:rsidTr="008478FE">
        <w:tc>
          <w:tcPr>
            <w:tcW w:w="1831" w:type="dxa"/>
            <w:vMerge/>
            <w:shd w:val="clear" w:color="auto" w:fill="D1F5EB"/>
            <w:vAlign w:val="center"/>
          </w:tcPr>
          <w:p w14:paraId="5B1D2B51" w14:textId="77777777" w:rsidR="008478FE" w:rsidRPr="00772B9F" w:rsidRDefault="008478FE" w:rsidP="00772B9F">
            <w:pPr>
              <w:pStyle w:val="10Tabletext"/>
              <w:rPr>
                <w:b/>
                <w:bCs w:val="0"/>
              </w:rPr>
            </w:pPr>
          </w:p>
        </w:tc>
        <w:tc>
          <w:tcPr>
            <w:tcW w:w="993" w:type="dxa"/>
            <w:tcBorders>
              <w:top w:val="single" w:sz="4" w:space="0" w:color="148A5D"/>
              <w:bottom w:val="single" w:sz="4" w:space="0" w:color="148A5D"/>
            </w:tcBorders>
            <w:shd w:val="clear" w:color="auto" w:fill="D1F5EB"/>
          </w:tcPr>
          <w:p w14:paraId="09139BF8" w14:textId="77777777" w:rsidR="008478FE" w:rsidRPr="00772B9F" w:rsidRDefault="008478FE" w:rsidP="00772B9F">
            <w:pPr>
              <w:pStyle w:val="10Tabletext"/>
            </w:pPr>
            <w:r w:rsidRPr="00772B9F">
              <w:t>Treasury</w:t>
            </w:r>
          </w:p>
        </w:tc>
        <w:tc>
          <w:tcPr>
            <w:tcW w:w="1136" w:type="dxa"/>
            <w:tcBorders>
              <w:top w:val="single" w:sz="4" w:space="0" w:color="148A5D"/>
              <w:bottom w:val="single" w:sz="4" w:space="0" w:color="148A5D"/>
            </w:tcBorders>
            <w:shd w:val="clear" w:color="auto" w:fill="D1F5EB"/>
          </w:tcPr>
          <w:p w14:paraId="50532EE4" w14:textId="77777777" w:rsidR="008478FE" w:rsidRPr="00772B9F" w:rsidRDefault="008478FE" w:rsidP="00772B9F">
            <w:pPr>
              <w:pStyle w:val="10Tabletext"/>
              <w:jc w:val="right"/>
            </w:pPr>
            <w:r w:rsidRPr="00772B9F">
              <w:t>2.3</w:t>
            </w:r>
          </w:p>
        </w:tc>
        <w:tc>
          <w:tcPr>
            <w:tcW w:w="1136" w:type="dxa"/>
            <w:tcBorders>
              <w:top w:val="single" w:sz="4" w:space="0" w:color="148A5D"/>
              <w:bottom w:val="single" w:sz="4" w:space="0" w:color="148A5D"/>
            </w:tcBorders>
            <w:shd w:val="clear" w:color="auto" w:fill="D1F5EB"/>
          </w:tcPr>
          <w:p w14:paraId="223ACAB4" w14:textId="77777777" w:rsidR="008478FE" w:rsidRPr="00772B9F" w:rsidRDefault="008478FE" w:rsidP="00772B9F">
            <w:pPr>
              <w:pStyle w:val="10Tabletext"/>
              <w:jc w:val="right"/>
            </w:pPr>
            <w:r w:rsidRPr="00772B9F">
              <w:t>N/A</w:t>
            </w:r>
          </w:p>
        </w:tc>
        <w:tc>
          <w:tcPr>
            <w:tcW w:w="1136" w:type="dxa"/>
            <w:tcBorders>
              <w:top w:val="single" w:sz="4" w:space="0" w:color="148A5D"/>
              <w:bottom w:val="single" w:sz="4" w:space="0" w:color="148A5D"/>
            </w:tcBorders>
            <w:shd w:val="clear" w:color="auto" w:fill="D1F5EB"/>
          </w:tcPr>
          <w:p w14:paraId="447F281E" w14:textId="77777777" w:rsidR="008478FE" w:rsidRPr="00772B9F" w:rsidRDefault="008478FE" w:rsidP="00772B9F">
            <w:pPr>
              <w:pStyle w:val="10Tabletext"/>
              <w:jc w:val="right"/>
            </w:pPr>
            <w:r w:rsidRPr="00772B9F">
              <w:t>0.8</w:t>
            </w:r>
          </w:p>
        </w:tc>
        <w:tc>
          <w:tcPr>
            <w:tcW w:w="1136" w:type="dxa"/>
            <w:tcBorders>
              <w:top w:val="single" w:sz="4" w:space="0" w:color="148A5D"/>
              <w:bottom w:val="single" w:sz="4" w:space="0" w:color="148A5D"/>
            </w:tcBorders>
            <w:shd w:val="clear" w:color="auto" w:fill="D1F5EB"/>
          </w:tcPr>
          <w:p w14:paraId="5D32E0BC" w14:textId="77777777" w:rsidR="008478FE" w:rsidRPr="00772B9F" w:rsidRDefault="008478FE" w:rsidP="00772B9F">
            <w:pPr>
              <w:pStyle w:val="10Tabletext"/>
              <w:jc w:val="right"/>
            </w:pPr>
            <w:r w:rsidRPr="00772B9F">
              <w:t>N/A</w:t>
            </w:r>
          </w:p>
        </w:tc>
        <w:tc>
          <w:tcPr>
            <w:tcW w:w="1137" w:type="dxa"/>
            <w:tcBorders>
              <w:top w:val="single" w:sz="4" w:space="0" w:color="148A5D"/>
              <w:bottom w:val="single" w:sz="4" w:space="0" w:color="148A5D"/>
            </w:tcBorders>
            <w:shd w:val="clear" w:color="auto" w:fill="D1F5EB"/>
          </w:tcPr>
          <w:p w14:paraId="03E48456" w14:textId="77777777" w:rsidR="008478FE" w:rsidRPr="00772B9F" w:rsidRDefault="008478FE" w:rsidP="00772B9F">
            <w:pPr>
              <w:pStyle w:val="10Tabletext"/>
              <w:jc w:val="right"/>
            </w:pPr>
            <w:r w:rsidRPr="00772B9F">
              <w:t>1.3</w:t>
            </w:r>
          </w:p>
        </w:tc>
      </w:tr>
      <w:tr w:rsidR="008478FE" w:rsidRPr="005161D4" w14:paraId="23B98C28" w14:textId="77777777" w:rsidTr="008478FE">
        <w:tc>
          <w:tcPr>
            <w:tcW w:w="1831" w:type="dxa"/>
            <w:vMerge w:val="restart"/>
            <w:vAlign w:val="center"/>
          </w:tcPr>
          <w:p w14:paraId="7F86474A" w14:textId="77777777" w:rsidR="008478FE" w:rsidRPr="00772B9F" w:rsidRDefault="008478FE" w:rsidP="00772B9F">
            <w:pPr>
              <w:pStyle w:val="10Tabletext"/>
              <w:rPr>
                <w:b/>
                <w:bCs w:val="0"/>
              </w:rPr>
            </w:pPr>
            <w:r w:rsidRPr="00772B9F">
              <w:rPr>
                <w:b/>
                <w:bCs w:val="0"/>
              </w:rPr>
              <w:t>Unemployment rate</w:t>
            </w:r>
            <w:r w:rsidRPr="00772B9F">
              <w:rPr>
                <w:b/>
                <w:bCs w:val="0"/>
                <w:vertAlign w:val="superscript"/>
              </w:rPr>
              <w:t>(b)</w:t>
            </w:r>
          </w:p>
        </w:tc>
        <w:tc>
          <w:tcPr>
            <w:tcW w:w="993" w:type="dxa"/>
            <w:tcBorders>
              <w:bottom w:val="single" w:sz="4" w:space="0" w:color="148A5D"/>
            </w:tcBorders>
          </w:tcPr>
          <w:p w14:paraId="5D69D3FF" w14:textId="77777777" w:rsidR="008478FE" w:rsidRPr="00772B9F" w:rsidRDefault="008478FE" w:rsidP="00772B9F">
            <w:pPr>
              <w:pStyle w:val="10Tabletext"/>
            </w:pPr>
            <w:r w:rsidRPr="00772B9F">
              <w:t>RBA</w:t>
            </w:r>
          </w:p>
        </w:tc>
        <w:tc>
          <w:tcPr>
            <w:tcW w:w="1136" w:type="dxa"/>
            <w:tcBorders>
              <w:bottom w:val="single" w:sz="4" w:space="0" w:color="148A5D"/>
            </w:tcBorders>
          </w:tcPr>
          <w:p w14:paraId="3FF6D00D" w14:textId="77777777" w:rsidR="008478FE" w:rsidRPr="00772B9F" w:rsidRDefault="008478FE" w:rsidP="00772B9F">
            <w:pPr>
              <w:pStyle w:val="10Tabletext"/>
              <w:jc w:val="right"/>
            </w:pPr>
            <w:r w:rsidRPr="00772B9F">
              <w:t>4.0</w:t>
            </w:r>
          </w:p>
        </w:tc>
        <w:tc>
          <w:tcPr>
            <w:tcW w:w="1136" w:type="dxa"/>
            <w:tcBorders>
              <w:bottom w:val="single" w:sz="4" w:space="0" w:color="148A5D"/>
            </w:tcBorders>
          </w:tcPr>
          <w:p w14:paraId="7A986A92" w14:textId="77777777" w:rsidR="008478FE" w:rsidRPr="00772B9F" w:rsidRDefault="008478FE" w:rsidP="00772B9F">
            <w:pPr>
              <w:pStyle w:val="10Tabletext"/>
              <w:jc w:val="right"/>
            </w:pPr>
            <w:r w:rsidRPr="00772B9F">
              <w:t>4.2</w:t>
            </w:r>
          </w:p>
        </w:tc>
        <w:tc>
          <w:tcPr>
            <w:tcW w:w="1136" w:type="dxa"/>
            <w:tcBorders>
              <w:bottom w:val="single" w:sz="4" w:space="0" w:color="148A5D"/>
            </w:tcBorders>
          </w:tcPr>
          <w:p w14:paraId="443D59CD" w14:textId="77777777" w:rsidR="008478FE" w:rsidRPr="00772B9F" w:rsidRDefault="008478FE" w:rsidP="00772B9F">
            <w:pPr>
              <w:pStyle w:val="10Tabletext"/>
              <w:jc w:val="right"/>
            </w:pPr>
            <w:r w:rsidRPr="00772B9F">
              <w:t>4.3</w:t>
            </w:r>
          </w:p>
        </w:tc>
        <w:tc>
          <w:tcPr>
            <w:tcW w:w="1136" w:type="dxa"/>
            <w:tcBorders>
              <w:bottom w:val="single" w:sz="4" w:space="0" w:color="148A5D"/>
            </w:tcBorders>
          </w:tcPr>
          <w:p w14:paraId="00AAE392" w14:textId="77777777" w:rsidR="008478FE" w:rsidRPr="00772B9F" w:rsidRDefault="008478FE" w:rsidP="00772B9F">
            <w:pPr>
              <w:pStyle w:val="10Tabletext"/>
              <w:jc w:val="right"/>
            </w:pPr>
            <w:r w:rsidRPr="00772B9F">
              <w:t>4.3</w:t>
            </w:r>
          </w:p>
        </w:tc>
        <w:tc>
          <w:tcPr>
            <w:tcW w:w="1137" w:type="dxa"/>
            <w:tcBorders>
              <w:bottom w:val="single" w:sz="4" w:space="0" w:color="148A5D"/>
            </w:tcBorders>
          </w:tcPr>
          <w:p w14:paraId="36E90034" w14:textId="77777777" w:rsidR="008478FE" w:rsidRPr="00772B9F" w:rsidRDefault="008478FE" w:rsidP="00772B9F">
            <w:pPr>
              <w:pStyle w:val="10Tabletext"/>
              <w:jc w:val="right"/>
            </w:pPr>
            <w:r w:rsidRPr="00772B9F">
              <w:t>4.3</w:t>
            </w:r>
          </w:p>
        </w:tc>
      </w:tr>
      <w:tr w:rsidR="008478FE" w:rsidRPr="005161D4" w14:paraId="066A7B79" w14:textId="77777777" w:rsidTr="008478FE">
        <w:tc>
          <w:tcPr>
            <w:tcW w:w="1831" w:type="dxa"/>
            <w:vMerge/>
            <w:vAlign w:val="center"/>
          </w:tcPr>
          <w:p w14:paraId="2042A17E" w14:textId="77777777" w:rsidR="008478FE" w:rsidRPr="00772B9F" w:rsidRDefault="008478FE" w:rsidP="00772B9F">
            <w:pPr>
              <w:pStyle w:val="10Tabletext"/>
              <w:rPr>
                <w:b/>
                <w:bCs w:val="0"/>
              </w:rPr>
            </w:pPr>
          </w:p>
        </w:tc>
        <w:tc>
          <w:tcPr>
            <w:tcW w:w="993" w:type="dxa"/>
            <w:tcBorders>
              <w:top w:val="single" w:sz="4" w:space="0" w:color="148A5D"/>
              <w:bottom w:val="single" w:sz="4" w:space="0" w:color="148A5D"/>
            </w:tcBorders>
          </w:tcPr>
          <w:p w14:paraId="373A12C6" w14:textId="77777777" w:rsidR="008478FE" w:rsidRPr="00772B9F" w:rsidRDefault="008478FE" w:rsidP="00772B9F">
            <w:pPr>
              <w:pStyle w:val="10Tabletext"/>
            </w:pPr>
            <w:r w:rsidRPr="00772B9F">
              <w:t>Treasury</w:t>
            </w:r>
          </w:p>
        </w:tc>
        <w:tc>
          <w:tcPr>
            <w:tcW w:w="1136" w:type="dxa"/>
            <w:tcBorders>
              <w:top w:val="single" w:sz="4" w:space="0" w:color="148A5D"/>
              <w:bottom w:val="single" w:sz="4" w:space="0" w:color="148A5D"/>
            </w:tcBorders>
          </w:tcPr>
          <w:p w14:paraId="49EF1204" w14:textId="77777777" w:rsidR="008478FE" w:rsidRPr="00772B9F" w:rsidRDefault="008478FE" w:rsidP="00772B9F">
            <w:pPr>
              <w:pStyle w:val="10Tabletext"/>
              <w:jc w:val="right"/>
            </w:pPr>
            <w:r w:rsidRPr="00772B9F">
              <w:t>4.0</w:t>
            </w:r>
          </w:p>
        </w:tc>
        <w:tc>
          <w:tcPr>
            <w:tcW w:w="1136" w:type="dxa"/>
            <w:tcBorders>
              <w:top w:val="single" w:sz="4" w:space="0" w:color="148A5D"/>
              <w:bottom w:val="single" w:sz="4" w:space="0" w:color="148A5D"/>
            </w:tcBorders>
          </w:tcPr>
          <w:p w14:paraId="7393065B" w14:textId="77777777" w:rsidR="008478FE" w:rsidRPr="00772B9F" w:rsidRDefault="008478FE" w:rsidP="00772B9F">
            <w:pPr>
              <w:pStyle w:val="10Tabletext"/>
              <w:jc w:val="right"/>
            </w:pPr>
            <w:r w:rsidRPr="00772B9F">
              <w:t>N/A</w:t>
            </w:r>
          </w:p>
        </w:tc>
        <w:tc>
          <w:tcPr>
            <w:tcW w:w="1136" w:type="dxa"/>
            <w:tcBorders>
              <w:top w:val="single" w:sz="4" w:space="0" w:color="148A5D"/>
              <w:bottom w:val="single" w:sz="4" w:space="0" w:color="148A5D"/>
            </w:tcBorders>
          </w:tcPr>
          <w:p w14:paraId="6A67C844" w14:textId="77777777" w:rsidR="008478FE" w:rsidRPr="00772B9F" w:rsidRDefault="008478FE" w:rsidP="00772B9F">
            <w:pPr>
              <w:pStyle w:val="10Tabletext"/>
              <w:jc w:val="right"/>
            </w:pPr>
            <w:r w:rsidRPr="00772B9F">
              <w:t>4.5</w:t>
            </w:r>
          </w:p>
        </w:tc>
        <w:tc>
          <w:tcPr>
            <w:tcW w:w="1136" w:type="dxa"/>
            <w:tcBorders>
              <w:top w:val="single" w:sz="4" w:space="0" w:color="148A5D"/>
              <w:bottom w:val="single" w:sz="4" w:space="0" w:color="148A5D"/>
            </w:tcBorders>
          </w:tcPr>
          <w:p w14:paraId="2A7AD89B" w14:textId="77777777" w:rsidR="008478FE" w:rsidRPr="00772B9F" w:rsidRDefault="008478FE" w:rsidP="00772B9F">
            <w:pPr>
              <w:pStyle w:val="10Tabletext"/>
              <w:jc w:val="right"/>
            </w:pPr>
            <w:r w:rsidRPr="00772B9F">
              <w:t>N/A</w:t>
            </w:r>
          </w:p>
        </w:tc>
        <w:tc>
          <w:tcPr>
            <w:tcW w:w="1137" w:type="dxa"/>
            <w:tcBorders>
              <w:top w:val="single" w:sz="4" w:space="0" w:color="148A5D"/>
              <w:bottom w:val="single" w:sz="4" w:space="0" w:color="148A5D"/>
            </w:tcBorders>
          </w:tcPr>
          <w:p w14:paraId="45D48E78" w14:textId="77777777" w:rsidR="008478FE" w:rsidRPr="00772B9F" w:rsidRDefault="008478FE" w:rsidP="00772B9F">
            <w:pPr>
              <w:pStyle w:val="10Tabletext"/>
              <w:jc w:val="right"/>
            </w:pPr>
            <w:r w:rsidRPr="00772B9F">
              <w:t>4.5</w:t>
            </w:r>
          </w:p>
        </w:tc>
      </w:tr>
      <w:tr w:rsidR="008478FE" w:rsidRPr="005161D4" w14:paraId="771EC4B4" w14:textId="77777777" w:rsidTr="008478FE">
        <w:tc>
          <w:tcPr>
            <w:tcW w:w="1831" w:type="dxa"/>
            <w:vMerge w:val="restart"/>
            <w:shd w:val="clear" w:color="auto" w:fill="D1F5EB"/>
          </w:tcPr>
          <w:p w14:paraId="3E0F7752" w14:textId="77777777" w:rsidR="008478FE" w:rsidRPr="00772B9F" w:rsidRDefault="008478FE" w:rsidP="00772B9F">
            <w:pPr>
              <w:pStyle w:val="10Tabletext"/>
              <w:rPr>
                <w:b/>
                <w:bCs w:val="0"/>
              </w:rPr>
            </w:pPr>
            <w:r w:rsidRPr="00772B9F">
              <w:rPr>
                <w:b/>
                <w:bCs w:val="0"/>
              </w:rPr>
              <w:t>WPI</w:t>
            </w:r>
            <w:r w:rsidRPr="00772B9F">
              <w:rPr>
                <w:b/>
                <w:bCs w:val="0"/>
                <w:vertAlign w:val="superscript"/>
              </w:rPr>
              <w:t>(a)</w:t>
            </w:r>
          </w:p>
        </w:tc>
        <w:tc>
          <w:tcPr>
            <w:tcW w:w="993" w:type="dxa"/>
            <w:tcBorders>
              <w:bottom w:val="single" w:sz="4" w:space="0" w:color="148A5D"/>
            </w:tcBorders>
            <w:shd w:val="clear" w:color="auto" w:fill="D1F5EB"/>
          </w:tcPr>
          <w:p w14:paraId="72615EA0" w14:textId="77777777" w:rsidR="008478FE" w:rsidRPr="00772B9F" w:rsidRDefault="008478FE" w:rsidP="00772B9F">
            <w:pPr>
              <w:pStyle w:val="10Tabletext"/>
            </w:pPr>
            <w:r w:rsidRPr="00772B9F">
              <w:t>RBA</w:t>
            </w:r>
          </w:p>
        </w:tc>
        <w:tc>
          <w:tcPr>
            <w:tcW w:w="1136" w:type="dxa"/>
            <w:tcBorders>
              <w:bottom w:val="single" w:sz="4" w:space="0" w:color="148A5D"/>
            </w:tcBorders>
            <w:shd w:val="clear" w:color="auto" w:fill="D1F5EB"/>
          </w:tcPr>
          <w:p w14:paraId="1C78182A" w14:textId="77777777" w:rsidR="008478FE" w:rsidRPr="00772B9F" w:rsidRDefault="008478FE" w:rsidP="00772B9F">
            <w:pPr>
              <w:pStyle w:val="10Tabletext"/>
              <w:jc w:val="right"/>
            </w:pPr>
            <w:r w:rsidRPr="00772B9F">
              <w:t>4.2</w:t>
            </w:r>
          </w:p>
        </w:tc>
        <w:tc>
          <w:tcPr>
            <w:tcW w:w="1136" w:type="dxa"/>
            <w:tcBorders>
              <w:bottom w:val="single" w:sz="4" w:space="0" w:color="148A5D"/>
            </w:tcBorders>
            <w:shd w:val="clear" w:color="auto" w:fill="D1F5EB"/>
          </w:tcPr>
          <w:p w14:paraId="4643B66F" w14:textId="77777777" w:rsidR="008478FE" w:rsidRPr="00772B9F" w:rsidRDefault="008478FE" w:rsidP="00772B9F">
            <w:pPr>
              <w:pStyle w:val="10Tabletext"/>
              <w:jc w:val="right"/>
            </w:pPr>
            <w:r w:rsidRPr="00772B9F">
              <w:t>3.8</w:t>
            </w:r>
          </w:p>
        </w:tc>
        <w:tc>
          <w:tcPr>
            <w:tcW w:w="1136" w:type="dxa"/>
            <w:tcBorders>
              <w:bottom w:val="single" w:sz="4" w:space="0" w:color="148A5D"/>
            </w:tcBorders>
            <w:shd w:val="clear" w:color="auto" w:fill="D1F5EB"/>
          </w:tcPr>
          <w:p w14:paraId="2EBA9C7D" w14:textId="77777777" w:rsidR="008478FE" w:rsidRPr="00772B9F" w:rsidRDefault="008478FE" w:rsidP="00772B9F">
            <w:pPr>
              <w:pStyle w:val="10Tabletext"/>
              <w:jc w:val="right"/>
            </w:pPr>
            <w:r w:rsidRPr="00772B9F">
              <w:t>3.6</w:t>
            </w:r>
          </w:p>
        </w:tc>
        <w:tc>
          <w:tcPr>
            <w:tcW w:w="1136" w:type="dxa"/>
            <w:tcBorders>
              <w:bottom w:val="single" w:sz="4" w:space="0" w:color="148A5D"/>
            </w:tcBorders>
            <w:shd w:val="clear" w:color="auto" w:fill="D1F5EB"/>
          </w:tcPr>
          <w:p w14:paraId="48122AEC" w14:textId="77777777" w:rsidR="008478FE" w:rsidRPr="00772B9F" w:rsidRDefault="008478FE" w:rsidP="00772B9F">
            <w:pPr>
              <w:pStyle w:val="10Tabletext"/>
              <w:jc w:val="right"/>
            </w:pPr>
            <w:r w:rsidRPr="00772B9F">
              <w:t>3.4</w:t>
            </w:r>
          </w:p>
        </w:tc>
        <w:tc>
          <w:tcPr>
            <w:tcW w:w="1137" w:type="dxa"/>
            <w:tcBorders>
              <w:bottom w:val="single" w:sz="4" w:space="0" w:color="148A5D"/>
            </w:tcBorders>
            <w:shd w:val="clear" w:color="auto" w:fill="D1F5EB"/>
          </w:tcPr>
          <w:p w14:paraId="7C056C75" w14:textId="77777777" w:rsidR="008478FE" w:rsidRPr="00772B9F" w:rsidRDefault="008478FE" w:rsidP="00772B9F">
            <w:pPr>
              <w:pStyle w:val="10Tabletext"/>
              <w:jc w:val="right"/>
            </w:pPr>
            <w:r w:rsidRPr="00772B9F">
              <w:t>3.3</w:t>
            </w:r>
          </w:p>
        </w:tc>
      </w:tr>
      <w:tr w:rsidR="008478FE" w:rsidRPr="005161D4" w14:paraId="2AD4E23E" w14:textId="77777777" w:rsidTr="008478FE">
        <w:tc>
          <w:tcPr>
            <w:tcW w:w="1831" w:type="dxa"/>
            <w:vMerge/>
            <w:shd w:val="clear" w:color="auto" w:fill="D1F5EB"/>
            <w:vAlign w:val="center"/>
          </w:tcPr>
          <w:p w14:paraId="726D257F" w14:textId="77777777" w:rsidR="008478FE" w:rsidRPr="00772B9F" w:rsidRDefault="008478FE" w:rsidP="00772B9F">
            <w:pPr>
              <w:pStyle w:val="10Tabletext"/>
              <w:rPr>
                <w:b/>
                <w:bCs w:val="0"/>
              </w:rPr>
            </w:pPr>
          </w:p>
        </w:tc>
        <w:tc>
          <w:tcPr>
            <w:tcW w:w="993" w:type="dxa"/>
            <w:tcBorders>
              <w:top w:val="single" w:sz="4" w:space="0" w:color="148A5D"/>
            </w:tcBorders>
            <w:shd w:val="clear" w:color="auto" w:fill="D1F5EB"/>
          </w:tcPr>
          <w:p w14:paraId="60447FEE" w14:textId="77777777" w:rsidR="008478FE" w:rsidRPr="00772B9F" w:rsidRDefault="008478FE" w:rsidP="00772B9F">
            <w:pPr>
              <w:pStyle w:val="10Tabletext"/>
            </w:pPr>
            <w:r w:rsidRPr="00772B9F">
              <w:t>Treasury</w:t>
            </w:r>
          </w:p>
        </w:tc>
        <w:tc>
          <w:tcPr>
            <w:tcW w:w="1136" w:type="dxa"/>
            <w:tcBorders>
              <w:top w:val="single" w:sz="4" w:space="0" w:color="148A5D"/>
            </w:tcBorders>
            <w:shd w:val="clear" w:color="auto" w:fill="D1F5EB"/>
          </w:tcPr>
          <w:p w14:paraId="3EECC4F9" w14:textId="77777777" w:rsidR="008478FE" w:rsidRPr="00772B9F" w:rsidRDefault="008478FE" w:rsidP="00772B9F">
            <w:pPr>
              <w:pStyle w:val="10Tabletext"/>
              <w:jc w:val="right"/>
            </w:pPr>
            <w:r w:rsidRPr="00772B9F">
              <w:t>4.0</w:t>
            </w:r>
          </w:p>
        </w:tc>
        <w:tc>
          <w:tcPr>
            <w:tcW w:w="1136" w:type="dxa"/>
            <w:tcBorders>
              <w:top w:val="single" w:sz="4" w:space="0" w:color="148A5D"/>
            </w:tcBorders>
            <w:shd w:val="clear" w:color="auto" w:fill="D1F5EB"/>
          </w:tcPr>
          <w:p w14:paraId="1C4D536F" w14:textId="77777777" w:rsidR="008478FE" w:rsidRPr="00772B9F" w:rsidRDefault="008478FE" w:rsidP="00772B9F">
            <w:pPr>
              <w:pStyle w:val="10Tabletext"/>
              <w:jc w:val="right"/>
            </w:pPr>
            <w:r w:rsidRPr="00772B9F">
              <w:t>N/A</w:t>
            </w:r>
          </w:p>
        </w:tc>
        <w:tc>
          <w:tcPr>
            <w:tcW w:w="1136" w:type="dxa"/>
            <w:tcBorders>
              <w:top w:val="single" w:sz="4" w:space="0" w:color="148A5D"/>
            </w:tcBorders>
            <w:shd w:val="clear" w:color="auto" w:fill="D1F5EB"/>
          </w:tcPr>
          <w:p w14:paraId="5D868E08" w14:textId="77777777" w:rsidR="008478FE" w:rsidRPr="00772B9F" w:rsidRDefault="008478FE" w:rsidP="00772B9F">
            <w:pPr>
              <w:pStyle w:val="10Tabletext"/>
              <w:jc w:val="right"/>
            </w:pPr>
            <w:r w:rsidRPr="00772B9F">
              <w:t>3.3</w:t>
            </w:r>
          </w:p>
        </w:tc>
        <w:tc>
          <w:tcPr>
            <w:tcW w:w="1136" w:type="dxa"/>
            <w:tcBorders>
              <w:top w:val="single" w:sz="4" w:space="0" w:color="148A5D"/>
            </w:tcBorders>
            <w:shd w:val="clear" w:color="auto" w:fill="D1F5EB"/>
          </w:tcPr>
          <w:p w14:paraId="0E03B867" w14:textId="77777777" w:rsidR="008478FE" w:rsidRPr="00772B9F" w:rsidRDefault="008478FE" w:rsidP="00772B9F">
            <w:pPr>
              <w:pStyle w:val="10Tabletext"/>
              <w:jc w:val="right"/>
            </w:pPr>
            <w:r w:rsidRPr="00772B9F">
              <w:t>N/A</w:t>
            </w:r>
          </w:p>
        </w:tc>
        <w:tc>
          <w:tcPr>
            <w:tcW w:w="1137" w:type="dxa"/>
            <w:tcBorders>
              <w:top w:val="single" w:sz="4" w:space="0" w:color="148A5D"/>
            </w:tcBorders>
            <w:shd w:val="clear" w:color="auto" w:fill="D1F5EB"/>
          </w:tcPr>
          <w:p w14:paraId="3FC605AF" w14:textId="77777777" w:rsidR="008478FE" w:rsidRPr="00772B9F" w:rsidRDefault="008478FE" w:rsidP="00772B9F">
            <w:pPr>
              <w:pStyle w:val="10Tabletext"/>
              <w:jc w:val="right"/>
            </w:pPr>
            <w:r w:rsidRPr="00772B9F">
              <w:t>3.3</w:t>
            </w:r>
          </w:p>
        </w:tc>
      </w:tr>
      <w:tr w:rsidR="008478FE" w:rsidRPr="005161D4" w14:paraId="7AFBD2F3" w14:textId="77777777">
        <w:tc>
          <w:tcPr>
            <w:tcW w:w="1831" w:type="dxa"/>
            <w:vAlign w:val="center"/>
          </w:tcPr>
          <w:p w14:paraId="43F82BEE" w14:textId="77777777" w:rsidR="008478FE" w:rsidRPr="00772B9F" w:rsidRDefault="008478FE" w:rsidP="00772B9F">
            <w:pPr>
              <w:pStyle w:val="10Tabletext"/>
              <w:rPr>
                <w:b/>
                <w:bCs w:val="0"/>
              </w:rPr>
            </w:pPr>
            <w:r w:rsidRPr="00772B9F">
              <w:rPr>
                <w:b/>
                <w:bCs w:val="0"/>
              </w:rPr>
              <w:t>Labour productivity</w:t>
            </w:r>
            <w:r w:rsidRPr="00772B9F">
              <w:rPr>
                <w:b/>
                <w:bCs w:val="0"/>
                <w:vertAlign w:val="superscript"/>
              </w:rPr>
              <w:t>(a)</w:t>
            </w:r>
          </w:p>
        </w:tc>
        <w:tc>
          <w:tcPr>
            <w:tcW w:w="993" w:type="dxa"/>
          </w:tcPr>
          <w:p w14:paraId="22BA2746" w14:textId="77777777" w:rsidR="008478FE" w:rsidRPr="00772B9F" w:rsidRDefault="008478FE" w:rsidP="00772B9F">
            <w:pPr>
              <w:pStyle w:val="10Tabletext"/>
            </w:pPr>
            <w:r w:rsidRPr="00772B9F">
              <w:t>RBA</w:t>
            </w:r>
          </w:p>
        </w:tc>
        <w:tc>
          <w:tcPr>
            <w:tcW w:w="1136" w:type="dxa"/>
          </w:tcPr>
          <w:p w14:paraId="5A816BCA" w14:textId="77777777" w:rsidR="008478FE" w:rsidRPr="00772B9F" w:rsidRDefault="008478FE" w:rsidP="00772B9F">
            <w:pPr>
              <w:pStyle w:val="10Tabletext"/>
              <w:jc w:val="right"/>
            </w:pPr>
            <w:r w:rsidRPr="00772B9F">
              <w:t>1.8</w:t>
            </w:r>
          </w:p>
        </w:tc>
        <w:tc>
          <w:tcPr>
            <w:tcW w:w="1136" w:type="dxa"/>
          </w:tcPr>
          <w:p w14:paraId="3211098A" w14:textId="77777777" w:rsidR="008478FE" w:rsidRPr="00772B9F" w:rsidRDefault="008478FE" w:rsidP="00772B9F">
            <w:pPr>
              <w:pStyle w:val="10Tabletext"/>
              <w:jc w:val="right"/>
            </w:pPr>
            <w:r w:rsidRPr="00772B9F">
              <w:t>0.8</w:t>
            </w:r>
          </w:p>
        </w:tc>
        <w:tc>
          <w:tcPr>
            <w:tcW w:w="1136" w:type="dxa"/>
          </w:tcPr>
          <w:p w14:paraId="52A7AEDA" w14:textId="77777777" w:rsidR="008478FE" w:rsidRPr="00772B9F" w:rsidRDefault="008478FE" w:rsidP="00772B9F">
            <w:pPr>
              <w:pStyle w:val="10Tabletext"/>
              <w:jc w:val="right"/>
            </w:pPr>
            <w:r w:rsidRPr="00772B9F">
              <w:t>1.3</w:t>
            </w:r>
          </w:p>
        </w:tc>
        <w:tc>
          <w:tcPr>
            <w:tcW w:w="1136" w:type="dxa"/>
          </w:tcPr>
          <w:p w14:paraId="05EBB21F" w14:textId="77777777" w:rsidR="008478FE" w:rsidRPr="00772B9F" w:rsidRDefault="008478FE" w:rsidP="00772B9F">
            <w:pPr>
              <w:pStyle w:val="10Tabletext"/>
              <w:jc w:val="right"/>
            </w:pPr>
            <w:r w:rsidRPr="00772B9F">
              <w:t>1.2</w:t>
            </w:r>
          </w:p>
        </w:tc>
        <w:tc>
          <w:tcPr>
            <w:tcW w:w="1137" w:type="dxa"/>
          </w:tcPr>
          <w:p w14:paraId="3E1D0955" w14:textId="77777777" w:rsidR="008478FE" w:rsidRPr="00772B9F" w:rsidRDefault="008478FE" w:rsidP="00772B9F">
            <w:pPr>
              <w:pStyle w:val="10Tabletext"/>
              <w:jc w:val="right"/>
            </w:pPr>
            <w:r w:rsidRPr="00772B9F">
              <w:t>1.1</w:t>
            </w:r>
          </w:p>
        </w:tc>
      </w:tr>
    </w:tbl>
    <w:p w14:paraId="29D8A2A6" w14:textId="4CA129D8" w:rsidR="008478FE" w:rsidRPr="00052861" w:rsidRDefault="008478FE" w:rsidP="00052861">
      <w:pPr>
        <w:pStyle w:val="09Sourcesandnotesfortablesfiguresboxes"/>
      </w:pPr>
      <w:r w:rsidRPr="00052861">
        <w:t xml:space="preserve">Notes: (a) </w:t>
      </w:r>
      <w:r w:rsidR="00016B94" w:rsidRPr="00052861">
        <w:t xml:space="preserve">Commonwealth Treasury forecasts are presented to one quarter of one per cent and have been rounded up to one decimal place. (b) </w:t>
      </w:r>
      <w:r w:rsidRPr="00052861">
        <w:t>Percentage change through the year. (</w:t>
      </w:r>
      <w:r w:rsidR="00AD7FC5" w:rsidRPr="00052861">
        <w:t>c</w:t>
      </w:r>
      <w:r w:rsidRPr="00052861">
        <w:t>) Average rate in the quarter.</w:t>
      </w:r>
    </w:p>
    <w:p w14:paraId="76E48335" w14:textId="0EED0504" w:rsidR="008478FE" w:rsidRDefault="008478FE" w:rsidP="00052861">
      <w:pPr>
        <w:pStyle w:val="09Sourcesandnotesfortablesfiguresboxes"/>
      </w:pPr>
      <w:r w:rsidRPr="00052861">
        <w:t>Sources: RBA (</w:t>
      </w:r>
      <w:r w:rsidR="00716004" w:rsidRPr="00052861">
        <w:t>2024b)</w:t>
      </w:r>
      <w:r w:rsidR="009760C9" w:rsidRPr="00052861">
        <w:t>, p. 51</w:t>
      </w:r>
      <w:r w:rsidRPr="00052861">
        <w:t xml:space="preserve">; Commonwealth </w:t>
      </w:r>
      <w:r w:rsidR="0073644B" w:rsidRPr="00052861">
        <w:t>of Australia</w:t>
      </w:r>
      <w:r w:rsidRPr="00052861">
        <w:t xml:space="preserve"> (2024</w:t>
      </w:r>
      <w:r w:rsidR="0073644B" w:rsidRPr="00052861">
        <w:t>)</w:t>
      </w:r>
      <w:r w:rsidR="00AF18CF" w:rsidRPr="00052861">
        <w:t>, p. 53</w:t>
      </w:r>
      <w:r w:rsidRPr="00052861">
        <w:t>.</w:t>
      </w:r>
    </w:p>
    <w:p w14:paraId="2F5766B6" w14:textId="470C1588" w:rsidR="00950683" w:rsidRPr="00950683" w:rsidRDefault="00950683" w:rsidP="00950683">
      <w:pPr>
        <w:tabs>
          <w:tab w:val="left" w:pos="3756"/>
        </w:tabs>
      </w:pPr>
      <w:r>
        <w:tab/>
      </w:r>
    </w:p>
    <w:p w14:paraId="571DB3A2" w14:textId="77777777" w:rsidR="008478FE" w:rsidRPr="008478FE" w:rsidRDefault="008478FE" w:rsidP="00144BE8">
      <w:pPr>
        <w:pStyle w:val="08Figuretableboxheading"/>
      </w:pPr>
      <w:bookmarkStart w:id="149" w:name="_Toc170393571"/>
      <w:r w:rsidRPr="008478FE">
        <w:lastRenderedPageBreak/>
        <w:t>Table 6.2: 2024-25 Budget forecasts for the Victorian economy</w:t>
      </w:r>
      <w:bookmarkEnd w:id="149"/>
    </w:p>
    <w:tbl>
      <w:tblPr>
        <w:tblStyle w:val="Glossary2"/>
        <w:tblW w:w="8505" w:type="dxa"/>
        <w:tblLook w:val="04A0" w:firstRow="1" w:lastRow="0" w:firstColumn="1" w:lastColumn="0" w:noHBand="0" w:noVBand="1"/>
      </w:tblPr>
      <w:tblGrid>
        <w:gridCol w:w="2694"/>
        <w:gridCol w:w="1162"/>
        <w:gridCol w:w="1162"/>
        <w:gridCol w:w="1162"/>
        <w:gridCol w:w="1162"/>
        <w:gridCol w:w="1163"/>
      </w:tblGrid>
      <w:tr w:rsidR="00EA6A14" w:rsidRPr="00EA6A14" w14:paraId="70438930" w14:textId="77777777">
        <w:trPr>
          <w:cnfStyle w:val="100000000000" w:firstRow="1" w:lastRow="0" w:firstColumn="0" w:lastColumn="0" w:oddVBand="0" w:evenVBand="0" w:oddHBand="0" w:evenHBand="0" w:firstRowFirstColumn="0" w:firstRowLastColumn="0" w:lastRowFirstColumn="0" w:lastRowLastColumn="0"/>
        </w:trPr>
        <w:tc>
          <w:tcPr>
            <w:tcW w:w="2694" w:type="dxa"/>
          </w:tcPr>
          <w:p w14:paraId="29813A80" w14:textId="77777777" w:rsidR="008478FE" w:rsidRPr="002A0F1F" w:rsidRDefault="008478FE" w:rsidP="002A0F1F">
            <w:pPr>
              <w:pStyle w:val="10Tabletext"/>
              <w:rPr>
                <w:color w:val="FFFFFF" w:themeColor="background1"/>
              </w:rPr>
            </w:pPr>
            <w:r w:rsidRPr="002A0F1F">
              <w:rPr>
                <w:color w:val="FFFFFF" w:themeColor="background1"/>
              </w:rPr>
              <w:t>Indicator</w:t>
            </w:r>
          </w:p>
        </w:tc>
        <w:tc>
          <w:tcPr>
            <w:tcW w:w="1162" w:type="dxa"/>
          </w:tcPr>
          <w:p w14:paraId="5DAE0283" w14:textId="77777777" w:rsidR="008478FE" w:rsidRPr="002A0F1F" w:rsidRDefault="008478FE" w:rsidP="002A0F1F">
            <w:pPr>
              <w:pStyle w:val="10Tabletext"/>
              <w:jc w:val="right"/>
              <w:rPr>
                <w:color w:val="FFFFFF" w:themeColor="background1"/>
              </w:rPr>
            </w:pPr>
            <w:r w:rsidRPr="002A0F1F">
              <w:rPr>
                <w:color w:val="FFFFFF" w:themeColor="background1"/>
              </w:rPr>
              <w:t>2023-24</w:t>
            </w:r>
          </w:p>
        </w:tc>
        <w:tc>
          <w:tcPr>
            <w:tcW w:w="1162" w:type="dxa"/>
          </w:tcPr>
          <w:p w14:paraId="77A33666" w14:textId="77777777" w:rsidR="008478FE" w:rsidRPr="002A0F1F" w:rsidRDefault="008478FE" w:rsidP="002A0F1F">
            <w:pPr>
              <w:pStyle w:val="10Tabletext"/>
              <w:jc w:val="right"/>
              <w:rPr>
                <w:color w:val="FFFFFF" w:themeColor="background1"/>
              </w:rPr>
            </w:pPr>
            <w:r w:rsidRPr="002A0F1F">
              <w:rPr>
                <w:color w:val="FFFFFF" w:themeColor="background1"/>
              </w:rPr>
              <w:t>2024-25</w:t>
            </w:r>
          </w:p>
        </w:tc>
        <w:tc>
          <w:tcPr>
            <w:tcW w:w="1162" w:type="dxa"/>
          </w:tcPr>
          <w:p w14:paraId="4B6AECF4" w14:textId="77777777" w:rsidR="008478FE" w:rsidRPr="002A0F1F" w:rsidRDefault="008478FE" w:rsidP="002A0F1F">
            <w:pPr>
              <w:pStyle w:val="10Tabletext"/>
              <w:jc w:val="right"/>
              <w:rPr>
                <w:color w:val="FFFFFF" w:themeColor="background1"/>
              </w:rPr>
            </w:pPr>
            <w:r w:rsidRPr="002A0F1F">
              <w:rPr>
                <w:color w:val="FFFFFF" w:themeColor="background1"/>
              </w:rPr>
              <w:t>2025-26</w:t>
            </w:r>
          </w:p>
        </w:tc>
        <w:tc>
          <w:tcPr>
            <w:tcW w:w="1162" w:type="dxa"/>
          </w:tcPr>
          <w:p w14:paraId="601116E5" w14:textId="77777777" w:rsidR="008478FE" w:rsidRPr="002A0F1F" w:rsidRDefault="008478FE" w:rsidP="002A0F1F">
            <w:pPr>
              <w:pStyle w:val="10Tabletext"/>
              <w:jc w:val="right"/>
              <w:rPr>
                <w:color w:val="FFFFFF" w:themeColor="background1"/>
              </w:rPr>
            </w:pPr>
            <w:r w:rsidRPr="002A0F1F">
              <w:rPr>
                <w:color w:val="FFFFFF" w:themeColor="background1"/>
              </w:rPr>
              <w:t>2026-27</w:t>
            </w:r>
          </w:p>
        </w:tc>
        <w:tc>
          <w:tcPr>
            <w:tcW w:w="1163" w:type="dxa"/>
          </w:tcPr>
          <w:p w14:paraId="0AA82942" w14:textId="77777777" w:rsidR="008478FE" w:rsidRPr="002A0F1F" w:rsidRDefault="008478FE" w:rsidP="002A0F1F">
            <w:pPr>
              <w:pStyle w:val="10Tabletext"/>
              <w:jc w:val="right"/>
              <w:rPr>
                <w:color w:val="FFFFFF" w:themeColor="background1"/>
              </w:rPr>
            </w:pPr>
            <w:r w:rsidRPr="002A0F1F">
              <w:rPr>
                <w:color w:val="FFFFFF" w:themeColor="background1"/>
              </w:rPr>
              <w:t>2027-28</w:t>
            </w:r>
          </w:p>
        </w:tc>
      </w:tr>
      <w:tr w:rsidR="008478FE" w:rsidRPr="00EA6A14" w14:paraId="77934DAF" w14:textId="77777777">
        <w:tc>
          <w:tcPr>
            <w:tcW w:w="2694" w:type="dxa"/>
          </w:tcPr>
          <w:p w14:paraId="69F2E9D3" w14:textId="77777777" w:rsidR="008478FE" w:rsidRPr="002A0F1F" w:rsidRDefault="008478FE" w:rsidP="002A0F1F">
            <w:pPr>
              <w:pStyle w:val="10Tabletext"/>
              <w:rPr>
                <w:b/>
                <w:bCs w:val="0"/>
              </w:rPr>
            </w:pPr>
            <w:r w:rsidRPr="002A0F1F">
              <w:rPr>
                <w:b/>
                <w:bCs w:val="0"/>
              </w:rPr>
              <w:t>Real Gross State Product</w:t>
            </w:r>
            <w:r w:rsidRPr="002A0F1F">
              <w:rPr>
                <w:b/>
                <w:bCs w:val="0"/>
                <w:vertAlign w:val="superscript"/>
              </w:rPr>
              <w:t>(a)</w:t>
            </w:r>
          </w:p>
        </w:tc>
        <w:tc>
          <w:tcPr>
            <w:tcW w:w="1162" w:type="dxa"/>
          </w:tcPr>
          <w:p w14:paraId="2701395E" w14:textId="77777777" w:rsidR="008478FE" w:rsidRPr="002A0F1F" w:rsidRDefault="008478FE" w:rsidP="002A0F1F">
            <w:pPr>
              <w:pStyle w:val="10Tabletext"/>
              <w:jc w:val="right"/>
            </w:pPr>
            <w:r w:rsidRPr="002A0F1F">
              <w:t>2.00</w:t>
            </w:r>
          </w:p>
        </w:tc>
        <w:tc>
          <w:tcPr>
            <w:tcW w:w="1162" w:type="dxa"/>
          </w:tcPr>
          <w:p w14:paraId="75028C55" w14:textId="77777777" w:rsidR="008478FE" w:rsidRPr="002A0F1F" w:rsidRDefault="008478FE" w:rsidP="002A0F1F">
            <w:pPr>
              <w:pStyle w:val="10Tabletext"/>
              <w:jc w:val="right"/>
            </w:pPr>
            <w:r w:rsidRPr="002A0F1F">
              <w:t>2.50</w:t>
            </w:r>
          </w:p>
        </w:tc>
        <w:tc>
          <w:tcPr>
            <w:tcW w:w="1162" w:type="dxa"/>
          </w:tcPr>
          <w:p w14:paraId="7DCE9A20" w14:textId="77777777" w:rsidR="008478FE" w:rsidRPr="002A0F1F" w:rsidRDefault="008478FE" w:rsidP="002A0F1F">
            <w:pPr>
              <w:pStyle w:val="10Tabletext"/>
              <w:jc w:val="right"/>
            </w:pPr>
            <w:r w:rsidRPr="002A0F1F">
              <w:t>2.75</w:t>
            </w:r>
          </w:p>
        </w:tc>
        <w:tc>
          <w:tcPr>
            <w:tcW w:w="1162" w:type="dxa"/>
          </w:tcPr>
          <w:p w14:paraId="79FBCA90" w14:textId="77777777" w:rsidR="008478FE" w:rsidRPr="002A0F1F" w:rsidRDefault="008478FE" w:rsidP="002A0F1F">
            <w:pPr>
              <w:pStyle w:val="10Tabletext"/>
              <w:jc w:val="right"/>
            </w:pPr>
            <w:r w:rsidRPr="002A0F1F">
              <w:t>2.75</w:t>
            </w:r>
          </w:p>
        </w:tc>
        <w:tc>
          <w:tcPr>
            <w:tcW w:w="1163" w:type="dxa"/>
          </w:tcPr>
          <w:p w14:paraId="4B96E9C7" w14:textId="77777777" w:rsidR="008478FE" w:rsidRPr="002A0F1F" w:rsidRDefault="008478FE" w:rsidP="002A0F1F">
            <w:pPr>
              <w:pStyle w:val="10Tabletext"/>
              <w:jc w:val="right"/>
            </w:pPr>
            <w:r w:rsidRPr="002A0F1F">
              <w:t>2.75</w:t>
            </w:r>
          </w:p>
        </w:tc>
      </w:tr>
      <w:tr w:rsidR="008478FE" w:rsidRPr="00EA6A14" w14:paraId="253E40BC" w14:textId="77777777">
        <w:tc>
          <w:tcPr>
            <w:tcW w:w="2694" w:type="dxa"/>
          </w:tcPr>
          <w:p w14:paraId="69181CF8" w14:textId="77777777" w:rsidR="008478FE" w:rsidRPr="002A0F1F" w:rsidRDefault="008478FE" w:rsidP="002A0F1F">
            <w:pPr>
              <w:pStyle w:val="10Tabletext"/>
              <w:rPr>
                <w:b/>
                <w:bCs w:val="0"/>
              </w:rPr>
            </w:pPr>
            <w:r w:rsidRPr="002A0F1F">
              <w:rPr>
                <w:b/>
                <w:bCs w:val="0"/>
              </w:rPr>
              <w:t>Population</w:t>
            </w:r>
            <w:r w:rsidRPr="002A0F1F">
              <w:rPr>
                <w:b/>
                <w:bCs w:val="0"/>
                <w:vertAlign w:val="superscript"/>
              </w:rPr>
              <w:t>(b)</w:t>
            </w:r>
          </w:p>
        </w:tc>
        <w:tc>
          <w:tcPr>
            <w:tcW w:w="1162" w:type="dxa"/>
            <w:vAlign w:val="bottom"/>
          </w:tcPr>
          <w:p w14:paraId="5D1C5399" w14:textId="77777777" w:rsidR="008478FE" w:rsidRPr="002A0F1F" w:rsidRDefault="008478FE" w:rsidP="002A0F1F">
            <w:pPr>
              <w:pStyle w:val="10Tabletext"/>
              <w:jc w:val="right"/>
            </w:pPr>
            <w:r w:rsidRPr="002A0F1F">
              <w:t>2.30</w:t>
            </w:r>
          </w:p>
        </w:tc>
        <w:tc>
          <w:tcPr>
            <w:tcW w:w="1162" w:type="dxa"/>
            <w:vAlign w:val="bottom"/>
          </w:tcPr>
          <w:p w14:paraId="22BFF7F0" w14:textId="77777777" w:rsidR="008478FE" w:rsidRPr="002A0F1F" w:rsidRDefault="008478FE" w:rsidP="002A0F1F">
            <w:pPr>
              <w:pStyle w:val="10Tabletext"/>
              <w:jc w:val="right"/>
            </w:pPr>
            <w:r w:rsidRPr="002A0F1F">
              <w:t>1.80</w:t>
            </w:r>
          </w:p>
        </w:tc>
        <w:tc>
          <w:tcPr>
            <w:tcW w:w="1162" w:type="dxa"/>
            <w:vAlign w:val="bottom"/>
          </w:tcPr>
          <w:p w14:paraId="3997867C" w14:textId="77777777" w:rsidR="008478FE" w:rsidRPr="002A0F1F" w:rsidRDefault="008478FE" w:rsidP="002A0F1F">
            <w:pPr>
              <w:pStyle w:val="10Tabletext"/>
              <w:jc w:val="right"/>
            </w:pPr>
            <w:r w:rsidRPr="002A0F1F">
              <w:t>1.70</w:t>
            </w:r>
          </w:p>
        </w:tc>
        <w:tc>
          <w:tcPr>
            <w:tcW w:w="1162" w:type="dxa"/>
            <w:vAlign w:val="bottom"/>
          </w:tcPr>
          <w:p w14:paraId="050F03CA" w14:textId="77777777" w:rsidR="008478FE" w:rsidRPr="002A0F1F" w:rsidRDefault="008478FE" w:rsidP="002A0F1F">
            <w:pPr>
              <w:pStyle w:val="10Tabletext"/>
              <w:jc w:val="right"/>
            </w:pPr>
            <w:r w:rsidRPr="002A0F1F">
              <w:t>1.70</w:t>
            </w:r>
          </w:p>
        </w:tc>
        <w:tc>
          <w:tcPr>
            <w:tcW w:w="1163" w:type="dxa"/>
            <w:vAlign w:val="bottom"/>
          </w:tcPr>
          <w:p w14:paraId="2C110D76" w14:textId="77777777" w:rsidR="008478FE" w:rsidRPr="002A0F1F" w:rsidRDefault="008478FE" w:rsidP="002A0F1F">
            <w:pPr>
              <w:pStyle w:val="10Tabletext"/>
              <w:jc w:val="right"/>
            </w:pPr>
            <w:r w:rsidRPr="002A0F1F">
              <w:t>1.70</w:t>
            </w:r>
          </w:p>
        </w:tc>
      </w:tr>
      <w:tr w:rsidR="008478FE" w:rsidRPr="00EA6A14" w14:paraId="2952F475" w14:textId="77777777">
        <w:tc>
          <w:tcPr>
            <w:tcW w:w="2694" w:type="dxa"/>
          </w:tcPr>
          <w:p w14:paraId="6046301B" w14:textId="77777777" w:rsidR="008478FE" w:rsidRPr="002A0F1F" w:rsidRDefault="008478FE" w:rsidP="002A0F1F">
            <w:pPr>
              <w:pStyle w:val="10Tabletext"/>
              <w:rPr>
                <w:b/>
                <w:bCs w:val="0"/>
              </w:rPr>
            </w:pPr>
            <w:r w:rsidRPr="002A0F1F">
              <w:rPr>
                <w:b/>
                <w:bCs w:val="0"/>
              </w:rPr>
              <w:t>Melbourne CPI</w:t>
            </w:r>
            <w:r w:rsidRPr="002A0F1F">
              <w:rPr>
                <w:b/>
                <w:bCs w:val="0"/>
                <w:vertAlign w:val="superscript"/>
              </w:rPr>
              <w:t>(a)</w:t>
            </w:r>
          </w:p>
        </w:tc>
        <w:tc>
          <w:tcPr>
            <w:tcW w:w="1162" w:type="dxa"/>
            <w:vAlign w:val="bottom"/>
          </w:tcPr>
          <w:p w14:paraId="7FB06468" w14:textId="77777777" w:rsidR="008478FE" w:rsidRPr="002A0F1F" w:rsidRDefault="008478FE" w:rsidP="002A0F1F">
            <w:pPr>
              <w:pStyle w:val="10Tabletext"/>
              <w:jc w:val="right"/>
            </w:pPr>
            <w:r w:rsidRPr="002A0F1F">
              <w:t>4.00</w:t>
            </w:r>
          </w:p>
        </w:tc>
        <w:tc>
          <w:tcPr>
            <w:tcW w:w="1162" w:type="dxa"/>
            <w:vAlign w:val="bottom"/>
          </w:tcPr>
          <w:p w14:paraId="2D08D980" w14:textId="77777777" w:rsidR="008478FE" w:rsidRPr="002A0F1F" w:rsidRDefault="008478FE" w:rsidP="002A0F1F">
            <w:pPr>
              <w:pStyle w:val="10Tabletext"/>
              <w:jc w:val="right"/>
            </w:pPr>
            <w:r w:rsidRPr="002A0F1F">
              <w:t>2.75</w:t>
            </w:r>
          </w:p>
        </w:tc>
        <w:tc>
          <w:tcPr>
            <w:tcW w:w="1162" w:type="dxa"/>
            <w:vAlign w:val="bottom"/>
          </w:tcPr>
          <w:p w14:paraId="478CD6BF" w14:textId="77777777" w:rsidR="008478FE" w:rsidRPr="002A0F1F" w:rsidRDefault="008478FE" w:rsidP="002A0F1F">
            <w:pPr>
              <w:pStyle w:val="10Tabletext"/>
              <w:jc w:val="right"/>
            </w:pPr>
            <w:r w:rsidRPr="002A0F1F">
              <w:t>2.50</w:t>
            </w:r>
          </w:p>
        </w:tc>
        <w:tc>
          <w:tcPr>
            <w:tcW w:w="1162" w:type="dxa"/>
            <w:vAlign w:val="bottom"/>
          </w:tcPr>
          <w:p w14:paraId="01172FAA" w14:textId="77777777" w:rsidR="008478FE" w:rsidRPr="002A0F1F" w:rsidRDefault="008478FE" w:rsidP="002A0F1F">
            <w:pPr>
              <w:pStyle w:val="10Tabletext"/>
              <w:jc w:val="right"/>
            </w:pPr>
            <w:r w:rsidRPr="002A0F1F">
              <w:t>2.50</w:t>
            </w:r>
          </w:p>
        </w:tc>
        <w:tc>
          <w:tcPr>
            <w:tcW w:w="1163" w:type="dxa"/>
            <w:vAlign w:val="bottom"/>
          </w:tcPr>
          <w:p w14:paraId="718C2ACD" w14:textId="77777777" w:rsidR="008478FE" w:rsidRPr="002A0F1F" w:rsidRDefault="008478FE" w:rsidP="002A0F1F">
            <w:pPr>
              <w:pStyle w:val="10Tabletext"/>
              <w:jc w:val="right"/>
            </w:pPr>
            <w:r w:rsidRPr="002A0F1F">
              <w:t>2.50</w:t>
            </w:r>
          </w:p>
        </w:tc>
      </w:tr>
      <w:tr w:rsidR="008478FE" w:rsidRPr="00EA6A14" w14:paraId="75905B6A" w14:textId="77777777">
        <w:tc>
          <w:tcPr>
            <w:tcW w:w="2694" w:type="dxa"/>
          </w:tcPr>
          <w:p w14:paraId="6E7906CA" w14:textId="77777777" w:rsidR="008478FE" w:rsidRPr="002A0F1F" w:rsidRDefault="008478FE" w:rsidP="002A0F1F">
            <w:pPr>
              <w:pStyle w:val="10Tabletext"/>
              <w:rPr>
                <w:b/>
                <w:bCs w:val="0"/>
              </w:rPr>
            </w:pPr>
            <w:r w:rsidRPr="002A0F1F">
              <w:rPr>
                <w:b/>
                <w:bCs w:val="0"/>
              </w:rPr>
              <w:t>Employment</w:t>
            </w:r>
            <w:r w:rsidRPr="002A0F1F">
              <w:rPr>
                <w:b/>
                <w:bCs w:val="0"/>
                <w:vertAlign w:val="superscript"/>
              </w:rPr>
              <w:t>(a)</w:t>
            </w:r>
          </w:p>
        </w:tc>
        <w:tc>
          <w:tcPr>
            <w:tcW w:w="1162" w:type="dxa"/>
            <w:vAlign w:val="bottom"/>
          </w:tcPr>
          <w:p w14:paraId="34066EDE" w14:textId="77777777" w:rsidR="008478FE" w:rsidRPr="002A0F1F" w:rsidRDefault="008478FE" w:rsidP="002A0F1F">
            <w:pPr>
              <w:pStyle w:val="10Tabletext"/>
              <w:jc w:val="right"/>
            </w:pPr>
            <w:r w:rsidRPr="002A0F1F">
              <w:t>3.25</w:t>
            </w:r>
          </w:p>
        </w:tc>
        <w:tc>
          <w:tcPr>
            <w:tcW w:w="1162" w:type="dxa"/>
            <w:vAlign w:val="bottom"/>
          </w:tcPr>
          <w:p w14:paraId="75D7FB4F" w14:textId="77777777" w:rsidR="008478FE" w:rsidRPr="002A0F1F" w:rsidRDefault="008478FE" w:rsidP="002A0F1F">
            <w:pPr>
              <w:pStyle w:val="10Tabletext"/>
              <w:jc w:val="right"/>
            </w:pPr>
            <w:r w:rsidRPr="002A0F1F">
              <w:t>1.00</w:t>
            </w:r>
          </w:p>
        </w:tc>
        <w:tc>
          <w:tcPr>
            <w:tcW w:w="1162" w:type="dxa"/>
            <w:vAlign w:val="bottom"/>
          </w:tcPr>
          <w:p w14:paraId="79D0FC88" w14:textId="77777777" w:rsidR="008478FE" w:rsidRPr="002A0F1F" w:rsidRDefault="008478FE" w:rsidP="002A0F1F">
            <w:pPr>
              <w:pStyle w:val="10Tabletext"/>
              <w:jc w:val="right"/>
            </w:pPr>
            <w:r w:rsidRPr="002A0F1F">
              <w:t>1.75</w:t>
            </w:r>
          </w:p>
        </w:tc>
        <w:tc>
          <w:tcPr>
            <w:tcW w:w="1162" w:type="dxa"/>
            <w:vAlign w:val="bottom"/>
          </w:tcPr>
          <w:p w14:paraId="6174F0E7" w14:textId="77777777" w:rsidR="008478FE" w:rsidRPr="002A0F1F" w:rsidRDefault="008478FE" w:rsidP="002A0F1F">
            <w:pPr>
              <w:pStyle w:val="10Tabletext"/>
              <w:jc w:val="right"/>
            </w:pPr>
            <w:r w:rsidRPr="002A0F1F">
              <w:t>1.75</w:t>
            </w:r>
          </w:p>
        </w:tc>
        <w:tc>
          <w:tcPr>
            <w:tcW w:w="1163" w:type="dxa"/>
            <w:vAlign w:val="bottom"/>
          </w:tcPr>
          <w:p w14:paraId="5E4AC5BA" w14:textId="77777777" w:rsidR="008478FE" w:rsidRPr="002A0F1F" w:rsidRDefault="008478FE" w:rsidP="002A0F1F">
            <w:pPr>
              <w:pStyle w:val="10Tabletext"/>
              <w:jc w:val="right"/>
            </w:pPr>
            <w:r w:rsidRPr="002A0F1F">
              <w:t>1.75</w:t>
            </w:r>
          </w:p>
        </w:tc>
      </w:tr>
      <w:tr w:rsidR="008478FE" w:rsidRPr="00EA6A14" w14:paraId="62894778" w14:textId="77777777">
        <w:tc>
          <w:tcPr>
            <w:tcW w:w="2694" w:type="dxa"/>
          </w:tcPr>
          <w:p w14:paraId="3E0FF276" w14:textId="5BEB0331" w:rsidR="008478FE" w:rsidRPr="002A0F1F" w:rsidRDefault="008478FE" w:rsidP="002A0F1F">
            <w:pPr>
              <w:pStyle w:val="10Tabletext"/>
              <w:rPr>
                <w:b/>
                <w:bCs w:val="0"/>
              </w:rPr>
            </w:pPr>
            <w:r w:rsidRPr="002A0F1F">
              <w:rPr>
                <w:b/>
                <w:bCs w:val="0"/>
              </w:rPr>
              <w:t>Unemployment rate</w:t>
            </w:r>
            <w:r w:rsidRPr="002A0F1F">
              <w:rPr>
                <w:b/>
                <w:bCs w:val="0"/>
                <w:vertAlign w:val="superscript"/>
              </w:rPr>
              <w:t>(</w:t>
            </w:r>
            <w:r w:rsidR="00AD7FC5">
              <w:rPr>
                <w:b/>
                <w:bCs w:val="0"/>
                <w:vertAlign w:val="superscript"/>
              </w:rPr>
              <w:t>c</w:t>
            </w:r>
            <w:r w:rsidRPr="002A0F1F">
              <w:rPr>
                <w:b/>
                <w:bCs w:val="0"/>
                <w:vertAlign w:val="superscript"/>
              </w:rPr>
              <w:t>)</w:t>
            </w:r>
          </w:p>
        </w:tc>
        <w:tc>
          <w:tcPr>
            <w:tcW w:w="1162" w:type="dxa"/>
          </w:tcPr>
          <w:p w14:paraId="04D56393" w14:textId="77777777" w:rsidR="008478FE" w:rsidRPr="002A0F1F" w:rsidRDefault="008478FE" w:rsidP="002A0F1F">
            <w:pPr>
              <w:pStyle w:val="10Tabletext"/>
              <w:jc w:val="right"/>
            </w:pPr>
            <w:r w:rsidRPr="002A0F1F">
              <w:t>4.00</w:t>
            </w:r>
          </w:p>
        </w:tc>
        <w:tc>
          <w:tcPr>
            <w:tcW w:w="1162" w:type="dxa"/>
          </w:tcPr>
          <w:p w14:paraId="0959B58E" w14:textId="77777777" w:rsidR="008478FE" w:rsidRPr="002A0F1F" w:rsidRDefault="008478FE" w:rsidP="002A0F1F">
            <w:pPr>
              <w:pStyle w:val="10Tabletext"/>
              <w:jc w:val="right"/>
            </w:pPr>
            <w:r w:rsidRPr="002A0F1F">
              <w:t>4.25</w:t>
            </w:r>
          </w:p>
        </w:tc>
        <w:tc>
          <w:tcPr>
            <w:tcW w:w="1162" w:type="dxa"/>
          </w:tcPr>
          <w:p w14:paraId="5196B013" w14:textId="77777777" w:rsidR="008478FE" w:rsidRPr="002A0F1F" w:rsidRDefault="008478FE" w:rsidP="002A0F1F">
            <w:pPr>
              <w:pStyle w:val="10Tabletext"/>
              <w:jc w:val="right"/>
            </w:pPr>
            <w:r w:rsidRPr="002A0F1F">
              <w:t>4.50</w:t>
            </w:r>
          </w:p>
        </w:tc>
        <w:tc>
          <w:tcPr>
            <w:tcW w:w="1162" w:type="dxa"/>
          </w:tcPr>
          <w:p w14:paraId="1CED982E" w14:textId="77777777" w:rsidR="008478FE" w:rsidRPr="002A0F1F" w:rsidRDefault="008478FE" w:rsidP="002A0F1F">
            <w:pPr>
              <w:pStyle w:val="10Tabletext"/>
              <w:jc w:val="right"/>
            </w:pPr>
            <w:r w:rsidRPr="002A0F1F">
              <w:t>4.75</w:t>
            </w:r>
          </w:p>
        </w:tc>
        <w:tc>
          <w:tcPr>
            <w:tcW w:w="1163" w:type="dxa"/>
          </w:tcPr>
          <w:p w14:paraId="61F3D6EE" w14:textId="77777777" w:rsidR="008478FE" w:rsidRPr="002A0F1F" w:rsidRDefault="008478FE" w:rsidP="002A0F1F">
            <w:pPr>
              <w:pStyle w:val="10Tabletext"/>
              <w:jc w:val="right"/>
            </w:pPr>
            <w:r w:rsidRPr="002A0F1F">
              <w:t>4.75</w:t>
            </w:r>
          </w:p>
        </w:tc>
      </w:tr>
      <w:tr w:rsidR="008478FE" w:rsidRPr="00EA6A14" w14:paraId="0161FC6C" w14:textId="77777777">
        <w:tc>
          <w:tcPr>
            <w:tcW w:w="2694" w:type="dxa"/>
          </w:tcPr>
          <w:p w14:paraId="4787ACB9" w14:textId="77777777" w:rsidR="008478FE" w:rsidRPr="002A0F1F" w:rsidRDefault="008478FE" w:rsidP="002A0F1F">
            <w:pPr>
              <w:pStyle w:val="10Tabletext"/>
              <w:rPr>
                <w:b/>
                <w:bCs w:val="0"/>
              </w:rPr>
            </w:pPr>
            <w:r w:rsidRPr="002A0F1F">
              <w:rPr>
                <w:b/>
                <w:bCs w:val="0"/>
              </w:rPr>
              <w:t>Victorian WPI</w:t>
            </w:r>
            <w:r w:rsidRPr="002A0F1F">
              <w:rPr>
                <w:b/>
                <w:bCs w:val="0"/>
                <w:vertAlign w:val="superscript"/>
              </w:rPr>
              <w:t>(a)</w:t>
            </w:r>
          </w:p>
        </w:tc>
        <w:tc>
          <w:tcPr>
            <w:tcW w:w="1162" w:type="dxa"/>
            <w:vAlign w:val="bottom"/>
          </w:tcPr>
          <w:p w14:paraId="3AF9FECA" w14:textId="77777777" w:rsidR="008478FE" w:rsidRPr="002A0F1F" w:rsidRDefault="008478FE" w:rsidP="002A0F1F">
            <w:pPr>
              <w:pStyle w:val="10Tabletext"/>
              <w:jc w:val="right"/>
            </w:pPr>
            <w:r w:rsidRPr="002A0F1F">
              <w:t>3.75</w:t>
            </w:r>
          </w:p>
        </w:tc>
        <w:tc>
          <w:tcPr>
            <w:tcW w:w="1162" w:type="dxa"/>
            <w:vAlign w:val="bottom"/>
          </w:tcPr>
          <w:p w14:paraId="23B04D19" w14:textId="77777777" w:rsidR="008478FE" w:rsidRPr="002A0F1F" w:rsidRDefault="008478FE" w:rsidP="002A0F1F">
            <w:pPr>
              <w:pStyle w:val="10Tabletext"/>
              <w:jc w:val="right"/>
            </w:pPr>
            <w:r w:rsidRPr="002A0F1F">
              <w:t>3.75</w:t>
            </w:r>
          </w:p>
        </w:tc>
        <w:tc>
          <w:tcPr>
            <w:tcW w:w="1162" w:type="dxa"/>
            <w:vAlign w:val="bottom"/>
          </w:tcPr>
          <w:p w14:paraId="3D8A7706" w14:textId="77777777" w:rsidR="008478FE" w:rsidRPr="002A0F1F" w:rsidRDefault="008478FE" w:rsidP="002A0F1F">
            <w:pPr>
              <w:pStyle w:val="10Tabletext"/>
              <w:jc w:val="right"/>
            </w:pPr>
            <w:r w:rsidRPr="002A0F1F">
              <w:t>3.25</w:t>
            </w:r>
          </w:p>
        </w:tc>
        <w:tc>
          <w:tcPr>
            <w:tcW w:w="1162" w:type="dxa"/>
            <w:vAlign w:val="bottom"/>
          </w:tcPr>
          <w:p w14:paraId="0404EAD7" w14:textId="77777777" w:rsidR="008478FE" w:rsidRPr="002A0F1F" w:rsidRDefault="008478FE" w:rsidP="002A0F1F">
            <w:pPr>
              <w:pStyle w:val="10Tabletext"/>
              <w:jc w:val="right"/>
            </w:pPr>
            <w:r w:rsidRPr="002A0F1F">
              <w:t>3.25</w:t>
            </w:r>
          </w:p>
        </w:tc>
        <w:tc>
          <w:tcPr>
            <w:tcW w:w="1163" w:type="dxa"/>
            <w:vAlign w:val="bottom"/>
          </w:tcPr>
          <w:p w14:paraId="4BB1DC6C" w14:textId="77777777" w:rsidR="008478FE" w:rsidRPr="002A0F1F" w:rsidRDefault="008478FE" w:rsidP="002A0F1F">
            <w:pPr>
              <w:pStyle w:val="10Tabletext"/>
              <w:jc w:val="right"/>
            </w:pPr>
            <w:r w:rsidRPr="002A0F1F">
              <w:t>3.25</w:t>
            </w:r>
          </w:p>
        </w:tc>
      </w:tr>
    </w:tbl>
    <w:p w14:paraId="271D5EE7" w14:textId="784357E1" w:rsidR="008478FE" w:rsidRPr="00052861" w:rsidRDefault="008478FE" w:rsidP="00052861">
      <w:pPr>
        <w:pStyle w:val="09Sourcesandnotesfortablesfiguresboxes"/>
      </w:pPr>
      <w:r w:rsidRPr="00052861">
        <w:t xml:space="preserve">Notes: (a) Percentage change in year-average terms compared with the previous year. (b) Percentage </w:t>
      </w:r>
      <w:r w:rsidR="00AD7FC5" w:rsidRPr="00052861">
        <w:t xml:space="preserve">change </w:t>
      </w:r>
      <w:r w:rsidRPr="00052861">
        <w:t>over the year to 30 June.</w:t>
      </w:r>
      <w:r w:rsidR="00BC3D68" w:rsidRPr="00052861">
        <w:t xml:space="preserve"> (c) </w:t>
      </w:r>
      <w:r w:rsidRPr="00052861">
        <w:t xml:space="preserve">Year average. </w:t>
      </w:r>
    </w:p>
    <w:p w14:paraId="2CCE8914" w14:textId="40B20B83" w:rsidR="008478FE" w:rsidRPr="00052861" w:rsidRDefault="008478FE" w:rsidP="00052861">
      <w:pPr>
        <w:pStyle w:val="09Sourcesandnotesfortablesfiguresboxes"/>
      </w:pPr>
      <w:r w:rsidRPr="00052861">
        <w:t xml:space="preserve">Source: </w:t>
      </w:r>
      <w:r w:rsidR="001733F4" w:rsidRPr="00052861">
        <w:t>DTF (2024</w:t>
      </w:r>
      <w:r w:rsidR="008A764C" w:rsidRPr="00052861">
        <w:t>d</w:t>
      </w:r>
      <w:r w:rsidR="001733F4" w:rsidRPr="00052861">
        <w:t>),</w:t>
      </w:r>
      <w:r w:rsidR="00E7532B" w:rsidRPr="00052861">
        <w:t xml:space="preserve"> p. 18.</w:t>
      </w:r>
    </w:p>
    <w:p w14:paraId="0A6D9C59" w14:textId="77777777" w:rsidR="008478FE" w:rsidRPr="008478FE" w:rsidRDefault="008478FE" w:rsidP="003E06AB">
      <w:pPr>
        <w:pStyle w:val="03VIRTHeading3"/>
      </w:pPr>
      <w:r w:rsidRPr="008478FE">
        <w:t>Economic growth is forecast to pick up in coming years, driven by a recovery in household spending</w:t>
      </w:r>
    </w:p>
    <w:p w14:paraId="2A13B685" w14:textId="1D4982AB" w:rsidR="008478FE" w:rsidRPr="008478FE" w:rsidRDefault="008478FE" w:rsidP="002A0F1F">
      <w:pPr>
        <w:pStyle w:val="05Paragraph"/>
        <w:rPr>
          <w:lang w:eastAsia="en-AU"/>
        </w:rPr>
      </w:pPr>
      <w:r w:rsidRPr="008478FE">
        <w:rPr>
          <w:lang w:eastAsia="en-AU"/>
        </w:rPr>
        <w:t xml:space="preserve">The RBA expects economic growth to remain subdued in the near-term, before picking up from </w:t>
      </w:r>
      <w:r w:rsidRPr="003E06AB">
        <w:t>late</w:t>
      </w:r>
      <w:r w:rsidRPr="008478FE">
        <w:rPr>
          <w:lang w:eastAsia="en-AU"/>
        </w:rPr>
        <w:t xml:space="preserve"> 2024 as the recovery in real incomes leads to a pick-up in household consumption. Annual growth in real GDP is forecast to be 1.2 per cent in June 2024, before increasing to 2.1 per cent in June 2025 and 2.4 per cent in June 2026.</w:t>
      </w:r>
      <w:r w:rsidRPr="008478FE">
        <w:rPr>
          <w:vertAlign w:val="superscript"/>
          <w:lang w:eastAsia="en-AU"/>
        </w:rPr>
        <w:footnoteReference w:id="231"/>
      </w:r>
      <w:r w:rsidRPr="008478FE">
        <w:rPr>
          <w:lang w:eastAsia="en-AU"/>
        </w:rPr>
        <w:t xml:space="preserve"> Nonetheless, growth is expected to remain below the long</w:t>
      </w:r>
      <w:r w:rsidRPr="008478FE">
        <w:rPr>
          <w:lang w:eastAsia="en-AU"/>
        </w:rPr>
        <w:noBreakHyphen/>
        <w:t>run (excluding the pandemic) average of 2.9 per cent.</w:t>
      </w:r>
    </w:p>
    <w:p w14:paraId="514DE6A4" w14:textId="23CE2207" w:rsidR="008478FE" w:rsidRPr="008478FE" w:rsidRDefault="008478FE" w:rsidP="002A0F1F">
      <w:pPr>
        <w:pStyle w:val="05Paragraph"/>
        <w:rPr>
          <w:lang w:eastAsia="en-AU"/>
        </w:rPr>
      </w:pPr>
      <w:r w:rsidRPr="008478FE">
        <w:rPr>
          <w:lang w:eastAsia="en-AU"/>
        </w:rPr>
        <w:t xml:space="preserve">The </w:t>
      </w:r>
      <w:r w:rsidRPr="005A7A6E">
        <w:rPr>
          <w:lang w:eastAsia="en-AU"/>
        </w:rPr>
        <w:t>2024-25 Budget</w:t>
      </w:r>
      <w:r w:rsidRPr="008478FE">
        <w:rPr>
          <w:i/>
          <w:lang w:eastAsia="en-AU"/>
        </w:rPr>
        <w:t xml:space="preserve"> </w:t>
      </w:r>
      <w:r w:rsidRPr="008478FE">
        <w:rPr>
          <w:lang w:eastAsia="en-AU"/>
        </w:rPr>
        <w:t>forecast Victoria’s real Gross State Product (GSP) to grow by</w:t>
      </w:r>
      <w:r w:rsidR="00A87B27">
        <w:rPr>
          <w:lang w:eastAsia="en-AU"/>
        </w:rPr>
        <w:t xml:space="preserve"> </w:t>
      </w:r>
      <w:r w:rsidRPr="008478FE">
        <w:rPr>
          <w:lang w:eastAsia="en-AU"/>
        </w:rPr>
        <w:t>2</w:t>
      </w:r>
      <w:r w:rsidR="00A87B27">
        <w:rPr>
          <w:lang w:eastAsia="en-AU"/>
        </w:rPr>
        <w:t> </w:t>
      </w:r>
      <w:r w:rsidRPr="008478FE">
        <w:rPr>
          <w:lang w:eastAsia="en-AU"/>
        </w:rPr>
        <w:t xml:space="preserve">per cent in 2023-24, before </w:t>
      </w:r>
      <w:r w:rsidRPr="003E06AB">
        <w:t>picking</w:t>
      </w:r>
      <w:r w:rsidRPr="008478FE">
        <w:rPr>
          <w:lang w:eastAsia="en-AU"/>
        </w:rPr>
        <w:t xml:space="preserve"> up to 2.5 per cent in 2024-25. Similar to the national outlook, the pick-up in growth is expected to be driven by household consumption, which is forecast to contribute 1.5 percentage points to GSP growth in 2024-25. On the other hand, public demand — which includes spending and capital expenditure by the Victorian Government </w:t>
      </w:r>
      <w:bookmarkStart w:id="150" w:name="_Hlk167887450"/>
      <w:r w:rsidRPr="008478FE">
        <w:rPr>
          <w:lang w:eastAsia="en-AU"/>
        </w:rPr>
        <w:t>—</w:t>
      </w:r>
      <w:bookmarkEnd w:id="150"/>
      <w:r w:rsidRPr="008478FE">
        <w:rPr>
          <w:lang w:eastAsia="en-AU"/>
        </w:rPr>
        <w:t xml:space="preserve"> is expected to make a broadly flat contribution to growth, consistent with a moderating investment pipeline (see section 6.3).</w:t>
      </w:r>
      <w:r w:rsidRPr="008478FE">
        <w:rPr>
          <w:vertAlign w:val="superscript"/>
          <w:lang w:eastAsia="en-AU"/>
        </w:rPr>
        <w:footnoteReference w:id="232"/>
      </w:r>
    </w:p>
    <w:p w14:paraId="34960D5D" w14:textId="77777777" w:rsidR="008478FE" w:rsidRPr="008478FE" w:rsidRDefault="008478FE" w:rsidP="00324A2F">
      <w:pPr>
        <w:pStyle w:val="05Paragraph"/>
        <w:rPr>
          <w:lang w:eastAsia="en-AU"/>
        </w:rPr>
      </w:pPr>
      <w:r w:rsidRPr="008478FE">
        <w:rPr>
          <w:lang w:eastAsia="en-AU"/>
        </w:rPr>
        <w:t xml:space="preserve">The RBA is forecasting population growth to moderate over the next couple of years and return to its pre-pandemic </w:t>
      </w:r>
      <w:r w:rsidRPr="003E06AB">
        <w:t>average</w:t>
      </w:r>
      <w:r w:rsidRPr="008478FE">
        <w:rPr>
          <w:lang w:eastAsia="en-AU"/>
        </w:rPr>
        <w:t>, and to grow more slowly than real GDP from late 2024 onwards.</w:t>
      </w:r>
      <w:r w:rsidRPr="008478FE">
        <w:rPr>
          <w:vertAlign w:val="superscript"/>
          <w:lang w:eastAsia="en-AU"/>
        </w:rPr>
        <w:footnoteReference w:id="233"/>
      </w:r>
      <w:r w:rsidRPr="008478FE">
        <w:rPr>
          <w:lang w:eastAsia="en-AU"/>
        </w:rPr>
        <w:t xml:space="preserve"> Were this to eventuate, it would support a recovery in real GDP per capita.</w:t>
      </w:r>
    </w:p>
    <w:p w14:paraId="7B8B7A9B" w14:textId="3975FC1D" w:rsidR="008478FE" w:rsidRPr="008478FE" w:rsidRDefault="008478FE" w:rsidP="00E27FF7">
      <w:pPr>
        <w:pStyle w:val="05Paragraph"/>
        <w:rPr>
          <w:rFonts w:ascii="Calibri" w:hAnsi="Calibri" w:cs="Calibri"/>
          <w:lang w:eastAsia="en-AU"/>
        </w:rPr>
      </w:pPr>
      <w:r w:rsidRPr="008478FE">
        <w:rPr>
          <w:lang w:eastAsia="en-AU"/>
        </w:rPr>
        <w:t xml:space="preserve">In terms of productivity, the RBA expects growth to pick up further and stabilise around its long-run (excluding the pandemic) average, but notes that the outlook is highly uncertain. In particular, </w:t>
      </w:r>
      <w:r w:rsidR="008A3744">
        <w:rPr>
          <w:lang w:eastAsia="en-AU"/>
        </w:rPr>
        <w:t>the RBA</w:t>
      </w:r>
      <w:r w:rsidRPr="008478FE">
        <w:rPr>
          <w:lang w:eastAsia="en-AU"/>
        </w:rPr>
        <w:t xml:space="preserve"> observed that a return to the lower rates </w:t>
      </w:r>
      <w:r w:rsidRPr="008478FE">
        <w:rPr>
          <w:lang w:eastAsia="en-AU"/>
        </w:rPr>
        <w:lastRenderedPageBreak/>
        <w:t>of</w:t>
      </w:r>
      <w:r w:rsidRPr="008478FE">
        <w:rPr>
          <w:rFonts w:ascii="Calibri" w:hAnsi="Calibri" w:cs="Calibri"/>
          <w:lang w:eastAsia="en-AU"/>
        </w:rPr>
        <w:t xml:space="preserve"> </w:t>
      </w:r>
      <w:r w:rsidRPr="008478FE">
        <w:rPr>
          <w:lang w:eastAsia="en-AU"/>
        </w:rPr>
        <w:t xml:space="preserve">business dynamism and competition that were associated with weak productivity outcomes in the </w:t>
      </w:r>
      <w:r w:rsidRPr="003E06AB">
        <w:t>2010s</w:t>
      </w:r>
      <w:r w:rsidRPr="008478FE">
        <w:rPr>
          <w:lang w:eastAsia="en-AU"/>
        </w:rPr>
        <w:t xml:space="preserve"> would similarly weigh on growth going forward.</w:t>
      </w:r>
      <w:r w:rsidRPr="008478FE">
        <w:rPr>
          <w:vertAlign w:val="superscript"/>
          <w:lang w:eastAsia="en-AU"/>
        </w:rPr>
        <w:footnoteReference w:id="234"/>
      </w:r>
    </w:p>
    <w:p w14:paraId="30EB73A3" w14:textId="57B306CB" w:rsidR="008478FE" w:rsidRPr="008478FE" w:rsidRDefault="008478FE" w:rsidP="003E06AB">
      <w:pPr>
        <w:pStyle w:val="03VIRTHeading3"/>
      </w:pPr>
      <w:r w:rsidRPr="008478FE">
        <w:t>Inflation is forecast to eas</w:t>
      </w:r>
      <w:r w:rsidR="00297BB4">
        <w:t>e</w:t>
      </w:r>
      <w:r w:rsidRPr="008478FE">
        <w:t xml:space="preserve"> in the medium-term, with a return to target expected in the next 6–18 months</w:t>
      </w:r>
    </w:p>
    <w:p w14:paraId="53BFFA46" w14:textId="4DE3DB01" w:rsidR="008478FE" w:rsidRPr="008478FE" w:rsidRDefault="008478FE" w:rsidP="00B849BE">
      <w:pPr>
        <w:pStyle w:val="05Paragraph"/>
        <w:rPr>
          <w:lang w:eastAsia="en-AU"/>
        </w:rPr>
      </w:pPr>
      <w:r w:rsidRPr="008478FE">
        <w:rPr>
          <w:lang w:eastAsia="en-AU"/>
        </w:rPr>
        <w:t xml:space="preserve">The latest inflation forecasts published by the RBA, which preceded the federal budget, have </w:t>
      </w:r>
      <w:r w:rsidR="003E06AB">
        <w:rPr>
          <w:lang w:eastAsia="en-AU"/>
        </w:rPr>
        <w:t xml:space="preserve">Australian </w:t>
      </w:r>
      <w:r w:rsidRPr="008478FE">
        <w:rPr>
          <w:lang w:eastAsia="en-AU"/>
        </w:rPr>
        <w:t>CPI growth rising in the near-term due to temporary factors such as rising petrol prices and the unwinding of energy rebates. Despite this, the RBA’s medium</w:t>
      </w:r>
      <w:r w:rsidRPr="008478FE">
        <w:rPr>
          <w:lang w:eastAsia="en-AU"/>
        </w:rPr>
        <w:noBreakHyphen/>
        <w:t>term inflation outlook remains largely unchanged, with annual CPI growth expected to return to the 2</w:t>
      </w:r>
      <w:r w:rsidR="008A3744">
        <w:rPr>
          <w:lang w:eastAsia="en-AU"/>
        </w:rPr>
        <w:t xml:space="preserve"> to </w:t>
      </w:r>
      <w:r w:rsidRPr="008478FE">
        <w:rPr>
          <w:lang w:eastAsia="en-AU"/>
        </w:rPr>
        <w:t>3</w:t>
      </w:r>
      <w:r w:rsidR="008D170F">
        <w:rPr>
          <w:lang w:eastAsia="en-AU"/>
        </w:rPr>
        <w:t xml:space="preserve"> per cent</w:t>
      </w:r>
      <w:r w:rsidRPr="008478FE">
        <w:rPr>
          <w:lang w:eastAsia="en-AU"/>
        </w:rPr>
        <w:t xml:space="preserve"> target band by late 2025.</w:t>
      </w:r>
      <w:r w:rsidRPr="008478FE">
        <w:rPr>
          <w:vertAlign w:val="superscript"/>
          <w:lang w:eastAsia="en-AU"/>
        </w:rPr>
        <w:footnoteReference w:id="235"/>
      </w:r>
    </w:p>
    <w:p w14:paraId="6BD4B8BB" w14:textId="42BC8454" w:rsidR="008478FE" w:rsidRPr="008478FE" w:rsidRDefault="008478FE" w:rsidP="002F38CA">
      <w:pPr>
        <w:pStyle w:val="05Paragraph"/>
        <w:rPr>
          <w:rFonts w:eastAsia="Rockwell" w:cs="Calibri Light"/>
          <w:b/>
          <w:color w:val="26664E"/>
          <w:sz w:val="24"/>
        </w:rPr>
      </w:pPr>
      <w:r w:rsidRPr="008478FE">
        <w:rPr>
          <w:lang w:eastAsia="en-AU"/>
        </w:rPr>
        <w:t>By comparison, the federal budget expects headline inflation to return to target by mid</w:t>
      </w:r>
      <w:r w:rsidRPr="008478FE">
        <w:rPr>
          <w:lang w:eastAsia="en-AU"/>
        </w:rPr>
        <w:noBreakHyphen/>
        <w:t xml:space="preserve">2025, and potentially by the end of 2024. Specifically, the Commonwealth Treasury forecast annual CPI </w:t>
      </w:r>
      <w:r w:rsidRPr="003E06AB">
        <w:t>growth</w:t>
      </w:r>
      <w:r w:rsidRPr="008478FE">
        <w:rPr>
          <w:lang w:eastAsia="en-AU"/>
        </w:rPr>
        <w:t xml:space="preserve"> to be 3.5 per cent in June 2024, before declining to 2.75 per cent in June 2025 (compared with 3.8 per cent and 3.2</w:t>
      </w:r>
      <w:r w:rsidR="008D170F">
        <w:rPr>
          <w:lang w:eastAsia="en-AU"/>
        </w:rPr>
        <w:t> </w:t>
      </w:r>
      <w:r w:rsidRPr="008478FE">
        <w:rPr>
          <w:lang w:eastAsia="en-AU"/>
        </w:rPr>
        <w:t>per</w:t>
      </w:r>
      <w:r w:rsidR="008D170F">
        <w:rPr>
          <w:lang w:eastAsia="en-AU"/>
        </w:rPr>
        <w:t> </w:t>
      </w:r>
      <w:r w:rsidRPr="008478FE">
        <w:rPr>
          <w:lang w:eastAsia="en-AU"/>
        </w:rPr>
        <w:t xml:space="preserve">cent, respectively, by the RBA) (Figure 6.6). One reason for the difference between Treasury’s forecasts and the most recent RBA forecasts is that the former </w:t>
      </w:r>
      <w:r w:rsidR="008D170F">
        <w:rPr>
          <w:lang w:eastAsia="en-AU"/>
        </w:rPr>
        <w:t>considers</w:t>
      </w:r>
      <w:r w:rsidRPr="008478FE">
        <w:rPr>
          <w:lang w:eastAsia="en-AU"/>
        </w:rPr>
        <w:t xml:space="preserve"> the expected impact of cost-of-living measures announced in the federal budget, namely energy rebates for households and an increase in Commonwealth Rent Assistance. The Commonwealth Treasury expects that these measures will reduce headline inflation by 0.5 percentage points without adding to broader inflationary pressures.</w:t>
      </w:r>
      <w:r w:rsidRPr="008478FE">
        <w:rPr>
          <w:vertAlign w:val="superscript"/>
          <w:lang w:eastAsia="en-AU"/>
        </w:rPr>
        <w:footnoteReference w:id="236"/>
      </w:r>
    </w:p>
    <w:p w14:paraId="5ABFBC58" w14:textId="614040AE" w:rsidR="008478FE" w:rsidRDefault="008478FE" w:rsidP="00144BE8">
      <w:pPr>
        <w:pStyle w:val="08Figuretableboxheading"/>
      </w:pPr>
      <w:bookmarkStart w:id="151" w:name="_Toc170393572"/>
      <w:r w:rsidRPr="008478FE">
        <w:lastRenderedPageBreak/>
        <w:t>Figure 6.6: RBA and Federal Budget forecasts for annual CPI growth</w:t>
      </w:r>
      <w:bookmarkEnd w:id="151"/>
    </w:p>
    <w:p w14:paraId="5D87D410" w14:textId="15ED2EE9" w:rsidR="00C15CC8" w:rsidRPr="008478FE" w:rsidRDefault="00C15CC8" w:rsidP="00144BE8">
      <w:pPr>
        <w:pStyle w:val="08Figuretableboxheading"/>
      </w:pPr>
      <w:r>
        <w:rPr>
          <w:noProof/>
        </w:rPr>
        <w:drawing>
          <wp:inline distT="0" distB="0" distL="0" distR="0" wp14:anchorId="174CE2AB" wp14:editId="1714D99E">
            <wp:extent cx="5365115" cy="2371725"/>
            <wp:effectExtent l="0" t="0" r="6985" b="9525"/>
            <wp:docPr id="12191873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65115" cy="2371725"/>
                    </a:xfrm>
                    <a:prstGeom prst="rect">
                      <a:avLst/>
                    </a:prstGeom>
                    <a:noFill/>
                  </pic:spPr>
                </pic:pic>
              </a:graphicData>
            </a:graphic>
          </wp:inline>
        </w:drawing>
      </w:r>
    </w:p>
    <w:p w14:paraId="628A40AA" w14:textId="37EF4F64" w:rsidR="008478FE" w:rsidRPr="005462AF" w:rsidRDefault="008478FE" w:rsidP="005462AF">
      <w:pPr>
        <w:pStyle w:val="09Sourcesandnotesfortablesfiguresboxes"/>
      </w:pPr>
      <w:r w:rsidRPr="005462AF">
        <w:t>Note</w:t>
      </w:r>
      <w:r w:rsidR="00C91927">
        <w:t>s</w:t>
      </w:r>
      <w:r w:rsidRPr="005462AF">
        <w:t>: Annual CPI growth to March 2024 is actual. The RBA also produced forecasts for December 2024 and December 2025, which are reproduced in Table 6</w:t>
      </w:r>
      <w:r w:rsidRPr="008B6822">
        <w:t>.</w:t>
      </w:r>
      <w:r w:rsidR="008B6822" w:rsidRPr="003E06AB">
        <w:t>1</w:t>
      </w:r>
      <w:r w:rsidRPr="008B6822">
        <w:t>.</w:t>
      </w:r>
    </w:p>
    <w:p w14:paraId="6CDF9ED5" w14:textId="768E4D99" w:rsidR="008478FE" w:rsidRPr="005462AF" w:rsidRDefault="008478FE" w:rsidP="005462AF">
      <w:pPr>
        <w:pStyle w:val="09Sourcesandnotesfortablesfiguresboxes"/>
      </w:pPr>
      <w:r w:rsidRPr="005462AF">
        <w:t xml:space="preserve">Sources: </w:t>
      </w:r>
      <w:r w:rsidR="007354E9" w:rsidRPr="005462AF">
        <w:t>RBA (2024b), p. 51</w:t>
      </w:r>
      <w:r w:rsidRPr="005462AF">
        <w:t xml:space="preserve">; </w:t>
      </w:r>
      <w:r w:rsidR="007354E9" w:rsidRPr="005462AF">
        <w:t>Commonwealth of Australia (2024), p. 53.</w:t>
      </w:r>
    </w:p>
    <w:p w14:paraId="59DD52DB" w14:textId="7C6FFE02" w:rsidR="008478FE" w:rsidRPr="008478FE" w:rsidRDefault="008478FE" w:rsidP="005462AF">
      <w:pPr>
        <w:pStyle w:val="05Paragraph"/>
        <w:rPr>
          <w:lang w:eastAsia="en-AU"/>
        </w:rPr>
      </w:pPr>
      <w:r w:rsidRPr="008478FE">
        <w:rPr>
          <w:lang w:eastAsia="en-AU"/>
        </w:rPr>
        <w:t xml:space="preserve">The </w:t>
      </w:r>
      <w:r w:rsidRPr="005A7A6E">
        <w:rPr>
          <w:lang w:eastAsia="en-AU"/>
        </w:rPr>
        <w:t xml:space="preserve">2024-25 </w:t>
      </w:r>
      <w:r w:rsidR="005A7A6E" w:rsidRPr="00BA7A18">
        <w:t>Budget</w:t>
      </w:r>
      <w:r w:rsidRPr="008478FE">
        <w:rPr>
          <w:lang w:eastAsia="en-AU"/>
        </w:rPr>
        <w:t xml:space="preserve"> forecast annual growth in the Melbourne CPI to average 4</w:t>
      </w:r>
      <w:r w:rsidR="00BA7A18">
        <w:rPr>
          <w:lang w:eastAsia="en-AU"/>
        </w:rPr>
        <w:t> </w:t>
      </w:r>
      <w:r w:rsidRPr="008478FE">
        <w:rPr>
          <w:lang w:eastAsia="en-AU"/>
        </w:rPr>
        <w:t>per</w:t>
      </w:r>
      <w:r w:rsidR="00BA7A18">
        <w:rPr>
          <w:lang w:eastAsia="en-AU"/>
        </w:rPr>
        <w:t> </w:t>
      </w:r>
      <w:r w:rsidRPr="008478FE">
        <w:rPr>
          <w:lang w:eastAsia="en-AU"/>
        </w:rPr>
        <w:t>cent in 2023-24, before easing to 2.75 per cent in 2024-25. DTF noted that the pace of easing will be determined largely by the outlook for services inflation, which is expected to continue to decline more slowly than goods inflation.</w:t>
      </w:r>
      <w:r w:rsidRPr="008478FE">
        <w:rPr>
          <w:vertAlign w:val="superscript"/>
          <w:lang w:eastAsia="en-AU"/>
        </w:rPr>
        <w:footnoteReference w:id="237"/>
      </w:r>
    </w:p>
    <w:p w14:paraId="1AC0709B" w14:textId="77777777" w:rsidR="008478FE" w:rsidRPr="008478FE" w:rsidRDefault="008478FE" w:rsidP="00BA7A18">
      <w:pPr>
        <w:pStyle w:val="03VIRTHeading3"/>
      </w:pPr>
      <w:r w:rsidRPr="008478FE">
        <w:t>Labour market conditions are expected to continue easing gradually</w:t>
      </w:r>
    </w:p>
    <w:p w14:paraId="63ACA400" w14:textId="77777777" w:rsidR="008478FE" w:rsidRPr="008478FE" w:rsidRDefault="008478FE" w:rsidP="00BA7A18">
      <w:pPr>
        <w:pStyle w:val="05Paragraph"/>
        <w:rPr>
          <w:noProof/>
          <w:lang w:eastAsia="en-AU"/>
        </w:rPr>
      </w:pPr>
      <w:r w:rsidRPr="008478FE">
        <w:rPr>
          <w:noProof/>
          <w:lang w:eastAsia="en-AU"/>
        </w:rPr>
        <w:t>The easing in labour market conditions is expected to continue, with the RBA forecasting employment growth to slow and fall below growth in the working-age population for a time. This is expected to drive further easing in the national unemployment rate, which is forecast to rise to 4.2 per cent by the end of 2024, before stabilising around 4.3 per cent — a level considered consistent with full employment — from mid-2025. Labour force participation is expected to decline slightly due to cyclical factors, but to remain high by historical standards.</w:t>
      </w:r>
      <w:r w:rsidRPr="008478FE">
        <w:rPr>
          <w:noProof/>
          <w:vertAlign w:val="superscript"/>
          <w:lang w:eastAsia="en-AU"/>
        </w:rPr>
        <w:footnoteReference w:id="238"/>
      </w:r>
    </w:p>
    <w:p w14:paraId="711C8EF4" w14:textId="77777777" w:rsidR="008478FE" w:rsidRPr="008478FE" w:rsidRDefault="008478FE" w:rsidP="00BA7A18">
      <w:pPr>
        <w:pStyle w:val="05Paragraph"/>
        <w:rPr>
          <w:noProof/>
          <w:lang w:eastAsia="en-AU"/>
        </w:rPr>
      </w:pPr>
      <w:r w:rsidRPr="008478FE">
        <w:rPr>
          <w:noProof/>
          <w:lang w:eastAsia="en-AU"/>
        </w:rPr>
        <w:t>The Commonwealth Treasury’s outlook for the national labour market is broadly consistent with the RBA’s. Of note, Treasury is forecasting a sharper slowdown in employment growth, and consequently a larger increase in the unemployment rate, which it expects to reach 4.5 per cent by mid-2025.</w:t>
      </w:r>
      <w:r w:rsidRPr="008478FE">
        <w:rPr>
          <w:noProof/>
          <w:vertAlign w:val="superscript"/>
          <w:lang w:eastAsia="en-AU"/>
        </w:rPr>
        <w:footnoteReference w:id="239"/>
      </w:r>
    </w:p>
    <w:p w14:paraId="6FA5299D" w14:textId="4A929809" w:rsidR="008478FE" w:rsidRPr="008478FE" w:rsidRDefault="008478FE" w:rsidP="00BA7A18">
      <w:pPr>
        <w:pStyle w:val="05Paragraph"/>
        <w:rPr>
          <w:noProof/>
          <w:lang w:eastAsia="en-AU"/>
        </w:rPr>
      </w:pPr>
      <w:r w:rsidRPr="008478FE">
        <w:rPr>
          <w:noProof/>
          <w:lang w:eastAsia="en-AU"/>
        </w:rPr>
        <w:lastRenderedPageBreak/>
        <w:t xml:space="preserve">In relation to the Victorian labour market, the </w:t>
      </w:r>
      <w:r w:rsidRPr="005A7A6E">
        <w:rPr>
          <w:lang w:eastAsia="en-AU"/>
        </w:rPr>
        <w:t>2024-25 Budget</w:t>
      </w:r>
      <w:r w:rsidRPr="008478FE">
        <w:rPr>
          <w:noProof/>
          <w:lang w:eastAsia="en-AU"/>
        </w:rPr>
        <w:t xml:space="preserve"> similarly forecast employment growth to slow from an average of 3.25 per cent in 2023-24 to 1</w:t>
      </w:r>
      <w:r w:rsidR="003C227D">
        <w:t> </w:t>
      </w:r>
      <w:r w:rsidRPr="008478FE">
        <w:rPr>
          <w:noProof/>
          <w:lang w:eastAsia="en-AU"/>
        </w:rPr>
        <w:t>per</w:t>
      </w:r>
      <w:r w:rsidR="003C227D">
        <w:rPr>
          <w:noProof/>
          <w:lang w:eastAsia="en-AU"/>
        </w:rPr>
        <w:t> </w:t>
      </w:r>
      <w:r w:rsidRPr="008478FE">
        <w:rPr>
          <w:noProof/>
          <w:lang w:eastAsia="en-AU"/>
        </w:rPr>
        <w:t xml:space="preserve">cent in </w:t>
      </w:r>
      <w:r w:rsidR="00BC108B">
        <w:rPr>
          <w:noProof/>
          <w:lang w:eastAsia="en-AU"/>
        </w:rPr>
        <w:t>2024</w:t>
      </w:r>
      <w:r w:rsidRPr="008478FE">
        <w:rPr>
          <w:noProof/>
          <w:lang w:eastAsia="en-AU"/>
        </w:rPr>
        <w:t>-25. The unemployment rate is expected to average 4.25</w:t>
      </w:r>
      <w:r w:rsidR="003C227D">
        <w:rPr>
          <w:noProof/>
          <w:lang w:eastAsia="en-AU"/>
        </w:rPr>
        <w:t> </w:t>
      </w:r>
      <w:r w:rsidRPr="008478FE">
        <w:rPr>
          <w:noProof/>
          <w:lang w:eastAsia="en-AU"/>
        </w:rPr>
        <w:t>per</w:t>
      </w:r>
      <w:r w:rsidR="003C227D">
        <w:rPr>
          <w:noProof/>
          <w:lang w:eastAsia="en-AU"/>
        </w:rPr>
        <w:t> </w:t>
      </w:r>
      <w:r w:rsidRPr="008478FE">
        <w:rPr>
          <w:noProof/>
          <w:lang w:eastAsia="en-AU"/>
        </w:rPr>
        <w:t xml:space="preserve">cent in </w:t>
      </w:r>
      <w:r w:rsidR="00BC108B">
        <w:rPr>
          <w:noProof/>
          <w:lang w:eastAsia="en-AU"/>
        </w:rPr>
        <w:t>2024-25</w:t>
      </w:r>
      <w:r w:rsidRPr="008478FE">
        <w:rPr>
          <w:noProof/>
          <w:lang w:eastAsia="en-AU"/>
        </w:rPr>
        <w:t>, before increasing to 4.5</w:t>
      </w:r>
      <w:r w:rsidR="003C227D">
        <w:rPr>
          <w:noProof/>
          <w:lang w:eastAsia="en-AU"/>
        </w:rPr>
        <w:t> </w:t>
      </w:r>
      <w:r w:rsidRPr="008478FE">
        <w:rPr>
          <w:noProof/>
          <w:lang w:eastAsia="en-AU"/>
        </w:rPr>
        <w:t>per</w:t>
      </w:r>
      <w:r w:rsidR="003C227D">
        <w:rPr>
          <w:noProof/>
          <w:lang w:eastAsia="en-AU"/>
        </w:rPr>
        <w:t> </w:t>
      </w:r>
      <w:r w:rsidRPr="008478FE">
        <w:rPr>
          <w:noProof/>
          <w:lang w:eastAsia="en-AU"/>
        </w:rPr>
        <w:t xml:space="preserve">cent in </w:t>
      </w:r>
      <w:r w:rsidR="00BC108B">
        <w:rPr>
          <w:noProof/>
          <w:lang w:eastAsia="en-AU"/>
        </w:rPr>
        <w:t>2025-26</w:t>
      </w:r>
      <w:r w:rsidRPr="008478FE">
        <w:rPr>
          <w:noProof/>
          <w:lang w:eastAsia="en-AU"/>
        </w:rPr>
        <w:t>.</w:t>
      </w:r>
      <w:r w:rsidRPr="008478FE">
        <w:rPr>
          <w:noProof/>
          <w:vertAlign w:val="superscript"/>
          <w:lang w:eastAsia="en-AU"/>
        </w:rPr>
        <w:footnoteReference w:id="240"/>
      </w:r>
    </w:p>
    <w:p w14:paraId="2E3A595B" w14:textId="77777777" w:rsidR="008478FE" w:rsidRPr="008478FE" w:rsidRDefault="008478FE" w:rsidP="00BA7A18">
      <w:pPr>
        <w:pStyle w:val="03VIRTHeading3"/>
      </w:pPr>
      <w:r w:rsidRPr="008478FE">
        <w:t>Wages growth is expected to moderate as the labour market eases</w:t>
      </w:r>
    </w:p>
    <w:p w14:paraId="0F82D280" w14:textId="2F1827F8" w:rsidR="008478FE" w:rsidRPr="008478FE" w:rsidRDefault="008478FE" w:rsidP="00BA7A18">
      <w:pPr>
        <w:pStyle w:val="05Paragraph"/>
        <w:rPr>
          <w:noProof/>
          <w:lang w:eastAsia="en-AU"/>
        </w:rPr>
      </w:pPr>
      <w:r w:rsidRPr="008478FE">
        <w:rPr>
          <w:noProof/>
          <w:lang w:eastAsia="en-AU"/>
        </w:rPr>
        <w:t xml:space="preserve">The RBA has observed that nominal wages growth appears to have peaked for the current cycle, with growth forecast to moderate gradually over the coming years. </w:t>
      </w:r>
      <w:r w:rsidR="00971725">
        <w:rPr>
          <w:noProof/>
          <w:lang w:eastAsia="en-AU"/>
        </w:rPr>
        <w:t>A</w:t>
      </w:r>
      <w:r w:rsidRPr="008478FE">
        <w:rPr>
          <w:noProof/>
          <w:lang w:eastAsia="en-AU"/>
        </w:rPr>
        <w:t>nnual growth in the Australian WPI is forecast to be</w:t>
      </w:r>
      <w:r w:rsidR="00971725">
        <w:rPr>
          <w:noProof/>
          <w:lang w:eastAsia="en-AU"/>
        </w:rPr>
        <w:t> </w:t>
      </w:r>
      <w:r w:rsidRPr="008478FE">
        <w:rPr>
          <w:noProof/>
          <w:lang w:eastAsia="en-AU"/>
        </w:rPr>
        <w:t>4.2</w:t>
      </w:r>
      <w:r w:rsidR="00971725">
        <w:rPr>
          <w:noProof/>
          <w:lang w:eastAsia="en-AU"/>
        </w:rPr>
        <w:t> </w:t>
      </w:r>
      <w:r w:rsidRPr="008478FE">
        <w:rPr>
          <w:noProof/>
          <w:lang w:eastAsia="en-AU"/>
        </w:rPr>
        <w:t>per</w:t>
      </w:r>
      <w:r w:rsidR="00971725">
        <w:rPr>
          <w:noProof/>
          <w:lang w:eastAsia="en-AU"/>
        </w:rPr>
        <w:t> </w:t>
      </w:r>
      <w:r w:rsidRPr="008478FE">
        <w:rPr>
          <w:noProof/>
          <w:lang w:eastAsia="en-AU"/>
        </w:rPr>
        <w:t>cent in June 2024, before declining to 3.6 per cent by June 2025.</w:t>
      </w:r>
      <w:r w:rsidRPr="008478FE">
        <w:rPr>
          <w:noProof/>
          <w:vertAlign w:val="superscript"/>
          <w:lang w:eastAsia="en-AU"/>
        </w:rPr>
        <w:footnoteReference w:id="241"/>
      </w:r>
      <w:r w:rsidRPr="008478FE">
        <w:rPr>
          <w:noProof/>
          <w:lang w:eastAsia="en-AU"/>
        </w:rPr>
        <w:t xml:space="preserve"> The federal budget forecast a slightly faster decline in wages growth, with national WPI growth expected to be</w:t>
      </w:r>
      <w:r w:rsidR="00971725">
        <w:rPr>
          <w:noProof/>
          <w:lang w:eastAsia="en-AU"/>
        </w:rPr>
        <w:t> </w:t>
      </w:r>
      <w:r w:rsidRPr="008478FE">
        <w:rPr>
          <w:noProof/>
          <w:lang w:eastAsia="en-AU"/>
        </w:rPr>
        <w:t>4</w:t>
      </w:r>
      <w:r w:rsidR="00971725">
        <w:rPr>
          <w:noProof/>
          <w:lang w:eastAsia="en-AU"/>
        </w:rPr>
        <w:t> </w:t>
      </w:r>
      <w:r w:rsidRPr="008478FE">
        <w:rPr>
          <w:noProof/>
          <w:lang w:eastAsia="en-AU"/>
        </w:rPr>
        <w:t>per</w:t>
      </w:r>
      <w:r w:rsidR="00971725">
        <w:rPr>
          <w:noProof/>
          <w:lang w:eastAsia="en-AU"/>
        </w:rPr>
        <w:t> </w:t>
      </w:r>
      <w:r w:rsidRPr="008478FE">
        <w:rPr>
          <w:noProof/>
          <w:lang w:eastAsia="en-AU"/>
        </w:rPr>
        <w:t>cent in June 2024 and</w:t>
      </w:r>
      <w:r w:rsidR="00971725">
        <w:rPr>
          <w:noProof/>
          <w:lang w:eastAsia="en-AU"/>
        </w:rPr>
        <w:t> </w:t>
      </w:r>
      <w:r w:rsidRPr="008478FE">
        <w:rPr>
          <w:noProof/>
          <w:lang w:eastAsia="en-AU"/>
        </w:rPr>
        <w:t>3.3</w:t>
      </w:r>
      <w:r w:rsidR="00971725">
        <w:rPr>
          <w:noProof/>
          <w:lang w:eastAsia="en-AU"/>
        </w:rPr>
        <w:t> </w:t>
      </w:r>
      <w:r w:rsidRPr="008478FE">
        <w:rPr>
          <w:noProof/>
          <w:lang w:eastAsia="en-AU"/>
        </w:rPr>
        <w:t>per</w:t>
      </w:r>
      <w:r w:rsidR="00971725">
        <w:rPr>
          <w:noProof/>
          <w:lang w:eastAsia="en-AU"/>
        </w:rPr>
        <w:t> </w:t>
      </w:r>
      <w:r w:rsidRPr="008478FE">
        <w:rPr>
          <w:noProof/>
          <w:lang w:eastAsia="en-AU"/>
        </w:rPr>
        <w:t>cent in June 2025.</w:t>
      </w:r>
      <w:r w:rsidRPr="008478FE">
        <w:rPr>
          <w:noProof/>
          <w:vertAlign w:val="superscript"/>
          <w:lang w:eastAsia="en-AU"/>
        </w:rPr>
        <w:footnoteReference w:id="242"/>
      </w:r>
    </w:p>
    <w:p w14:paraId="28D23532" w14:textId="12D65D0D" w:rsidR="008478FE" w:rsidRPr="008478FE" w:rsidRDefault="008478FE" w:rsidP="00BA7A18">
      <w:pPr>
        <w:pStyle w:val="05Paragraph"/>
        <w:rPr>
          <w:noProof/>
          <w:lang w:eastAsia="en-AU"/>
        </w:rPr>
      </w:pPr>
      <w:r w:rsidRPr="008478FE">
        <w:rPr>
          <w:noProof/>
          <w:lang w:eastAsia="en-AU"/>
        </w:rPr>
        <w:t xml:space="preserve">The </w:t>
      </w:r>
      <w:r w:rsidRPr="005A7A6E">
        <w:rPr>
          <w:noProof/>
          <w:lang w:eastAsia="en-AU"/>
        </w:rPr>
        <w:t>2024-25</w:t>
      </w:r>
      <w:r w:rsidR="005A7A6E" w:rsidRPr="005A7A6E">
        <w:rPr>
          <w:noProof/>
          <w:lang w:eastAsia="en-AU"/>
        </w:rPr>
        <w:t xml:space="preserve"> Budget</w:t>
      </w:r>
      <w:r w:rsidRPr="008478FE">
        <w:rPr>
          <w:noProof/>
          <w:lang w:eastAsia="en-AU"/>
        </w:rPr>
        <w:t xml:space="preserve"> forecast annual growth in the Victorian WPI to average 3.75 per cent in each of 2023-24 and 2024-25, before returning to 3.25 per cent from 2025-26.</w:t>
      </w:r>
      <w:r w:rsidR="00AA18DD">
        <w:rPr>
          <w:rStyle w:val="FootnoteReference"/>
          <w:rFonts w:eastAsia="Rockwell" w:cs="Calibri Light"/>
          <w:noProof/>
          <w:color w:val="000000"/>
          <w:lang w:eastAsia="en-AU"/>
        </w:rPr>
        <w:footnoteReference w:id="243"/>
      </w:r>
      <w:r w:rsidRPr="008478FE">
        <w:rPr>
          <w:noProof/>
          <w:lang w:eastAsia="en-AU"/>
        </w:rPr>
        <w:t xml:space="preserve"> The Tribunal notes that, at the time of making this Determination, the Victorian Government was negotiating several major public sector </w:t>
      </w:r>
      <w:r w:rsidR="00C821EA">
        <w:rPr>
          <w:noProof/>
          <w:lang w:eastAsia="en-AU"/>
        </w:rPr>
        <w:t>EAs</w:t>
      </w:r>
      <w:r w:rsidRPr="008478FE">
        <w:rPr>
          <w:noProof/>
          <w:lang w:eastAsia="en-AU"/>
        </w:rPr>
        <w:t xml:space="preserve"> under its revised wages policy, which provides for higher wage outcomes than previously (see section 6.4). Consistent with the experience in other states, the commencement of those agreements is likely to boost public sector wages growth, which has been relatively subdued compared with the private sector.</w:t>
      </w:r>
    </w:p>
    <w:p w14:paraId="234F7796" w14:textId="77777777" w:rsidR="008478FE" w:rsidRPr="008478FE" w:rsidRDefault="008478FE" w:rsidP="00BA7A18">
      <w:pPr>
        <w:pStyle w:val="05Paragraph"/>
        <w:rPr>
          <w:noProof/>
          <w:lang w:eastAsia="en-AU"/>
        </w:rPr>
      </w:pPr>
      <w:r w:rsidRPr="008478FE">
        <w:rPr>
          <w:noProof/>
          <w:lang w:eastAsia="en-AU"/>
        </w:rPr>
        <w:t>Real wages are expected to grow over the coming years in both Victoria and Australia, as nominal wages growth is forecast to moderate more slowly than inflation. For example, the RBA is forecasting real wages (in annual terms) to rise 0.4 per cent in June 2024, hold steady in December 2024, and then resume growing from June 2025.</w:t>
      </w:r>
      <w:r w:rsidRPr="008478FE">
        <w:rPr>
          <w:noProof/>
          <w:vertAlign w:val="superscript"/>
          <w:lang w:eastAsia="en-AU"/>
        </w:rPr>
        <w:footnoteReference w:id="244"/>
      </w:r>
    </w:p>
    <w:p w14:paraId="3AAB86B7" w14:textId="77777777" w:rsidR="008478FE" w:rsidRPr="008478FE" w:rsidRDefault="008478FE" w:rsidP="00BA7A18">
      <w:pPr>
        <w:pStyle w:val="03VIRTHeading3"/>
      </w:pPr>
      <w:r w:rsidRPr="008478FE">
        <w:t>There are risks to the economic outlook, particularly around inflation</w:t>
      </w:r>
    </w:p>
    <w:p w14:paraId="4B06D058" w14:textId="2B18C03B" w:rsidR="0050116E" w:rsidRDefault="008478FE" w:rsidP="00BA7A18">
      <w:pPr>
        <w:pStyle w:val="05Paragraph"/>
        <w:rPr>
          <w:noProof/>
          <w:lang w:eastAsia="en-AU"/>
        </w:rPr>
      </w:pPr>
      <w:r w:rsidRPr="008478FE">
        <w:rPr>
          <w:noProof/>
          <w:lang w:eastAsia="en-AU"/>
        </w:rPr>
        <w:t xml:space="preserve">In its May 2024 </w:t>
      </w:r>
      <w:r w:rsidRPr="008478FE">
        <w:rPr>
          <w:i/>
          <w:noProof/>
          <w:lang w:eastAsia="en-AU"/>
        </w:rPr>
        <w:t>Statement</w:t>
      </w:r>
      <w:r w:rsidRPr="008478FE">
        <w:rPr>
          <w:noProof/>
          <w:lang w:eastAsia="en-AU"/>
        </w:rPr>
        <w:t xml:space="preserve">, the RBA concluded that the risk that inflation takes longer than expected to return to target had increased since February 2024. </w:t>
      </w:r>
      <w:r w:rsidR="000521B3">
        <w:rPr>
          <w:noProof/>
          <w:lang w:eastAsia="en-AU"/>
        </w:rPr>
        <w:t>I</w:t>
      </w:r>
      <w:r w:rsidRPr="008478FE">
        <w:rPr>
          <w:noProof/>
          <w:lang w:eastAsia="en-AU"/>
        </w:rPr>
        <w:t xml:space="preserve">t noted that the stronger-than-expected inflation outcome in the March quarter </w:t>
      </w:r>
      <w:r w:rsidRPr="008478FE">
        <w:rPr>
          <w:noProof/>
          <w:lang w:eastAsia="en-AU"/>
        </w:rPr>
        <w:lastRenderedPageBreak/>
        <w:t>2024 could indicate that domestic inflationary pressures are</w:t>
      </w:r>
      <w:r w:rsidRPr="008478FE">
        <w:rPr>
          <w:rFonts w:ascii="Calibri" w:hAnsi="Calibri" w:cs="Calibri"/>
          <w:noProof/>
          <w:lang w:eastAsia="en-AU"/>
        </w:rPr>
        <w:t xml:space="preserve"> </w:t>
      </w:r>
      <w:r w:rsidRPr="008478FE">
        <w:rPr>
          <w:noProof/>
          <w:lang w:eastAsia="en-AU"/>
        </w:rPr>
        <w:t xml:space="preserve">‘stickier’ than currently assumed. This could be the case, for example, if the assumed pick-up in productivity growth does not eventuate, leading to higher input costs for businesses that may then be passed on to consumers. </w:t>
      </w:r>
    </w:p>
    <w:p w14:paraId="615BF06C" w14:textId="25FF37A7" w:rsidR="008478FE" w:rsidRPr="008478FE" w:rsidRDefault="008478FE" w:rsidP="00BA7A18">
      <w:pPr>
        <w:pStyle w:val="05Paragraph"/>
        <w:rPr>
          <w:noProof/>
          <w:lang w:eastAsia="en-AU"/>
        </w:rPr>
      </w:pPr>
      <w:r w:rsidRPr="008478FE">
        <w:rPr>
          <w:noProof/>
          <w:lang w:eastAsia="en-AU"/>
        </w:rPr>
        <w:t>Geopolitical tensions have also increased the risk of further supply shocks, according to the RBA, which could lead to a rebound in goods inflation. The RBA observed that a prolonged period of high inflation would risk ‘deanchoring’ inflation expectations, requiring further interest rate rises and a period of higher unemployment to return inflation to target.</w:t>
      </w:r>
      <w:r w:rsidRPr="008478FE">
        <w:rPr>
          <w:noProof/>
          <w:vertAlign w:val="superscript"/>
          <w:lang w:eastAsia="en-AU"/>
        </w:rPr>
        <w:footnoteReference w:id="245"/>
      </w:r>
    </w:p>
    <w:p w14:paraId="1F234630" w14:textId="77777777" w:rsidR="008478FE" w:rsidRPr="008478FE" w:rsidRDefault="008478FE" w:rsidP="00BA7A18">
      <w:pPr>
        <w:pStyle w:val="05Paragraph"/>
        <w:rPr>
          <w:noProof/>
          <w:lang w:eastAsia="en-AU"/>
        </w:rPr>
      </w:pPr>
      <w:r w:rsidRPr="008478FE">
        <w:rPr>
          <w:noProof/>
          <w:lang w:eastAsia="en-AU"/>
        </w:rPr>
        <w:t>On the other hand, the RBA noted that there is a risk that aggregate demand could be weaker than expected, such as if the recent weakness in household consumption were to persist. While noting that this could see inflation return to target more quickly than expected, the RBA also observed that it would likely come at the expense of its employment objective (i.e. it would lead to higher unemployment).</w:t>
      </w:r>
      <w:r w:rsidRPr="008478FE">
        <w:rPr>
          <w:noProof/>
          <w:vertAlign w:val="superscript"/>
          <w:lang w:eastAsia="en-AU"/>
        </w:rPr>
        <w:footnoteReference w:id="246"/>
      </w:r>
    </w:p>
    <w:p w14:paraId="274868F2" w14:textId="7E7D3D6E" w:rsidR="008478FE" w:rsidRPr="008478FE" w:rsidRDefault="000521B3" w:rsidP="00BA7A18">
      <w:pPr>
        <w:pStyle w:val="05Paragraph"/>
        <w:rPr>
          <w:noProof/>
          <w:lang w:eastAsia="en-AU"/>
        </w:rPr>
      </w:pPr>
      <w:r>
        <w:rPr>
          <w:noProof/>
          <w:lang w:eastAsia="en-AU"/>
        </w:rPr>
        <w:t>Overall</w:t>
      </w:r>
      <w:r w:rsidR="008478FE" w:rsidRPr="008478FE">
        <w:rPr>
          <w:noProof/>
          <w:lang w:eastAsia="en-AU"/>
        </w:rPr>
        <w:t xml:space="preserve">, while the RBA judged the risks to Australia’s economic outlook to be </w:t>
      </w:r>
      <w:r w:rsidR="003E03A4">
        <w:rPr>
          <w:noProof/>
          <w:lang w:eastAsia="en-AU"/>
        </w:rPr>
        <w:t>‘</w:t>
      </w:r>
      <w:r w:rsidR="008478FE" w:rsidRPr="008478FE">
        <w:rPr>
          <w:noProof/>
          <w:lang w:eastAsia="en-AU"/>
        </w:rPr>
        <w:t>broadly balanced</w:t>
      </w:r>
      <w:r w:rsidR="003E03A4">
        <w:rPr>
          <w:noProof/>
          <w:lang w:eastAsia="en-AU"/>
        </w:rPr>
        <w:t>’</w:t>
      </w:r>
      <w:r w:rsidR="008478FE" w:rsidRPr="008478FE">
        <w:rPr>
          <w:noProof/>
          <w:lang w:eastAsia="en-AU"/>
        </w:rPr>
        <w:t>, it assessed that the costs associated with the upside risks to inflation are greater than the costs associated with the downside risks.</w:t>
      </w:r>
      <w:r w:rsidR="008478FE" w:rsidRPr="008478FE">
        <w:rPr>
          <w:noProof/>
          <w:vertAlign w:val="superscript"/>
          <w:lang w:eastAsia="en-AU"/>
        </w:rPr>
        <w:footnoteReference w:id="247"/>
      </w:r>
    </w:p>
    <w:p w14:paraId="1FEEC6A9" w14:textId="79640D48" w:rsidR="008478FE" w:rsidRPr="008478FE" w:rsidRDefault="008478FE" w:rsidP="00BA7A18">
      <w:pPr>
        <w:pStyle w:val="05Paragraph"/>
        <w:rPr>
          <w:noProof/>
          <w:lang w:eastAsia="en-AU"/>
        </w:rPr>
      </w:pPr>
      <w:r w:rsidRPr="008478FE">
        <w:rPr>
          <w:noProof/>
          <w:lang w:eastAsia="en-AU"/>
        </w:rPr>
        <w:t xml:space="preserve">The </w:t>
      </w:r>
      <w:r w:rsidRPr="005A7A6E">
        <w:rPr>
          <w:lang w:eastAsia="en-AU"/>
        </w:rPr>
        <w:t>2024-25 Budget</w:t>
      </w:r>
      <w:r w:rsidRPr="008478FE">
        <w:rPr>
          <w:noProof/>
          <w:lang w:eastAsia="en-AU"/>
        </w:rPr>
        <w:t xml:space="preserve"> cited similar risks in relation to the Victorian economy, including uncertainty around the outlooks for household consumption and inflation.</w:t>
      </w:r>
      <w:r w:rsidRPr="008478FE">
        <w:rPr>
          <w:noProof/>
          <w:vertAlign w:val="superscript"/>
          <w:lang w:eastAsia="en-AU"/>
        </w:rPr>
        <w:footnoteReference w:id="248"/>
      </w:r>
    </w:p>
    <w:p w14:paraId="6B3A049F" w14:textId="12F9188B" w:rsidR="00F72BB0" w:rsidRDefault="00F72BB0" w:rsidP="00246C68">
      <w:pPr>
        <w:pStyle w:val="02VIRTHeading2"/>
        <w:rPr>
          <w:noProof/>
          <w:lang w:eastAsia="en-AU"/>
        </w:rPr>
      </w:pPr>
      <w:bookmarkStart w:id="152" w:name="_Toc170396240"/>
      <w:r>
        <w:rPr>
          <w:noProof/>
          <w:lang w:eastAsia="en-AU"/>
        </w:rPr>
        <w:t>6.3</w:t>
      </w:r>
      <w:r>
        <w:rPr>
          <w:noProof/>
          <w:lang w:eastAsia="en-AU"/>
        </w:rPr>
        <w:tab/>
      </w:r>
      <w:r w:rsidRPr="00F72BB0">
        <w:rPr>
          <w:noProof/>
          <w:lang w:eastAsia="en-AU"/>
        </w:rPr>
        <w:t>Financial position and fiscal strategy of the State of Victoria</w:t>
      </w:r>
      <w:bookmarkEnd w:id="152"/>
    </w:p>
    <w:p w14:paraId="33DFC5C9" w14:textId="5DF37216" w:rsidR="008478FE" w:rsidRPr="008478FE" w:rsidRDefault="008478FE" w:rsidP="00246C68">
      <w:pPr>
        <w:pStyle w:val="05Paragraph"/>
        <w:rPr>
          <w:noProof/>
          <w:lang w:eastAsia="en-AU"/>
        </w:rPr>
      </w:pPr>
      <w:r w:rsidRPr="008478FE">
        <w:rPr>
          <w:noProof/>
          <w:lang w:eastAsia="en-AU"/>
        </w:rPr>
        <w:t xml:space="preserve">The </w:t>
      </w:r>
      <w:r w:rsidR="00575F08">
        <w:rPr>
          <w:noProof/>
          <w:lang w:eastAsia="en-AU"/>
        </w:rPr>
        <w:t>following discussion</w:t>
      </w:r>
      <w:r w:rsidRPr="008478FE">
        <w:rPr>
          <w:noProof/>
          <w:lang w:eastAsia="en-AU"/>
        </w:rPr>
        <w:t xml:space="preserve"> of the financial position and fiscal strategy of the State of Victoria has been informed by the </w:t>
      </w:r>
      <w:r w:rsidRPr="005A7A6E">
        <w:rPr>
          <w:lang w:eastAsia="en-AU"/>
        </w:rPr>
        <w:t>2024-25 Budget</w:t>
      </w:r>
      <w:r w:rsidRPr="008478FE">
        <w:rPr>
          <w:noProof/>
          <w:lang w:eastAsia="en-AU"/>
        </w:rPr>
        <w:t xml:space="preserve"> and the latest </w:t>
      </w:r>
      <w:r w:rsidRPr="008478FE">
        <w:rPr>
          <w:i/>
          <w:noProof/>
          <w:lang w:eastAsia="en-AU"/>
        </w:rPr>
        <w:t>Auditor</w:t>
      </w:r>
      <w:r w:rsidRPr="008478FE">
        <w:rPr>
          <w:i/>
          <w:noProof/>
          <w:lang w:eastAsia="en-AU"/>
        </w:rPr>
        <w:noBreakHyphen/>
        <w:t>General’s Report on the Annual Financial Report of the State of Victoria</w:t>
      </w:r>
      <w:r w:rsidRPr="008478FE">
        <w:rPr>
          <w:noProof/>
          <w:lang w:eastAsia="en-AU"/>
        </w:rPr>
        <w:t xml:space="preserve"> (November 2023).</w:t>
      </w:r>
    </w:p>
    <w:p w14:paraId="2AB37C39" w14:textId="77777777" w:rsidR="008478FE" w:rsidRPr="008478FE" w:rsidRDefault="008478FE" w:rsidP="00246C68">
      <w:pPr>
        <w:pStyle w:val="03VIRTHeading3"/>
      </w:pPr>
      <w:r w:rsidRPr="008478FE">
        <w:lastRenderedPageBreak/>
        <w:t>The 2024-25 Budget builds on the savings and efficiency measures introduced in the previous budget</w:t>
      </w:r>
    </w:p>
    <w:p w14:paraId="42B16622" w14:textId="1258A02D" w:rsidR="008478FE" w:rsidRPr="008478FE" w:rsidRDefault="008478FE" w:rsidP="00246C68">
      <w:pPr>
        <w:pStyle w:val="05Paragraph"/>
        <w:rPr>
          <w:noProof/>
          <w:lang w:eastAsia="en-AU"/>
        </w:rPr>
      </w:pPr>
      <w:r w:rsidRPr="008478FE">
        <w:rPr>
          <w:noProof/>
          <w:lang w:eastAsia="en-AU"/>
        </w:rPr>
        <w:t xml:space="preserve">In the </w:t>
      </w:r>
      <w:r w:rsidR="00FE448D">
        <w:rPr>
          <w:i/>
          <w:noProof/>
          <w:lang w:eastAsia="en-AU"/>
        </w:rPr>
        <w:t xml:space="preserve">Victorian </w:t>
      </w:r>
      <w:r w:rsidRPr="008478FE">
        <w:rPr>
          <w:i/>
          <w:noProof/>
          <w:lang w:eastAsia="en-AU"/>
        </w:rPr>
        <w:t>Budget</w:t>
      </w:r>
      <w:r w:rsidR="00FE448D">
        <w:rPr>
          <w:i/>
          <w:noProof/>
          <w:lang w:eastAsia="en-AU"/>
        </w:rPr>
        <w:t xml:space="preserve"> </w:t>
      </w:r>
      <w:r w:rsidRPr="008478FE">
        <w:rPr>
          <w:i/>
          <w:noProof/>
          <w:lang w:eastAsia="en-AU"/>
        </w:rPr>
        <w:t>2023-24</w:t>
      </w:r>
      <w:r w:rsidRPr="008478FE">
        <w:rPr>
          <w:noProof/>
          <w:lang w:eastAsia="en-AU"/>
        </w:rPr>
        <w:t>, the Victorian Government announced a range of strategies to improve the State’s financial position and manage debt. These included the introduction of a temporary COVID-19 Debt Levy to offset the cost of measures introduced by the Victorian Government in response to the COVID</w:t>
      </w:r>
      <w:r w:rsidRPr="008478FE">
        <w:rPr>
          <w:noProof/>
          <w:lang w:eastAsia="en-AU"/>
        </w:rPr>
        <w:noBreakHyphen/>
        <w:t>19 pandemic.</w:t>
      </w:r>
      <w:r w:rsidRPr="008478FE">
        <w:rPr>
          <w:noProof/>
          <w:vertAlign w:val="superscript"/>
          <w:lang w:eastAsia="en-AU"/>
        </w:rPr>
        <w:footnoteReference w:id="249"/>
      </w:r>
      <w:r w:rsidRPr="008478FE">
        <w:rPr>
          <w:noProof/>
          <w:lang w:eastAsia="en-AU"/>
        </w:rPr>
        <w:t xml:space="preserve"> The </w:t>
      </w:r>
      <w:r w:rsidR="00FE448D">
        <w:rPr>
          <w:i/>
          <w:noProof/>
          <w:lang w:eastAsia="en-AU"/>
        </w:rPr>
        <w:t xml:space="preserve">Victorian </w:t>
      </w:r>
      <w:r w:rsidR="00FE448D" w:rsidRPr="008478FE">
        <w:rPr>
          <w:i/>
          <w:noProof/>
          <w:lang w:eastAsia="en-AU"/>
        </w:rPr>
        <w:t>Budget</w:t>
      </w:r>
      <w:r w:rsidR="00FE448D">
        <w:rPr>
          <w:i/>
          <w:noProof/>
          <w:lang w:eastAsia="en-AU"/>
        </w:rPr>
        <w:t xml:space="preserve"> </w:t>
      </w:r>
      <w:r w:rsidRPr="008478FE">
        <w:rPr>
          <w:i/>
          <w:noProof/>
          <w:lang w:eastAsia="en-AU"/>
        </w:rPr>
        <w:t>2023-24</w:t>
      </w:r>
      <w:r>
        <w:rPr>
          <w:i/>
          <w:lang w:eastAsia="en-AU"/>
        </w:rPr>
        <w:t xml:space="preserve"> </w:t>
      </w:r>
      <w:r w:rsidRPr="008478FE">
        <w:rPr>
          <w:noProof/>
          <w:lang w:eastAsia="en-AU"/>
        </w:rPr>
        <w:t>also included a range of savings and efficiency measures to be implemented across the public sector, including targeted reductions in the number of VPS staff.</w:t>
      </w:r>
      <w:r w:rsidRPr="008478FE">
        <w:rPr>
          <w:noProof/>
          <w:vertAlign w:val="superscript"/>
          <w:lang w:eastAsia="en-AU"/>
        </w:rPr>
        <w:footnoteReference w:id="250"/>
      </w:r>
    </w:p>
    <w:p w14:paraId="2AA7EE82" w14:textId="28520EC1" w:rsidR="008478FE" w:rsidRPr="008478FE" w:rsidRDefault="008478FE" w:rsidP="00246C68">
      <w:pPr>
        <w:pStyle w:val="05Paragraph"/>
        <w:rPr>
          <w:noProof/>
          <w:lang w:eastAsia="en-AU"/>
        </w:rPr>
      </w:pPr>
      <w:r w:rsidRPr="008478FE">
        <w:rPr>
          <w:noProof/>
          <w:lang w:eastAsia="en-AU"/>
        </w:rPr>
        <w:t xml:space="preserve">According to the Victorian Government, the </w:t>
      </w:r>
      <w:r w:rsidRPr="00FE448D">
        <w:rPr>
          <w:lang w:eastAsia="en-AU"/>
        </w:rPr>
        <w:t>2024-25 Budget</w:t>
      </w:r>
      <w:r w:rsidRPr="008478FE">
        <w:rPr>
          <w:noProof/>
          <w:lang w:eastAsia="en-AU"/>
        </w:rPr>
        <w:t xml:space="preserve"> builds on this strategy by:</w:t>
      </w:r>
      <w:r w:rsidR="006C227A" w:rsidRPr="008478FE">
        <w:rPr>
          <w:rFonts w:cs="Times New Roman (Body CS)"/>
          <w:iCs/>
          <w:spacing w:val="-6"/>
          <w:vertAlign w:val="superscript"/>
        </w:rPr>
        <w:footnoteReference w:id="251"/>
      </w:r>
    </w:p>
    <w:p w14:paraId="0775C7FF" w14:textId="7ACB87AB" w:rsidR="008478FE" w:rsidRPr="008478FE" w:rsidRDefault="008478FE" w:rsidP="00C164B8">
      <w:pPr>
        <w:pStyle w:val="07VIRTBreakouttext"/>
      </w:pPr>
      <w:r w:rsidRPr="008478FE">
        <w:t xml:space="preserve">… recalibrating the Government’s service delivery, departmental expenditure and capital </w:t>
      </w:r>
      <w:r w:rsidRPr="00C164B8">
        <w:t>program</w:t>
      </w:r>
      <w:r w:rsidRPr="008478FE">
        <w:t xml:space="preserve"> to take account of the increasing cost of labour and materials as well as supply constraints in the economy, including workforce availability and capacity.</w:t>
      </w:r>
    </w:p>
    <w:p w14:paraId="4C864226" w14:textId="5D2307E0" w:rsidR="008478FE" w:rsidRPr="008478FE" w:rsidRDefault="008478FE" w:rsidP="00246C68">
      <w:pPr>
        <w:pStyle w:val="05Paragraph"/>
        <w:rPr>
          <w:noProof/>
          <w:lang w:eastAsia="en-AU"/>
        </w:rPr>
      </w:pPr>
      <w:r w:rsidRPr="008478FE">
        <w:rPr>
          <w:noProof/>
          <w:lang w:eastAsia="en-AU"/>
        </w:rPr>
        <w:t xml:space="preserve">In particular, the Victorian Government has announced that it will </w:t>
      </w:r>
      <w:r w:rsidR="003E03A4">
        <w:rPr>
          <w:noProof/>
          <w:lang w:eastAsia="en-AU"/>
        </w:rPr>
        <w:t>‘</w:t>
      </w:r>
      <w:r w:rsidRPr="008478FE">
        <w:rPr>
          <w:noProof/>
          <w:lang w:eastAsia="en-AU"/>
        </w:rPr>
        <w:t>progressively return its capital program towards pre-pandemic levels</w:t>
      </w:r>
      <w:r w:rsidR="003E03A4">
        <w:rPr>
          <w:noProof/>
          <w:lang w:eastAsia="en-AU"/>
        </w:rPr>
        <w:t>’</w:t>
      </w:r>
      <w:r w:rsidRPr="008478FE">
        <w:rPr>
          <w:noProof/>
          <w:lang w:eastAsia="en-AU"/>
        </w:rPr>
        <w:t xml:space="preserve"> by the end of 2027-28.</w:t>
      </w:r>
      <w:r w:rsidR="0039789F">
        <w:rPr>
          <w:rStyle w:val="FootnoteReference"/>
          <w:rFonts w:eastAsia="Rockwell" w:cs="Calibri Light"/>
          <w:noProof/>
          <w:color w:val="000000"/>
          <w:lang w:eastAsia="en-AU"/>
        </w:rPr>
        <w:footnoteReference w:id="252"/>
      </w:r>
      <w:r w:rsidRPr="008478FE">
        <w:rPr>
          <w:noProof/>
          <w:lang w:eastAsia="en-AU"/>
        </w:rPr>
        <w:t xml:space="preserve"> Government infrastructure investment is forecast to peak at $24 billion in 2023</w:t>
      </w:r>
      <w:r w:rsidR="00D43C7F">
        <w:rPr>
          <w:noProof/>
          <w:lang w:eastAsia="en-AU"/>
        </w:rPr>
        <w:noBreakHyphen/>
      </w:r>
      <w:r w:rsidRPr="008478FE">
        <w:rPr>
          <w:noProof/>
          <w:lang w:eastAsia="en-AU"/>
        </w:rPr>
        <w:t xml:space="preserve">24, before declining to around $16 billion in 2027-28. Overall, government infrastructure </w:t>
      </w:r>
      <w:r w:rsidRPr="00246C68">
        <w:t>investment</w:t>
      </w:r>
      <w:r w:rsidRPr="008478FE">
        <w:rPr>
          <w:noProof/>
          <w:lang w:eastAsia="en-AU"/>
        </w:rPr>
        <w:t xml:space="preserve"> is forecast to average $19.3 billion per annum over the forward estimates, compared to the average of $21.3 billion per annum reported in the </w:t>
      </w:r>
      <w:r w:rsidRPr="008478FE">
        <w:rPr>
          <w:i/>
          <w:noProof/>
          <w:lang w:eastAsia="en-AU"/>
        </w:rPr>
        <w:t>2023-24 Budget Update</w:t>
      </w:r>
      <w:r w:rsidRPr="008478FE">
        <w:rPr>
          <w:noProof/>
          <w:lang w:eastAsia="en-AU"/>
        </w:rPr>
        <w:t xml:space="preserve"> (Figure 6.7).</w:t>
      </w:r>
      <w:r w:rsidR="003B05AA">
        <w:rPr>
          <w:rStyle w:val="FootnoteReference"/>
          <w:rFonts w:eastAsia="Rockwell" w:cs="Calibri Light"/>
          <w:noProof/>
          <w:color w:val="000000"/>
          <w:lang w:eastAsia="en-AU"/>
        </w:rPr>
        <w:footnoteReference w:id="253"/>
      </w:r>
    </w:p>
    <w:p w14:paraId="55A494B4" w14:textId="582E5520" w:rsidR="008478FE" w:rsidRPr="008478FE" w:rsidRDefault="008478FE" w:rsidP="00144BE8">
      <w:pPr>
        <w:pStyle w:val="08Figuretableboxheading"/>
      </w:pPr>
      <w:bookmarkStart w:id="153" w:name="_Toc170393573"/>
      <w:r w:rsidRPr="008478FE">
        <w:lastRenderedPageBreak/>
        <w:t xml:space="preserve">Figure 6.7: </w:t>
      </w:r>
      <w:r w:rsidR="00A704E6" w:rsidRPr="009202A1">
        <w:t>2024-25</w:t>
      </w:r>
      <w:r w:rsidRPr="008478FE">
        <w:t xml:space="preserve"> </w:t>
      </w:r>
      <w:r w:rsidR="00F5062B" w:rsidRPr="00F5062B">
        <w:rPr>
          <w:iCs/>
        </w:rPr>
        <w:t xml:space="preserve">Budget </w:t>
      </w:r>
      <w:r w:rsidRPr="008478FE">
        <w:t>forecasts</w:t>
      </w:r>
      <w:r w:rsidR="0050116E" w:rsidRPr="00D1703E">
        <w:rPr>
          <w:vertAlign w:val="superscript"/>
        </w:rPr>
        <w:t>(a)</w:t>
      </w:r>
      <w:r w:rsidRPr="008478FE">
        <w:t xml:space="preserve"> for </w:t>
      </w:r>
      <w:r w:rsidR="00496268">
        <w:t>government infrastructure investment</w:t>
      </w:r>
      <w:bookmarkEnd w:id="153"/>
    </w:p>
    <w:p w14:paraId="25E9A29F" w14:textId="62C5FF84" w:rsidR="008478FE" w:rsidRPr="008478FE" w:rsidRDefault="009363ED" w:rsidP="008478FE">
      <w:pPr>
        <w:spacing w:after="0"/>
        <w:rPr>
          <w:rFonts w:ascii="Calibri" w:eastAsia="Rockwell" w:hAnsi="Calibri" w:cs="Calibri"/>
          <w:noProof/>
          <w:color w:val="000000"/>
          <w:szCs w:val="20"/>
          <w:lang w:eastAsia="en-AU"/>
        </w:rPr>
      </w:pPr>
      <w:r>
        <w:rPr>
          <w:rFonts w:ascii="Calibri" w:eastAsia="Rockwell" w:hAnsi="Calibri" w:cs="Calibri"/>
          <w:noProof/>
          <w:color w:val="000000"/>
          <w:szCs w:val="20"/>
          <w:lang w:eastAsia="en-AU"/>
        </w:rPr>
        <w:drawing>
          <wp:inline distT="0" distB="0" distL="0" distR="0" wp14:anchorId="5A5B1CBC" wp14:editId="5E682819">
            <wp:extent cx="5401310" cy="2280285"/>
            <wp:effectExtent l="19050" t="19050" r="27940" b="24765"/>
            <wp:docPr id="4642232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1310" cy="2280285"/>
                    </a:xfrm>
                    <a:prstGeom prst="rect">
                      <a:avLst/>
                    </a:prstGeom>
                    <a:noFill/>
                    <a:ln>
                      <a:solidFill>
                        <a:schemeClr val="accent2"/>
                      </a:solidFill>
                    </a:ln>
                  </pic:spPr>
                </pic:pic>
              </a:graphicData>
            </a:graphic>
          </wp:inline>
        </w:drawing>
      </w:r>
    </w:p>
    <w:p w14:paraId="0F107074" w14:textId="1452B7CF" w:rsidR="008478FE" w:rsidRPr="00F01616" w:rsidRDefault="008478FE" w:rsidP="00F01616">
      <w:pPr>
        <w:pStyle w:val="09Sourcesandnotesfortablesfiguresboxes"/>
      </w:pPr>
      <w:r w:rsidRPr="008478FE">
        <w:t xml:space="preserve">Note: </w:t>
      </w:r>
      <w:r w:rsidR="0050116E">
        <w:t xml:space="preserve">(a) </w:t>
      </w:r>
      <w:r w:rsidRPr="008478FE">
        <w:t xml:space="preserve">Actual values are </w:t>
      </w:r>
      <w:r w:rsidRPr="00F01616">
        <w:t>shown for 2018-19 to 2022-23 (inclusive).</w:t>
      </w:r>
    </w:p>
    <w:p w14:paraId="04B6B895" w14:textId="3370B044" w:rsidR="008478FE" w:rsidRPr="008478FE" w:rsidRDefault="008478FE" w:rsidP="00F01616">
      <w:pPr>
        <w:pStyle w:val="09Sourcesandnotesfortablesfiguresboxes"/>
      </w:pPr>
      <w:r w:rsidRPr="00C83E81">
        <w:t>Source</w:t>
      </w:r>
      <w:r w:rsidR="008924E5">
        <w:t>s</w:t>
      </w:r>
      <w:r w:rsidRPr="00C83E81">
        <w:t xml:space="preserve">: </w:t>
      </w:r>
      <w:r w:rsidR="00F87B75" w:rsidRPr="00C83E81">
        <w:t xml:space="preserve">DTF (2023b), p. 17; </w:t>
      </w:r>
      <w:r w:rsidR="0092526E" w:rsidRPr="00C83E81">
        <w:t>DTF (2024</w:t>
      </w:r>
      <w:r w:rsidR="008A764C" w:rsidRPr="00C83E81">
        <w:t>d</w:t>
      </w:r>
      <w:r w:rsidR="0092526E" w:rsidRPr="00C83E81">
        <w:t>),</w:t>
      </w:r>
      <w:r w:rsidR="00895FB7" w:rsidRPr="00F83FD0">
        <w:t xml:space="preserve"> p. 53.</w:t>
      </w:r>
    </w:p>
    <w:p w14:paraId="70D3E692" w14:textId="5249FFCC" w:rsidR="008478FE" w:rsidRPr="008478FE" w:rsidRDefault="008478FE" w:rsidP="00246C68">
      <w:pPr>
        <w:pStyle w:val="05Paragraph"/>
        <w:rPr>
          <w:noProof/>
          <w:lang w:eastAsia="en-AU"/>
        </w:rPr>
      </w:pPr>
      <w:r w:rsidRPr="008478FE">
        <w:rPr>
          <w:noProof/>
          <w:lang w:eastAsia="en-AU"/>
        </w:rPr>
        <w:t xml:space="preserve">The </w:t>
      </w:r>
      <w:r w:rsidRPr="00A704E6">
        <w:rPr>
          <w:lang w:eastAsia="en-AU"/>
        </w:rPr>
        <w:t>2024-25 Budget</w:t>
      </w:r>
      <w:r w:rsidRPr="008478FE">
        <w:rPr>
          <w:noProof/>
          <w:lang w:eastAsia="en-AU"/>
        </w:rPr>
        <w:t xml:space="preserve"> also added a new step to the Victorian Government’s fiscal strategy, which was first outlined in the </w:t>
      </w:r>
      <w:r w:rsidR="00A704E6">
        <w:rPr>
          <w:i/>
          <w:noProof/>
          <w:lang w:eastAsia="en-AU"/>
        </w:rPr>
        <w:t xml:space="preserve">Victorian </w:t>
      </w:r>
      <w:r w:rsidRPr="008478FE">
        <w:rPr>
          <w:i/>
          <w:noProof/>
          <w:lang w:eastAsia="en-AU"/>
        </w:rPr>
        <w:t>Budget</w:t>
      </w:r>
      <w:r w:rsidR="00A704E6">
        <w:rPr>
          <w:i/>
          <w:noProof/>
          <w:lang w:eastAsia="en-AU"/>
        </w:rPr>
        <w:t xml:space="preserve"> </w:t>
      </w:r>
      <w:r w:rsidRPr="008478FE">
        <w:rPr>
          <w:i/>
          <w:noProof/>
          <w:lang w:eastAsia="en-AU"/>
        </w:rPr>
        <w:t xml:space="preserve">2020-21 </w:t>
      </w:r>
      <w:r w:rsidRPr="008478FE">
        <w:rPr>
          <w:noProof/>
          <w:lang w:eastAsia="en-AU"/>
        </w:rPr>
        <w:t>in response to the COVID-19 pandemic:</w:t>
      </w:r>
      <w:r w:rsidR="00A4262D">
        <w:rPr>
          <w:rStyle w:val="FootnoteReference"/>
          <w:rFonts w:eastAsia="Rockwell" w:cs="Calibri Light"/>
          <w:noProof/>
          <w:color w:val="000000"/>
          <w:lang w:eastAsia="en-AU"/>
        </w:rPr>
        <w:footnoteReference w:id="254"/>
      </w:r>
    </w:p>
    <w:p w14:paraId="0C4162F5" w14:textId="77777777" w:rsidR="008478FE" w:rsidRPr="009202A1" w:rsidRDefault="008478FE" w:rsidP="000F154F">
      <w:pPr>
        <w:pStyle w:val="06VIRTBulletpoints"/>
        <w:rPr>
          <w:spacing w:val="-2"/>
        </w:rPr>
      </w:pPr>
      <w:r w:rsidRPr="009202A1">
        <w:rPr>
          <w:spacing w:val="-2"/>
          <w:lang w:eastAsia="en-AU"/>
        </w:rPr>
        <w:t xml:space="preserve">Step 1 – Creating jobs, </w:t>
      </w:r>
      <w:r w:rsidRPr="009202A1">
        <w:rPr>
          <w:spacing w:val="-2"/>
        </w:rPr>
        <w:t>reducing unemployment and restoring economic growth</w:t>
      </w:r>
    </w:p>
    <w:p w14:paraId="437E047B" w14:textId="77777777" w:rsidR="008478FE" w:rsidRPr="00246C68" w:rsidRDefault="008478FE" w:rsidP="000F154F">
      <w:pPr>
        <w:pStyle w:val="06VIRTBulletpoints"/>
      </w:pPr>
      <w:r w:rsidRPr="00246C68">
        <w:t>Step 2 – Returning to an operating cash surplus</w:t>
      </w:r>
    </w:p>
    <w:p w14:paraId="547EB45B" w14:textId="77777777" w:rsidR="008478FE" w:rsidRPr="00246C68" w:rsidRDefault="008478FE" w:rsidP="000F154F">
      <w:pPr>
        <w:pStyle w:val="06VIRTBulletpoints"/>
      </w:pPr>
      <w:r w:rsidRPr="00246C68">
        <w:t>Step 3 – Returning to operating surpluses</w:t>
      </w:r>
    </w:p>
    <w:p w14:paraId="1BD9E073" w14:textId="77777777" w:rsidR="008478FE" w:rsidRPr="0050116E" w:rsidRDefault="008478FE" w:rsidP="000F154F">
      <w:pPr>
        <w:pStyle w:val="06VIRTBulletpoints"/>
      </w:pPr>
      <w:r w:rsidRPr="0050116E">
        <w:t>Step 4 – Stabilising debt levels</w:t>
      </w:r>
    </w:p>
    <w:p w14:paraId="10846A01" w14:textId="056CC44C" w:rsidR="008478FE" w:rsidRPr="008478FE" w:rsidRDefault="008478FE" w:rsidP="000F154F">
      <w:pPr>
        <w:pStyle w:val="06VIRTBulletpoints"/>
        <w:rPr>
          <w:lang w:eastAsia="en-AU"/>
        </w:rPr>
      </w:pPr>
      <w:r w:rsidRPr="004E6B57">
        <w:t>Step 5 – Reducing net</w:t>
      </w:r>
      <w:r w:rsidRPr="004E6B57">
        <w:rPr>
          <w:lang w:eastAsia="en-AU"/>
        </w:rPr>
        <w:t xml:space="preserve"> debt as a proportion of GSP</w:t>
      </w:r>
      <w:r w:rsidR="001A3B01">
        <w:rPr>
          <w:lang w:eastAsia="en-AU"/>
        </w:rPr>
        <w:t xml:space="preserve"> </w:t>
      </w:r>
      <w:r w:rsidR="001A3B01" w:rsidRPr="004E6B57">
        <w:t>(new)</w:t>
      </w:r>
      <w:r w:rsidRPr="0050116E">
        <w:rPr>
          <w:lang w:eastAsia="en-AU"/>
        </w:rPr>
        <w:t>.</w:t>
      </w:r>
    </w:p>
    <w:p w14:paraId="42E3741E" w14:textId="77777777" w:rsidR="008478FE" w:rsidRPr="008478FE" w:rsidRDefault="008478FE" w:rsidP="00246C68">
      <w:pPr>
        <w:pStyle w:val="03VIRTHeading3"/>
      </w:pPr>
      <w:r w:rsidRPr="008478FE">
        <w:t>A return to an operating surplus is expected in 2025-26, but net debt is forecast to continue rising</w:t>
      </w:r>
    </w:p>
    <w:p w14:paraId="2AEA6EE1" w14:textId="64DFDDF9" w:rsidR="008478FE" w:rsidRPr="008478FE" w:rsidRDefault="008478FE" w:rsidP="00246C68">
      <w:pPr>
        <w:pStyle w:val="05Paragraph"/>
        <w:rPr>
          <w:noProof/>
          <w:lang w:eastAsia="en-AU"/>
        </w:rPr>
      </w:pPr>
      <w:r w:rsidRPr="008478FE">
        <w:rPr>
          <w:noProof/>
          <w:lang w:eastAsia="en-AU"/>
        </w:rPr>
        <w:t>The Victorian Government achieved step 2 of its fiscal strategy in 2022-23, with the general government sector (GGS) recording an operating cash surplus of $4.2 billion. A smaller cash surplus of $0.4 billion is forecast for 2023-24, followed by larger surpluses in future years (Figure 6.8).</w:t>
      </w:r>
      <w:r w:rsidR="0050156B">
        <w:rPr>
          <w:rStyle w:val="FootnoteReference"/>
          <w:rFonts w:eastAsia="Rockwell" w:cs="Calibri Light"/>
          <w:noProof/>
          <w:color w:val="000000"/>
          <w:lang w:eastAsia="en-AU"/>
        </w:rPr>
        <w:footnoteReference w:id="255"/>
      </w:r>
    </w:p>
    <w:p w14:paraId="27D65DC8" w14:textId="3095EA2D" w:rsidR="008478FE" w:rsidRPr="008478FE" w:rsidRDefault="008478FE" w:rsidP="00144BE8">
      <w:pPr>
        <w:pStyle w:val="08Figuretableboxheading"/>
      </w:pPr>
      <w:bookmarkStart w:id="154" w:name="_Toc170393574"/>
      <w:r w:rsidRPr="008478FE">
        <w:lastRenderedPageBreak/>
        <w:t xml:space="preserve">Figure 6.8: </w:t>
      </w:r>
      <w:r w:rsidR="00A704E6" w:rsidRPr="009202A1">
        <w:rPr>
          <w:iCs/>
        </w:rPr>
        <w:t>2024-25</w:t>
      </w:r>
      <w:r w:rsidR="00A704E6" w:rsidRPr="00807154">
        <w:rPr>
          <w:iCs/>
        </w:rPr>
        <w:t xml:space="preserve"> </w:t>
      </w:r>
      <w:r w:rsidR="00807154" w:rsidRPr="00807154">
        <w:rPr>
          <w:iCs/>
        </w:rPr>
        <w:t xml:space="preserve">Budget </w:t>
      </w:r>
      <w:r w:rsidRPr="008478FE">
        <w:t>forecasts</w:t>
      </w:r>
      <w:r w:rsidR="0050116E" w:rsidRPr="004E6B57">
        <w:rPr>
          <w:vertAlign w:val="superscript"/>
        </w:rPr>
        <w:t>(a)</w:t>
      </w:r>
      <w:r w:rsidRPr="008478FE">
        <w:t xml:space="preserve"> for operating result and operating cash result</w:t>
      </w:r>
      <w:bookmarkEnd w:id="154"/>
    </w:p>
    <w:p w14:paraId="65D88CBB" w14:textId="4D7B0530" w:rsidR="008478FE" w:rsidRPr="008478FE" w:rsidRDefault="00876BE7" w:rsidP="008478FE">
      <w:pPr>
        <w:spacing w:after="0"/>
        <w:rPr>
          <w:rFonts w:ascii="Calibri" w:eastAsia="Rockwell" w:hAnsi="Calibri" w:cs="Calibri"/>
          <w:noProof/>
          <w:color w:val="000000"/>
          <w:szCs w:val="20"/>
          <w:lang w:eastAsia="en-AU"/>
        </w:rPr>
      </w:pPr>
      <w:r>
        <w:rPr>
          <w:rFonts w:ascii="Calibri" w:eastAsia="Rockwell" w:hAnsi="Calibri" w:cs="Calibri"/>
          <w:noProof/>
          <w:color w:val="000000"/>
          <w:szCs w:val="20"/>
          <w:lang w:eastAsia="en-AU"/>
        </w:rPr>
        <w:drawing>
          <wp:inline distT="0" distB="0" distL="0" distR="0" wp14:anchorId="50A6006C" wp14:editId="3D6AC8AA">
            <wp:extent cx="5377180" cy="2426335"/>
            <wp:effectExtent l="19050" t="19050" r="13970" b="12065"/>
            <wp:docPr id="823555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77180" cy="2426335"/>
                    </a:xfrm>
                    <a:prstGeom prst="rect">
                      <a:avLst/>
                    </a:prstGeom>
                    <a:noFill/>
                    <a:ln>
                      <a:solidFill>
                        <a:schemeClr val="accent2"/>
                      </a:solidFill>
                    </a:ln>
                  </pic:spPr>
                </pic:pic>
              </a:graphicData>
            </a:graphic>
          </wp:inline>
        </w:drawing>
      </w:r>
    </w:p>
    <w:p w14:paraId="5C77D79C" w14:textId="1D17EB1C" w:rsidR="00C91927" w:rsidRPr="000F154F" w:rsidRDefault="00C91927" w:rsidP="00C91927">
      <w:pPr>
        <w:pStyle w:val="09Sourcesandnotesfortablesfiguresboxes"/>
      </w:pPr>
      <w:r w:rsidRPr="000F154F">
        <w:t xml:space="preserve">Note: </w:t>
      </w:r>
      <w:r w:rsidR="0050116E">
        <w:t xml:space="preserve">(a) </w:t>
      </w:r>
      <w:r w:rsidRPr="000F154F">
        <w:t>Actual values are shown for 2018-19 to 2022-23 (inclusive).</w:t>
      </w:r>
    </w:p>
    <w:p w14:paraId="0D36DCC6" w14:textId="65C4F398" w:rsidR="00D35F28" w:rsidRPr="000F154F" w:rsidRDefault="008478FE" w:rsidP="000F154F">
      <w:pPr>
        <w:pStyle w:val="09Sourcesandnotesfortablesfiguresboxes"/>
      </w:pPr>
      <w:r w:rsidRPr="002C3B54">
        <w:t>Source</w:t>
      </w:r>
      <w:r w:rsidR="00F83FD0">
        <w:t>s</w:t>
      </w:r>
      <w:r w:rsidRPr="002C3B54">
        <w:t xml:space="preserve">: </w:t>
      </w:r>
      <w:r w:rsidR="00915047" w:rsidRPr="00B4098D">
        <w:t>DTF (2024c)</w:t>
      </w:r>
      <w:r w:rsidR="00915047">
        <w:t xml:space="preserve">; </w:t>
      </w:r>
      <w:r w:rsidR="00D35F28" w:rsidRPr="002C3B54">
        <w:t>DTF (2024</w:t>
      </w:r>
      <w:r w:rsidR="009D3D55" w:rsidRPr="00776255">
        <w:t>d</w:t>
      </w:r>
      <w:r w:rsidR="00D35F28" w:rsidRPr="002C3B54">
        <w:t>), p. 53</w:t>
      </w:r>
      <w:r w:rsidR="00D35F28" w:rsidRPr="00F83FD0">
        <w:t>.</w:t>
      </w:r>
    </w:p>
    <w:p w14:paraId="60C9B5D3" w14:textId="77777777" w:rsidR="0097020F" w:rsidRPr="008478FE" w:rsidRDefault="0097020F" w:rsidP="0097020F">
      <w:pPr>
        <w:pStyle w:val="05Paragraph"/>
        <w:rPr>
          <w:noProof/>
          <w:lang w:eastAsia="en-AU"/>
        </w:rPr>
      </w:pPr>
      <w:r w:rsidRPr="008478FE">
        <w:rPr>
          <w:noProof/>
          <w:lang w:eastAsia="en-AU"/>
        </w:rPr>
        <w:t>Operating deficits of $4.6 billion and $2.2 billion are forecast for the GGS in 2023</w:t>
      </w:r>
      <w:r w:rsidRPr="008478FE">
        <w:rPr>
          <w:noProof/>
          <w:lang w:eastAsia="en-AU"/>
        </w:rPr>
        <w:noBreakHyphen/>
        <w:t>24 and 2024-25, respectively, before an expected return to surplus in 2025</w:t>
      </w:r>
      <w:r w:rsidRPr="008478FE">
        <w:rPr>
          <w:noProof/>
          <w:lang w:eastAsia="en-AU"/>
        </w:rPr>
        <w:noBreakHyphen/>
        <w:t>26. This would be the first surplus since 2018-19, with larger surpluses forecast for 2026-27 and 2027-28.</w:t>
      </w:r>
      <w:r>
        <w:rPr>
          <w:rStyle w:val="FootnoteReference"/>
          <w:rFonts w:eastAsia="Rockwell" w:cs="Calibri Light"/>
          <w:noProof/>
          <w:color w:val="000000"/>
          <w:lang w:eastAsia="en-AU"/>
        </w:rPr>
        <w:footnoteReference w:id="256"/>
      </w:r>
      <w:r w:rsidRPr="008478FE">
        <w:rPr>
          <w:noProof/>
          <w:lang w:eastAsia="en-AU"/>
        </w:rPr>
        <w:t xml:space="preserve"> The </w:t>
      </w:r>
      <w:r w:rsidRPr="00A704E6">
        <w:rPr>
          <w:lang w:eastAsia="en-AU"/>
        </w:rPr>
        <w:t>2024-25 Budget</w:t>
      </w:r>
      <w:r w:rsidRPr="008478FE">
        <w:rPr>
          <w:noProof/>
          <w:lang w:eastAsia="en-AU"/>
        </w:rPr>
        <w:t xml:space="preserve"> noted that these surpluses will fund an increasing share of the Victorian Government’s capital program, reducing the amount of new borrowing required and helping to stabilise and reduce net debt.</w:t>
      </w:r>
      <w:r>
        <w:rPr>
          <w:rStyle w:val="FootnoteReference"/>
          <w:rFonts w:eastAsia="Rockwell" w:cs="Calibri Light"/>
          <w:noProof/>
          <w:color w:val="000000"/>
          <w:lang w:eastAsia="en-AU"/>
        </w:rPr>
        <w:footnoteReference w:id="257"/>
      </w:r>
    </w:p>
    <w:p w14:paraId="35515238" w14:textId="77777777" w:rsidR="0097020F" w:rsidRPr="008478FE" w:rsidRDefault="0097020F" w:rsidP="0097020F">
      <w:pPr>
        <w:pStyle w:val="05Paragraph"/>
        <w:rPr>
          <w:noProof/>
          <w:lang w:eastAsia="en-AU"/>
        </w:rPr>
      </w:pPr>
      <w:r w:rsidRPr="008478FE">
        <w:rPr>
          <w:noProof/>
          <w:lang w:eastAsia="en-AU"/>
        </w:rPr>
        <w:t>Net debt for the GGS was $115 billion (20.2 per cent of GSP) at 30 June 2023, and is forecast to be around $136 billion (22.3 per cent of GSP) at 30 June 2024. Net debt as a proportion of GSP is expected to stabilise at around 25 per cent from June 2026, consistent with achieving steps 4 and 5 of the fiscal strategy. However, debt is forecast to continue rising in nominal terms, and is expected to be around $188 billion by 30 June 2027 (Figure 6.9).</w:t>
      </w:r>
      <w:r w:rsidRPr="008478FE">
        <w:rPr>
          <w:noProof/>
          <w:vertAlign w:val="superscript"/>
          <w:lang w:eastAsia="en-AU"/>
        </w:rPr>
        <w:footnoteReference w:id="258"/>
      </w:r>
    </w:p>
    <w:p w14:paraId="20D6C523" w14:textId="3ED5AE9D" w:rsidR="008478FE" w:rsidRPr="008478FE" w:rsidRDefault="008478FE" w:rsidP="00144BE8">
      <w:pPr>
        <w:pStyle w:val="08Figuretableboxheading"/>
      </w:pPr>
      <w:bookmarkStart w:id="155" w:name="_Toc170393575"/>
      <w:r w:rsidRPr="008478FE">
        <w:lastRenderedPageBreak/>
        <w:t xml:space="preserve">Figure 6.9: </w:t>
      </w:r>
      <w:r w:rsidRPr="009202A1">
        <w:rPr>
          <w:iCs/>
        </w:rPr>
        <w:t>2024-25</w:t>
      </w:r>
      <w:r w:rsidRPr="002362EE">
        <w:rPr>
          <w:iCs/>
        </w:rPr>
        <w:t xml:space="preserve"> </w:t>
      </w:r>
      <w:r w:rsidR="002362EE" w:rsidRPr="002362EE">
        <w:rPr>
          <w:iCs/>
        </w:rPr>
        <w:t xml:space="preserve">Budget </w:t>
      </w:r>
      <w:r w:rsidRPr="008478FE">
        <w:t>forecasts</w:t>
      </w:r>
      <w:r w:rsidR="0050116E" w:rsidRPr="004E6B57">
        <w:rPr>
          <w:vertAlign w:val="superscript"/>
        </w:rPr>
        <w:t>(a)</w:t>
      </w:r>
      <w:r w:rsidRPr="008478FE">
        <w:t xml:space="preserve"> for net debt and net debt to GSP</w:t>
      </w:r>
      <w:bookmarkEnd w:id="155"/>
    </w:p>
    <w:p w14:paraId="6A559EB0" w14:textId="0382E5DF" w:rsidR="008478FE" w:rsidRPr="008478FE" w:rsidRDefault="00683BC1" w:rsidP="008478FE">
      <w:pPr>
        <w:spacing w:after="0"/>
        <w:rPr>
          <w:rFonts w:ascii="Calibri" w:eastAsia="Rockwell" w:hAnsi="Calibri" w:cs="Calibri"/>
          <w:noProof/>
          <w:color w:val="000000"/>
          <w:szCs w:val="20"/>
          <w:lang w:eastAsia="en-AU"/>
        </w:rPr>
      </w:pPr>
      <w:r>
        <w:rPr>
          <w:rFonts w:ascii="Calibri" w:eastAsia="Rockwell" w:hAnsi="Calibri" w:cs="Calibri"/>
          <w:noProof/>
          <w:color w:val="000000"/>
          <w:szCs w:val="20"/>
          <w:lang w:eastAsia="en-AU"/>
        </w:rPr>
        <w:drawing>
          <wp:inline distT="0" distB="0" distL="0" distR="0" wp14:anchorId="68C8786D" wp14:editId="2E35EDEA">
            <wp:extent cx="5370830" cy="2499360"/>
            <wp:effectExtent l="19050" t="19050" r="20320" b="15240"/>
            <wp:docPr id="11241639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70830" cy="2499360"/>
                    </a:xfrm>
                    <a:prstGeom prst="rect">
                      <a:avLst/>
                    </a:prstGeom>
                    <a:noFill/>
                    <a:ln>
                      <a:solidFill>
                        <a:schemeClr val="accent2"/>
                      </a:solidFill>
                    </a:ln>
                  </pic:spPr>
                </pic:pic>
              </a:graphicData>
            </a:graphic>
          </wp:inline>
        </w:drawing>
      </w:r>
    </w:p>
    <w:p w14:paraId="2CEB6BF2" w14:textId="1061EFAA" w:rsidR="00906BB7" w:rsidRPr="008478FE" w:rsidRDefault="00906BB7" w:rsidP="00906BB7">
      <w:pPr>
        <w:pStyle w:val="09Sourcesandnotesfortablesfiguresboxes"/>
      </w:pPr>
      <w:r>
        <w:t xml:space="preserve">Note: </w:t>
      </w:r>
      <w:r w:rsidR="0050116E">
        <w:t xml:space="preserve">(a) </w:t>
      </w:r>
      <w:r w:rsidRPr="008478FE">
        <w:t>Actual values are shown for 2018-19 to 2022-23 (inclusive).</w:t>
      </w:r>
    </w:p>
    <w:p w14:paraId="71B5B102" w14:textId="54CC50E3" w:rsidR="008478FE" w:rsidRPr="008478FE" w:rsidRDefault="008478FE" w:rsidP="006C227A">
      <w:pPr>
        <w:pStyle w:val="09Sourcesandnotesfortablesfiguresboxes"/>
      </w:pPr>
      <w:r w:rsidRPr="008478FE">
        <w:t>Source</w:t>
      </w:r>
      <w:r w:rsidR="00F83FD0">
        <w:t>s</w:t>
      </w:r>
      <w:r w:rsidRPr="008478FE">
        <w:t xml:space="preserve">: </w:t>
      </w:r>
      <w:r w:rsidR="0006459C" w:rsidRPr="00275164">
        <w:rPr>
          <w:rFonts w:cs="Calibri Light"/>
        </w:rPr>
        <w:t>DTF (2024</w:t>
      </w:r>
      <w:r w:rsidR="0006459C">
        <w:rPr>
          <w:rFonts w:cs="Calibri Light"/>
        </w:rPr>
        <w:t>c</w:t>
      </w:r>
      <w:r w:rsidR="0006459C" w:rsidRPr="00275164">
        <w:rPr>
          <w:rFonts w:cs="Calibri Light"/>
        </w:rPr>
        <w:t>)</w:t>
      </w:r>
      <w:r w:rsidR="0006459C">
        <w:rPr>
          <w:rFonts w:cs="Calibri Light"/>
        </w:rPr>
        <w:t xml:space="preserve">; </w:t>
      </w:r>
      <w:r w:rsidR="00901775" w:rsidRPr="00EC2F07">
        <w:rPr>
          <w:rFonts w:cs="Calibri Light"/>
        </w:rPr>
        <w:t>DTF (2024</w:t>
      </w:r>
      <w:r w:rsidR="00E26B7C">
        <w:rPr>
          <w:rFonts w:cs="Calibri Light"/>
        </w:rPr>
        <w:t>d</w:t>
      </w:r>
      <w:r w:rsidR="00901775" w:rsidRPr="00EC2F07">
        <w:rPr>
          <w:rFonts w:cs="Calibri Light"/>
        </w:rPr>
        <w:t>),</w:t>
      </w:r>
      <w:r w:rsidR="00E26B7C" w:rsidRPr="00EC2F07" w:rsidDel="00E26B7C">
        <w:rPr>
          <w:rFonts w:cs="Calibri Light"/>
        </w:rPr>
        <w:t xml:space="preserve"> </w:t>
      </w:r>
      <w:r w:rsidR="00901775" w:rsidRPr="00EC2F07">
        <w:rPr>
          <w:rFonts w:cs="Calibri Light"/>
        </w:rPr>
        <w:t>p. 53.</w:t>
      </w:r>
      <w:r w:rsidR="00275164">
        <w:rPr>
          <w:rFonts w:cs="Calibri Light"/>
        </w:rPr>
        <w:t xml:space="preserve"> </w:t>
      </w:r>
    </w:p>
    <w:p w14:paraId="60210DF9" w14:textId="77777777" w:rsidR="008478FE" w:rsidRPr="008478FE" w:rsidRDefault="008478FE" w:rsidP="00906BB7">
      <w:pPr>
        <w:pStyle w:val="03VIRTHeading3"/>
      </w:pPr>
      <w:r w:rsidRPr="008478FE">
        <w:t>The Auditor-General has identified risks to Victoria’s fiscal outlook</w:t>
      </w:r>
    </w:p>
    <w:p w14:paraId="6F21E11F" w14:textId="2C8E5A71" w:rsidR="008478FE" w:rsidRPr="008478FE" w:rsidRDefault="008478FE" w:rsidP="00906BB7">
      <w:pPr>
        <w:pStyle w:val="05Paragraph"/>
        <w:rPr>
          <w:noProof/>
          <w:lang w:eastAsia="en-AU"/>
        </w:rPr>
      </w:pPr>
      <w:r w:rsidRPr="008478FE">
        <w:rPr>
          <w:noProof/>
          <w:lang w:eastAsia="en-AU"/>
        </w:rPr>
        <w:t>Each year, the Victorian Auditor-General’s Office (VAGO) issues a report on the Annual Financial Report of the State of Victoria. The November 2023</w:t>
      </w:r>
      <w:r w:rsidR="00644AEC">
        <w:rPr>
          <w:noProof/>
          <w:lang w:eastAsia="en-AU"/>
        </w:rPr>
        <w:t xml:space="preserve"> report</w:t>
      </w:r>
      <w:r w:rsidRPr="008478FE">
        <w:rPr>
          <w:noProof/>
          <w:lang w:eastAsia="en-AU"/>
        </w:rPr>
        <w:t xml:space="preserve"> examined Victoria’s </w:t>
      </w:r>
      <w:r w:rsidRPr="008478FE">
        <w:rPr>
          <w:i/>
          <w:noProof/>
          <w:lang w:eastAsia="en-AU"/>
        </w:rPr>
        <w:t>2022-23 Annual Financial Report</w:t>
      </w:r>
      <w:r w:rsidRPr="008478FE">
        <w:rPr>
          <w:noProof/>
          <w:lang w:eastAsia="en-AU"/>
        </w:rPr>
        <w:t>.</w:t>
      </w:r>
    </w:p>
    <w:p w14:paraId="01C65009" w14:textId="77777777" w:rsidR="008478FE" w:rsidRPr="008478FE" w:rsidRDefault="008478FE" w:rsidP="00906BB7">
      <w:pPr>
        <w:pStyle w:val="05Paragraph"/>
        <w:rPr>
          <w:noProof/>
          <w:lang w:eastAsia="en-AU"/>
        </w:rPr>
      </w:pPr>
      <w:r w:rsidRPr="008478FE">
        <w:rPr>
          <w:noProof/>
          <w:lang w:eastAsia="en-AU"/>
        </w:rPr>
        <w:t>The report identified several emerging risks to Victoria’s fiscal outlook. Three of these — employee expenses, interest expenses and infrastructure spending — are discussed in Box 6.1.</w:t>
      </w:r>
    </w:p>
    <w:p w14:paraId="2FF920CB" w14:textId="7F90469C" w:rsidR="008478FE" w:rsidRPr="008478FE" w:rsidRDefault="008478FE" w:rsidP="00144BE8">
      <w:pPr>
        <w:pStyle w:val="08Figuretableboxheading"/>
        <w:rPr>
          <w:rFonts w:eastAsia="Rockwell"/>
          <w:lang w:val="en-US"/>
        </w:rPr>
      </w:pPr>
      <w:bookmarkStart w:id="156" w:name="_Toc170393576"/>
      <w:r w:rsidRPr="008478FE">
        <w:rPr>
          <w:rFonts w:eastAsia="Rockwell"/>
          <w:lang w:val="en-US"/>
        </w:rPr>
        <w:lastRenderedPageBreak/>
        <w:t xml:space="preserve">Box 6.1: </w:t>
      </w:r>
      <w:r w:rsidR="00C57332" w:rsidRPr="00994AD9">
        <w:rPr>
          <w:lang w:val="en-US"/>
        </w:rPr>
        <w:t>Emerging risks to Victoria’s fiscal outlook identified by VAGO</w:t>
      </w:r>
      <w:bookmarkEnd w:id="156"/>
    </w:p>
    <w:p w14:paraId="5B008EF0" w14:textId="0D6171AA" w:rsidR="008478FE" w:rsidRPr="00FE565B" w:rsidRDefault="008478FE" w:rsidP="00FE565B">
      <w:pPr>
        <w:pStyle w:val="09Sourcesandnotesfortablesfiguresboxes"/>
      </w:pPr>
      <w:r w:rsidRPr="008478FE">
        <w:rPr>
          <w:rFonts w:eastAsia="Rockwell" w:cs="Times New Roman"/>
          <w:noProof/>
          <w:color w:val="000000"/>
        </w:rPr>
        <mc:AlternateContent>
          <mc:Choice Requires="wps">
            <w:drawing>
              <wp:inline distT="0" distB="0" distL="0" distR="0" wp14:anchorId="44AC6892" wp14:editId="09B842E9">
                <wp:extent cx="5429250" cy="5247861"/>
                <wp:effectExtent l="0" t="0" r="19050" b="10160"/>
                <wp:docPr id="5" name="Text Box 5"/>
                <wp:cNvGraphicFramePr/>
                <a:graphic xmlns:a="http://schemas.openxmlformats.org/drawingml/2006/main">
                  <a:graphicData uri="http://schemas.microsoft.com/office/word/2010/wordprocessingShape">
                    <wps:wsp>
                      <wps:cNvSpPr txBox="1"/>
                      <wps:spPr>
                        <a:xfrm>
                          <a:off x="0" y="0"/>
                          <a:ext cx="5429250" cy="5247861"/>
                        </a:xfrm>
                        <a:prstGeom prst="rect">
                          <a:avLst/>
                        </a:prstGeom>
                        <a:noFill/>
                        <a:ln w="19050">
                          <a:solidFill>
                            <a:srgbClr val="148A5D"/>
                          </a:solidFill>
                        </a:ln>
                      </wps:spPr>
                      <wps:txbx>
                        <w:txbxContent>
                          <w:p w14:paraId="2BF72F77" w14:textId="77777777" w:rsidR="008478FE" w:rsidRPr="00EF53BC" w:rsidRDefault="008478FE" w:rsidP="00F4639B">
                            <w:pPr>
                              <w:pStyle w:val="Bulletsinatable"/>
                              <w:numPr>
                                <w:ilvl w:val="0"/>
                                <w:numId w:val="0"/>
                              </w:numPr>
                              <w:spacing w:before="120" w:after="120"/>
                              <w:jc w:val="left"/>
                              <w:rPr>
                                <w:b/>
                                <w:bCs w:val="0"/>
                              </w:rPr>
                            </w:pPr>
                            <w:r>
                              <w:rPr>
                                <w:noProof/>
                              </w:rPr>
                              <w:drawing>
                                <wp:inline distT="0" distB="0" distL="0" distR="0" wp14:anchorId="28F90A46" wp14:editId="750BFA04">
                                  <wp:extent cx="323385" cy="323385"/>
                                  <wp:effectExtent l="0" t="0" r="635" b="0"/>
                                  <wp:docPr id="1830868941" name="Graphic 15" descr="Users with solid fill">
                                    <a:extLst xmlns:a="http://schemas.openxmlformats.org/drawingml/2006/main">
                                      <a:ext uri="{FF2B5EF4-FFF2-40B4-BE49-F238E27FC236}">
                                        <a16:creationId xmlns:a16="http://schemas.microsoft.com/office/drawing/2014/main" id="{486FBEAE-7D1F-DCBA-9B2A-C8525A8F02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5" descr="Users with solid fill">
                                            <a:extLst>
                                              <a:ext uri="{FF2B5EF4-FFF2-40B4-BE49-F238E27FC236}">
                                                <a16:creationId xmlns:a16="http://schemas.microsoft.com/office/drawing/2014/main" id="{486FBEAE-7D1F-DCBA-9B2A-C8525A8F028A}"/>
                                              </a:ext>
                                            </a:extLst>
                                          </pic:cNvPr>
                                          <pic:cNvPicPr>
                                            <a:picLocks noChangeAspect="1"/>
                                          </pic:cNvPicPr>
                                        </pic:nvPicPr>
                                        <pic:blipFill>
                                          <a:blip r:embed="rId63">
                                            <a:extLst>
                                              <a:ext uri="{96DAC541-7B7A-43D3-8B79-37D633B846F1}">
                                                <asvg:svgBlip xmlns:asvg="http://schemas.microsoft.com/office/drawing/2016/SVG/main" r:embed="rId64"/>
                                              </a:ext>
                                            </a:extLst>
                                          </a:blip>
                                          <a:stretch>
                                            <a:fillRect/>
                                          </a:stretch>
                                        </pic:blipFill>
                                        <pic:spPr>
                                          <a:xfrm>
                                            <a:off x="0" y="0"/>
                                            <a:ext cx="323385" cy="323385"/>
                                          </a:xfrm>
                                          <a:prstGeom prst="rect">
                                            <a:avLst/>
                                          </a:prstGeom>
                                        </pic:spPr>
                                      </pic:pic>
                                    </a:graphicData>
                                  </a:graphic>
                                </wp:inline>
                              </w:drawing>
                            </w:r>
                            <w:r>
                              <w:rPr>
                                <w:b/>
                                <w:bCs w:val="0"/>
                              </w:rPr>
                              <w:t xml:space="preserve">  </w:t>
                            </w:r>
                            <w:r w:rsidRPr="008478FE">
                              <w:rPr>
                                <w:b/>
                                <w:bCs w:val="0"/>
                                <w:color w:val="26664E"/>
                              </w:rPr>
                              <w:t>Employee expenses</w:t>
                            </w:r>
                          </w:p>
                          <w:p w14:paraId="44E4A8D2" w14:textId="7B22B22D" w:rsidR="008478FE" w:rsidRPr="00B00A8D" w:rsidRDefault="008478FE" w:rsidP="00674CB7">
                            <w:pPr>
                              <w:pStyle w:val="13Boxbullets"/>
                            </w:pPr>
                            <w:r w:rsidRPr="00B00A8D">
                              <w:t>Employee costs are the state’s single largest operating expense, accounting for around 36</w:t>
                            </w:r>
                            <w:r w:rsidR="002C0088">
                              <w:t xml:space="preserve"> per cent</w:t>
                            </w:r>
                            <w:r w:rsidRPr="00B00A8D">
                              <w:t xml:space="preserve"> of general government sector expenditure in 2022-23.</w:t>
                            </w:r>
                          </w:p>
                          <w:p w14:paraId="132D49CC" w14:textId="54045BCE" w:rsidR="008478FE" w:rsidRPr="00B00A8D" w:rsidRDefault="008478FE" w:rsidP="00674CB7">
                            <w:pPr>
                              <w:pStyle w:val="13Boxbullets"/>
                            </w:pPr>
                            <w:r w:rsidRPr="00B00A8D">
                              <w:t>Employee costs increased by 45</w:t>
                            </w:r>
                            <w:r w:rsidR="00C769C0">
                              <w:t xml:space="preserve"> per cent</w:t>
                            </w:r>
                            <w:r w:rsidRPr="00B00A8D">
                              <w:t xml:space="preserve"> between 2017–18 and 2022–23.</w:t>
                            </w:r>
                          </w:p>
                          <w:p w14:paraId="4B74D1DA" w14:textId="77777777" w:rsidR="008478FE" w:rsidRPr="00B00A8D" w:rsidRDefault="008478FE" w:rsidP="00674CB7">
                            <w:pPr>
                              <w:pStyle w:val="13Boxbullets"/>
                            </w:pPr>
                            <w:r w:rsidRPr="00B00A8D">
                              <w:t>The government determined that workforce transition, including staff reductions, is required to achieve its targeted cost reductions. If these initiatives are not implemented and realised as planned, future employee expenses may be greater than estimated.</w:t>
                            </w:r>
                          </w:p>
                          <w:p w14:paraId="5BA3819E" w14:textId="77777777" w:rsidR="008478FE" w:rsidRPr="00B00A8D" w:rsidRDefault="008478FE" w:rsidP="00674CB7">
                            <w:pPr>
                              <w:pStyle w:val="13Boxbullets"/>
                            </w:pPr>
                            <w:r w:rsidRPr="00B00A8D">
                              <w:t>The prevailing economic environment of high inflation, a tight labour market and high wages growth may compound the challenge.</w:t>
                            </w:r>
                          </w:p>
                          <w:p w14:paraId="2AB07A0B" w14:textId="77777777" w:rsidR="008478FE" w:rsidRPr="00EF53BC" w:rsidRDefault="008478FE" w:rsidP="00F4639B">
                            <w:pPr>
                              <w:pStyle w:val="Bulletsinatable"/>
                              <w:numPr>
                                <w:ilvl w:val="0"/>
                                <w:numId w:val="0"/>
                              </w:numPr>
                              <w:spacing w:before="120" w:after="120"/>
                              <w:ind w:left="357" w:hanging="357"/>
                              <w:jc w:val="left"/>
                              <w:rPr>
                                <w:b/>
                                <w:bCs w:val="0"/>
                              </w:rPr>
                            </w:pPr>
                            <w:r w:rsidRPr="00C96068">
                              <w:rPr>
                                <w:b/>
                                <w:bCs w:val="0"/>
                                <w:noProof/>
                              </w:rPr>
                              <w:drawing>
                                <wp:inline distT="0" distB="0" distL="0" distR="0" wp14:anchorId="67835C71" wp14:editId="357E57F5">
                                  <wp:extent cx="308517" cy="308517"/>
                                  <wp:effectExtent l="0" t="0" r="0" b="0"/>
                                  <wp:docPr id="1054826351" name="Graphic 20" descr="Loan with solid fill">
                                    <a:extLst xmlns:a="http://schemas.openxmlformats.org/drawingml/2006/main">
                                      <a:ext uri="{FF2B5EF4-FFF2-40B4-BE49-F238E27FC236}">
                                        <a16:creationId xmlns:a16="http://schemas.microsoft.com/office/drawing/2014/main" id="{22AF83E2-CCFE-C05B-5078-6BEF502E20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0" descr="Loan with solid fill">
                                            <a:extLst>
                                              <a:ext uri="{FF2B5EF4-FFF2-40B4-BE49-F238E27FC236}">
                                                <a16:creationId xmlns:a16="http://schemas.microsoft.com/office/drawing/2014/main" id="{22AF83E2-CCFE-C05B-5078-6BEF502E2015}"/>
                                              </a:ext>
                                            </a:extLst>
                                          </pic:cNvPr>
                                          <pic:cNvPicPr>
                                            <a:picLocks noChangeAspect="1"/>
                                          </pic:cNvPicPr>
                                        </pic:nvPicPr>
                                        <pic:blipFill>
                                          <a:blip r:embed="rId65">
                                            <a:extLst>
                                              <a:ext uri="{96DAC541-7B7A-43D3-8B79-37D633B846F1}">
                                                <asvg:svgBlip xmlns:asvg="http://schemas.microsoft.com/office/drawing/2016/SVG/main" r:embed="rId66"/>
                                              </a:ext>
                                            </a:extLst>
                                          </a:blip>
                                          <a:stretch>
                                            <a:fillRect/>
                                          </a:stretch>
                                        </pic:blipFill>
                                        <pic:spPr>
                                          <a:xfrm>
                                            <a:off x="0" y="0"/>
                                            <a:ext cx="308517" cy="308517"/>
                                          </a:xfrm>
                                          <a:prstGeom prst="rect">
                                            <a:avLst/>
                                          </a:prstGeom>
                                        </pic:spPr>
                                      </pic:pic>
                                    </a:graphicData>
                                  </a:graphic>
                                </wp:inline>
                              </w:drawing>
                            </w:r>
                            <w:r w:rsidRPr="008478FE">
                              <w:rPr>
                                <w:b/>
                                <w:bCs w:val="0"/>
                                <w:color w:val="26664E"/>
                              </w:rPr>
                              <w:t xml:space="preserve">  Interest expenses</w:t>
                            </w:r>
                          </w:p>
                          <w:p w14:paraId="4F46C433" w14:textId="77777777" w:rsidR="008478FE" w:rsidRPr="00B00A8D" w:rsidRDefault="008478FE" w:rsidP="00674CB7">
                            <w:pPr>
                              <w:pStyle w:val="13Boxbullets"/>
                            </w:pPr>
                            <w:r w:rsidRPr="00B00A8D">
                              <w:t>Most of Victoria’s debt is fixed-rate debt issued at a low interest rate.</w:t>
                            </w:r>
                          </w:p>
                          <w:p w14:paraId="68E1A7F3" w14:textId="77777777" w:rsidR="008478FE" w:rsidRPr="00B00A8D" w:rsidRDefault="008478FE" w:rsidP="00674CB7">
                            <w:pPr>
                              <w:pStyle w:val="13Boxbullets"/>
                            </w:pPr>
                            <w:r w:rsidRPr="00B00A8D">
                              <w:t>$39 billion of debt needs to be refinanced by June 2027, which will likely be at a significantly higher interest rate.</w:t>
                            </w:r>
                          </w:p>
                          <w:p w14:paraId="33F503CC" w14:textId="77777777" w:rsidR="008478FE" w:rsidRPr="00B00A8D" w:rsidRDefault="008478FE" w:rsidP="00674CB7">
                            <w:pPr>
                              <w:pStyle w:val="13Boxbullets"/>
                            </w:pPr>
                            <w:r w:rsidRPr="00B00A8D">
                              <w:t>Interest expenses on new and refinanced debt are expected to increase significantly over the coming years, from $1.6 billion in 2023-24 to $5.5 billion in 2026-27.</w:t>
                            </w:r>
                          </w:p>
                          <w:p w14:paraId="599F7FE0" w14:textId="77777777" w:rsidR="008478FE" w:rsidRDefault="008478FE" w:rsidP="00F4639B">
                            <w:pPr>
                              <w:pStyle w:val="Bulletsinatable"/>
                              <w:numPr>
                                <w:ilvl w:val="0"/>
                                <w:numId w:val="0"/>
                              </w:numPr>
                              <w:spacing w:before="120" w:after="120"/>
                              <w:ind w:left="357" w:hanging="357"/>
                              <w:jc w:val="left"/>
                              <w:rPr>
                                <w:b/>
                                <w:bCs w:val="0"/>
                              </w:rPr>
                            </w:pPr>
                            <w:r w:rsidRPr="00AD57C8">
                              <w:rPr>
                                <w:b/>
                                <w:bCs w:val="0"/>
                                <w:noProof/>
                              </w:rPr>
                              <w:drawing>
                                <wp:inline distT="0" distB="0" distL="0" distR="0" wp14:anchorId="4B0123FA" wp14:editId="05CDFCB9">
                                  <wp:extent cx="292380" cy="343413"/>
                                  <wp:effectExtent l="0" t="0" r="0" b="0"/>
                                  <wp:docPr id="1288162583" name="Graphic 29" descr="Cement truck with solid fill">
                                    <a:extLst xmlns:a="http://schemas.openxmlformats.org/drawingml/2006/main">
                                      <a:ext uri="{FF2B5EF4-FFF2-40B4-BE49-F238E27FC236}">
                                        <a16:creationId xmlns:a16="http://schemas.microsoft.com/office/drawing/2014/main" id="{AA3D20AD-35B3-A817-6690-E31415888F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29" descr="Cement truck with solid fill">
                                            <a:extLst>
                                              <a:ext uri="{FF2B5EF4-FFF2-40B4-BE49-F238E27FC236}">
                                                <a16:creationId xmlns:a16="http://schemas.microsoft.com/office/drawing/2014/main" id="{AA3D20AD-35B3-A817-6690-E31415888F9C}"/>
                                              </a:ext>
                                            </a:extLst>
                                          </pic:cNvPr>
                                          <pic:cNvPicPr>
                                            <a:picLocks noChangeAspect="1"/>
                                          </pic:cNvPicPr>
                                        </pic:nvPicPr>
                                        <pic:blipFill>
                                          <a:blip r:embed="rId67">
                                            <a:extLst>
                                              <a:ext uri="{96DAC541-7B7A-43D3-8B79-37D633B846F1}">
                                                <asvg:svgBlip xmlns:asvg="http://schemas.microsoft.com/office/drawing/2016/SVG/main" r:embed="rId68"/>
                                              </a:ext>
                                            </a:extLst>
                                          </a:blip>
                                          <a:stretch>
                                            <a:fillRect/>
                                          </a:stretch>
                                        </pic:blipFill>
                                        <pic:spPr>
                                          <a:xfrm>
                                            <a:off x="0" y="0"/>
                                            <a:ext cx="292380" cy="343413"/>
                                          </a:xfrm>
                                          <a:prstGeom prst="rect">
                                            <a:avLst/>
                                          </a:prstGeom>
                                        </pic:spPr>
                                      </pic:pic>
                                    </a:graphicData>
                                  </a:graphic>
                                </wp:inline>
                              </w:drawing>
                            </w:r>
                            <w:r w:rsidRPr="008478FE">
                              <w:rPr>
                                <w:b/>
                                <w:bCs w:val="0"/>
                                <w:color w:val="26664E"/>
                              </w:rPr>
                              <w:t xml:space="preserve">  Infrastructure spending</w:t>
                            </w:r>
                          </w:p>
                          <w:p w14:paraId="56F99B40" w14:textId="4E1F1338" w:rsidR="008478FE" w:rsidRPr="00B00A8D" w:rsidRDefault="008478FE" w:rsidP="00674CB7">
                            <w:pPr>
                              <w:pStyle w:val="13Boxbullets"/>
                            </w:pPr>
                            <w:r w:rsidRPr="00B00A8D">
                              <w:t>As at November 2023, the total estimated investment (TEI) of 89 existing and completed major capital projects had increased by $11 billion (11</w:t>
                            </w:r>
                            <w:r w:rsidR="002C0088">
                              <w:t xml:space="preserve"> per cent</w:t>
                            </w:r>
                            <w:r w:rsidRPr="00B00A8D">
                              <w:t>).</w:t>
                            </w:r>
                          </w:p>
                          <w:p w14:paraId="40C5CF26" w14:textId="77777777" w:rsidR="008478FE" w:rsidRPr="00B00A8D" w:rsidRDefault="008478FE" w:rsidP="00674CB7">
                            <w:pPr>
                              <w:pStyle w:val="13Boxbullets"/>
                            </w:pPr>
                            <w:r w:rsidRPr="00B00A8D">
                              <w:t>Of the 101 new, existing or completed projects analysed by VAGO:</w:t>
                            </w:r>
                          </w:p>
                          <w:p w14:paraId="7FA8CA07" w14:textId="67F4CF67" w:rsidR="008478FE" w:rsidRPr="00B00A8D" w:rsidRDefault="008478FE" w:rsidP="00674CB7">
                            <w:pPr>
                              <w:pStyle w:val="13Boxbullets"/>
                              <w:ind w:left="709"/>
                            </w:pPr>
                            <w:r w:rsidRPr="00B00A8D">
                              <w:t>28 projects had a TEI increase of more than 10</w:t>
                            </w:r>
                            <w:r w:rsidR="002C0088">
                              <w:t xml:space="preserve"> per cent</w:t>
                            </w:r>
                          </w:p>
                          <w:p w14:paraId="095B7DF6" w14:textId="133236FE" w:rsidR="008478FE" w:rsidRPr="00B00A8D" w:rsidRDefault="008478FE" w:rsidP="00674CB7">
                            <w:pPr>
                              <w:pStyle w:val="13Boxbullets"/>
                              <w:ind w:left="709"/>
                            </w:pPr>
                            <w:r w:rsidRPr="00B00A8D">
                              <w:t>12 projects had a TEI increase of more than 50</w:t>
                            </w:r>
                            <w:r w:rsidR="002C0088">
                              <w:t xml:space="preserve"> per cent</w:t>
                            </w:r>
                            <w:r w:rsidRPr="00B00A8D">
                              <w:t>.</w:t>
                            </w:r>
                          </w:p>
                          <w:p w14:paraId="15FBECF5" w14:textId="77777777" w:rsidR="008478FE" w:rsidRPr="00B00A8D" w:rsidRDefault="008478FE" w:rsidP="00674CB7">
                            <w:pPr>
                              <w:pStyle w:val="13Boxbullets"/>
                            </w:pPr>
                            <w:r w:rsidRPr="00B00A8D">
                              <w:t>VAGO noted that further TEI increases would lead to more unplanned debt unless the government’s capital program was curtailed.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4AC6892" id="Text Box 5" o:spid="_x0000_s1039" type="#_x0000_t202" style="width:427.5pt;height:4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" filled="f" strokecolor="#148a5d" strokeweight="1.5pt">
                <v:textbox>
                  <w:txbxContent>
                    <w:p w14:paraId="2BF72F77" w14:textId="77777777" w:rsidR="008478FE" w:rsidRPr="00EF53BC" w:rsidRDefault="008478FE" w:rsidP="00F4639B">
                      <w:pPr>
                        <w:pStyle w:val="Bulletsinatable"/>
                        <w:numPr>
                          <w:ilvl w:val="0"/>
                          <w:numId w:val="0"/>
                        </w:numPr>
                        <w:spacing w:before="120" w:after="120"/>
                        <w:jc w:val="left"/>
                        <w:rPr>
                          <w:b/>
                          <w:bCs w:val="0"/>
                        </w:rPr>
                      </w:pPr>
                      <w:r>
                        <w:rPr>
                          <w:noProof/>
                        </w:rPr>
                        <w:drawing>
                          <wp:inline distT="0" distB="0" distL="0" distR="0" wp14:anchorId="28F90A46" wp14:editId="750BFA04">
                            <wp:extent cx="323385" cy="323385"/>
                            <wp:effectExtent l="0" t="0" r="635" b="0"/>
                            <wp:docPr id="1830868941" name="Graphic 15" descr="Users with solid fill">
                              <a:extLst xmlns:a="http://schemas.openxmlformats.org/drawingml/2006/main">
                                <a:ext uri="{FF2B5EF4-FFF2-40B4-BE49-F238E27FC236}">
                                  <a16:creationId xmlns:a16="http://schemas.microsoft.com/office/drawing/2014/main" id="{486FBEAE-7D1F-DCBA-9B2A-C8525A8F02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5" descr="Users with solid fill">
                                      <a:extLst>
                                        <a:ext uri="{FF2B5EF4-FFF2-40B4-BE49-F238E27FC236}">
                                          <a16:creationId xmlns:a16="http://schemas.microsoft.com/office/drawing/2014/main" id="{486FBEAE-7D1F-DCBA-9B2A-C8525A8F028A}"/>
                                        </a:ext>
                                      </a:extLst>
                                    </pic:cNvPr>
                                    <pic:cNvPicPr>
                                      <a:picLocks noChangeAspect="1"/>
                                    </pic:cNvPicPr>
                                  </pic:nvPicPr>
                                  <pic:blipFill>
                                    <a:blip r:embed="rId63">
                                      <a:extLst>
                                        <a:ext uri="{96DAC541-7B7A-43D3-8B79-37D633B846F1}">
                                          <asvg:svgBlip xmlns:asvg="http://schemas.microsoft.com/office/drawing/2016/SVG/main" r:embed="rId64"/>
                                        </a:ext>
                                      </a:extLst>
                                    </a:blip>
                                    <a:stretch>
                                      <a:fillRect/>
                                    </a:stretch>
                                  </pic:blipFill>
                                  <pic:spPr>
                                    <a:xfrm>
                                      <a:off x="0" y="0"/>
                                      <a:ext cx="323385" cy="323385"/>
                                    </a:xfrm>
                                    <a:prstGeom prst="rect">
                                      <a:avLst/>
                                    </a:prstGeom>
                                  </pic:spPr>
                                </pic:pic>
                              </a:graphicData>
                            </a:graphic>
                          </wp:inline>
                        </w:drawing>
                      </w:r>
                      <w:r>
                        <w:rPr>
                          <w:b/>
                          <w:bCs w:val="0"/>
                        </w:rPr>
                        <w:t xml:space="preserve">  </w:t>
                      </w:r>
                      <w:r w:rsidRPr="008478FE">
                        <w:rPr>
                          <w:b/>
                          <w:bCs w:val="0"/>
                          <w:color w:val="26664E"/>
                        </w:rPr>
                        <w:t>Employee expenses</w:t>
                      </w:r>
                    </w:p>
                    <w:p w14:paraId="44E4A8D2" w14:textId="7B22B22D" w:rsidR="008478FE" w:rsidRPr="00B00A8D" w:rsidRDefault="008478FE" w:rsidP="00674CB7">
                      <w:pPr>
                        <w:pStyle w:val="13Boxbullets"/>
                      </w:pPr>
                      <w:r w:rsidRPr="00B00A8D">
                        <w:t>Employee costs are the state’s single largest operating expense, accounting for around 36</w:t>
                      </w:r>
                      <w:r w:rsidR="002C0088">
                        <w:t xml:space="preserve"> per cent</w:t>
                      </w:r>
                      <w:r w:rsidRPr="00B00A8D">
                        <w:t xml:space="preserve"> of general government sector expenditure in 2022-23.</w:t>
                      </w:r>
                    </w:p>
                    <w:p w14:paraId="132D49CC" w14:textId="54045BCE" w:rsidR="008478FE" w:rsidRPr="00B00A8D" w:rsidRDefault="008478FE" w:rsidP="00674CB7">
                      <w:pPr>
                        <w:pStyle w:val="13Boxbullets"/>
                      </w:pPr>
                      <w:r w:rsidRPr="00B00A8D">
                        <w:t>Employee costs increased by 45</w:t>
                      </w:r>
                      <w:r w:rsidR="00C769C0">
                        <w:t xml:space="preserve"> per cent</w:t>
                      </w:r>
                      <w:r w:rsidRPr="00B00A8D">
                        <w:t xml:space="preserve"> between 2017–18 and 2022–23.</w:t>
                      </w:r>
                    </w:p>
                    <w:p w14:paraId="4B74D1DA" w14:textId="77777777" w:rsidR="008478FE" w:rsidRPr="00B00A8D" w:rsidRDefault="008478FE" w:rsidP="00674CB7">
                      <w:pPr>
                        <w:pStyle w:val="13Boxbullets"/>
                      </w:pPr>
                      <w:r w:rsidRPr="00B00A8D">
                        <w:t>The government determined that workforce transition, including staff reductions, is required to achieve its targeted cost reductions. If these initiatives are not implemented and realised as planned, future employee expenses may be greater than estimated.</w:t>
                      </w:r>
                    </w:p>
                    <w:p w14:paraId="5BA3819E" w14:textId="77777777" w:rsidR="008478FE" w:rsidRPr="00B00A8D" w:rsidRDefault="008478FE" w:rsidP="00674CB7">
                      <w:pPr>
                        <w:pStyle w:val="13Boxbullets"/>
                      </w:pPr>
                      <w:r w:rsidRPr="00B00A8D">
                        <w:t>The prevailing economic environment of high inflation, a tight labour market and high wages growth may compound the challenge.</w:t>
                      </w:r>
                    </w:p>
                    <w:p w14:paraId="2AB07A0B" w14:textId="77777777" w:rsidR="008478FE" w:rsidRPr="00EF53BC" w:rsidRDefault="008478FE" w:rsidP="00F4639B">
                      <w:pPr>
                        <w:pStyle w:val="Bulletsinatable"/>
                        <w:numPr>
                          <w:ilvl w:val="0"/>
                          <w:numId w:val="0"/>
                        </w:numPr>
                        <w:spacing w:before="120" w:after="120"/>
                        <w:ind w:left="357" w:hanging="357"/>
                        <w:jc w:val="left"/>
                        <w:rPr>
                          <w:b/>
                          <w:bCs w:val="0"/>
                        </w:rPr>
                      </w:pPr>
                      <w:r w:rsidRPr="00C96068">
                        <w:rPr>
                          <w:b/>
                          <w:bCs w:val="0"/>
                          <w:noProof/>
                        </w:rPr>
                        <w:drawing>
                          <wp:inline distT="0" distB="0" distL="0" distR="0" wp14:anchorId="67835C71" wp14:editId="357E57F5">
                            <wp:extent cx="308517" cy="308517"/>
                            <wp:effectExtent l="0" t="0" r="0" b="0"/>
                            <wp:docPr id="1054826351" name="Graphic 20" descr="Loan with solid fill">
                              <a:extLst xmlns:a="http://schemas.openxmlformats.org/drawingml/2006/main">
                                <a:ext uri="{FF2B5EF4-FFF2-40B4-BE49-F238E27FC236}">
                                  <a16:creationId xmlns:a16="http://schemas.microsoft.com/office/drawing/2014/main" id="{22AF83E2-CCFE-C05B-5078-6BEF502E20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0" descr="Loan with solid fill">
                                      <a:extLst>
                                        <a:ext uri="{FF2B5EF4-FFF2-40B4-BE49-F238E27FC236}">
                                          <a16:creationId xmlns:a16="http://schemas.microsoft.com/office/drawing/2014/main" id="{22AF83E2-CCFE-C05B-5078-6BEF502E2015}"/>
                                        </a:ext>
                                      </a:extLst>
                                    </pic:cNvPr>
                                    <pic:cNvPicPr>
                                      <a:picLocks noChangeAspect="1"/>
                                    </pic:cNvPicPr>
                                  </pic:nvPicPr>
                                  <pic:blipFill>
                                    <a:blip r:embed="rId65">
                                      <a:extLst>
                                        <a:ext uri="{96DAC541-7B7A-43D3-8B79-37D633B846F1}">
                                          <asvg:svgBlip xmlns:asvg="http://schemas.microsoft.com/office/drawing/2016/SVG/main" r:embed="rId66"/>
                                        </a:ext>
                                      </a:extLst>
                                    </a:blip>
                                    <a:stretch>
                                      <a:fillRect/>
                                    </a:stretch>
                                  </pic:blipFill>
                                  <pic:spPr>
                                    <a:xfrm>
                                      <a:off x="0" y="0"/>
                                      <a:ext cx="308517" cy="308517"/>
                                    </a:xfrm>
                                    <a:prstGeom prst="rect">
                                      <a:avLst/>
                                    </a:prstGeom>
                                  </pic:spPr>
                                </pic:pic>
                              </a:graphicData>
                            </a:graphic>
                          </wp:inline>
                        </w:drawing>
                      </w:r>
                      <w:r w:rsidRPr="008478FE">
                        <w:rPr>
                          <w:b/>
                          <w:bCs w:val="0"/>
                          <w:color w:val="26664E"/>
                        </w:rPr>
                        <w:t xml:space="preserve">  Interest expenses</w:t>
                      </w:r>
                    </w:p>
                    <w:p w14:paraId="4F46C433" w14:textId="77777777" w:rsidR="008478FE" w:rsidRPr="00B00A8D" w:rsidRDefault="008478FE" w:rsidP="00674CB7">
                      <w:pPr>
                        <w:pStyle w:val="13Boxbullets"/>
                      </w:pPr>
                      <w:r w:rsidRPr="00B00A8D">
                        <w:t>Most of Victoria’s debt is fixed-rate debt issued at a low interest rate.</w:t>
                      </w:r>
                    </w:p>
                    <w:p w14:paraId="68E1A7F3" w14:textId="77777777" w:rsidR="008478FE" w:rsidRPr="00B00A8D" w:rsidRDefault="008478FE" w:rsidP="00674CB7">
                      <w:pPr>
                        <w:pStyle w:val="13Boxbullets"/>
                      </w:pPr>
                      <w:r w:rsidRPr="00B00A8D">
                        <w:t>$39 billion of debt needs to be refinanced by June 2027, which will likely be at a significantly higher interest rate.</w:t>
                      </w:r>
                    </w:p>
                    <w:p w14:paraId="33F503CC" w14:textId="77777777" w:rsidR="008478FE" w:rsidRPr="00B00A8D" w:rsidRDefault="008478FE" w:rsidP="00674CB7">
                      <w:pPr>
                        <w:pStyle w:val="13Boxbullets"/>
                      </w:pPr>
                      <w:r w:rsidRPr="00B00A8D">
                        <w:t>Interest expenses on new and refinanced debt are expected to increase significantly over the coming years, from $1.6 billion in 2023-24 to $5.5 billion in 2026-27.</w:t>
                      </w:r>
                    </w:p>
                    <w:p w14:paraId="599F7FE0" w14:textId="77777777" w:rsidR="008478FE" w:rsidRDefault="008478FE" w:rsidP="00F4639B">
                      <w:pPr>
                        <w:pStyle w:val="Bulletsinatable"/>
                        <w:numPr>
                          <w:ilvl w:val="0"/>
                          <w:numId w:val="0"/>
                        </w:numPr>
                        <w:spacing w:before="120" w:after="120"/>
                        <w:ind w:left="357" w:hanging="357"/>
                        <w:jc w:val="left"/>
                        <w:rPr>
                          <w:b/>
                          <w:bCs w:val="0"/>
                        </w:rPr>
                      </w:pPr>
                      <w:r w:rsidRPr="00AD57C8">
                        <w:rPr>
                          <w:b/>
                          <w:bCs w:val="0"/>
                          <w:noProof/>
                        </w:rPr>
                        <w:drawing>
                          <wp:inline distT="0" distB="0" distL="0" distR="0" wp14:anchorId="4B0123FA" wp14:editId="05CDFCB9">
                            <wp:extent cx="292380" cy="343413"/>
                            <wp:effectExtent l="0" t="0" r="0" b="0"/>
                            <wp:docPr id="1288162583" name="Graphic 29" descr="Cement truck with solid fill">
                              <a:extLst xmlns:a="http://schemas.openxmlformats.org/drawingml/2006/main">
                                <a:ext uri="{FF2B5EF4-FFF2-40B4-BE49-F238E27FC236}">
                                  <a16:creationId xmlns:a16="http://schemas.microsoft.com/office/drawing/2014/main" id="{AA3D20AD-35B3-A817-6690-E31415888F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29" descr="Cement truck with solid fill">
                                      <a:extLst>
                                        <a:ext uri="{FF2B5EF4-FFF2-40B4-BE49-F238E27FC236}">
                                          <a16:creationId xmlns:a16="http://schemas.microsoft.com/office/drawing/2014/main" id="{AA3D20AD-35B3-A817-6690-E31415888F9C}"/>
                                        </a:ext>
                                      </a:extLst>
                                    </pic:cNvPr>
                                    <pic:cNvPicPr>
                                      <a:picLocks noChangeAspect="1"/>
                                    </pic:cNvPicPr>
                                  </pic:nvPicPr>
                                  <pic:blipFill>
                                    <a:blip r:embed="rId67">
                                      <a:extLst>
                                        <a:ext uri="{96DAC541-7B7A-43D3-8B79-37D633B846F1}">
                                          <asvg:svgBlip xmlns:asvg="http://schemas.microsoft.com/office/drawing/2016/SVG/main" r:embed="rId68"/>
                                        </a:ext>
                                      </a:extLst>
                                    </a:blip>
                                    <a:stretch>
                                      <a:fillRect/>
                                    </a:stretch>
                                  </pic:blipFill>
                                  <pic:spPr>
                                    <a:xfrm>
                                      <a:off x="0" y="0"/>
                                      <a:ext cx="292380" cy="343413"/>
                                    </a:xfrm>
                                    <a:prstGeom prst="rect">
                                      <a:avLst/>
                                    </a:prstGeom>
                                  </pic:spPr>
                                </pic:pic>
                              </a:graphicData>
                            </a:graphic>
                          </wp:inline>
                        </w:drawing>
                      </w:r>
                      <w:r w:rsidRPr="008478FE">
                        <w:rPr>
                          <w:b/>
                          <w:bCs w:val="0"/>
                          <w:color w:val="26664E"/>
                        </w:rPr>
                        <w:t xml:space="preserve">  Infrastructure spending</w:t>
                      </w:r>
                    </w:p>
                    <w:p w14:paraId="56F99B40" w14:textId="4E1F1338" w:rsidR="008478FE" w:rsidRPr="00B00A8D" w:rsidRDefault="008478FE" w:rsidP="00674CB7">
                      <w:pPr>
                        <w:pStyle w:val="13Boxbullets"/>
                      </w:pPr>
                      <w:r w:rsidRPr="00B00A8D">
                        <w:t>As at November 2023, the total estimated investment (TEI) of 89 existing and completed major capital projects had increased by $11 billion (11</w:t>
                      </w:r>
                      <w:r w:rsidR="002C0088">
                        <w:t xml:space="preserve"> per cent</w:t>
                      </w:r>
                      <w:r w:rsidRPr="00B00A8D">
                        <w:t>).</w:t>
                      </w:r>
                    </w:p>
                    <w:p w14:paraId="40C5CF26" w14:textId="77777777" w:rsidR="008478FE" w:rsidRPr="00B00A8D" w:rsidRDefault="008478FE" w:rsidP="00674CB7">
                      <w:pPr>
                        <w:pStyle w:val="13Boxbullets"/>
                      </w:pPr>
                      <w:r w:rsidRPr="00B00A8D">
                        <w:t>Of the 101 new, existing or completed projects analysed by VAGO:</w:t>
                      </w:r>
                    </w:p>
                    <w:p w14:paraId="7FA8CA07" w14:textId="67F4CF67" w:rsidR="008478FE" w:rsidRPr="00B00A8D" w:rsidRDefault="008478FE" w:rsidP="00674CB7">
                      <w:pPr>
                        <w:pStyle w:val="13Boxbullets"/>
                        <w:ind w:left="709"/>
                      </w:pPr>
                      <w:r w:rsidRPr="00B00A8D">
                        <w:t>28 projects had a TEI increase of more than 10</w:t>
                      </w:r>
                      <w:r w:rsidR="002C0088">
                        <w:t xml:space="preserve"> per cent</w:t>
                      </w:r>
                    </w:p>
                    <w:p w14:paraId="095B7DF6" w14:textId="133236FE" w:rsidR="008478FE" w:rsidRPr="00B00A8D" w:rsidRDefault="008478FE" w:rsidP="00674CB7">
                      <w:pPr>
                        <w:pStyle w:val="13Boxbullets"/>
                        <w:ind w:left="709"/>
                      </w:pPr>
                      <w:r w:rsidRPr="00B00A8D">
                        <w:t>12 projects had a TEI increase of more than 50</w:t>
                      </w:r>
                      <w:r w:rsidR="002C0088">
                        <w:t xml:space="preserve"> per cent</w:t>
                      </w:r>
                      <w:r w:rsidRPr="00B00A8D">
                        <w:t>.</w:t>
                      </w:r>
                    </w:p>
                    <w:p w14:paraId="15FBECF5" w14:textId="77777777" w:rsidR="008478FE" w:rsidRPr="00B00A8D" w:rsidRDefault="008478FE" w:rsidP="00674CB7">
                      <w:pPr>
                        <w:pStyle w:val="13Boxbullets"/>
                      </w:pPr>
                      <w:r w:rsidRPr="00B00A8D">
                        <w:t>VAGO noted that further TEI increases would lead to more unplanned debt unless the government’s capital program was curtailed.</w:t>
                      </w:r>
                    </w:p>
                  </w:txbxContent>
                </v:textbox>
                <w10:anchorlock/>
              </v:shape>
            </w:pict>
          </mc:Fallback>
        </mc:AlternateContent>
      </w:r>
      <w:r w:rsidRPr="00781AC9">
        <w:t>Source</w:t>
      </w:r>
      <w:r w:rsidR="0097671A">
        <w:t>s</w:t>
      </w:r>
      <w:r w:rsidRPr="00781AC9">
        <w:t xml:space="preserve">: </w:t>
      </w:r>
      <w:r w:rsidR="004236E6" w:rsidRPr="004236E6">
        <w:t>VAGO (2023</w:t>
      </w:r>
      <w:r w:rsidR="0049503B">
        <w:t>a</w:t>
      </w:r>
      <w:r w:rsidR="004236E6" w:rsidRPr="004236E6">
        <w:t xml:space="preserve">), </w:t>
      </w:r>
      <w:r w:rsidRPr="00781AC9">
        <w:t>pp.</w:t>
      </w:r>
      <w:r w:rsidR="004236E6" w:rsidRPr="00781AC9">
        <w:t> </w:t>
      </w:r>
      <w:r w:rsidRPr="00781AC9">
        <w:t>20-</w:t>
      </w:r>
      <w:r w:rsidRPr="00577A2C">
        <w:t>25.</w:t>
      </w:r>
      <w:r w:rsidR="00E04570">
        <w:t xml:space="preserve"> </w:t>
      </w:r>
      <w:r w:rsidR="00E04570" w:rsidRPr="00E04570">
        <w:t>VAGO</w:t>
      </w:r>
      <w:r w:rsidR="00E04570">
        <w:t xml:space="preserve"> (2023</w:t>
      </w:r>
      <w:r w:rsidR="0049503B">
        <w:t>b</w:t>
      </w:r>
      <w:r w:rsidR="00E04570">
        <w:t>)</w:t>
      </w:r>
      <w:r w:rsidR="0049503B">
        <w:t>, pp. 8-9.</w:t>
      </w:r>
      <w:r w:rsidR="00E04570" w:rsidRPr="00E04570">
        <w:t xml:space="preserve"> </w:t>
      </w:r>
    </w:p>
    <w:p w14:paraId="408DECB3" w14:textId="2F3D5760" w:rsidR="000F0CAB" w:rsidRDefault="000F0CAB" w:rsidP="00FE565B">
      <w:pPr>
        <w:pStyle w:val="02VIRTHeading2"/>
        <w:rPr>
          <w:noProof/>
          <w:lang w:eastAsia="en-AU"/>
        </w:rPr>
      </w:pPr>
      <w:bookmarkStart w:id="157" w:name="_Toc170396241"/>
      <w:r>
        <w:rPr>
          <w:noProof/>
          <w:lang w:eastAsia="en-AU"/>
        </w:rPr>
        <w:t>6.4</w:t>
      </w:r>
      <w:r>
        <w:rPr>
          <w:noProof/>
          <w:lang w:eastAsia="en-AU"/>
        </w:rPr>
        <w:tab/>
      </w:r>
      <w:r w:rsidRPr="000F0CAB">
        <w:rPr>
          <w:noProof/>
          <w:lang w:eastAsia="en-AU"/>
        </w:rPr>
        <w:t>Victorian Public Sector Wages Policy</w:t>
      </w:r>
      <w:bookmarkEnd w:id="157"/>
    </w:p>
    <w:p w14:paraId="3F786694" w14:textId="2FC80979" w:rsidR="008478FE" w:rsidRPr="008478FE" w:rsidRDefault="008478FE" w:rsidP="00FE565B">
      <w:pPr>
        <w:pStyle w:val="05Paragraph"/>
        <w:rPr>
          <w:noProof/>
          <w:lang w:eastAsia="en-AU"/>
        </w:rPr>
      </w:pPr>
      <w:r w:rsidRPr="008478FE">
        <w:rPr>
          <w:noProof/>
          <w:lang w:eastAsia="en-AU"/>
        </w:rPr>
        <w:t xml:space="preserve">The </w:t>
      </w:r>
      <w:r w:rsidR="006E2B8D" w:rsidRPr="00FE565B">
        <w:rPr>
          <w:i/>
          <w:iCs/>
          <w:noProof/>
          <w:lang w:eastAsia="en-AU"/>
        </w:rPr>
        <w:t>Wages Policy and the Enterprise Bargaining Framework</w:t>
      </w:r>
      <w:r w:rsidR="006E2B8D" w:rsidRPr="006E2B8D">
        <w:rPr>
          <w:noProof/>
          <w:lang w:eastAsia="en-AU"/>
        </w:rPr>
        <w:t xml:space="preserve"> </w:t>
      </w:r>
      <w:r w:rsidRPr="008478FE">
        <w:rPr>
          <w:noProof/>
          <w:lang w:eastAsia="en-AU"/>
        </w:rPr>
        <w:t xml:space="preserve">(Wages Policy) sets out the parameters within which Victorian public sector employers, including public service bodies, are required to bargain and make </w:t>
      </w:r>
      <w:r w:rsidR="00C821EA">
        <w:rPr>
          <w:noProof/>
          <w:lang w:eastAsia="en-AU"/>
        </w:rPr>
        <w:t>EAs</w:t>
      </w:r>
      <w:r w:rsidRPr="008478FE">
        <w:rPr>
          <w:noProof/>
          <w:lang w:eastAsia="en-AU"/>
        </w:rPr>
        <w:t>.</w:t>
      </w:r>
    </w:p>
    <w:p w14:paraId="090409FF" w14:textId="77777777" w:rsidR="008478FE" w:rsidRPr="008478FE" w:rsidRDefault="008478FE" w:rsidP="00AD0353">
      <w:pPr>
        <w:pStyle w:val="05Paragraph"/>
        <w:keepNext/>
        <w:rPr>
          <w:noProof/>
          <w:lang w:eastAsia="en-AU"/>
        </w:rPr>
      </w:pPr>
      <w:r w:rsidRPr="008478FE">
        <w:rPr>
          <w:noProof/>
          <w:lang w:eastAsia="en-AU"/>
        </w:rPr>
        <w:lastRenderedPageBreak/>
        <w:t>Box 6.2 outlines the key features of the current Wages Policy, which was introduced by the Victorian Government in April 2023.</w:t>
      </w:r>
      <w:r w:rsidRPr="008478FE">
        <w:rPr>
          <w:noProof/>
          <w:vertAlign w:val="superscript"/>
          <w:lang w:eastAsia="en-AU"/>
        </w:rPr>
        <w:footnoteReference w:id="259"/>
      </w:r>
      <w:r w:rsidRPr="008478FE">
        <w:rPr>
          <w:noProof/>
          <w:lang w:eastAsia="en-AU"/>
        </w:rPr>
        <w:t xml:space="preserve"> In particular:</w:t>
      </w:r>
      <w:r w:rsidRPr="008478FE">
        <w:rPr>
          <w:noProof/>
          <w:vertAlign w:val="superscript"/>
          <w:lang w:eastAsia="en-AU"/>
        </w:rPr>
        <w:footnoteReference w:id="260"/>
      </w:r>
    </w:p>
    <w:p w14:paraId="7B002106" w14:textId="72008346" w:rsidR="008478FE" w:rsidRPr="008478FE" w:rsidRDefault="008478FE" w:rsidP="00496364">
      <w:pPr>
        <w:pStyle w:val="06VIRTBulletpoints"/>
        <w:rPr>
          <w:lang w:eastAsia="en-AU"/>
        </w:rPr>
      </w:pPr>
      <w:r w:rsidRPr="008478FE">
        <w:rPr>
          <w:lang w:eastAsia="en-AU"/>
        </w:rPr>
        <w:t>increases in wages and conditions will be funded at a rate of growth of 3</w:t>
      </w:r>
      <w:r w:rsidR="000F2103">
        <w:rPr>
          <w:lang w:eastAsia="en-AU"/>
        </w:rPr>
        <w:t> </w:t>
      </w:r>
      <w:r w:rsidRPr="008478FE">
        <w:rPr>
          <w:lang w:eastAsia="en-AU"/>
        </w:rPr>
        <w:t>per</w:t>
      </w:r>
      <w:r w:rsidR="000F2103">
        <w:rPr>
          <w:lang w:eastAsia="en-AU"/>
        </w:rPr>
        <w:t> </w:t>
      </w:r>
      <w:r w:rsidRPr="008478FE">
        <w:rPr>
          <w:lang w:eastAsia="en-AU"/>
        </w:rPr>
        <w:t>cent per annum over the life of an agreement (compared to 1.5 per cent under the previous policy)</w:t>
      </w:r>
    </w:p>
    <w:p w14:paraId="4EFFD585" w14:textId="38B41D1C" w:rsidR="008478FE" w:rsidRPr="008478FE" w:rsidRDefault="008478FE" w:rsidP="00496364">
      <w:pPr>
        <w:pStyle w:val="06VIRTBulletpoints"/>
        <w:rPr>
          <w:lang w:eastAsia="en-AU"/>
        </w:rPr>
      </w:pPr>
      <w:r w:rsidRPr="008478FE">
        <w:rPr>
          <w:lang w:eastAsia="en-AU"/>
        </w:rPr>
        <w:t xml:space="preserve">in addition to annual wage increases, </w:t>
      </w:r>
      <w:r w:rsidR="00C3654A">
        <w:rPr>
          <w:lang w:eastAsia="en-AU"/>
        </w:rPr>
        <w:t>a separate</w:t>
      </w:r>
      <w:r w:rsidRPr="008478FE">
        <w:rPr>
          <w:lang w:eastAsia="en-AU"/>
        </w:rPr>
        <w:t xml:space="preserve"> lump sum cash payment will be available, equivalent to 0.5 per cent of overall agreement costs.</w:t>
      </w:r>
    </w:p>
    <w:p w14:paraId="47AF3059" w14:textId="77777777" w:rsidR="008478FE" w:rsidRPr="008478FE" w:rsidRDefault="008478FE" w:rsidP="00144BE8">
      <w:pPr>
        <w:pStyle w:val="08Figuretableboxheading"/>
        <w:rPr>
          <w:lang w:val="en-US"/>
        </w:rPr>
      </w:pPr>
      <w:bookmarkStart w:id="158" w:name="_Toc114570646"/>
      <w:bookmarkStart w:id="159" w:name="_Toc138082042"/>
      <w:bookmarkStart w:id="160" w:name="_Toc170393577"/>
      <w:bookmarkStart w:id="161" w:name="_Hlk167096990"/>
      <w:r w:rsidRPr="008478FE">
        <w:rPr>
          <w:lang w:val="en-US"/>
        </w:rPr>
        <w:t>Box 6.2: Victorian Public Sector Wages Policy</w:t>
      </w:r>
      <w:bookmarkEnd w:id="158"/>
      <w:r w:rsidRPr="008478FE">
        <w:rPr>
          <w:lang w:val="en-US"/>
        </w:rPr>
        <w:t xml:space="preserve"> — </w:t>
      </w:r>
      <w:bookmarkEnd w:id="159"/>
      <w:r w:rsidRPr="008478FE">
        <w:rPr>
          <w:lang w:val="en-US"/>
        </w:rPr>
        <w:t>key features</w:t>
      </w:r>
      <w:bookmarkEnd w:id="160"/>
    </w:p>
    <w:p w14:paraId="26DEA8CA" w14:textId="3DCD8EE0" w:rsidR="008478FE" w:rsidRPr="008478FE" w:rsidRDefault="008478FE" w:rsidP="00F4639B">
      <w:pPr>
        <w:pStyle w:val="09Sourcesandnotesfortablesfiguresboxes"/>
      </w:pPr>
      <w:r w:rsidRPr="008478FE">
        <w:rPr>
          <w:noProof/>
        </w:rPr>
        <mc:AlternateContent>
          <mc:Choice Requires="wps">
            <w:drawing>
              <wp:inline distT="0" distB="0" distL="0" distR="0" wp14:anchorId="6C6DCDCF" wp14:editId="3C30E355">
                <wp:extent cx="5429250" cy="4000500"/>
                <wp:effectExtent l="0" t="0" r="19050" b="19050"/>
                <wp:docPr id="866532278" name="Text Box 866532278"/>
                <wp:cNvGraphicFramePr/>
                <a:graphic xmlns:a="http://schemas.openxmlformats.org/drawingml/2006/main">
                  <a:graphicData uri="http://schemas.microsoft.com/office/word/2010/wordprocessingShape">
                    <wps:wsp>
                      <wps:cNvSpPr txBox="1"/>
                      <wps:spPr>
                        <a:xfrm>
                          <a:off x="0" y="0"/>
                          <a:ext cx="5429250" cy="4000500"/>
                        </a:xfrm>
                        <a:prstGeom prst="rect">
                          <a:avLst/>
                        </a:prstGeom>
                        <a:noFill/>
                        <a:ln w="19050">
                          <a:solidFill>
                            <a:srgbClr val="148A5D"/>
                          </a:solidFill>
                        </a:ln>
                      </wps:spPr>
                      <wps:txbx>
                        <w:txbxContent>
                          <w:p w14:paraId="202EF188" w14:textId="77777777" w:rsidR="008478FE" w:rsidRPr="008478FE" w:rsidRDefault="008478FE" w:rsidP="00F4639B">
                            <w:pPr>
                              <w:pStyle w:val="Bulletsinatable"/>
                              <w:numPr>
                                <w:ilvl w:val="0"/>
                                <w:numId w:val="0"/>
                              </w:numPr>
                              <w:spacing w:before="120" w:after="40"/>
                              <w:ind w:left="357" w:hanging="357"/>
                              <w:jc w:val="left"/>
                              <w:rPr>
                                <w:rFonts w:cs="Calibri Light"/>
                                <w:b/>
                                <w:bCs w:val="0"/>
                                <w:color w:val="26664E"/>
                              </w:rPr>
                            </w:pPr>
                            <w:r w:rsidRPr="008478FE">
                              <w:rPr>
                                <w:rFonts w:cs="Calibri Light"/>
                                <w:b/>
                                <w:bCs w:val="0"/>
                                <w:color w:val="26664E"/>
                              </w:rPr>
                              <w:t>Pillar 1: Wages</w:t>
                            </w:r>
                          </w:p>
                          <w:p w14:paraId="43F4AC4C" w14:textId="77777777" w:rsidR="008478FE" w:rsidRPr="00B00A8D" w:rsidRDefault="008478FE" w:rsidP="00787127">
                            <w:pPr>
                              <w:pStyle w:val="13Boxbullets"/>
                            </w:pPr>
                            <w:r w:rsidRPr="00B00A8D">
                              <w:t>Increases in wages and conditions will be funded at a rate of growth of 3.0 per cent per annum over the life of the agreement. In practice, this means that employee wages and conditions will be allowed to grow at this rate.</w:t>
                            </w:r>
                          </w:p>
                          <w:p w14:paraId="1C82BACD" w14:textId="77777777" w:rsidR="008478FE" w:rsidRPr="00B00A8D" w:rsidRDefault="008478FE" w:rsidP="00787127">
                            <w:pPr>
                              <w:pStyle w:val="13Boxbullets"/>
                            </w:pPr>
                            <w:r w:rsidRPr="00B00A8D">
                              <w:t>In addition to annual wage increases, a separate lump sum, cash payment will be available equivalent to an additional 0.5 per cent of overall agreement costs which for the purposes of this policy means a per annum amount calculated on wages and wage</w:t>
                            </w:r>
                            <w:r w:rsidRPr="00B00A8D">
                              <w:noBreakHyphen/>
                              <w:t>related conditions.</w:t>
                            </w:r>
                          </w:p>
                          <w:p w14:paraId="5E45001F" w14:textId="77777777" w:rsidR="008478FE" w:rsidRPr="008478FE" w:rsidRDefault="008478FE" w:rsidP="00F4639B">
                            <w:pPr>
                              <w:pStyle w:val="Bulletsinatable"/>
                              <w:numPr>
                                <w:ilvl w:val="0"/>
                                <w:numId w:val="0"/>
                              </w:numPr>
                              <w:spacing w:before="120" w:after="40"/>
                              <w:ind w:left="357" w:hanging="357"/>
                              <w:jc w:val="left"/>
                              <w:rPr>
                                <w:rFonts w:cs="Calibri Light"/>
                                <w:b/>
                                <w:bCs w:val="0"/>
                                <w:color w:val="26664E"/>
                              </w:rPr>
                            </w:pPr>
                            <w:r w:rsidRPr="008478FE">
                              <w:rPr>
                                <w:rFonts w:cs="Calibri Light"/>
                                <w:b/>
                                <w:bCs w:val="0"/>
                                <w:color w:val="26664E"/>
                              </w:rPr>
                              <w:t>Pillar 2: Best Practice Employment Commitment</w:t>
                            </w:r>
                          </w:p>
                          <w:p w14:paraId="18228134" w14:textId="77777777" w:rsidR="008478FE" w:rsidRPr="00B00A8D" w:rsidRDefault="008478FE" w:rsidP="00787127">
                            <w:pPr>
                              <w:pStyle w:val="13Boxbullets"/>
                            </w:pPr>
                            <w:r w:rsidRPr="00B00A8D">
                              <w:t>Public sector agencies may make a Best Practice Employment Commitment which outlines measures to operationalise elements of the Government’s Public Sector Priorities</w:t>
                            </w:r>
                            <w:r w:rsidRPr="00B00A8D">
                              <w:rPr>
                                <w:vertAlign w:val="superscript"/>
                              </w:rPr>
                              <w:t>(a)</w:t>
                            </w:r>
                            <w:r w:rsidRPr="00B00A8D">
                              <w:t xml:space="preserve"> that reflect good practice within Government and can be implemented operationally or without significant costs.</w:t>
                            </w:r>
                          </w:p>
                          <w:p w14:paraId="7EC3567E" w14:textId="77777777" w:rsidR="008478FE" w:rsidRPr="008478FE" w:rsidRDefault="008478FE" w:rsidP="00F4639B">
                            <w:pPr>
                              <w:pStyle w:val="Bulletsinatable"/>
                              <w:numPr>
                                <w:ilvl w:val="0"/>
                                <w:numId w:val="0"/>
                              </w:numPr>
                              <w:spacing w:before="120" w:after="40"/>
                              <w:ind w:left="357" w:hanging="357"/>
                              <w:jc w:val="left"/>
                              <w:rPr>
                                <w:rFonts w:cs="Calibri Light"/>
                                <w:b/>
                                <w:bCs w:val="0"/>
                                <w:color w:val="26664E"/>
                              </w:rPr>
                            </w:pPr>
                            <w:r w:rsidRPr="008478FE">
                              <w:rPr>
                                <w:rFonts w:cs="Calibri Light"/>
                                <w:b/>
                                <w:bCs w:val="0"/>
                                <w:color w:val="26664E"/>
                              </w:rPr>
                              <w:t>Pillar 3: Additional strategic changes</w:t>
                            </w:r>
                          </w:p>
                          <w:p w14:paraId="26DA1F3A" w14:textId="77777777" w:rsidR="008478FE" w:rsidRPr="00B00A8D" w:rsidRDefault="008478FE" w:rsidP="00787127">
                            <w:pPr>
                              <w:pStyle w:val="13Boxbullets"/>
                            </w:pPr>
                            <w:r w:rsidRPr="00B00A8D">
                              <w:t>Additional changes to allowances and other conditions (not general wages) will only be allowed if Government agrees that the changes will address key operational or strategic priorities for the agency, and/or one or more of the Public Sector Priorities and provided the associated costs are funded through appropriate cash offsets or a government approved funding strategy.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C6DCDCF" id="Text Box 866532278" o:spid="_x0000_s1040" type="#_x0000_t202" style="width:427.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" filled="f" strokecolor="#148a5d" strokeweight="1.5pt">
                <v:textbox>
                  <w:txbxContent>
                    <w:p w14:paraId="202EF188" w14:textId="77777777" w:rsidR="008478FE" w:rsidRPr="008478FE" w:rsidRDefault="008478FE" w:rsidP="00F4639B">
                      <w:pPr>
                        <w:pStyle w:val="Bulletsinatable"/>
                        <w:numPr>
                          <w:ilvl w:val="0"/>
                          <w:numId w:val="0"/>
                        </w:numPr>
                        <w:spacing w:before="120" w:after="40"/>
                        <w:ind w:left="357" w:hanging="357"/>
                        <w:jc w:val="left"/>
                        <w:rPr>
                          <w:rFonts w:cs="Calibri Light"/>
                          <w:b/>
                          <w:bCs w:val="0"/>
                          <w:color w:val="26664E"/>
                        </w:rPr>
                      </w:pPr>
                      <w:r w:rsidRPr="008478FE">
                        <w:rPr>
                          <w:rFonts w:cs="Calibri Light"/>
                          <w:b/>
                          <w:bCs w:val="0"/>
                          <w:color w:val="26664E"/>
                        </w:rPr>
                        <w:t>Pillar 1: Wages</w:t>
                      </w:r>
                    </w:p>
                    <w:p w14:paraId="43F4AC4C" w14:textId="77777777" w:rsidR="008478FE" w:rsidRPr="00B00A8D" w:rsidRDefault="008478FE" w:rsidP="00787127">
                      <w:pPr>
                        <w:pStyle w:val="13Boxbullets"/>
                      </w:pPr>
                      <w:r w:rsidRPr="00B00A8D">
                        <w:t>Increases in wages and conditions will be funded at a rate of growth of 3.0 per cent per annum over the life of the agreement. In practice, this means that employee wages and conditions will be allowed to grow at this rate.</w:t>
                      </w:r>
                    </w:p>
                    <w:p w14:paraId="1C82BACD" w14:textId="77777777" w:rsidR="008478FE" w:rsidRPr="00B00A8D" w:rsidRDefault="008478FE" w:rsidP="00787127">
                      <w:pPr>
                        <w:pStyle w:val="13Boxbullets"/>
                      </w:pPr>
                      <w:r w:rsidRPr="00B00A8D">
                        <w:t>In addition to annual wage increases, a separate lump sum, cash payment will be available equivalent to an additional 0.5 per cent of overall agreement costs which for the purposes of this policy means a per annum amount calculated on wages and wage</w:t>
                      </w:r>
                      <w:r w:rsidRPr="00B00A8D">
                        <w:noBreakHyphen/>
                        <w:t>related conditions.</w:t>
                      </w:r>
                    </w:p>
                    <w:p w14:paraId="5E45001F" w14:textId="77777777" w:rsidR="008478FE" w:rsidRPr="008478FE" w:rsidRDefault="008478FE" w:rsidP="00F4639B">
                      <w:pPr>
                        <w:pStyle w:val="Bulletsinatable"/>
                        <w:numPr>
                          <w:ilvl w:val="0"/>
                          <w:numId w:val="0"/>
                        </w:numPr>
                        <w:spacing w:before="120" w:after="40"/>
                        <w:ind w:left="357" w:hanging="357"/>
                        <w:jc w:val="left"/>
                        <w:rPr>
                          <w:rFonts w:cs="Calibri Light"/>
                          <w:b/>
                          <w:bCs w:val="0"/>
                          <w:color w:val="26664E"/>
                        </w:rPr>
                      </w:pPr>
                      <w:r w:rsidRPr="008478FE">
                        <w:rPr>
                          <w:rFonts w:cs="Calibri Light"/>
                          <w:b/>
                          <w:bCs w:val="0"/>
                          <w:color w:val="26664E"/>
                        </w:rPr>
                        <w:t>Pillar 2: Best Practice Employment Commitment</w:t>
                      </w:r>
                    </w:p>
                    <w:p w14:paraId="18228134" w14:textId="77777777" w:rsidR="008478FE" w:rsidRPr="00B00A8D" w:rsidRDefault="008478FE" w:rsidP="00787127">
                      <w:pPr>
                        <w:pStyle w:val="13Boxbullets"/>
                      </w:pPr>
                      <w:r w:rsidRPr="00B00A8D">
                        <w:t>Public sector agencies may make a Best Practice Employment Commitment which outlines measures to operationalise elements of the Government’s Public Sector Priorities</w:t>
                      </w:r>
                      <w:r w:rsidRPr="00B00A8D">
                        <w:rPr>
                          <w:vertAlign w:val="superscript"/>
                        </w:rPr>
                        <w:t>(a)</w:t>
                      </w:r>
                      <w:r w:rsidRPr="00B00A8D">
                        <w:t xml:space="preserve"> that reflect good practice within Government and can be implemented operationally or without significant costs.</w:t>
                      </w:r>
                    </w:p>
                    <w:p w14:paraId="7EC3567E" w14:textId="77777777" w:rsidR="008478FE" w:rsidRPr="008478FE" w:rsidRDefault="008478FE" w:rsidP="00F4639B">
                      <w:pPr>
                        <w:pStyle w:val="Bulletsinatable"/>
                        <w:numPr>
                          <w:ilvl w:val="0"/>
                          <w:numId w:val="0"/>
                        </w:numPr>
                        <w:spacing w:before="120" w:after="40"/>
                        <w:ind w:left="357" w:hanging="357"/>
                        <w:jc w:val="left"/>
                        <w:rPr>
                          <w:rFonts w:cs="Calibri Light"/>
                          <w:b/>
                          <w:bCs w:val="0"/>
                          <w:color w:val="26664E"/>
                        </w:rPr>
                      </w:pPr>
                      <w:r w:rsidRPr="008478FE">
                        <w:rPr>
                          <w:rFonts w:cs="Calibri Light"/>
                          <w:b/>
                          <w:bCs w:val="0"/>
                          <w:color w:val="26664E"/>
                        </w:rPr>
                        <w:t>Pillar 3: Additional strategic changes</w:t>
                      </w:r>
                    </w:p>
                    <w:p w14:paraId="26DA1F3A" w14:textId="77777777" w:rsidR="008478FE" w:rsidRPr="00B00A8D" w:rsidRDefault="008478FE" w:rsidP="00787127">
                      <w:pPr>
                        <w:pStyle w:val="13Boxbullets"/>
                      </w:pPr>
                      <w:r w:rsidRPr="00B00A8D">
                        <w:t>Additional changes to allowances and other conditions (not general wages) will only be allowed if Government agrees that the changes will address key operational or strategic priorities for the agency, and/or one or more of the Public Sector Priorities and provided the associated costs are funded through appropriate cash offsets or a government approved funding strategy.</w:t>
                      </w:r>
                    </w:p>
                  </w:txbxContent>
                </v:textbox>
                <w10:anchorlock/>
              </v:shape>
            </w:pict>
          </mc:Fallback>
        </mc:AlternateContent>
      </w:r>
      <w:r w:rsidRPr="008478FE">
        <w:t xml:space="preserve">Note: (a) The Public Sector Priorities are: </w:t>
      </w:r>
      <w:r w:rsidR="00CF6882">
        <w:t>‘</w:t>
      </w:r>
      <w:r w:rsidRPr="008478FE">
        <w:t>deliver exceptional services and value for Victorians</w:t>
      </w:r>
      <w:r w:rsidR="00CF6882">
        <w:t>’,</w:t>
      </w:r>
      <w:r w:rsidRPr="008478FE">
        <w:t xml:space="preserve"> </w:t>
      </w:r>
      <w:r w:rsidR="00CF6882">
        <w:t>‘</w:t>
      </w:r>
      <w:r w:rsidRPr="008478FE">
        <w:t>a professional and responsive public sector</w:t>
      </w:r>
      <w:r w:rsidR="00CF6882">
        <w:t>’ and</w:t>
      </w:r>
      <w:r w:rsidRPr="008478FE">
        <w:t xml:space="preserve"> </w:t>
      </w:r>
      <w:r w:rsidR="00C52F73">
        <w:t>‘</w:t>
      </w:r>
      <w:r w:rsidRPr="008478FE">
        <w:t>government as a fair and best practice employer</w:t>
      </w:r>
      <w:r w:rsidR="00C52F73">
        <w:t>’</w:t>
      </w:r>
      <w:r w:rsidRPr="008478FE">
        <w:t xml:space="preserve">. </w:t>
      </w:r>
    </w:p>
    <w:p w14:paraId="46FE1AC9" w14:textId="1F7EB74F" w:rsidR="008478FE" w:rsidRPr="008478FE" w:rsidRDefault="008478FE" w:rsidP="00F4639B">
      <w:pPr>
        <w:pStyle w:val="09Sourcesandnotesfortablesfiguresboxes"/>
      </w:pPr>
      <w:r w:rsidRPr="008478FE">
        <w:t xml:space="preserve">Source: </w:t>
      </w:r>
      <w:r w:rsidR="00F90572" w:rsidRPr="00F90572">
        <w:t xml:space="preserve">IRV (2023), </w:t>
      </w:r>
      <w:r w:rsidRPr="008478FE">
        <w:t>pp. 3-4.</w:t>
      </w:r>
    </w:p>
    <w:bookmarkEnd w:id="161"/>
    <w:p w14:paraId="1D565CD9" w14:textId="14084809" w:rsidR="008478FE" w:rsidRPr="008478FE" w:rsidRDefault="008478FE" w:rsidP="005B0749">
      <w:pPr>
        <w:pStyle w:val="03VIRTHeading3"/>
      </w:pPr>
      <w:r w:rsidRPr="008478FE">
        <w:t xml:space="preserve">The Victorian Government has reached in-principle agreement on the core terms and conditions of a new VPS </w:t>
      </w:r>
      <w:r w:rsidR="00C821EA">
        <w:t>EA</w:t>
      </w:r>
    </w:p>
    <w:p w14:paraId="1534C3C8" w14:textId="28C76D41" w:rsidR="008478FE" w:rsidRPr="008478FE" w:rsidRDefault="008478FE" w:rsidP="005B0749">
      <w:pPr>
        <w:pStyle w:val="05Paragraph"/>
        <w:rPr>
          <w:noProof/>
          <w:lang w:eastAsia="en-AU"/>
        </w:rPr>
      </w:pPr>
      <w:r w:rsidRPr="008478FE">
        <w:rPr>
          <w:noProof/>
          <w:lang w:eastAsia="en-AU"/>
        </w:rPr>
        <w:t xml:space="preserve">Unlike executives, whose remuneration and employment conditions are set out in the </w:t>
      </w:r>
      <w:r w:rsidR="00B551DA">
        <w:rPr>
          <w:noProof/>
          <w:lang w:eastAsia="en-AU"/>
        </w:rPr>
        <w:t xml:space="preserve">VPS </w:t>
      </w:r>
      <w:r w:rsidRPr="008478FE">
        <w:rPr>
          <w:noProof/>
          <w:lang w:eastAsia="en-AU"/>
        </w:rPr>
        <w:t xml:space="preserve">Handbook and </w:t>
      </w:r>
      <w:r w:rsidR="00E80A85">
        <w:rPr>
          <w:noProof/>
          <w:lang w:eastAsia="en-AU"/>
        </w:rPr>
        <w:t>s</w:t>
      </w:r>
      <w:r w:rsidRPr="008478FE">
        <w:rPr>
          <w:noProof/>
          <w:lang w:eastAsia="en-AU"/>
        </w:rPr>
        <w:t xml:space="preserve">tandard </w:t>
      </w:r>
      <w:r w:rsidR="00E80A85">
        <w:rPr>
          <w:noProof/>
          <w:lang w:eastAsia="en-AU"/>
        </w:rPr>
        <w:t>c</w:t>
      </w:r>
      <w:r w:rsidRPr="008478FE">
        <w:rPr>
          <w:noProof/>
          <w:lang w:eastAsia="en-AU"/>
        </w:rPr>
        <w:t xml:space="preserve">ontract (see Chapter 3), non-executive VPS employees are covered by an </w:t>
      </w:r>
      <w:r w:rsidR="00F121C4">
        <w:rPr>
          <w:noProof/>
          <w:lang w:eastAsia="en-AU"/>
        </w:rPr>
        <w:t>EA</w:t>
      </w:r>
      <w:r w:rsidRPr="008478FE">
        <w:rPr>
          <w:noProof/>
          <w:lang w:eastAsia="en-AU"/>
        </w:rPr>
        <w:t xml:space="preserve">. The current agreement, the </w:t>
      </w:r>
      <w:r w:rsidR="00F121C4">
        <w:rPr>
          <w:noProof/>
          <w:lang w:eastAsia="en-AU"/>
        </w:rPr>
        <w:t>VPS EA 2020</w:t>
      </w:r>
      <w:r w:rsidRPr="008478FE">
        <w:rPr>
          <w:noProof/>
          <w:lang w:eastAsia="en-AU"/>
        </w:rPr>
        <w:t xml:space="preserve">, </w:t>
      </w:r>
      <w:r w:rsidRPr="008478FE">
        <w:rPr>
          <w:noProof/>
          <w:lang w:eastAsia="en-AU"/>
        </w:rPr>
        <w:lastRenderedPageBreak/>
        <w:t>nominally expired in March 2024, but remained in operation while a new agreement was being negotiated.</w:t>
      </w:r>
    </w:p>
    <w:p w14:paraId="2447860E" w14:textId="46C1FA80" w:rsidR="008478FE" w:rsidRPr="008478FE" w:rsidRDefault="008478FE" w:rsidP="005B0749">
      <w:pPr>
        <w:pStyle w:val="05Paragraph"/>
        <w:rPr>
          <w:noProof/>
          <w:lang w:eastAsia="en-AU"/>
        </w:rPr>
      </w:pPr>
      <w:r w:rsidRPr="008478FE">
        <w:rPr>
          <w:noProof/>
          <w:lang w:eastAsia="en-AU"/>
        </w:rPr>
        <w:t xml:space="preserve">Prior to the making this Determination, the Secretary of </w:t>
      </w:r>
      <w:r w:rsidR="00667E7C">
        <w:rPr>
          <w:noProof/>
          <w:lang w:eastAsia="en-AU"/>
        </w:rPr>
        <w:t>DPC</w:t>
      </w:r>
      <w:r w:rsidRPr="008478FE">
        <w:rPr>
          <w:noProof/>
          <w:lang w:eastAsia="en-AU"/>
        </w:rPr>
        <w:t xml:space="preserve"> announced that the Victorian Government and the Community and Public Sector Union had reached in</w:t>
      </w:r>
      <w:r w:rsidRPr="008478FE">
        <w:rPr>
          <w:noProof/>
          <w:lang w:eastAsia="en-AU"/>
        </w:rPr>
        <w:noBreakHyphen/>
        <w:t xml:space="preserve">principle agreement on the core terms and conditions that will form part of a new VPS </w:t>
      </w:r>
      <w:r w:rsidR="003726F1">
        <w:rPr>
          <w:noProof/>
          <w:lang w:eastAsia="en-AU"/>
        </w:rPr>
        <w:t>EA</w:t>
      </w:r>
      <w:r w:rsidRPr="008478FE">
        <w:rPr>
          <w:noProof/>
          <w:lang w:eastAsia="en-AU"/>
        </w:rPr>
        <w:t>.</w:t>
      </w:r>
      <w:r w:rsidRPr="008478FE">
        <w:rPr>
          <w:noProof/>
          <w:vertAlign w:val="superscript"/>
          <w:lang w:eastAsia="en-AU"/>
        </w:rPr>
        <w:footnoteReference w:id="261"/>
      </w:r>
      <w:r w:rsidRPr="008478FE">
        <w:rPr>
          <w:noProof/>
          <w:lang w:eastAsia="en-AU"/>
        </w:rPr>
        <w:t xml:space="preserve"> However, at the time of making this Determination, VPS staff had yet to vote on the agreement. If approved, the agreement will also need to be lodged with the FWC for approval.</w:t>
      </w:r>
    </w:p>
    <w:p w14:paraId="66EE9BFA" w14:textId="77777777" w:rsidR="008478FE" w:rsidRPr="008478FE" w:rsidRDefault="008478FE" w:rsidP="005B0749">
      <w:pPr>
        <w:pStyle w:val="05Paragraph"/>
        <w:rPr>
          <w:noProof/>
          <w:lang w:eastAsia="en-AU"/>
        </w:rPr>
      </w:pPr>
      <w:r w:rsidRPr="008478FE">
        <w:rPr>
          <w:noProof/>
          <w:lang w:eastAsia="en-AU"/>
        </w:rPr>
        <w:t>The draft agreement provides for:</w:t>
      </w:r>
    </w:p>
    <w:p w14:paraId="6AE2BE4D" w14:textId="77777777" w:rsidR="008478FE" w:rsidRPr="008478FE" w:rsidRDefault="008478FE" w:rsidP="00FE1197">
      <w:pPr>
        <w:pStyle w:val="06VIRTBulletpoints"/>
        <w:rPr>
          <w:lang w:eastAsia="en-AU"/>
        </w:rPr>
      </w:pPr>
      <w:r w:rsidRPr="008478FE">
        <w:rPr>
          <w:lang w:eastAsia="en-AU"/>
        </w:rPr>
        <w:t xml:space="preserve">annual salary </w:t>
      </w:r>
      <w:r w:rsidRPr="005B0749">
        <w:t>increases</w:t>
      </w:r>
      <w:r w:rsidRPr="008478FE">
        <w:rPr>
          <w:lang w:eastAsia="en-AU"/>
        </w:rPr>
        <w:t xml:space="preserve"> of 3 per cent over the life of the agreement, effective from 1 May each year</w:t>
      </w:r>
    </w:p>
    <w:p w14:paraId="17AB932D" w14:textId="77777777" w:rsidR="008478FE" w:rsidRPr="008478FE" w:rsidRDefault="008478FE" w:rsidP="00FE1197">
      <w:pPr>
        <w:pStyle w:val="06VIRTBulletpoints"/>
        <w:rPr>
          <w:lang w:eastAsia="en-AU"/>
        </w:rPr>
      </w:pPr>
      <w:r w:rsidRPr="008478FE">
        <w:rPr>
          <w:lang w:eastAsia="en-AU"/>
        </w:rPr>
        <w:t xml:space="preserve">a once-off lump sum </w:t>
      </w:r>
      <w:r w:rsidRPr="005B0749">
        <w:t>payment</w:t>
      </w:r>
      <w:r w:rsidRPr="008478FE">
        <w:rPr>
          <w:lang w:eastAsia="en-AU"/>
        </w:rPr>
        <w:t xml:space="preserve"> of $5,600 (pro-rated for part-time and eligible casual employees) for all non-executive employees, regardless of classification, who are employed on 28 June 2024</w:t>
      </w:r>
    </w:p>
    <w:p w14:paraId="2C39DAEC" w14:textId="77777777" w:rsidR="008478FE" w:rsidRPr="008478FE" w:rsidRDefault="008478FE" w:rsidP="006B4341">
      <w:pPr>
        <w:pStyle w:val="06VIRTBulletpoints"/>
        <w:rPr>
          <w:lang w:eastAsia="en-AU"/>
        </w:rPr>
      </w:pPr>
      <w:r w:rsidRPr="008478FE">
        <w:rPr>
          <w:lang w:eastAsia="en-AU"/>
        </w:rPr>
        <w:t>an additional once-off payment of $1,000 (also calculated on a pro</w:t>
      </w:r>
      <w:r w:rsidRPr="008478FE">
        <w:rPr>
          <w:lang w:eastAsia="en-AU"/>
        </w:rPr>
        <w:noBreakHyphen/>
        <w:t>rata basis) will also be payable to eligible shift workers employed on 1 October 2024</w:t>
      </w:r>
    </w:p>
    <w:p w14:paraId="429064B4" w14:textId="77777777" w:rsidR="008478FE" w:rsidRPr="008478FE" w:rsidRDefault="008478FE" w:rsidP="00FE1197">
      <w:pPr>
        <w:pStyle w:val="06VIRTBulletpoints"/>
        <w:rPr>
          <w:lang w:eastAsia="en-AU"/>
        </w:rPr>
      </w:pPr>
      <w:r w:rsidRPr="008478FE">
        <w:rPr>
          <w:lang w:eastAsia="en-AU"/>
        </w:rPr>
        <w:t xml:space="preserve">an increase to the lump sum payment (from 1 per cent to 1.5 per cent of base salary) paid to </w:t>
      </w:r>
      <w:r w:rsidRPr="005B0749">
        <w:t>employees</w:t>
      </w:r>
      <w:r w:rsidRPr="008478FE">
        <w:rPr>
          <w:lang w:eastAsia="en-AU"/>
        </w:rPr>
        <w:t xml:space="preserve"> at the top of their grade or value range who are assessed as having met their progression criteria.</w:t>
      </w:r>
    </w:p>
    <w:p w14:paraId="3874267B" w14:textId="77777777" w:rsidR="008478FE" w:rsidRPr="008478FE" w:rsidRDefault="008478FE" w:rsidP="005B0749">
      <w:pPr>
        <w:pStyle w:val="05Paragraph"/>
        <w:rPr>
          <w:noProof/>
          <w:lang w:eastAsia="en-AU"/>
        </w:rPr>
      </w:pPr>
      <w:r w:rsidRPr="008478FE">
        <w:rPr>
          <w:noProof/>
          <w:lang w:eastAsia="en-AU"/>
        </w:rPr>
        <w:t>Under the draft agreement, VPS staff would also retain access to annual progression payments and the mobility payment.</w:t>
      </w:r>
    </w:p>
    <w:p w14:paraId="762A3B52" w14:textId="2EC1FA89" w:rsidR="008478FE" w:rsidRDefault="008478FE">
      <w:pPr>
        <w:spacing w:before="0" w:after="80" w:line="240" w:lineRule="auto"/>
        <w:jc w:val="left"/>
        <w:rPr>
          <w:color w:val="auto"/>
        </w:rPr>
      </w:pPr>
      <w:r>
        <w:rPr>
          <w:color w:val="auto"/>
        </w:rPr>
        <w:br w:type="page"/>
      </w:r>
    </w:p>
    <w:p w14:paraId="5248E3DB" w14:textId="444836EC" w:rsidR="007639AB" w:rsidRPr="007639AB" w:rsidRDefault="00A25AC4" w:rsidP="00A25AC4">
      <w:pPr>
        <w:pStyle w:val="01Chapterheading"/>
        <w:rPr>
          <w:rFonts w:eastAsia="Rockwell"/>
          <w:color w:val="26664E"/>
        </w:rPr>
      </w:pPr>
      <w:bookmarkStart w:id="162" w:name="_Toc169878479"/>
      <w:bookmarkStart w:id="163" w:name="_Toc170396242"/>
      <w:r w:rsidRPr="00C90E7D">
        <w:lastRenderedPageBreak/>
        <w:t>7</w:t>
      </w:r>
      <w:r w:rsidR="008A7DEE" w:rsidRPr="00C90E7D">
        <w:tab/>
      </w:r>
      <w:r w:rsidR="007639AB" w:rsidRPr="00C90E7D">
        <w:t>Tribunal’s considerations</w:t>
      </w:r>
      <w:r w:rsidR="00764645">
        <w:rPr>
          <w:rFonts w:eastAsia="Rockwell"/>
          <w:color w:val="26664E"/>
        </w:rPr>
        <w:br/>
      </w:r>
      <w:r w:rsidRPr="00C02C39">
        <w:rPr>
          <w:noProof/>
        </w:rPr>
        <w:drawing>
          <wp:inline distT="0" distB="0" distL="0" distR="0" wp14:anchorId="698DC744" wp14:editId="7F227588">
            <wp:extent cx="2222500" cy="253365"/>
            <wp:effectExtent l="0" t="0" r="6350" b="0"/>
            <wp:docPr id="711446891" name="Picture 711446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23">
                      <a:extLst>
                        <a:ext uri="{28A0092B-C50C-407E-A947-70E740481C1C}">
                          <a14:useLocalDpi xmlns:a14="http://schemas.microsoft.com/office/drawing/2010/main" val="0"/>
                        </a:ext>
                      </a:extLst>
                    </a:blip>
                    <a:stretch>
                      <a:fillRect/>
                    </a:stretch>
                  </pic:blipFill>
                  <pic:spPr>
                    <a:xfrm>
                      <a:off x="0" y="0"/>
                      <a:ext cx="2222500" cy="253365"/>
                    </a:xfrm>
                    <a:prstGeom prst="rect">
                      <a:avLst/>
                    </a:prstGeom>
                  </pic:spPr>
                </pic:pic>
              </a:graphicData>
            </a:graphic>
          </wp:inline>
        </w:drawing>
      </w:r>
      <w:bookmarkEnd w:id="162"/>
      <w:bookmarkEnd w:id="163"/>
    </w:p>
    <w:p w14:paraId="27F6EBBD" w14:textId="77777777" w:rsidR="00126902" w:rsidRPr="007639AB" w:rsidRDefault="00126902" w:rsidP="00EF41FD">
      <w:pPr>
        <w:pStyle w:val="05Paragraph"/>
      </w:pPr>
      <w:r w:rsidRPr="007639AB">
        <w:t>The Tribunal now turns to a discussion of the matters it considered, and the weight it gave to various factors, to reach a decision about the value of remuneration bands for executives employed in public service bodies.</w:t>
      </w:r>
    </w:p>
    <w:p w14:paraId="46BE85CE" w14:textId="222FA71A" w:rsidR="00126902" w:rsidRPr="007639AB" w:rsidRDefault="00126902" w:rsidP="00126902">
      <w:pPr>
        <w:pStyle w:val="05Paragraph"/>
      </w:pPr>
      <w:r w:rsidRPr="007639AB">
        <w:t>The overall analytical framework is set by the VI</w:t>
      </w:r>
      <w:r w:rsidR="00C90E7D">
        <w:t>R</w:t>
      </w:r>
      <w:r w:rsidRPr="007639AB">
        <w:t>TIPS Act which requires that, in making its determinations, the Tribunal must consider the following:</w:t>
      </w:r>
    </w:p>
    <w:p w14:paraId="16200901" w14:textId="77777777" w:rsidR="00126902" w:rsidRPr="00126902" w:rsidRDefault="00126902" w:rsidP="00126902">
      <w:pPr>
        <w:pStyle w:val="06VIRTBulletpoints"/>
      </w:pPr>
      <w:r w:rsidRPr="00126902">
        <w:t>the existing remuneration provided to executives</w:t>
      </w:r>
    </w:p>
    <w:p w14:paraId="660624AE" w14:textId="6BFEFCDF" w:rsidR="00126902" w:rsidRPr="00126902" w:rsidRDefault="00126902" w:rsidP="00126902">
      <w:pPr>
        <w:pStyle w:val="06VIRTBulletpoints"/>
      </w:pPr>
      <w:r w:rsidRPr="00126902">
        <w:t xml:space="preserve">any statement </w:t>
      </w:r>
      <w:r w:rsidR="00101EEB">
        <w:t>or</w:t>
      </w:r>
      <w:r w:rsidRPr="00126902">
        <w:t xml:space="preserve"> policy issued by the Government of Victoria which is in force with respect to its wages policy</w:t>
      </w:r>
    </w:p>
    <w:p w14:paraId="14BA25B1" w14:textId="77777777" w:rsidR="00126902" w:rsidRPr="00126902" w:rsidRDefault="00126902" w:rsidP="00126902">
      <w:pPr>
        <w:pStyle w:val="06VIRTBulletpoints"/>
      </w:pPr>
      <w:r w:rsidRPr="00126902">
        <w:t xml:space="preserve">the financial position and fiscal strategy of the State </w:t>
      </w:r>
    </w:p>
    <w:p w14:paraId="4444C227" w14:textId="77777777" w:rsidR="00126902" w:rsidRPr="00126902" w:rsidRDefault="00126902" w:rsidP="00126902">
      <w:pPr>
        <w:pStyle w:val="06VIRTBulletpoints"/>
      </w:pPr>
      <w:r w:rsidRPr="00126902">
        <w:t>current and projected economic conditions and trends</w:t>
      </w:r>
    </w:p>
    <w:p w14:paraId="1CD93D9E" w14:textId="31F3B4AC" w:rsidR="00126902" w:rsidRPr="00126902" w:rsidRDefault="00126902" w:rsidP="00126902">
      <w:pPr>
        <w:pStyle w:val="06VIRTBulletpoints"/>
      </w:pPr>
      <w:r w:rsidRPr="00126902">
        <w:t xml:space="preserve">submissions received in relation to the proposed </w:t>
      </w:r>
      <w:r w:rsidR="00C23B34">
        <w:t>D</w:t>
      </w:r>
      <w:r w:rsidRPr="00126902">
        <w:t>etermination.</w:t>
      </w:r>
    </w:p>
    <w:p w14:paraId="551D9C02" w14:textId="77777777" w:rsidR="00126902" w:rsidRPr="00126902" w:rsidRDefault="00126902" w:rsidP="00126902">
      <w:pPr>
        <w:pStyle w:val="06VIRTBulletpoints"/>
      </w:pPr>
      <w:r w:rsidRPr="00126902">
        <w:t>a comprehensive review of the roles of executives employed in public service bodies.</w:t>
      </w:r>
    </w:p>
    <w:p w14:paraId="6BF6C8BF" w14:textId="77777777" w:rsidR="00126902" w:rsidRPr="007639AB" w:rsidRDefault="00126902" w:rsidP="00EF41FD">
      <w:pPr>
        <w:pStyle w:val="05Paragraph"/>
      </w:pPr>
      <w:r w:rsidRPr="007639AB">
        <w:t>The Tribunal may also provide for any other matter it considers relevant.</w:t>
      </w:r>
    </w:p>
    <w:p w14:paraId="75804749" w14:textId="77777777" w:rsidR="00126902" w:rsidRPr="007639AB" w:rsidRDefault="00126902" w:rsidP="00EF41FD">
      <w:pPr>
        <w:pStyle w:val="05Paragraph"/>
      </w:pPr>
      <w:r w:rsidRPr="007639AB">
        <w:t xml:space="preserve">Detailed information and data supporting the analysis can be found in the earlier chapters of this statement. Chapter 2 discusses the roles and responsibilities of VPS executives, drawing on the Tribunal’s consultations and research. An overview of the existing employment and remuneration arrangements for executives is provided in </w:t>
      </w:r>
      <w:r>
        <w:t>C</w:t>
      </w:r>
      <w:r w:rsidRPr="007639AB">
        <w:t>hapter 3.</w:t>
      </w:r>
    </w:p>
    <w:p w14:paraId="553BBE1E" w14:textId="77777777" w:rsidR="00126902" w:rsidRPr="007639AB" w:rsidRDefault="00126902" w:rsidP="00126902">
      <w:pPr>
        <w:pStyle w:val="05Paragraph"/>
      </w:pPr>
      <w:r w:rsidRPr="007639AB">
        <w:t xml:space="preserve">Chapter 4 describes the executive labour market, including current demand and supply factors and presents the remuneration benchmarking analysis commissioned by the Tribunal. In </w:t>
      </w:r>
      <w:r>
        <w:t>C</w:t>
      </w:r>
      <w:r w:rsidRPr="007639AB">
        <w:t>hapter 5, comparisons are made between executive remuneration arrangements across selected Australian jurisdictions. Chapter 6 details relevant macroeconomic and financial considerations. Submissions received by the Tribunal, including responses to the Tribunal’s executive questionnaire, are cited throughout the Statement of Reasons.</w:t>
      </w:r>
    </w:p>
    <w:p w14:paraId="6FF975D0" w14:textId="5B608A1C" w:rsidR="00126902" w:rsidRPr="00EF41FD" w:rsidRDefault="00DC615F" w:rsidP="0019196F">
      <w:pPr>
        <w:pStyle w:val="02VIRTHeading2"/>
      </w:pPr>
      <w:bookmarkStart w:id="164" w:name="_Toc170396243"/>
      <w:r>
        <w:lastRenderedPageBreak/>
        <w:t>7.1</w:t>
      </w:r>
      <w:r>
        <w:tab/>
      </w:r>
      <w:r w:rsidR="00126902" w:rsidRPr="00EF41FD">
        <w:t>Factors supporting an increase in the level of the remuneration bands</w:t>
      </w:r>
      <w:bookmarkEnd w:id="164"/>
    </w:p>
    <w:p w14:paraId="5029A280" w14:textId="77777777" w:rsidR="00126902" w:rsidRPr="007639AB" w:rsidRDefault="00126902" w:rsidP="00EF41FD">
      <w:pPr>
        <w:pStyle w:val="03VIRTHeading3"/>
      </w:pPr>
      <w:r w:rsidRPr="007639AB">
        <w:t>The changing nature of the role</w:t>
      </w:r>
    </w:p>
    <w:p w14:paraId="684BDEBE" w14:textId="677C5A89" w:rsidR="00126902" w:rsidRPr="007639AB" w:rsidRDefault="00126902" w:rsidP="00EF41FD">
      <w:pPr>
        <w:pStyle w:val="05Paragraph"/>
      </w:pPr>
      <w:r w:rsidRPr="007639AB">
        <w:t xml:space="preserve">The first part of the analysis identifies a number of factors which, taken together, provide evidence for the appropriateness of a significant increase to the remuneration </w:t>
      </w:r>
      <w:r w:rsidR="002127F3">
        <w:t xml:space="preserve">bands </w:t>
      </w:r>
      <w:r w:rsidRPr="007639AB">
        <w:t xml:space="preserve">for VPS executives. The second part sets these considerations in a broader context including the government’s </w:t>
      </w:r>
      <w:r w:rsidR="00CE56BA">
        <w:t>current W</w:t>
      </w:r>
      <w:r w:rsidRPr="007639AB">
        <w:t xml:space="preserve">ages </w:t>
      </w:r>
      <w:r w:rsidR="00CE56BA">
        <w:t>P</w:t>
      </w:r>
      <w:r w:rsidRPr="007639AB">
        <w:t xml:space="preserve">olicy and the financial position and fiscal strategy of the State. </w:t>
      </w:r>
    </w:p>
    <w:p w14:paraId="41ACFB7C" w14:textId="41C2CDAF" w:rsidR="00126902" w:rsidRPr="007639AB" w:rsidRDefault="00126902" w:rsidP="00EF41FD">
      <w:pPr>
        <w:pStyle w:val="05Paragraph"/>
      </w:pPr>
      <w:r w:rsidRPr="007639AB">
        <w:t xml:space="preserve">First, in support of an increase, there is compelling evidence of a significant change in the role of executives since the Tribunal’s first determination four years ago. While core responsibilities have more or less remained constant, workload, complexity and public scrutiny associated with the role have all increased. While workload might suggest solutions other than remuneration, the latter two </w:t>
      </w:r>
      <w:r w:rsidR="00261033">
        <w:t>—</w:t>
      </w:r>
      <w:r w:rsidRPr="007639AB">
        <w:t xml:space="preserve"> and in particular public scrutiny </w:t>
      </w:r>
      <w:r w:rsidR="00261033">
        <w:t>—</w:t>
      </w:r>
      <w:r w:rsidRPr="007639AB">
        <w:t xml:space="preserve"> bear directly on </w:t>
      </w:r>
      <w:r w:rsidR="006E006B">
        <w:t xml:space="preserve">the considerations for setting </w:t>
      </w:r>
      <w:r w:rsidRPr="007639AB">
        <w:t xml:space="preserve">remuneration </w:t>
      </w:r>
      <w:r w:rsidR="002127F3">
        <w:t>band</w:t>
      </w:r>
      <w:r w:rsidR="006E006B">
        <w:t>s</w:t>
      </w:r>
      <w:r w:rsidRPr="007639AB">
        <w:t>.</w:t>
      </w:r>
    </w:p>
    <w:p w14:paraId="2438A36F" w14:textId="0441E441" w:rsidR="00126902" w:rsidRDefault="00126902" w:rsidP="00EF41FD">
      <w:pPr>
        <w:pStyle w:val="05Paragraph"/>
      </w:pPr>
      <w:r w:rsidRPr="007639AB">
        <w:t xml:space="preserve">A high degree of accountability and the public examination of executives in the </w:t>
      </w:r>
      <w:r w:rsidR="00DC615F">
        <w:t>VPS</w:t>
      </w:r>
      <w:r w:rsidRPr="007639AB">
        <w:t xml:space="preserve"> is, and has always been, highly appropriate. However, information provided to the Tribunal suggests that the shift in public scrutiny has been towards personal targeting and the introduction of a political dimension and a level of aggressiveness not evident in the past. </w:t>
      </w:r>
    </w:p>
    <w:p w14:paraId="2BE29591" w14:textId="77777777" w:rsidR="00126902" w:rsidRPr="007639AB" w:rsidRDefault="00126902" w:rsidP="00EF41FD">
      <w:pPr>
        <w:pStyle w:val="05Paragraph"/>
        <w:rPr>
          <w:highlight w:val="yellow"/>
        </w:rPr>
      </w:pPr>
      <w:r w:rsidRPr="007639AB">
        <w:t xml:space="preserve">The resultant increased risk of reputational damage, together with a limited capacity to respond and an associated damage to employment prospects, has had a significant impact on the number of people willing to serve in senior roles in the Victorian public sector. Moreover, those who are risk averse are discouraged leading to negative consequences for diversity. </w:t>
      </w:r>
    </w:p>
    <w:p w14:paraId="2E90B704" w14:textId="48BC2B97" w:rsidR="00126902" w:rsidRPr="007639AB" w:rsidRDefault="00126902" w:rsidP="00EF41FD">
      <w:pPr>
        <w:pStyle w:val="05Paragraph"/>
      </w:pPr>
      <w:r w:rsidRPr="007639AB">
        <w:t>Similar views were expressed in the submission from the V</w:t>
      </w:r>
      <w:r w:rsidR="00140B38">
        <w:t>PSC</w:t>
      </w:r>
      <w:r w:rsidRPr="007639AB">
        <w:t xml:space="preserve"> which noted that, notwithstanding the importance of accountability, the frequency, intensity and often widely reported nature of this scrutiny can have a negative impact on executives’ mental health and their future financial earning capacity. </w:t>
      </w:r>
    </w:p>
    <w:p w14:paraId="00C9D80B" w14:textId="77777777" w:rsidR="00126902" w:rsidRDefault="00126902" w:rsidP="00EF41FD">
      <w:pPr>
        <w:pStyle w:val="05Paragraph"/>
      </w:pPr>
      <w:r w:rsidRPr="007639AB">
        <w:t xml:space="preserve">It is the view of the Tribunal that this is not simply a passing phase but rather reflects structural changes in the system which are here to stay. The situation is not eased when the challenges of the near future are considered. There is an </w:t>
      </w:r>
      <w:r w:rsidRPr="007639AB">
        <w:lastRenderedPageBreak/>
        <w:t>increasing tendency, for example, for personal responsibility to attach to big system failures including as the result of cyber-attacks, as well as to the management of natural disasters and to those functions involving the direct care of community members.</w:t>
      </w:r>
    </w:p>
    <w:p w14:paraId="5A71CB54" w14:textId="29E3224F" w:rsidR="00126902" w:rsidRPr="007639AB" w:rsidRDefault="00126902" w:rsidP="00EF41FD">
      <w:pPr>
        <w:pStyle w:val="05Paragraph"/>
      </w:pPr>
      <w:r w:rsidRPr="007639AB">
        <w:t xml:space="preserve">In each of these areas and others the level of exposure and risk for senior executives has increased dramatically leading some to </w:t>
      </w:r>
      <w:r>
        <w:t xml:space="preserve">not take up more senior roles or to </w:t>
      </w:r>
      <w:r w:rsidRPr="007639AB">
        <w:t>contemplate whether a career in the private sector may be a more attractive option.</w:t>
      </w:r>
    </w:p>
    <w:p w14:paraId="5A922B3C" w14:textId="77777777" w:rsidR="00126902" w:rsidRDefault="00126902" w:rsidP="00EF41FD">
      <w:pPr>
        <w:pStyle w:val="05Paragraph"/>
      </w:pPr>
      <w:r w:rsidRPr="007639AB">
        <w:t>In terms of complexity, there are a number of challenges that arise from leading a hybrid workforce including finding new ways to stimulate connections and creativity</w:t>
      </w:r>
      <w:r>
        <w:t>, manage performance</w:t>
      </w:r>
      <w:r w:rsidRPr="007639AB">
        <w:t xml:space="preserve"> and to build trust and relationships within and across teams and organisations. These challenges include maximising productivity by redesigning work to focus on a ‘digital-first’ way of working and by managing the introduction of AI. </w:t>
      </w:r>
    </w:p>
    <w:p w14:paraId="34917A4F" w14:textId="77777777" w:rsidR="00126902" w:rsidRPr="007639AB" w:rsidRDefault="00126902" w:rsidP="00EF41FD">
      <w:pPr>
        <w:pStyle w:val="05Paragraph"/>
      </w:pPr>
      <w:r w:rsidRPr="007639AB">
        <w:t xml:space="preserve">There has been a major expansion in program and project delivery across all spheres of government co-existent with the implementation of savings initiatives and the re-setting of staffing levels. And there has been a significant growth in the number of portfolios serviced by the VPS along with a continued focus on cross-portfolio </w:t>
      </w:r>
      <w:r>
        <w:t xml:space="preserve">and social reform </w:t>
      </w:r>
      <w:r w:rsidRPr="007639AB">
        <w:t>initiatives</w:t>
      </w:r>
      <w:r>
        <w:t xml:space="preserve"> that touch on every aspect of public service activity</w:t>
      </w:r>
      <w:r w:rsidRPr="007639AB">
        <w:t>.</w:t>
      </w:r>
    </w:p>
    <w:p w14:paraId="4C0DF68D" w14:textId="77777777" w:rsidR="00126902" w:rsidRPr="007639AB" w:rsidRDefault="00126902" w:rsidP="00EF41FD">
      <w:pPr>
        <w:pStyle w:val="03VIRTHeading3"/>
      </w:pPr>
      <w:r w:rsidRPr="007639AB">
        <w:t>Market positioning and competitiveness</w:t>
      </w:r>
    </w:p>
    <w:p w14:paraId="4EB84E7F" w14:textId="77777777" w:rsidR="00126902" w:rsidRPr="007639AB" w:rsidRDefault="00126902" w:rsidP="00EF41FD">
      <w:pPr>
        <w:pStyle w:val="05Paragraph"/>
      </w:pPr>
      <w:r w:rsidRPr="007639AB">
        <w:t xml:space="preserve">The second issue relates to the level of competitiveness of the Victorian Public Service compared to the private sector and other public sector jurisdictions with which Victoria competes for talent. </w:t>
      </w:r>
    </w:p>
    <w:p w14:paraId="0FA83EB9" w14:textId="2E7756BD" w:rsidR="00126902" w:rsidRPr="007639AB" w:rsidRDefault="00126902" w:rsidP="00EF41FD">
      <w:pPr>
        <w:pStyle w:val="05Paragraph"/>
      </w:pPr>
      <w:r w:rsidRPr="007639AB">
        <w:t xml:space="preserve">The </w:t>
      </w:r>
      <w:r w:rsidRPr="00BC3D32">
        <w:t>Tribunal</w:t>
      </w:r>
      <w:r w:rsidRPr="007639AB">
        <w:t xml:space="preserve"> engaged recruitment firm Mercer to undertake a detailed analysis of the market for executives. The details </w:t>
      </w:r>
      <w:r w:rsidRPr="00BC4E70">
        <w:t xml:space="preserve">of </w:t>
      </w:r>
      <w:r w:rsidRPr="0019196F">
        <w:t xml:space="preserve">Mercer’s findings are set out in Chapter 4. </w:t>
      </w:r>
    </w:p>
    <w:p w14:paraId="447AF7DA" w14:textId="3CAD42BB" w:rsidR="00126902" w:rsidRDefault="00126902" w:rsidP="00EF41FD">
      <w:pPr>
        <w:pStyle w:val="05Paragraph"/>
      </w:pPr>
      <w:r w:rsidRPr="007639AB">
        <w:t>Of particular relevance to this analysis, however, is the positioning of the VPS in the A</w:t>
      </w:r>
      <w:r w:rsidR="00F53EBE">
        <w:t>GM</w:t>
      </w:r>
      <w:r w:rsidRPr="007639AB">
        <w:t xml:space="preserve"> </w:t>
      </w:r>
      <w:r w:rsidRPr="00BC3D32">
        <w:t>(which refers to Mercer’s remuneration database for positions within Australia comprising over 700,000 remuneration records covering the private, public and not-for-profit sectors).</w:t>
      </w:r>
    </w:p>
    <w:p w14:paraId="3C834C53" w14:textId="078F8439" w:rsidR="00126902" w:rsidRPr="007639AB" w:rsidRDefault="00A159F7" w:rsidP="00EF41FD">
      <w:pPr>
        <w:pStyle w:val="05Paragraph"/>
        <w:rPr>
          <w:color w:val="000000"/>
        </w:rPr>
      </w:pPr>
      <w:r>
        <w:t>P</w:t>
      </w:r>
      <w:r w:rsidR="006B4341" w:rsidRPr="006B4341">
        <w:t xml:space="preserve">ay practices for public sector executives </w:t>
      </w:r>
      <w:r w:rsidR="00126902" w:rsidRPr="006B4341">
        <w:t xml:space="preserve">in most Australian jurisdictions </w:t>
      </w:r>
      <w:r w:rsidR="006B4341" w:rsidRPr="006B4341">
        <w:t xml:space="preserve">are generally closer </w:t>
      </w:r>
      <w:r w:rsidR="00126902" w:rsidRPr="006B4341">
        <w:t>to the 15</w:t>
      </w:r>
      <w:r w:rsidR="00126902" w:rsidRPr="00D662DD">
        <w:rPr>
          <w:vertAlign w:val="superscript"/>
        </w:rPr>
        <w:t>th</w:t>
      </w:r>
      <w:r w:rsidR="00126902" w:rsidRPr="006B4341">
        <w:t xml:space="preserve"> percentile of the AGM</w:t>
      </w:r>
      <w:r w:rsidR="00126902" w:rsidRPr="007639AB">
        <w:t xml:space="preserve">. This means that 85 per cent of all executives performing roles with the same work value are paid more than </w:t>
      </w:r>
      <w:r w:rsidR="00126902" w:rsidRPr="007639AB">
        <w:lastRenderedPageBreak/>
        <w:t xml:space="preserve">executives in the VPS </w:t>
      </w:r>
      <w:r w:rsidR="00261033">
        <w:t>—</w:t>
      </w:r>
      <w:r w:rsidR="00126902" w:rsidRPr="007639AB">
        <w:t xml:space="preserve"> reflectin</w:t>
      </w:r>
      <w:r w:rsidR="00126902" w:rsidRPr="007639AB">
        <w:rPr>
          <w:color w:val="000000"/>
        </w:rPr>
        <w:t>g, in part</w:t>
      </w:r>
      <w:r w:rsidR="00126902">
        <w:rPr>
          <w:color w:val="000000"/>
        </w:rPr>
        <w:t>,</w:t>
      </w:r>
      <w:r w:rsidR="00126902" w:rsidRPr="007639AB">
        <w:rPr>
          <w:color w:val="000000"/>
        </w:rPr>
        <w:t xml:space="preserve"> the value attached to the non-salary benefits of working in the public service </w:t>
      </w:r>
      <w:r w:rsidR="00261033">
        <w:rPr>
          <w:color w:val="000000"/>
        </w:rPr>
        <w:t>—</w:t>
      </w:r>
      <w:r w:rsidR="00126902" w:rsidRPr="007639AB">
        <w:rPr>
          <w:color w:val="000000"/>
        </w:rPr>
        <w:t xml:space="preserve"> the satisfaction that comes from the opportunity to serve the community and make a difference for example.</w:t>
      </w:r>
    </w:p>
    <w:p w14:paraId="1413D5BC" w14:textId="4A78CCE5" w:rsidR="00126902" w:rsidRPr="007639AB" w:rsidRDefault="00126902" w:rsidP="00EF41FD">
      <w:pPr>
        <w:pStyle w:val="05Paragraph"/>
        <w:rPr>
          <w:color w:val="000000"/>
        </w:rPr>
      </w:pPr>
      <w:r w:rsidRPr="007639AB">
        <w:rPr>
          <w:color w:val="000000"/>
        </w:rPr>
        <w:t xml:space="preserve">The critical part of Mercer’s analysis is that, compared to four years ago, current executive remuneration </w:t>
      </w:r>
      <w:r w:rsidR="00261033">
        <w:rPr>
          <w:color w:val="000000"/>
        </w:rPr>
        <w:t>—</w:t>
      </w:r>
      <w:r w:rsidRPr="007639AB">
        <w:rPr>
          <w:color w:val="000000"/>
        </w:rPr>
        <w:t xml:space="preserve"> particularly for senior executives </w:t>
      </w:r>
      <w:r w:rsidR="00261033">
        <w:rPr>
          <w:color w:val="000000"/>
        </w:rPr>
        <w:t>—</w:t>
      </w:r>
      <w:r w:rsidRPr="007639AB">
        <w:rPr>
          <w:color w:val="000000"/>
        </w:rPr>
        <w:t xml:space="preserve"> has fallen further below the 15</w:t>
      </w:r>
      <w:r w:rsidRPr="00D662DD">
        <w:rPr>
          <w:color w:val="000000"/>
          <w:vertAlign w:val="superscript"/>
        </w:rPr>
        <w:t>th</w:t>
      </w:r>
      <w:r w:rsidRPr="007639AB">
        <w:rPr>
          <w:color w:val="000000"/>
        </w:rPr>
        <w:t xml:space="preserve"> percentile of the AGM. Given the importance of a high-performing public sector to the economic performance of the State, this decline in positioning and its impact of the State’s ability to compete for talent should be viewed with some concern. </w:t>
      </w:r>
    </w:p>
    <w:p w14:paraId="57FB4F02" w14:textId="563D8447" w:rsidR="00126902" w:rsidRPr="007639AB" w:rsidRDefault="00126902" w:rsidP="00EF41FD">
      <w:pPr>
        <w:pStyle w:val="05Paragraph"/>
      </w:pPr>
      <w:r w:rsidRPr="007639AB">
        <w:t xml:space="preserve">This is not simply a theoretical observation. As part of the Tribunal’s questionnaire, executives who are involved in the recruitment of other executives were asked to identify the factors affecting the willingness of potential candidates to apply for executive positions or accept an employment offer. Around two-thirds reported ‘significant challenges’ attracting executives. Of these, approximately 90 per cent indicated that the main factor was that the </w:t>
      </w:r>
      <w:r w:rsidR="005F34A2">
        <w:t>t</w:t>
      </w:r>
      <w:r w:rsidRPr="007639AB">
        <w:t xml:space="preserve">otal </w:t>
      </w:r>
      <w:r w:rsidR="005F34A2">
        <w:t>r</w:t>
      </w:r>
      <w:r w:rsidRPr="007639AB">
        <w:t xml:space="preserve">emuneration </w:t>
      </w:r>
      <w:r w:rsidR="005F34A2">
        <w:t>p</w:t>
      </w:r>
      <w:r w:rsidRPr="007639AB">
        <w:t xml:space="preserve">ackage is too low. These are the people who </w:t>
      </w:r>
      <w:r>
        <w:t>have first-hand experience of executive recruitment</w:t>
      </w:r>
      <w:r w:rsidRPr="007639AB">
        <w:t xml:space="preserve"> and are more likely to have </w:t>
      </w:r>
      <w:r>
        <w:t>real knowledge</w:t>
      </w:r>
      <w:r w:rsidRPr="007639AB">
        <w:t xml:space="preserve"> of contemporary market realities.</w:t>
      </w:r>
    </w:p>
    <w:p w14:paraId="5F12E507" w14:textId="77777777" w:rsidR="00126902" w:rsidRPr="007639AB" w:rsidRDefault="00126902" w:rsidP="00EF41FD">
      <w:pPr>
        <w:pStyle w:val="05Paragraph"/>
      </w:pPr>
      <w:r w:rsidRPr="007639AB">
        <w:t>In addition to the current remuneration bands, there is evidence that broader terms and conditions – such as the termination provisions of the employment contract – have also adversely affected recruitment and retention. This is further discussed at the conclusion of this chapter.</w:t>
      </w:r>
    </w:p>
    <w:p w14:paraId="72E92D8F" w14:textId="77777777" w:rsidR="00126902" w:rsidRPr="007639AB" w:rsidRDefault="00126902" w:rsidP="00EF41FD">
      <w:pPr>
        <w:pStyle w:val="03VIRTHeading3"/>
      </w:pPr>
      <w:r w:rsidRPr="007639AB">
        <w:t>Economic considerations</w:t>
      </w:r>
    </w:p>
    <w:p w14:paraId="7685B5FD" w14:textId="22DB072A" w:rsidR="00126902" w:rsidRPr="007639AB" w:rsidRDefault="00126902" w:rsidP="00EF41FD">
      <w:pPr>
        <w:pStyle w:val="05Paragraph"/>
      </w:pPr>
      <w:r w:rsidRPr="007639AB">
        <w:t xml:space="preserve">Although the economic outlook remains mixed, a number of indicators suggest a trend towards a more positive environment for wages growth over the coming years. Nominal wages growth has picked up in response to the tight labour market and high inflation. Real wages are growing again but remain lower than they were a few years ago. For example, since the Tribunal’s first comprehensive </w:t>
      </w:r>
      <w:r w:rsidR="00DA18AB">
        <w:t>D</w:t>
      </w:r>
      <w:r w:rsidRPr="007639AB">
        <w:t xml:space="preserve">etermination four years ago, real wages for executives have declined by </w:t>
      </w:r>
      <w:r w:rsidRPr="009F3316">
        <w:t>7.1</w:t>
      </w:r>
      <w:r w:rsidR="00D662DD">
        <w:t> </w:t>
      </w:r>
      <w:r w:rsidRPr="009F3316">
        <w:t>per cent</w:t>
      </w:r>
      <w:r w:rsidRPr="007639AB">
        <w:t>. Moreover, public sector wages are growing more slowly than private sector wages in Victoria.</w:t>
      </w:r>
    </w:p>
    <w:p w14:paraId="0027B2C8" w14:textId="06FBC29D" w:rsidR="0069252B" w:rsidRDefault="00BC29BC" w:rsidP="00EF41FD">
      <w:pPr>
        <w:pStyle w:val="05Paragraph"/>
      </w:pPr>
      <w:r>
        <w:t>Economic</w:t>
      </w:r>
      <w:r w:rsidRPr="007639AB">
        <w:t xml:space="preserve"> </w:t>
      </w:r>
      <w:r w:rsidR="00126902" w:rsidRPr="007639AB">
        <w:t xml:space="preserve">growth in both Australia and Victoria is expected to pick up in the latter part of this year again creating a more positive outlook for wages growth. Although not directly relevant to the public sector executive cohort, as an indicator of trends in the broader economy, of note is the </w:t>
      </w:r>
      <w:r w:rsidR="00BB53D1">
        <w:t>FWC</w:t>
      </w:r>
      <w:r w:rsidR="00126902" w:rsidRPr="007639AB">
        <w:t>’s decision of 3</w:t>
      </w:r>
      <w:r w:rsidR="008558C0">
        <w:t> </w:t>
      </w:r>
      <w:r w:rsidR="00126902" w:rsidRPr="007639AB">
        <w:t>June</w:t>
      </w:r>
      <w:r w:rsidR="008558C0">
        <w:t> </w:t>
      </w:r>
      <w:r w:rsidR="00DA18AB">
        <w:t>2024</w:t>
      </w:r>
      <w:r w:rsidR="00126902" w:rsidRPr="007639AB">
        <w:t xml:space="preserve"> to lift the </w:t>
      </w:r>
      <w:r w:rsidR="00126902" w:rsidRPr="007639AB">
        <w:lastRenderedPageBreak/>
        <w:t xml:space="preserve">minimum wage by 3.75 per cent slightly above annual inflation to March this year of 3.6 per cent (although it did warn of the inappropriateness of increasing the minimum wage significantly above inflation due to limited growth in labour productivity). </w:t>
      </w:r>
    </w:p>
    <w:p w14:paraId="5D07BC59" w14:textId="3F322FF0" w:rsidR="00126902" w:rsidRPr="00EF41FD" w:rsidRDefault="003E3A54" w:rsidP="003E3A54">
      <w:pPr>
        <w:pStyle w:val="02VIRTHeading2"/>
      </w:pPr>
      <w:bookmarkStart w:id="165" w:name="_Toc169878480"/>
      <w:bookmarkStart w:id="166" w:name="_Toc170396244"/>
      <w:r>
        <w:t>7.2</w:t>
      </w:r>
      <w:r>
        <w:tab/>
      </w:r>
      <w:r w:rsidR="00126902" w:rsidRPr="00EF41FD">
        <w:t>Factors suggesting restraint</w:t>
      </w:r>
      <w:bookmarkEnd w:id="165"/>
      <w:bookmarkEnd w:id="166"/>
    </w:p>
    <w:p w14:paraId="0CD18C96" w14:textId="77777777" w:rsidR="00126902" w:rsidRPr="007639AB" w:rsidRDefault="00126902" w:rsidP="00EF41FD">
      <w:pPr>
        <w:pStyle w:val="03VIRTHeading3"/>
      </w:pPr>
      <w:r w:rsidRPr="007639AB">
        <w:t>Views of the VPS leadership</w:t>
      </w:r>
    </w:p>
    <w:p w14:paraId="5E0B1056" w14:textId="6812156D" w:rsidR="00126902" w:rsidRPr="007639AB" w:rsidRDefault="00126902" w:rsidP="00EF41FD">
      <w:pPr>
        <w:pStyle w:val="05Paragraph"/>
      </w:pPr>
      <w:r w:rsidRPr="007639AB">
        <w:t xml:space="preserve">The first point to note is that submissions from the </w:t>
      </w:r>
      <w:r w:rsidR="00140B38">
        <w:t>VSB</w:t>
      </w:r>
      <w:r w:rsidR="00586F81">
        <w:t xml:space="preserve"> </w:t>
      </w:r>
      <w:r w:rsidRPr="007639AB">
        <w:t xml:space="preserve">and the </w:t>
      </w:r>
      <w:r w:rsidR="00140B38">
        <w:t>VPSC</w:t>
      </w:r>
      <w:r w:rsidRPr="007639AB">
        <w:t xml:space="preserve"> expressed the view that the remuneration bands for public service executives are broadly appropriate.</w:t>
      </w:r>
    </w:p>
    <w:p w14:paraId="697E95C5" w14:textId="77777777" w:rsidR="00126902" w:rsidRPr="007639AB" w:rsidRDefault="00126902" w:rsidP="00EF41FD">
      <w:pPr>
        <w:pStyle w:val="05Paragraph"/>
      </w:pPr>
      <w:r w:rsidRPr="007639AB">
        <w:t>Part of the reasoning can be found in the payment above the band provision in the VIRTIPS Act. Under this provision, an employer may pay an executive above the maximum of the relevant band but first must seek and consider the advice of the Tribunal. The employer is not bound to accept the advice. The fact that relatively few executives are paid above the band (less than 3 per cent) suggests that the bands are generally fair, equitable and competitive for the vast majority of executives.</w:t>
      </w:r>
    </w:p>
    <w:p w14:paraId="3844A14D" w14:textId="7541D74D" w:rsidR="00126902" w:rsidRPr="007639AB" w:rsidRDefault="00126902" w:rsidP="00EF41FD">
      <w:pPr>
        <w:pStyle w:val="05Paragraph"/>
      </w:pPr>
      <w:r w:rsidRPr="007639AB">
        <w:t>The availability of this mechanism also enables employers, where there are competitive market pressures, to enter the realm of the general market and, together with the flexibility provided by the width of the bands (up to $</w:t>
      </w:r>
      <w:r w:rsidR="00DB14FC">
        <w:t>132,413</w:t>
      </w:r>
      <w:r w:rsidRPr="007639AB">
        <w:t xml:space="preserve"> for the </w:t>
      </w:r>
      <w:r w:rsidR="00586F81">
        <w:t xml:space="preserve">current </w:t>
      </w:r>
      <w:r w:rsidRPr="007639AB">
        <w:t xml:space="preserve">SES-3 band), should equip them with the capacity to offer competitive remuneration in most cases.   </w:t>
      </w:r>
    </w:p>
    <w:p w14:paraId="3BECCEAE" w14:textId="77777777" w:rsidR="00126902" w:rsidRPr="007639AB" w:rsidRDefault="00126902" w:rsidP="0069252B">
      <w:pPr>
        <w:pStyle w:val="03VIRTHeading3"/>
      </w:pPr>
      <w:r w:rsidRPr="007639AB">
        <w:t>Wages policy and the financial position and fiscal strategy of the State</w:t>
      </w:r>
    </w:p>
    <w:p w14:paraId="06C1BC89" w14:textId="4E7C0A64" w:rsidR="00126902" w:rsidRPr="007639AB" w:rsidRDefault="00126902" w:rsidP="0069252B">
      <w:pPr>
        <w:pStyle w:val="05Paragraph"/>
      </w:pPr>
      <w:r w:rsidRPr="007639AB">
        <w:t xml:space="preserve">Although the government’s </w:t>
      </w:r>
      <w:r w:rsidR="00626B68">
        <w:t xml:space="preserve">current </w:t>
      </w:r>
      <w:r w:rsidR="00CE56BA">
        <w:t>W</w:t>
      </w:r>
      <w:r w:rsidRPr="007639AB">
        <w:t xml:space="preserve">ages </w:t>
      </w:r>
      <w:r w:rsidR="00CE56BA">
        <w:t>P</w:t>
      </w:r>
      <w:r w:rsidRPr="007639AB">
        <w:t xml:space="preserve">olicy is one of many factors the Tribunal is required to consider in making its decisions, in light of the current financial circumstances of the State and its strategies for dealing with net debt, the Tribunal felt it appropriate that the policy be given considerable weight in the decision-making process. </w:t>
      </w:r>
    </w:p>
    <w:p w14:paraId="516A86A5" w14:textId="031AE28C" w:rsidR="00126902" w:rsidRPr="007639AB" w:rsidRDefault="00126902" w:rsidP="0069252B">
      <w:pPr>
        <w:pStyle w:val="05Paragraph"/>
      </w:pPr>
      <w:r w:rsidRPr="007639AB">
        <w:t xml:space="preserve">The </w:t>
      </w:r>
      <w:r w:rsidR="00CE56BA">
        <w:t>W</w:t>
      </w:r>
      <w:r w:rsidRPr="007639AB">
        <w:t xml:space="preserve">ages </w:t>
      </w:r>
      <w:r w:rsidR="00CE56BA">
        <w:t>P</w:t>
      </w:r>
      <w:r w:rsidRPr="007639AB">
        <w:t>olicy provides that:</w:t>
      </w:r>
    </w:p>
    <w:p w14:paraId="7EBC4E97" w14:textId="77777777" w:rsidR="00126902" w:rsidRPr="007639AB" w:rsidRDefault="00126902" w:rsidP="00126902">
      <w:pPr>
        <w:pStyle w:val="06VIRTBulletpoints"/>
      </w:pPr>
      <w:r w:rsidRPr="007639AB">
        <w:t>increases in wages and conditions will be funded at a rate of growth of 3 per cent per annum over the life of the agreement. In practice this means that employee wages and conditions will be allowed to grow at this rate</w:t>
      </w:r>
    </w:p>
    <w:p w14:paraId="191FF137" w14:textId="77777777" w:rsidR="00126902" w:rsidRPr="007639AB" w:rsidRDefault="00126902" w:rsidP="00126902">
      <w:pPr>
        <w:pStyle w:val="06VIRTBulletpoints"/>
      </w:pPr>
      <w:r w:rsidRPr="007639AB">
        <w:lastRenderedPageBreak/>
        <w:t>in addition to annual wage increases, a separate lump sum cash payment will be available equivalent to an additional 0.5 per cent of overall agreement costs.</w:t>
      </w:r>
    </w:p>
    <w:p w14:paraId="54A13A08" w14:textId="77E83099" w:rsidR="009E5531" w:rsidRDefault="009E5531" w:rsidP="009E5531">
      <w:pPr>
        <w:pStyle w:val="05Paragraph"/>
      </w:pPr>
      <w:r>
        <w:t xml:space="preserve">Prior to the making of this Determination, the Victorian Government and the Community and Public Sector Union announced that they had reached in-principle agreement on the terms and conditions for a new VPS </w:t>
      </w:r>
      <w:r w:rsidR="00C505CC">
        <w:t>EA</w:t>
      </w:r>
      <w:r>
        <w:t xml:space="preserve">. </w:t>
      </w:r>
    </w:p>
    <w:p w14:paraId="483C1DC5" w14:textId="11E4C32B" w:rsidR="009E5531" w:rsidRDefault="009E5531" w:rsidP="009E5531">
      <w:pPr>
        <w:pStyle w:val="05Paragraph"/>
      </w:pPr>
      <w:r>
        <w:t xml:space="preserve">Relevant aspects of the proposed </w:t>
      </w:r>
      <w:r w:rsidR="00612116">
        <w:t>EA</w:t>
      </w:r>
      <w:r>
        <w:t xml:space="preserve">, which applies to non-executive VPS employees, include annual salary increases of 3 per cent, a once-off lump sum payment of $5,600 (pro-rated for part-time employees) and an increase in the lump sum progression payment available for employees at the top of their grade. The Tribunal notes that equivalent lump sum and progression payments are not typically available to VPS executives. </w:t>
      </w:r>
    </w:p>
    <w:p w14:paraId="41C8A712" w14:textId="454EF8BD" w:rsidR="00C845E0" w:rsidRDefault="009E5531" w:rsidP="009E5531">
      <w:pPr>
        <w:pStyle w:val="05Paragraph"/>
      </w:pPr>
      <w:r>
        <w:t>The Tribunal heard that maintaining relativities between non-executive and executive employees is important for attraction and retention of executives. It is also a matter of fairness that increases in non-executive remuneration should inform the Tribunal’s consideration of the executive remuneration bands. For example, as a reference point, if the $5,600 lump sum payment was amortised over the four-year term of the proposed VPS enterprise agreement and considered as forming part of salary, the effective salary increase for VPS employees on 1 July 2024 would range from 5.7 per cent at the lowest VPS grade to 3.6 per cent at the highest grade.</w:t>
      </w:r>
    </w:p>
    <w:p w14:paraId="79759648" w14:textId="37BBFC3E" w:rsidR="00126902" w:rsidRPr="007639AB" w:rsidRDefault="00126902" w:rsidP="0069252B">
      <w:pPr>
        <w:pStyle w:val="05Paragraph"/>
      </w:pPr>
      <w:r w:rsidRPr="007639AB">
        <w:t xml:space="preserve">The Tribunal’s rationale for giving some weight to </w:t>
      </w:r>
      <w:r w:rsidR="00CE56BA">
        <w:t>W</w:t>
      </w:r>
      <w:r w:rsidRPr="007639AB">
        <w:t xml:space="preserve">ages </w:t>
      </w:r>
      <w:r w:rsidR="00CE56BA">
        <w:t>P</w:t>
      </w:r>
      <w:r w:rsidRPr="007639AB">
        <w:t xml:space="preserve">olicy is not related to the financial impact of any increase in </w:t>
      </w:r>
      <w:r w:rsidR="00763F54">
        <w:t xml:space="preserve">the </w:t>
      </w:r>
      <w:r w:rsidRPr="007639AB">
        <w:t>executive remuneration</w:t>
      </w:r>
      <w:r w:rsidR="00763F54">
        <w:t xml:space="preserve"> bands</w:t>
      </w:r>
      <w:r w:rsidRPr="007639AB">
        <w:t xml:space="preserve">. Given the relatively small size of the executive cohort compared to total public sector employment, any increase in </w:t>
      </w:r>
      <w:r w:rsidR="00C24F85">
        <w:t>the</w:t>
      </w:r>
      <w:r w:rsidRPr="007639AB">
        <w:t xml:space="preserve"> executive remuneration </w:t>
      </w:r>
      <w:r w:rsidR="00C24F85">
        <w:t>bands</w:t>
      </w:r>
      <w:r w:rsidRPr="007639AB">
        <w:t xml:space="preserve"> will not have a significant impact on the budget’s bottom line. </w:t>
      </w:r>
    </w:p>
    <w:p w14:paraId="2F13370D" w14:textId="258F98F8" w:rsidR="00126902" w:rsidRPr="007639AB" w:rsidRDefault="00126902" w:rsidP="0069252B">
      <w:pPr>
        <w:pStyle w:val="05Paragraph"/>
      </w:pPr>
      <w:r w:rsidRPr="007639AB">
        <w:t xml:space="preserve">Rather, the challenges facing the State are considerable and a degree of discipline and a high level of adherence to policy objectives will be required to overcome them. If any group is seen to be given </w:t>
      </w:r>
      <w:r w:rsidR="00E23887">
        <w:t>‘</w:t>
      </w:r>
      <w:r w:rsidRPr="007639AB">
        <w:t>special treatment</w:t>
      </w:r>
      <w:r w:rsidR="00E23887">
        <w:t>’</w:t>
      </w:r>
      <w:r w:rsidRPr="007639AB">
        <w:t xml:space="preserve"> it will inevitably weaken the collective effort.</w:t>
      </w:r>
    </w:p>
    <w:p w14:paraId="0F33C0F9" w14:textId="288B1F78" w:rsidR="00126902" w:rsidRPr="007639AB" w:rsidRDefault="00126902" w:rsidP="0069252B">
      <w:pPr>
        <w:pStyle w:val="05Paragraph"/>
      </w:pPr>
      <w:r w:rsidRPr="007639AB">
        <w:t xml:space="preserve">In relation to fiscal strategy, since the Tribunal’s 2020 </w:t>
      </w:r>
      <w:r w:rsidR="00774B05">
        <w:t xml:space="preserve">VPS </w:t>
      </w:r>
      <w:r w:rsidRPr="007639AB">
        <w:t>Determination the government has introduced a four-step strategy with the aim of returning Victoria’s finances to an operating cash surplus and stabilising debt levels. This includes the government’s commitment to rebalancing the public service and bringing staffing levels back to pre-pandemic levels.</w:t>
      </w:r>
    </w:p>
    <w:p w14:paraId="4F7EBC5D" w14:textId="77777777" w:rsidR="00126902" w:rsidRPr="007639AB" w:rsidRDefault="00126902" w:rsidP="0069252B">
      <w:pPr>
        <w:pStyle w:val="03VIRTHeading3"/>
      </w:pPr>
      <w:r w:rsidRPr="007639AB">
        <w:lastRenderedPageBreak/>
        <w:t>The social compact</w:t>
      </w:r>
    </w:p>
    <w:p w14:paraId="4C0D268F" w14:textId="5FC0A404" w:rsidR="00126902" w:rsidRDefault="00126902" w:rsidP="0069252B">
      <w:pPr>
        <w:pStyle w:val="05Paragraph"/>
      </w:pPr>
      <w:r w:rsidRPr="007639AB">
        <w:t xml:space="preserve">In making this decision </w:t>
      </w:r>
      <w:r w:rsidR="00C24F85">
        <w:t>—</w:t>
      </w:r>
      <w:r w:rsidRPr="007639AB">
        <w:t xml:space="preserve"> and indeed all decisions </w:t>
      </w:r>
      <w:r w:rsidR="00C24F85">
        <w:t>—</w:t>
      </w:r>
      <w:r w:rsidRPr="007639AB">
        <w:t xml:space="preserve"> the Tribunal did so having weighed the impact that its decision may have on the level of trust between the community and the Victorian Public Service if increases in remuneration for senior public servants are perceived as out of step with community standards and expectations and prevailing economic conditions.</w:t>
      </w:r>
    </w:p>
    <w:p w14:paraId="4FF79006" w14:textId="77777777" w:rsidR="00AF592B" w:rsidRPr="007639AB" w:rsidRDefault="00AF592B" w:rsidP="00AF592B">
      <w:pPr>
        <w:pStyle w:val="03VIRTHeading3"/>
      </w:pPr>
      <w:r w:rsidRPr="007639AB">
        <w:t>Jurisdictional comparisons</w:t>
      </w:r>
    </w:p>
    <w:p w14:paraId="675D1EA1" w14:textId="77777777" w:rsidR="00AF592B" w:rsidRPr="007639AB" w:rsidRDefault="00AF592B" w:rsidP="00AF592B">
      <w:pPr>
        <w:pStyle w:val="05Paragraph"/>
      </w:pPr>
      <w:r w:rsidRPr="007639AB">
        <w:t xml:space="preserve">The comparison focussed on the Commonwealth, New South Wales (NSW) and Queensland public services. They are the most comparable in terms of population and geographical location, as well as the number of public service departments, the size of the executive and non-executive workforce. </w:t>
      </w:r>
    </w:p>
    <w:p w14:paraId="7A6CE844" w14:textId="77777777" w:rsidR="00AF592B" w:rsidRDefault="00AF592B" w:rsidP="00AF592B">
      <w:pPr>
        <w:pStyle w:val="05Paragraph"/>
      </w:pPr>
      <w:r w:rsidRPr="007639AB">
        <w:t>Although different structural arrangements make direct comparisons difficult, it appear</w:t>
      </w:r>
      <w:r>
        <w:t>s</w:t>
      </w:r>
      <w:r w:rsidRPr="007639AB">
        <w:t xml:space="preserve"> that the disparities are not sufficient to suggest that weight should be given to jurisdictional comparisons in this analysis.</w:t>
      </w:r>
    </w:p>
    <w:p w14:paraId="3F177A7B" w14:textId="77777777" w:rsidR="00AF592B" w:rsidRPr="007639AB" w:rsidRDefault="00AF592B" w:rsidP="00AF592B">
      <w:pPr>
        <w:pStyle w:val="05Paragraph"/>
      </w:pPr>
      <w:r w:rsidRPr="007639AB">
        <w:t xml:space="preserve">The values of the Victorian and NSW remuneration bands are broadly comparable, whereas the Queensland bands are generally narrower and lower. Although the Commonwealth does not have a remuneration band structure, comparisons with actual pay levels appear to appropriately reflect the responsibilities of the two levels of government. </w:t>
      </w:r>
    </w:p>
    <w:p w14:paraId="02C28B3E" w14:textId="77777777" w:rsidR="00AF592B" w:rsidRDefault="00AF592B" w:rsidP="00AF592B">
      <w:pPr>
        <w:pStyle w:val="05Paragraph"/>
      </w:pPr>
      <w:r w:rsidRPr="007639AB">
        <w:t>The Tribunal also noted that executives employed in the Commonwealth could receive remuneration increases of up to 3.8 per cent from December 2023, while the executive remuneration bands in Queensland will increase by 4 per cent from 1 July 2024. Conversely, executive remuneration has been frozen in NSW in 2023</w:t>
      </w:r>
      <w:r>
        <w:noBreakHyphen/>
      </w:r>
      <w:r w:rsidRPr="007639AB">
        <w:t>24 and 2024-25.</w:t>
      </w:r>
    </w:p>
    <w:p w14:paraId="1F1DC7C8" w14:textId="75DF1465" w:rsidR="00126902" w:rsidRPr="0069252B" w:rsidRDefault="005D1128" w:rsidP="005D1128">
      <w:pPr>
        <w:pStyle w:val="02VIRTHeading2"/>
      </w:pPr>
      <w:bookmarkStart w:id="167" w:name="_Toc169878481"/>
      <w:bookmarkStart w:id="168" w:name="_Toc170396245"/>
      <w:r>
        <w:t>7.3</w:t>
      </w:r>
      <w:r>
        <w:tab/>
      </w:r>
      <w:r w:rsidR="00126902" w:rsidRPr="0069252B">
        <w:t>The Tribunal’s decision</w:t>
      </w:r>
      <w:bookmarkEnd w:id="167"/>
      <w:bookmarkEnd w:id="168"/>
    </w:p>
    <w:p w14:paraId="5485FC27" w14:textId="12600A7D" w:rsidR="00126902" w:rsidRDefault="00126902" w:rsidP="00DA58B8">
      <w:pPr>
        <w:pStyle w:val="05Paragraph"/>
      </w:pPr>
      <w:r w:rsidRPr="007639AB">
        <w:t xml:space="preserve">As discussed earlier, the </w:t>
      </w:r>
      <w:r w:rsidR="001E0288">
        <w:t>VPS</w:t>
      </w:r>
      <w:r w:rsidRPr="007639AB">
        <w:t xml:space="preserve"> has fallen behind movements in the </w:t>
      </w:r>
      <w:r w:rsidR="001E0288">
        <w:t>AGM</w:t>
      </w:r>
      <w:r w:rsidRPr="007639AB">
        <w:t xml:space="preserve"> compared to where it was four years ago </w:t>
      </w:r>
      <w:r w:rsidR="00555549">
        <w:t>—</w:t>
      </w:r>
      <w:r w:rsidRPr="00BC3D32">
        <w:t xml:space="preserve"> for example, the top of the SES-3 band is now 8.4 per cent below where it would have been if it had been adjusted in line with market movements.</w:t>
      </w:r>
      <w:r w:rsidRPr="007639AB">
        <w:t xml:space="preserve"> In recognition of this Mercer recommended increases set out in </w:t>
      </w:r>
      <w:r w:rsidR="001E0288">
        <w:t>Table 7.1</w:t>
      </w:r>
      <w:r w:rsidRPr="007639AB">
        <w:t xml:space="preserve"> </w:t>
      </w:r>
      <w:r w:rsidR="00555549">
        <w:t>—</w:t>
      </w:r>
      <w:r w:rsidRPr="007639AB">
        <w:t xml:space="preserve"> a pay position which </w:t>
      </w:r>
      <w:r w:rsidR="00E23887">
        <w:t>‘</w:t>
      </w:r>
      <w:r w:rsidRPr="007639AB">
        <w:t>references the 15</w:t>
      </w:r>
      <w:r w:rsidRPr="00D635FA">
        <w:rPr>
          <w:vertAlign w:val="superscript"/>
        </w:rPr>
        <w:t>th</w:t>
      </w:r>
      <w:r w:rsidRPr="007639AB">
        <w:t xml:space="preserve"> percentile</w:t>
      </w:r>
      <w:r w:rsidR="00E23887">
        <w:t>’</w:t>
      </w:r>
      <w:r w:rsidRPr="007639AB">
        <w:t xml:space="preserve"> and which is considered by Mercer to be affordable and a solution which would not drive a step change in executive remuneration.</w:t>
      </w:r>
    </w:p>
    <w:p w14:paraId="6B9AF5BA" w14:textId="77777777" w:rsidR="00612116" w:rsidRDefault="00612116">
      <w:pPr>
        <w:spacing w:before="0" w:after="80" w:line="240" w:lineRule="auto"/>
        <w:jc w:val="left"/>
        <w:rPr>
          <w:rFonts w:cs="Arial"/>
          <w:color w:val="auto"/>
          <w:szCs w:val="20"/>
        </w:rPr>
      </w:pPr>
      <w:r>
        <w:br w:type="page"/>
      </w:r>
    </w:p>
    <w:p w14:paraId="0343673F" w14:textId="6FE045C9" w:rsidR="00126902" w:rsidRPr="00BE5DBA" w:rsidRDefault="00126902" w:rsidP="00144BE8">
      <w:pPr>
        <w:pStyle w:val="08Figuretableboxheading"/>
      </w:pPr>
      <w:bookmarkStart w:id="169" w:name="_Toc170393578"/>
      <w:r w:rsidRPr="007639AB">
        <w:lastRenderedPageBreak/>
        <w:t>Table 7.1: Mercer recommend</w:t>
      </w:r>
      <w:r w:rsidR="001E0288">
        <w:t>ation</w:t>
      </w:r>
      <w:r w:rsidRPr="007639AB">
        <w:t xml:space="preserve"> compared to the current VPS remuneration </w:t>
      </w:r>
      <w:r w:rsidRPr="00DE5076">
        <w:t>bands</w:t>
      </w:r>
      <w:bookmarkEnd w:id="169"/>
    </w:p>
    <w:tbl>
      <w:tblPr>
        <w:tblW w:w="8505" w:type="dxa"/>
        <w:tblBorders>
          <w:top w:val="single" w:sz="6" w:space="0" w:color="148A5D"/>
          <w:bottom w:val="single" w:sz="6" w:space="0" w:color="148A5D"/>
          <w:insideH w:val="single" w:sz="6" w:space="0" w:color="148A5D"/>
        </w:tblBorders>
        <w:tblCellMar>
          <w:left w:w="0" w:type="dxa"/>
          <w:right w:w="0" w:type="dxa"/>
        </w:tblCellMar>
        <w:tblLook w:val="04A0" w:firstRow="1" w:lastRow="0" w:firstColumn="1" w:lastColumn="0" w:noHBand="0" w:noVBand="1"/>
      </w:tblPr>
      <w:tblGrid>
        <w:gridCol w:w="2268"/>
        <w:gridCol w:w="3402"/>
        <w:gridCol w:w="1417"/>
        <w:gridCol w:w="1418"/>
      </w:tblGrid>
      <w:tr w:rsidR="00F75416" w:rsidRPr="00BE5DBA" w14:paraId="06BC2F7B" w14:textId="77777777" w:rsidTr="00193BE5">
        <w:tc>
          <w:tcPr>
            <w:tcW w:w="2268" w:type="dxa"/>
            <w:tcBorders>
              <w:bottom w:val="single" w:sz="6" w:space="0" w:color="148A5D"/>
            </w:tcBorders>
            <w:shd w:val="clear" w:color="auto" w:fill="148A5D"/>
            <w:hideMark/>
          </w:tcPr>
          <w:p w14:paraId="4BDC9CD9" w14:textId="77777777" w:rsidR="00126902" w:rsidRPr="00BE5DBA" w:rsidRDefault="00126902" w:rsidP="00BE5DBA">
            <w:pPr>
              <w:pStyle w:val="10Tabletext"/>
              <w:rPr>
                <w:rFonts w:ascii="Segoe UI" w:hAnsi="Segoe UI" w:cs="Segoe UI"/>
                <w:b/>
                <w:bCs w:val="0"/>
                <w:color w:val="FFFFFF" w:themeColor="background1"/>
                <w:lang w:eastAsia="en-AU"/>
              </w:rPr>
            </w:pPr>
            <w:r w:rsidRPr="00BE5DBA">
              <w:rPr>
                <w:b/>
                <w:bCs w:val="0"/>
                <w:color w:val="FFFFFF" w:themeColor="background1"/>
                <w:lang w:eastAsia="en-AU"/>
              </w:rPr>
              <w:t>Band</w:t>
            </w:r>
          </w:p>
        </w:tc>
        <w:tc>
          <w:tcPr>
            <w:tcW w:w="3402" w:type="dxa"/>
            <w:tcBorders>
              <w:bottom w:val="single" w:sz="6" w:space="0" w:color="148A5D"/>
            </w:tcBorders>
            <w:shd w:val="clear" w:color="auto" w:fill="148A5D"/>
            <w:hideMark/>
          </w:tcPr>
          <w:p w14:paraId="697A1D2E" w14:textId="1C1F4ED9" w:rsidR="00126902" w:rsidRPr="00BE5DBA" w:rsidRDefault="00BE5DBA" w:rsidP="00BE5DBA">
            <w:pPr>
              <w:pStyle w:val="10Tabletext"/>
              <w:rPr>
                <w:rFonts w:ascii="Segoe UI" w:hAnsi="Segoe UI" w:cs="Segoe UI"/>
                <w:b/>
                <w:bCs w:val="0"/>
                <w:color w:val="FFFFFF" w:themeColor="background1"/>
                <w:lang w:eastAsia="en-AU"/>
              </w:rPr>
            </w:pPr>
            <w:r>
              <w:rPr>
                <w:b/>
                <w:bCs w:val="0"/>
                <w:color w:val="FFFFFF" w:themeColor="background1"/>
                <w:lang w:eastAsia="en-AU"/>
              </w:rPr>
              <w:t>Description</w:t>
            </w:r>
          </w:p>
        </w:tc>
        <w:tc>
          <w:tcPr>
            <w:tcW w:w="1417" w:type="dxa"/>
            <w:tcBorders>
              <w:bottom w:val="single" w:sz="6" w:space="0" w:color="148A5D"/>
            </w:tcBorders>
            <w:shd w:val="clear" w:color="auto" w:fill="148A5D"/>
            <w:hideMark/>
          </w:tcPr>
          <w:p w14:paraId="0CBE5138" w14:textId="77777777" w:rsidR="00126902" w:rsidRPr="00BE5DBA" w:rsidRDefault="00126902" w:rsidP="00BE5DBA">
            <w:pPr>
              <w:pStyle w:val="10Tabletext"/>
              <w:jc w:val="right"/>
              <w:rPr>
                <w:rFonts w:ascii="Segoe UI" w:hAnsi="Segoe UI" w:cs="Segoe UI"/>
                <w:b/>
                <w:bCs w:val="0"/>
                <w:color w:val="FFFFFF" w:themeColor="background1"/>
                <w:lang w:eastAsia="en-AU"/>
              </w:rPr>
            </w:pPr>
            <w:r w:rsidRPr="00BE5DBA">
              <w:rPr>
                <w:b/>
                <w:bCs w:val="0"/>
                <w:color w:val="FFFFFF" w:themeColor="background1"/>
                <w:lang w:eastAsia="en-AU"/>
              </w:rPr>
              <w:t>Bottom of band</w:t>
            </w:r>
          </w:p>
        </w:tc>
        <w:tc>
          <w:tcPr>
            <w:tcW w:w="1418" w:type="dxa"/>
            <w:tcBorders>
              <w:bottom w:val="single" w:sz="6" w:space="0" w:color="148A5D"/>
            </w:tcBorders>
            <w:shd w:val="clear" w:color="auto" w:fill="148A5D"/>
            <w:hideMark/>
          </w:tcPr>
          <w:p w14:paraId="7C3E8D35" w14:textId="77777777" w:rsidR="00126902" w:rsidRPr="00BE5DBA" w:rsidRDefault="00126902" w:rsidP="00BE5DBA">
            <w:pPr>
              <w:pStyle w:val="10Tabletext"/>
              <w:jc w:val="right"/>
              <w:rPr>
                <w:rFonts w:ascii="Segoe UI" w:hAnsi="Segoe UI" w:cs="Segoe UI"/>
                <w:b/>
                <w:bCs w:val="0"/>
                <w:color w:val="FFFFFF" w:themeColor="background1"/>
                <w:lang w:eastAsia="en-AU"/>
              </w:rPr>
            </w:pPr>
            <w:r w:rsidRPr="00BE5DBA">
              <w:rPr>
                <w:b/>
                <w:bCs w:val="0"/>
                <w:color w:val="FFFFFF" w:themeColor="background1"/>
                <w:lang w:eastAsia="en-AU"/>
              </w:rPr>
              <w:t>Top of band </w:t>
            </w:r>
          </w:p>
        </w:tc>
      </w:tr>
      <w:tr w:rsidR="00126902" w:rsidRPr="007639AB" w14:paraId="4F4EAE3D" w14:textId="77777777" w:rsidTr="00193BE5">
        <w:trPr>
          <w:trHeight w:val="300"/>
        </w:trPr>
        <w:tc>
          <w:tcPr>
            <w:tcW w:w="2268" w:type="dxa"/>
            <w:vMerge w:val="restart"/>
            <w:shd w:val="clear" w:color="auto" w:fill="auto"/>
          </w:tcPr>
          <w:p w14:paraId="7C7633A8" w14:textId="77777777" w:rsidR="00126902" w:rsidRPr="00BE5DBA" w:rsidRDefault="00126902" w:rsidP="00B0423A">
            <w:pPr>
              <w:pStyle w:val="10Tabletext"/>
              <w:rPr>
                <w:b/>
                <w:bCs w:val="0"/>
              </w:rPr>
            </w:pPr>
            <w:r w:rsidRPr="00BE5DBA">
              <w:rPr>
                <w:b/>
                <w:bCs w:val="0"/>
              </w:rPr>
              <w:t>SES-1 /</w:t>
            </w:r>
          </w:p>
          <w:p w14:paraId="5DA8BA27" w14:textId="77777777" w:rsidR="00126902" w:rsidRPr="00BE5DBA" w:rsidRDefault="00126902" w:rsidP="00B0423A">
            <w:pPr>
              <w:pStyle w:val="10Tabletext"/>
              <w:rPr>
                <w:b/>
                <w:bCs w:val="0"/>
              </w:rPr>
            </w:pPr>
            <w:r w:rsidRPr="00BE5DBA">
              <w:rPr>
                <w:b/>
                <w:bCs w:val="0"/>
              </w:rPr>
              <w:t>AO Head-1</w:t>
            </w:r>
          </w:p>
        </w:tc>
        <w:tc>
          <w:tcPr>
            <w:tcW w:w="3402" w:type="dxa"/>
            <w:shd w:val="clear" w:color="auto" w:fill="auto"/>
          </w:tcPr>
          <w:p w14:paraId="2CFA4967" w14:textId="3E26179A" w:rsidR="00126902" w:rsidRPr="00B0423A" w:rsidRDefault="00126902" w:rsidP="00B0423A">
            <w:pPr>
              <w:pStyle w:val="10Tabletext"/>
            </w:pPr>
            <w:r w:rsidRPr="00B0423A">
              <w:t>Current band ($</w:t>
            </w:r>
            <w:r w:rsidR="00252434">
              <w:t xml:space="preserve"> p.a.</w:t>
            </w:r>
            <w:r w:rsidRPr="00B0423A">
              <w:t>)</w:t>
            </w:r>
          </w:p>
        </w:tc>
        <w:tc>
          <w:tcPr>
            <w:tcW w:w="1417" w:type="dxa"/>
            <w:shd w:val="clear" w:color="auto" w:fill="auto"/>
          </w:tcPr>
          <w:p w14:paraId="18DEC917" w14:textId="77777777" w:rsidR="00126902" w:rsidRPr="00B0423A" w:rsidRDefault="00126902" w:rsidP="00B0423A">
            <w:pPr>
              <w:pStyle w:val="10Tabletext"/>
              <w:jc w:val="right"/>
            </w:pPr>
            <w:r w:rsidRPr="00B0423A">
              <w:t xml:space="preserve">216,376 </w:t>
            </w:r>
          </w:p>
        </w:tc>
        <w:tc>
          <w:tcPr>
            <w:tcW w:w="1418" w:type="dxa"/>
            <w:shd w:val="clear" w:color="auto" w:fill="auto"/>
          </w:tcPr>
          <w:p w14:paraId="35D53493" w14:textId="77777777" w:rsidR="00126902" w:rsidRPr="00B0423A" w:rsidRDefault="00126902" w:rsidP="00B0423A">
            <w:pPr>
              <w:pStyle w:val="10Tabletext"/>
              <w:jc w:val="right"/>
            </w:pPr>
            <w:r w:rsidRPr="00B0423A">
              <w:t xml:space="preserve">279,238 </w:t>
            </w:r>
          </w:p>
        </w:tc>
      </w:tr>
      <w:tr w:rsidR="00126902" w:rsidRPr="007639AB" w14:paraId="1DA3DB21" w14:textId="77777777" w:rsidTr="00193BE5">
        <w:trPr>
          <w:trHeight w:val="300"/>
        </w:trPr>
        <w:tc>
          <w:tcPr>
            <w:tcW w:w="2268" w:type="dxa"/>
            <w:vMerge/>
            <w:shd w:val="clear" w:color="auto" w:fill="auto"/>
            <w:vAlign w:val="center"/>
          </w:tcPr>
          <w:p w14:paraId="187F34E7" w14:textId="77777777" w:rsidR="00126902" w:rsidRPr="00B12DA3" w:rsidRDefault="00126902" w:rsidP="00B0423A">
            <w:pPr>
              <w:pStyle w:val="10Tabletext"/>
              <w:rPr>
                <w:b/>
                <w:bCs w:val="0"/>
              </w:rPr>
            </w:pPr>
          </w:p>
        </w:tc>
        <w:tc>
          <w:tcPr>
            <w:tcW w:w="3402" w:type="dxa"/>
            <w:shd w:val="clear" w:color="auto" w:fill="auto"/>
          </w:tcPr>
          <w:p w14:paraId="631D341E" w14:textId="70B46404" w:rsidR="00126902" w:rsidRPr="00B0423A" w:rsidRDefault="00126902" w:rsidP="00B0423A">
            <w:pPr>
              <w:pStyle w:val="10Tabletext"/>
            </w:pPr>
            <w:r w:rsidRPr="00B0423A">
              <w:t xml:space="preserve">Mercer recommended option </w:t>
            </w:r>
            <w:r w:rsidR="00886499" w:rsidRPr="00527471">
              <w:t>($ p.a.)</w:t>
            </w:r>
          </w:p>
        </w:tc>
        <w:tc>
          <w:tcPr>
            <w:tcW w:w="1417" w:type="dxa"/>
            <w:shd w:val="clear" w:color="auto" w:fill="auto"/>
          </w:tcPr>
          <w:p w14:paraId="7265578F" w14:textId="77777777" w:rsidR="00126902" w:rsidRPr="00B0423A" w:rsidRDefault="00126902" w:rsidP="00B0423A">
            <w:pPr>
              <w:pStyle w:val="10Tabletext"/>
              <w:jc w:val="right"/>
            </w:pPr>
            <w:r w:rsidRPr="00B0423A">
              <w:t>218,000</w:t>
            </w:r>
          </w:p>
        </w:tc>
        <w:tc>
          <w:tcPr>
            <w:tcW w:w="1418" w:type="dxa"/>
            <w:shd w:val="clear" w:color="auto" w:fill="auto"/>
          </w:tcPr>
          <w:p w14:paraId="34DD0209" w14:textId="77777777" w:rsidR="00126902" w:rsidRPr="00B0423A" w:rsidRDefault="00126902" w:rsidP="00B0423A">
            <w:pPr>
              <w:pStyle w:val="10Tabletext"/>
              <w:jc w:val="right"/>
            </w:pPr>
            <w:r w:rsidRPr="00B0423A">
              <w:t>290,600</w:t>
            </w:r>
          </w:p>
        </w:tc>
      </w:tr>
      <w:tr w:rsidR="00126902" w:rsidRPr="007639AB" w14:paraId="15684E62" w14:textId="77777777" w:rsidTr="00193BE5">
        <w:trPr>
          <w:trHeight w:val="300"/>
        </w:trPr>
        <w:tc>
          <w:tcPr>
            <w:tcW w:w="2268" w:type="dxa"/>
            <w:vMerge/>
            <w:tcBorders>
              <w:bottom w:val="single" w:sz="12" w:space="0" w:color="148A5D"/>
            </w:tcBorders>
            <w:shd w:val="clear" w:color="auto" w:fill="auto"/>
            <w:vAlign w:val="center"/>
          </w:tcPr>
          <w:p w14:paraId="321A3BE2" w14:textId="77777777" w:rsidR="00126902" w:rsidRPr="00B12DA3" w:rsidRDefault="00126902" w:rsidP="00B0423A">
            <w:pPr>
              <w:pStyle w:val="10Tabletext"/>
              <w:rPr>
                <w:b/>
                <w:bCs w:val="0"/>
              </w:rPr>
            </w:pPr>
          </w:p>
        </w:tc>
        <w:tc>
          <w:tcPr>
            <w:tcW w:w="3402" w:type="dxa"/>
            <w:tcBorders>
              <w:bottom w:val="single" w:sz="12" w:space="0" w:color="148A5D"/>
            </w:tcBorders>
            <w:shd w:val="clear" w:color="auto" w:fill="auto"/>
          </w:tcPr>
          <w:p w14:paraId="33781E1A" w14:textId="4C30DB4F" w:rsidR="00126902" w:rsidRPr="00B0423A" w:rsidRDefault="00913F92" w:rsidP="00B0423A">
            <w:pPr>
              <w:pStyle w:val="10Tabletext"/>
              <w:rPr>
                <w:i/>
                <w:iCs/>
              </w:rPr>
            </w:pPr>
            <w:r>
              <w:rPr>
                <w:i/>
                <w:iCs/>
              </w:rPr>
              <w:t>C</w:t>
            </w:r>
            <w:r w:rsidR="00126902" w:rsidRPr="00B0423A">
              <w:rPr>
                <w:i/>
                <w:iCs/>
              </w:rPr>
              <w:t xml:space="preserve">hange </w:t>
            </w:r>
            <w:r>
              <w:rPr>
                <w:i/>
                <w:iCs/>
              </w:rPr>
              <w:t>(%)</w:t>
            </w:r>
          </w:p>
        </w:tc>
        <w:tc>
          <w:tcPr>
            <w:tcW w:w="1417" w:type="dxa"/>
            <w:tcBorders>
              <w:bottom w:val="single" w:sz="12" w:space="0" w:color="148A5D"/>
            </w:tcBorders>
            <w:shd w:val="clear" w:color="auto" w:fill="auto"/>
          </w:tcPr>
          <w:p w14:paraId="22278C7C" w14:textId="53CE58AC" w:rsidR="00126902" w:rsidRPr="00B0423A" w:rsidRDefault="00913F92" w:rsidP="00B0423A">
            <w:pPr>
              <w:pStyle w:val="10Tabletext"/>
              <w:jc w:val="right"/>
              <w:rPr>
                <w:i/>
                <w:iCs/>
              </w:rPr>
            </w:pPr>
            <w:r>
              <w:rPr>
                <w:i/>
                <w:iCs/>
              </w:rPr>
              <w:t>+</w:t>
            </w:r>
            <w:r w:rsidR="00126902" w:rsidRPr="00B0423A">
              <w:rPr>
                <w:i/>
                <w:iCs/>
              </w:rPr>
              <w:t>0.8</w:t>
            </w:r>
          </w:p>
        </w:tc>
        <w:tc>
          <w:tcPr>
            <w:tcW w:w="1418" w:type="dxa"/>
            <w:tcBorders>
              <w:bottom w:val="single" w:sz="12" w:space="0" w:color="148A5D"/>
            </w:tcBorders>
            <w:shd w:val="clear" w:color="auto" w:fill="auto"/>
          </w:tcPr>
          <w:p w14:paraId="62453DFF" w14:textId="6EBB2139" w:rsidR="00126902" w:rsidRPr="00B0423A" w:rsidRDefault="00913F92" w:rsidP="00B0423A">
            <w:pPr>
              <w:pStyle w:val="10Tabletext"/>
              <w:jc w:val="right"/>
              <w:rPr>
                <w:i/>
                <w:iCs/>
              </w:rPr>
            </w:pPr>
            <w:r>
              <w:rPr>
                <w:i/>
                <w:iCs/>
              </w:rPr>
              <w:t>+</w:t>
            </w:r>
            <w:r w:rsidR="00126902" w:rsidRPr="00B0423A">
              <w:rPr>
                <w:i/>
                <w:iCs/>
              </w:rPr>
              <w:t>4.1</w:t>
            </w:r>
          </w:p>
        </w:tc>
      </w:tr>
      <w:tr w:rsidR="00126902" w:rsidRPr="007639AB" w14:paraId="5A4EFFF5" w14:textId="77777777" w:rsidTr="00193BE5">
        <w:trPr>
          <w:trHeight w:val="300"/>
        </w:trPr>
        <w:tc>
          <w:tcPr>
            <w:tcW w:w="2268" w:type="dxa"/>
            <w:vMerge w:val="restart"/>
            <w:tcBorders>
              <w:top w:val="single" w:sz="12" w:space="0" w:color="148A5D"/>
            </w:tcBorders>
            <w:shd w:val="clear" w:color="auto" w:fill="auto"/>
          </w:tcPr>
          <w:p w14:paraId="5D93CAE9" w14:textId="77777777" w:rsidR="00126902" w:rsidRPr="00527471" w:rsidRDefault="00126902" w:rsidP="00B0423A">
            <w:pPr>
              <w:pStyle w:val="10Tabletext"/>
              <w:rPr>
                <w:b/>
                <w:bCs w:val="0"/>
              </w:rPr>
            </w:pPr>
            <w:r w:rsidRPr="00527471">
              <w:rPr>
                <w:b/>
                <w:bCs w:val="0"/>
              </w:rPr>
              <w:t xml:space="preserve">SES-2/ </w:t>
            </w:r>
          </w:p>
          <w:p w14:paraId="09DC2729" w14:textId="77777777" w:rsidR="00126902" w:rsidRPr="00527471" w:rsidRDefault="00126902" w:rsidP="00B0423A">
            <w:pPr>
              <w:pStyle w:val="10Tabletext"/>
              <w:rPr>
                <w:b/>
                <w:bCs w:val="0"/>
              </w:rPr>
            </w:pPr>
            <w:r w:rsidRPr="00527471">
              <w:rPr>
                <w:b/>
                <w:bCs w:val="0"/>
              </w:rPr>
              <w:t>AO Head-</w:t>
            </w:r>
          </w:p>
          <w:p w14:paraId="5DD7138E" w14:textId="77777777" w:rsidR="00126902" w:rsidRPr="00527471" w:rsidRDefault="00126902" w:rsidP="00B0423A">
            <w:pPr>
              <w:pStyle w:val="10Tabletext"/>
              <w:rPr>
                <w:b/>
                <w:bCs w:val="0"/>
              </w:rPr>
            </w:pPr>
          </w:p>
        </w:tc>
        <w:tc>
          <w:tcPr>
            <w:tcW w:w="3402" w:type="dxa"/>
            <w:tcBorders>
              <w:top w:val="single" w:sz="12" w:space="0" w:color="148A5D"/>
            </w:tcBorders>
            <w:shd w:val="clear" w:color="auto" w:fill="auto"/>
          </w:tcPr>
          <w:p w14:paraId="1F160940" w14:textId="4FD6B80E" w:rsidR="00126902" w:rsidRPr="00B0423A" w:rsidRDefault="00126902" w:rsidP="00B0423A">
            <w:pPr>
              <w:pStyle w:val="10Tabletext"/>
            </w:pPr>
            <w:r w:rsidRPr="00B0423A">
              <w:t>Current band ($</w:t>
            </w:r>
            <w:r w:rsidR="00B47506">
              <w:t xml:space="preserve"> p.a.</w:t>
            </w:r>
            <w:r w:rsidRPr="00B0423A">
              <w:t>)</w:t>
            </w:r>
          </w:p>
        </w:tc>
        <w:tc>
          <w:tcPr>
            <w:tcW w:w="1417" w:type="dxa"/>
            <w:tcBorders>
              <w:top w:val="single" w:sz="12" w:space="0" w:color="148A5D"/>
            </w:tcBorders>
            <w:shd w:val="clear" w:color="auto" w:fill="auto"/>
          </w:tcPr>
          <w:p w14:paraId="2B6DADD9" w14:textId="77777777" w:rsidR="00126902" w:rsidRPr="00B0423A" w:rsidRDefault="00126902" w:rsidP="00B0423A">
            <w:pPr>
              <w:pStyle w:val="10Tabletext"/>
              <w:jc w:val="right"/>
            </w:pPr>
            <w:r w:rsidRPr="00B0423A">
              <w:t xml:space="preserve">279,239 </w:t>
            </w:r>
          </w:p>
        </w:tc>
        <w:tc>
          <w:tcPr>
            <w:tcW w:w="1418" w:type="dxa"/>
            <w:tcBorders>
              <w:top w:val="single" w:sz="12" w:space="0" w:color="148A5D"/>
            </w:tcBorders>
            <w:shd w:val="clear" w:color="auto" w:fill="auto"/>
          </w:tcPr>
          <w:p w14:paraId="29B33041" w14:textId="77777777" w:rsidR="00126902" w:rsidRPr="00B0423A" w:rsidRDefault="00126902" w:rsidP="00B0423A">
            <w:pPr>
              <w:pStyle w:val="10Tabletext"/>
              <w:jc w:val="right"/>
            </w:pPr>
            <w:r w:rsidRPr="00B0423A">
              <w:t xml:space="preserve">401,017 </w:t>
            </w:r>
          </w:p>
        </w:tc>
      </w:tr>
      <w:tr w:rsidR="00126902" w:rsidRPr="007639AB" w14:paraId="3EE4E8C0" w14:textId="77777777" w:rsidTr="00193BE5">
        <w:trPr>
          <w:trHeight w:val="300"/>
        </w:trPr>
        <w:tc>
          <w:tcPr>
            <w:tcW w:w="2268" w:type="dxa"/>
            <w:vMerge/>
            <w:shd w:val="clear" w:color="auto" w:fill="auto"/>
          </w:tcPr>
          <w:p w14:paraId="23BE4BBF" w14:textId="77777777" w:rsidR="00126902" w:rsidRPr="00B12DA3" w:rsidRDefault="00126902" w:rsidP="00B0423A">
            <w:pPr>
              <w:pStyle w:val="10Tabletext"/>
              <w:rPr>
                <w:b/>
                <w:bCs w:val="0"/>
              </w:rPr>
            </w:pPr>
          </w:p>
        </w:tc>
        <w:tc>
          <w:tcPr>
            <w:tcW w:w="3402" w:type="dxa"/>
            <w:shd w:val="clear" w:color="auto" w:fill="auto"/>
          </w:tcPr>
          <w:p w14:paraId="566CADE2" w14:textId="29E2F617" w:rsidR="00126902" w:rsidRPr="00B0423A" w:rsidRDefault="00126902" w:rsidP="00B0423A">
            <w:pPr>
              <w:pStyle w:val="10Tabletext"/>
            </w:pPr>
            <w:r w:rsidRPr="00B0423A">
              <w:t>Mercer recommended option ($</w:t>
            </w:r>
            <w:r w:rsidR="00B47506">
              <w:t xml:space="preserve"> p.a.</w:t>
            </w:r>
            <w:r w:rsidRPr="00B0423A">
              <w:t>)</w:t>
            </w:r>
          </w:p>
        </w:tc>
        <w:tc>
          <w:tcPr>
            <w:tcW w:w="1417" w:type="dxa"/>
            <w:shd w:val="clear" w:color="auto" w:fill="auto"/>
          </w:tcPr>
          <w:p w14:paraId="2257AC97" w14:textId="77777777" w:rsidR="00126902" w:rsidRPr="00B0423A" w:rsidRDefault="00126902" w:rsidP="00B0423A">
            <w:pPr>
              <w:pStyle w:val="10Tabletext"/>
              <w:jc w:val="right"/>
            </w:pPr>
            <w:r w:rsidRPr="00B0423A">
              <w:t>290,601</w:t>
            </w:r>
          </w:p>
        </w:tc>
        <w:tc>
          <w:tcPr>
            <w:tcW w:w="1418" w:type="dxa"/>
            <w:shd w:val="clear" w:color="auto" w:fill="auto"/>
          </w:tcPr>
          <w:p w14:paraId="1884EF81" w14:textId="77777777" w:rsidR="00126902" w:rsidRPr="00B0423A" w:rsidRDefault="00126902" w:rsidP="00B0423A">
            <w:pPr>
              <w:pStyle w:val="10Tabletext"/>
              <w:jc w:val="right"/>
            </w:pPr>
            <w:r w:rsidRPr="00B0423A">
              <w:t>419,000</w:t>
            </w:r>
          </w:p>
        </w:tc>
      </w:tr>
      <w:tr w:rsidR="00126902" w:rsidRPr="007639AB" w14:paraId="73F1B0CC" w14:textId="77777777" w:rsidTr="00193BE5">
        <w:tc>
          <w:tcPr>
            <w:tcW w:w="2268" w:type="dxa"/>
            <w:vMerge/>
            <w:tcBorders>
              <w:bottom w:val="single" w:sz="12" w:space="0" w:color="148A5D"/>
            </w:tcBorders>
            <w:shd w:val="clear" w:color="auto" w:fill="auto"/>
          </w:tcPr>
          <w:p w14:paraId="6EC1F320" w14:textId="77777777" w:rsidR="00126902" w:rsidRPr="00B12DA3" w:rsidRDefault="00126902" w:rsidP="00B0423A">
            <w:pPr>
              <w:pStyle w:val="10Tabletext"/>
              <w:rPr>
                <w:b/>
                <w:bCs w:val="0"/>
              </w:rPr>
            </w:pPr>
          </w:p>
        </w:tc>
        <w:tc>
          <w:tcPr>
            <w:tcW w:w="3402" w:type="dxa"/>
            <w:tcBorders>
              <w:bottom w:val="single" w:sz="12" w:space="0" w:color="148A5D"/>
            </w:tcBorders>
            <w:shd w:val="clear" w:color="auto" w:fill="auto"/>
          </w:tcPr>
          <w:p w14:paraId="2199099D" w14:textId="1E2301B6" w:rsidR="00126902" w:rsidRPr="00B0423A" w:rsidRDefault="00913F92" w:rsidP="00B0423A">
            <w:pPr>
              <w:pStyle w:val="10Tabletext"/>
              <w:rPr>
                <w:i/>
                <w:iCs/>
              </w:rPr>
            </w:pPr>
            <w:r w:rsidRPr="00B0423A">
              <w:rPr>
                <w:i/>
                <w:iCs/>
              </w:rPr>
              <w:t>C</w:t>
            </w:r>
            <w:r w:rsidR="00126902" w:rsidRPr="00B0423A">
              <w:rPr>
                <w:i/>
                <w:iCs/>
              </w:rPr>
              <w:t>hange</w:t>
            </w:r>
            <w:r>
              <w:rPr>
                <w:i/>
                <w:iCs/>
              </w:rPr>
              <w:t xml:space="preserve"> (%)</w:t>
            </w:r>
          </w:p>
        </w:tc>
        <w:tc>
          <w:tcPr>
            <w:tcW w:w="1417" w:type="dxa"/>
            <w:tcBorders>
              <w:bottom w:val="single" w:sz="12" w:space="0" w:color="148A5D"/>
            </w:tcBorders>
            <w:shd w:val="clear" w:color="auto" w:fill="auto"/>
          </w:tcPr>
          <w:p w14:paraId="07129099" w14:textId="4176F413" w:rsidR="00126902" w:rsidRPr="00B0423A" w:rsidRDefault="00913F92" w:rsidP="00B0423A">
            <w:pPr>
              <w:pStyle w:val="10Tabletext"/>
              <w:jc w:val="right"/>
              <w:rPr>
                <w:i/>
                <w:iCs/>
              </w:rPr>
            </w:pPr>
            <w:r>
              <w:rPr>
                <w:i/>
                <w:iCs/>
              </w:rPr>
              <w:t>+</w:t>
            </w:r>
            <w:r w:rsidR="00126902" w:rsidRPr="00B0423A">
              <w:rPr>
                <w:i/>
                <w:iCs/>
              </w:rPr>
              <w:t>4.1</w:t>
            </w:r>
          </w:p>
        </w:tc>
        <w:tc>
          <w:tcPr>
            <w:tcW w:w="1418" w:type="dxa"/>
            <w:tcBorders>
              <w:bottom w:val="single" w:sz="12" w:space="0" w:color="148A5D"/>
            </w:tcBorders>
            <w:shd w:val="clear" w:color="auto" w:fill="auto"/>
          </w:tcPr>
          <w:p w14:paraId="6E41F8C6" w14:textId="6A2A1709" w:rsidR="00126902" w:rsidRPr="00B0423A" w:rsidRDefault="00913F92" w:rsidP="00B0423A">
            <w:pPr>
              <w:pStyle w:val="10Tabletext"/>
              <w:jc w:val="right"/>
              <w:rPr>
                <w:i/>
                <w:iCs/>
              </w:rPr>
            </w:pPr>
            <w:r>
              <w:rPr>
                <w:i/>
                <w:iCs/>
              </w:rPr>
              <w:t>+</w:t>
            </w:r>
            <w:r w:rsidR="00126902" w:rsidRPr="00B0423A">
              <w:rPr>
                <w:i/>
                <w:iCs/>
              </w:rPr>
              <w:t>4.5</w:t>
            </w:r>
          </w:p>
        </w:tc>
      </w:tr>
      <w:tr w:rsidR="00126902" w:rsidRPr="007639AB" w14:paraId="2F9241FE" w14:textId="77777777" w:rsidTr="00193BE5">
        <w:trPr>
          <w:trHeight w:val="300"/>
        </w:trPr>
        <w:tc>
          <w:tcPr>
            <w:tcW w:w="2268" w:type="dxa"/>
            <w:vMerge w:val="restart"/>
            <w:tcBorders>
              <w:top w:val="single" w:sz="12" w:space="0" w:color="148A5D"/>
            </w:tcBorders>
            <w:shd w:val="clear" w:color="auto" w:fill="auto"/>
          </w:tcPr>
          <w:p w14:paraId="1A187F78" w14:textId="77777777" w:rsidR="00126902" w:rsidRPr="00527471" w:rsidRDefault="00126902" w:rsidP="00B0423A">
            <w:pPr>
              <w:pStyle w:val="10Tabletext"/>
              <w:rPr>
                <w:b/>
                <w:bCs w:val="0"/>
              </w:rPr>
            </w:pPr>
            <w:r w:rsidRPr="00527471">
              <w:rPr>
                <w:b/>
                <w:bCs w:val="0"/>
              </w:rPr>
              <w:t xml:space="preserve">SES-3 / </w:t>
            </w:r>
          </w:p>
          <w:p w14:paraId="38DECDB9" w14:textId="77777777" w:rsidR="00126902" w:rsidRPr="00527471" w:rsidRDefault="00126902" w:rsidP="00B0423A">
            <w:pPr>
              <w:pStyle w:val="10Tabletext"/>
              <w:rPr>
                <w:b/>
                <w:bCs w:val="0"/>
              </w:rPr>
            </w:pPr>
            <w:r w:rsidRPr="00527471">
              <w:rPr>
                <w:b/>
                <w:bCs w:val="0"/>
              </w:rPr>
              <w:t>AO Head-3</w:t>
            </w:r>
          </w:p>
        </w:tc>
        <w:tc>
          <w:tcPr>
            <w:tcW w:w="3402" w:type="dxa"/>
            <w:tcBorders>
              <w:top w:val="single" w:sz="12" w:space="0" w:color="148A5D"/>
            </w:tcBorders>
            <w:shd w:val="clear" w:color="auto" w:fill="auto"/>
          </w:tcPr>
          <w:p w14:paraId="568715B6" w14:textId="21C47103" w:rsidR="00126902" w:rsidRPr="00B0423A" w:rsidRDefault="00126902" w:rsidP="00B0423A">
            <w:pPr>
              <w:pStyle w:val="10Tabletext"/>
            </w:pPr>
            <w:r w:rsidRPr="00B0423A">
              <w:t>Current band ($</w:t>
            </w:r>
            <w:r w:rsidR="00B47506">
              <w:t xml:space="preserve"> p.a</w:t>
            </w:r>
            <w:r w:rsidR="00BE5DBA">
              <w:t>.</w:t>
            </w:r>
            <w:r w:rsidRPr="00B0423A">
              <w:t>)</w:t>
            </w:r>
          </w:p>
        </w:tc>
        <w:tc>
          <w:tcPr>
            <w:tcW w:w="1417" w:type="dxa"/>
            <w:tcBorders>
              <w:top w:val="single" w:sz="12" w:space="0" w:color="148A5D"/>
            </w:tcBorders>
            <w:shd w:val="clear" w:color="auto" w:fill="auto"/>
          </w:tcPr>
          <w:p w14:paraId="1758C95A" w14:textId="77777777" w:rsidR="00126902" w:rsidRPr="00B0423A" w:rsidRDefault="00126902" w:rsidP="00B0423A">
            <w:pPr>
              <w:pStyle w:val="10Tabletext"/>
              <w:jc w:val="right"/>
            </w:pPr>
            <w:r w:rsidRPr="00B0423A">
              <w:t>401,018</w:t>
            </w:r>
          </w:p>
        </w:tc>
        <w:tc>
          <w:tcPr>
            <w:tcW w:w="1418" w:type="dxa"/>
            <w:tcBorders>
              <w:top w:val="single" w:sz="12" w:space="0" w:color="148A5D"/>
            </w:tcBorders>
            <w:shd w:val="clear" w:color="auto" w:fill="auto"/>
          </w:tcPr>
          <w:p w14:paraId="44313A31" w14:textId="77777777" w:rsidR="00126902" w:rsidRPr="00B0423A" w:rsidRDefault="00126902" w:rsidP="00B0423A">
            <w:pPr>
              <w:pStyle w:val="10Tabletext"/>
              <w:jc w:val="right"/>
            </w:pPr>
            <w:r w:rsidRPr="00B0423A">
              <w:t>533,431</w:t>
            </w:r>
          </w:p>
        </w:tc>
      </w:tr>
      <w:tr w:rsidR="00126902" w:rsidRPr="007639AB" w14:paraId="361F43E4" w14:textId="77777777" w:rsidTr="00193BE5">
        <w:trPr>
          <w:trHeight w:val="300"/>
        </w:trPr>
        <w:tc>
          <w:tcPr>
            <w:tcW w:w="2268" w:type="dxa"/>
            <w:vMerge/>
            <w:shd w:val="clear" w:color="auto" w:fill="auto"/>
          </w:tcPr>
          <w:p w14:paraId="18FA7F19" w14:textId="77777777" w:rsidR="00126902" w:rsidRPr="00BE5DBA" w:rsidRDefault="00126902" w:rsidP="00B0423A">
            <w:pPr>
              <w:pStyle w:val="10Tabletext"/>
              <w:rPr>
                <w:b/>
                <w:bCs w:val="0"/>
              </w:rPr>
            </w:pPr>
          </w:p>
        </w:tc>
        <w:tc>
          <w:tcPr>
            <w:tcW w:w="3402" w:type="dxa"/>
            <w:shd w:val="clear" w:color="auto" w:fill="auto"/>
          </w:tcPr>
          <w:p w14:paraId="5CEAA30B" w14:textId="4D8C2F1F" w:rsidR="00126902" w:rsidRPr="00B0423A" w:rsidRDefault="00126902" w:rsidP="00B0423A">
            <w:pPr>
              <w:pStyle w:val="10Tabletext"/>
            </w:pPr>
            <w:r w:rsidRPr="00B0423A">
              <w:t>Mercer recommended option ($</w:t>
            </w:r>
            <w:r w:rsidR="00B0423A">
              <w:t xml:space="preserve"> p.a.</w:t>
            </w:r>
            <w:r w:rsidRPr="00B0423A">
              <w:t>)</w:t>
            </w:r>
          </w:p>
        </w:tc>
        <w:tc>
          <w:tcPr>
            <w:tcW w:w="1417" w:type="dxa"/>
            <w:shd w:val="clear" w:color="auto" w:fill="auto"/>
          </w:tcPr>
          <w:p w14:paraId="307DC958" w14:textId="77777777" w:rsidR="00126902" w:rsidRPr="00B0423A" w:rsidRDefault="00126902" w:rsidP="00B0423A">
            <w:pPr>
              <w:pStyle w:val="10Tabletext"/>
              <w:jc w:val="right"/>
            </w:pPr>
            <w:r w:rsidRPr="00B0423A">
              <w:t>419,001</w:t>
            </w:r>
          </w:p>
        </w:tc>
        <w:tc>
          <w:tcPr>
            <w:tcW w:w="1418" w:type="dxa"/>
            <w:shd w:val="clear" w:color="auto" w:fill="auto"/>
          </w:tcPr>
          <w:p w14:paraId="64A20178" w14:textId="77777777" w:rsidR="00126902" w:rsidRPr="00B0423A" w:rsidRDefault="00126902" w:rsidP="00B0423A">
            <w:pPr>
              <w:pStyle w:val="10Tabletext"/>
              <w:jc w:val="right"/>
            </w:pPr>
            <w:r w:rsidRPr="00B0423A">
              <w:t>578,300</w:t>
            </w:r>
          </w:p>
        </w:tc>
      </w:tr>
      <w:tr w:rsidR="00126902" w:rsidRPr="007639AB" w14:paraId="3CCC0EF8" w14:textId="77777777" w:rsidTr="00193BE5">
        <w:trPr>
          <w:trHeight w:val="300"/>
        </w:trPr>
        <w:tc>
          <w:tcPr>
            <w:tcW w:w="2268" w:type="dxa"/>
            <w:vMerge/>
            <w:tcBorders>
              <w:bottom w:val="single" w:sz="12" w:space="0" w:color="148A5D"/>
            </w:tcBorders>
            <w:shd w:val="clear" w:color="auto" w:fill="auto"/>
          </w:tcPr>
          <w:p w14:paraId="687C5FDC" w14:textId="77777777" w:rsidR="00126902" w:rsidRPr="00BE5DBA" w:rsidRDefault="00126902" w:rsidP="00B0423A">
            <w:pPr>
              <w:pStyle w:val="10Tabletext"/>
              <w:rPr>
                <w:b/>
                <w:bCs w:val="0"/>
              </w:rPr>
            </w:pPr>
          </w:p>
        </w:tc>
        <w:tc>
          <w:tcPr>
            <w:tcW w:w="3402" w:type="dxa"/>
            <w:tcBorders>
              <w:bottom w:val="single" w:sz="12" w:space="0" w:color="148A5D"/>
            </w:tcBorders>
            <w:shd w:val="clear" w:color="auto" w:fill="auto"/>
          </w:tcPr>
          <w:p w14:paraId="0676798E" w14:textId="6BC2B2BF" w:rsidR="00126902" w:rsidRPr="00B0423A" w:rsidRDefault="00913F92" w:rsidP="00B0423A">
            <w:pPr>
              <w:pStyle w:val="10Tabletext"/>
              <w:rPr>
                <w:i/>
                <w:iCs/>
              </w:rPr>
            </w:pPr>
            <w:r>
              <w:rPr>
                <w:i/>
                <w:iCs/>
              </w:rPr>
              <w:t>C</w:t>
            </w:r>
            <w:r w:rsidR="00126902" w:rsidRPr="00B0423A">
              <w:rPr>
                <w:i/>
                <w:iCs/>
              </w:rPr>
              <w:t>hange</w:t>
            </w:r>
            <w:r>
              <w:rPr>
                <w:i/>
                <w:iCs/>
              </w:rPr>
              <w:t xml:space="preserve"> (%)</w:t>
            </w:r>
          </w:p>
        </w:tc>
        <w:tc>
          <w:tcPr>
            <w:tcW w:w="1417" w:type="dxa"/>
            <w:tcBorders>
              <w:bottom w:val="single" w:sz="12" w:space="0" w:color="148A5D"/>
            </w:tcBorders>
            <w:shd w:val="clear" w:color="auto" w:fill="auto"/>
          </w:tcPr>
          <w:p w14:paraId="0A21EF04" w14:textId="682DBF06" w:rsidR="00126902" w:rsidRPr="00B0423A" w:rsidRDefault="00913F92" w:rsidP="00B0423A">
            <w:pPr>
              <w:pStyle w:val="10Tabletext"/>
              <w:jc w:val="right"/>
              <w:rPr>
                <w:i/>
                <w:iCs/>
              </w:rPr>
            </w:pPr>
            <w:r>
              <w:rPr>
                <w:i/>
                <w:iCs/>
              </w:rPr>
              <w:t>+</w:t>
            </w:r>
            <w:r w:rsidR="00126902" w:rsidRPr="00B0423A">
              <w:rPr>
                <w:i/>
                <w:iCs/>
              </w:rPr>
              <w:t>4.5</w:t>
            </w:r>
          </w:p>
        </w:tc>
        <w:tc>
          <w:tcPr>
            <w:tcW w:w="1418" w:type="dxa"/>
            <w:tcBorders>
              <w:bottom w:val="single" w:sz="12" w:space="0" w:color="148A5D"/>
            </w:tcBorders>
            <w:shd w:val="clear" w:color="auto" w:fill="auto"/>
          </w:tcPr>
          <w:p w14:paraId="52DB294B" w14:textId="2D974A16" w:rsidR="00126902" w:rsidRPr="00B0423A" w:rsidRDefault="00913F92" w:rsidP="00B0423A">
            <w:pPr>
              <w:pStyle w:val="10Tabletext"/>
              <w:jc w:val="right"/>
              <w:rPr>
                <w:i/>
                <w:iCs/>
              </w:rPr>
            </w:pPr>
            <w:r>
              <w:rPr>
                <w:i/>
                <w:iCs/>
              </w:rPr>
              <w:t>+</w:t>
            </w:r>
            <w:r w:rsidR="00126902" w:rsidRPr="00B0423A">
              <w:rPr>
                <w:i/>
                <w:iCs/>
              </w:rPr>
              <w:t>8.4</w:t>
            </w:r>
          </w:p>
        </w:tc>
      </w:tr>
      <w:tr w:rsidR="00126902" w:rsidRPr="007639AB" w14:paraId="1338C3B0" w14:textId="77777777" w:rsidTr="00193BE5">
        <w:trPr>
          <w:trHeight w:val="300"/>
        </w:trPr>
        <w:tc>
          <w:tcPr>
            <w:tcW w:w="2268" w:type="dxa"/>
            <w:vMerge w:val="restart"/>
            <w:tcBorders>
              <w:top w:val="single" w:sz="12" w:space="0" w:color="148A5D"/>
            </w:tcBorders>
            <w:shd w:val="clear" w:color="auto" w:fill="auto"/>
          </w:tcPr>
          <w:p w14:paraId="7B670912" w14:textId="463E147F" w:rsidR="00126902" w:rsidRPr="00F76A20" w:rsidRDefault="00204036" w:rsidP="00B0423A">
            <w:pPr>
              <w:pStyle w:val="10Tabletext"/>
              <w:rPr>
                <w:b/>
                <w:bCs w:val="0"/>
                <w:spacing w:val="-2"/>
              </w:rPr>
            </w:pPr>
            <w:r w:rsidRPr="00F76A20">
              <w:rPr>
                <w:b/>
                <w:bCs w:val="0"/>
                <w:spacing w:val="-2"/>
              </w:rPr>
              <w:t xml:space="preserve">Department </w:t>
            </w:r>
            <w:r w:rsidR="005B0FA5" w:rsidRPr="00F76A20">
              <w:rPr>
                <w:b/>
                <w:bCs w:val="0"/>
                <w:spacing w:val="-2"/>
              </w:rPr>
              <w:t>Secretary</w:t>
            </w:r>
            <w:r w:rsidR="00126902" w:rsidRPr="00F76A20">
              <w:rPr>
                <w:b/>
                <w:bCs w:val="0"/>
                <w:spacing w:val="-2"/>
              </w:rPr>
              <w:t xml:space="preserve"> / Victorian Public Sector Commissioner</w:t>
            </w:r>
          </w:p>
        </w:tc>
        <w:tc>
          <w:tcPr>
            <w:tcW w:w="3402" w:type="dxa"/>
            <w:tcBorders>
              <w:top w:val="single" w:sz="12" w:space="0" w:color="148A5D"/>
            </w:tcBorders>
            <w:shd w:val="clear" w:color="auto" w:fill="auto"/>
          </w:tcPr>
          <w:p w14:paraId="3AD3F498" w14:textId="1C8A648C" w:rsidR="00126902" w:rsidRPr="00B0423A" w:rsidRDefault="00126902" w:rsidP="00B0423A">
            <w:pPr>
              <w:pStyle w:val="10Tabletext"/>
            </w:pPr>
            <w:r w:rsidRPr="00B0423A">
              <w:t>Current band ($</w:t>
            </w:r>
            <w:r w:rsidR="00B0423A">
              <w:t xml:space="preserve"> p.a.</w:t>
            </w:r>
            <w:r w:rsidRPr="00B0423A">
              <w:t>)</w:t>
            </w:r>
          </w:p>
        </w:tc>
        <w:tc>
          <w:tcPr>
            <w:tcW w:w="1417" w:type="dxa"/>
            <w:tcBorders>
              <w:top w:val="single" w:sz="12" w:space="0" w:color="148A5D"/>
            </w:tcBorders>
            <w:shd w:val="clear" w:color="auto" w:fill="auto"/>
          </w:tcPr>
          <w:p w14:paraId="705B4B33" w14:textId="77777777" w:rsidR="00126902" w:rsidRPr="00B0423A" w:rsidRDefault="00126902" w:rsidP="00B0423A">
            <w:pPr>
              <w:pStyle w:val="10Tabletext"/>
              <w:jc w:val="right"/>
            </w:pPr>
            <w:r w:rsidRPr="00B0423A">
              <w:t>577,716</w:t>
            </w:r>
          </w:p>
        </w:tc>
        <w:tc>
          <w:tcPr>
            <w:tcW w:w="1418" w:type="dxa"/>
            <w:tcBorders>
              <w:top w:val="single" w:sz="12" w:space="0" w:color="148A5D"/>
            </w:tcBorders>
            <w:shd w:val="clear" w:color="auto" w:fill="auto"/>
          </w:tcPr>
          <w:p w14:paraId="7960D783" w14:textId="77777777" w:rsidR="00126902" w:rsidRPr="00B0423A" w:rsidRDefault="00126902" w:rsidP="00B0423A">
            <w:pPr>
              <w:pStyle w:val="10Tabletext"/>
              <w:jc w:val="right"/>
            </w:pPr>
            <w:r w:rsidRPr="00B0423A">
              <w:t>778,492</w:t>
            </w:r>
          </w:p>
        </w:tc>
      </w:tr>
      <w:tr w:rsidR="00126902" w:rsidRPr="007639AB" w14:paraId="3BE2B3B3" w14:textId="77777777" w:rsidTr="00193BE5">
        <w:trPr>
          <w:trHeight w:val="300"/>
        </w:trPr>
        <w:tc>
          <w:tcPr>
            <w:tcW w:w="2268" w:type="dxa"/>
            <w:vMerge/>
            <w:shd w:val="clear" w:color="auto" w:fill="auto"/>
          </w:tcPr>
          <w:p w14:paraId="03B7FD99" w14:textId="77777777" w:rsidR="00126902" w:rsidRPr="007639AB" w:rsidRDefault="00126902" w:rsidP="00B0423A">
            <w:pPr>
              <w:pStyle w:val="10Tabletext"/>
              <w:rPr>
                <w:rFonts w:ascii="Calibri" w:hAnsi="Calibri" w:cs="Calibri"/>
                <w:lang w:eastAsia="en-AU"/>
              </w:rPr>
            </w:pPr>
          </w:p>
        </w:tc>
        <w:tc>
          <w:tcPr>
            <w:tcW w:w="3402" w:type="dxa"/>
            <w:shd w:val="clear" w:color="auto" w:fill="auto"/>
          </w:tcPr>
          <w:p w14:paraId="44889513" w14:textId="611EB17D" w:rsidR="00126902" w:rsidRPr="00B0423A" w:rsidRDefault="00126902" w:rsidP="00B0423A">
            <w:pPr>
              <w:pStyle w:val="10Tabletext"/>
            </w:pPr>
            <w:r w:rsidRPr="00B0423A">
              <w:t>Mercer recommended option ($</w:t>
            </w:r>
            <w:r w:rsidR="00886499">
              <w:t xml:space="preserve"> p.a</w:t>
            </w:r>
            <w:r w:rsidR="00B0423A">
              <w:t>.</w:t>
            </w:r>
            <w:r w:rsidRPr="00B0423A">
              <w:t>)</w:t>
            </w:r>
          </w:p>
        </w:tc>
        <w:tc>
          <w:tcPr>
            <w:tcW w:w="1417" w:type="dxa"/>
            <w:shd w:val="clear" w:color="auto" w:fill="auto"/>
          </w:tcPr>
          <w:p w14:paraId="46CBC01C" w14:textId="77777777" w:rsidR="00126902" w:rsidRPr="00B0423A" w:rsidRDefault="00126902" w:rsidP="00B0423A">
            <w:pPr>
              <w:pStyle w:val="10Tabletext"/>
              <w:jc w:val="right"/>
            </w:pPr>
            <w:r w:rsidRPr="00B0423A">
              <w:t>578,301</w:t>
            </w:r>
          </w:p>
        </w:tc>
        <w:tc>
          <w:tcPr>
            <w:tcW w:w="1418" w:type="dxa"/>
            <w:shd w:val="clear" w:color="auto" w:fill="auto"/>
          </w:tcPr>
          <w:p w14:paraId="1195D395" w14:textId="77777777" w:rsidR="00126902" w:rsidRPr="00B0423A" w:rsidRDefault="00126902" w:rsidP="00B0423A">
            <w:pPr>
              <w:pStyle w:val="10Tabletext"/>
              <w:jc w:val="right"/>
            </w:pPr>
            <w:r w:rsidRPr="00B0423A">
              <w:t>832,800</w:t>
            </w:r>
          </w:p>
        </w:tc>
      </w:tr>
      <w:tr w:rsidR="00126902" w:rsidRPr="007639AB" w14:paraId="0D67AC70" w14:textId="77777777" w:rsidTr="00193BE5">
        <w:tc>
          <w:tcPr>
            <w:tcW w:w="2268" w:type="dxa"/>
            <w:vMerge/>
            <w:tcBorders>
              <w:bottom w:val="single" w:sz="12" w:space="0" w:color="148A5D"/>
            </w:tcBorders>
            <w:shd w:val="clear" w:color="auto" w:fill="auto"/>
            <w:vAlign w:val="center"/>
          </w:tcPr>
          <w:p w14:paraId="0314B931" w14:textId="77777777" w:rsidR="00126902" w:rsidRPr="007639AB" w:rsidRDefault="00126902" w:rsidP="00B0423A">
            <w:pPr>
              <w:pStyle w:val="10Tabletext"/>
              <w:rPr>
                <w:rFonts w:ascii="Calibri" w:hAnsi="Calibri" w:cs="Calibri"/>
                <w:lang w:eastAsia="en-AU"/>
              </w:rPr>
            </w:pPr>
          </w:p>
        </w:tc>
        <w:tc>
          <w:tcPr>
            <w:tcW w:w="3402" w:type="dxa"/>
            <w:tcBorders>
              <w:bottom w:val="single" w:sz="12" w:space="0" w:color="148A5D"/>
            </w:tcBorders>
            <w:shd w:val="clear" w:color="auto" w:fill="auto"/>
          </w:tcPr>
          <w:p w14:paraId="4D113423" w14:textId="660C1B14" w:rsidR="00126902" w:rsidRPr="00B0423A" w:rsidRDefault="00913F92" w:rsidP="00B0423A">
            <w:pPr>
              <w:pStyle w:val="10Tabletext"/>
              <w:rPr>
                <w:i/>
                <w:iCs/>
              </w:rPr>
            </w:pPr>
            <w:r w:rsidRPr="00B0423A">
              <w:rPr>
                <w:i/>
                <w:iCs/>
              </w:rPr>
              <w:t>C</w:t>
            </w:r>
            <w:r w:rsidR="00126902" w:rsidRPr="00B0423A">
              <w:rPr>
                <w:i/>
                <w:iCs/>
              </w:rPr>
              <w:t>hange</w:t>
            </w:r>
            <w:r>
              <w:rPr>
                <w:i/>
                <w:iCs/>
              </w:rPr>
              <w:t xml:space="preserve"> (%)</w:t>
            </w:r>
          </w:p>
        </w:tc>
        <w:tc>
          <w:tcPr>
            <w:tcW w:w="1417" w:type="dxa"/>
            <w:tcBorders>
              <w:bottom w:val="single" w:sz="12" w:space="0" w:color="148A5D"/>
            </w:tcBorders>
            <w:shd w:val="clear" w:color="auto" w:fill="auto"/>
          </w:tcPr>
          <w:p w14:paraId="280A0A6B" w14:textId="72BFD2FD" w:rsidR="00126902" w:rsidRPr="00B0423A" w:rsidRDefault="00913F92" w:rsidP="00B0423A">
            <w:pPr>
              <w:pStyle w:val="10Tabletext"/>
              <w:jc w:val="right"/>
              <w:rPr>
                <w:i/>
                <w:iCs/>
              </w:rPr>
            </w:pPr>
            <w:r>
              <w:rPr>
                <w:i/>
                <w:iCs/>
              </w:rPr>
              <w:t>+</w:t>
            </w:r>
            <w:r w:rsidR="00126902" w:rsidRPr="00B0423A">
              <w:rPr>
                <w:i/>
                <w:iCs/>
              </w:rPr>
              <w:t>0.1</w:t>
            </w:r>
          </w:p>
        </w:tc>
        <w:tc>
          <w:tcPr>
            <w:tcW w:w="1418" w:type="dxa"/>
            <w:tcBorders>
              <w:bottom w:val="single" w:sz="12" w:space="0" w:color="148A5D"/>
            </w:tcBorders>
            <w:shd w:val="clear" w:color="auto" w:fill="auto"/>
          </w:tcPr>
          <w:p w14:paraId="243E8456" w14:textId="2C2368D4" w:rsidR="00126902" w:rsidRPr="00B0423A" w:rsidRDefault="00913F92" w:rsidP="00B0423A">
            <w:pPr>
              <w:pStyle w:val="10Tabletext"/>
              <w:jc w:val="right"/>
              <w:rPr>
                <w:i/>
                <w:iCs/>
              </w:rPr>
            </w:pPr>
            <w:r>
              <w:rPr>
                <w:i/>
                <w:iCs/>
              </w:rPr>
              <w:t>+</w:t>
            </w:r>
            <w:r w:rsidR="00126902" w:rsidRPr="00B0423A">
              <w:rPr>
                <w:i/>
                <w:iCs/>
              </w:rPr>
              <w:t>7.0</w:t>
            </w:r>
          </w:p>
        </w:tc>
      </w:tr>
    </w:tbl>
    <w:p w14:paraId="5D4F0C51" w14:textId="0FE89375" w:rsidR="00126902" w:rsidRPr="00E65BD4" w:rsidRDefault="00126902" w:rsidP="00E65BD4">
      <w:pPr>
        <w:pStyle w:val="09Sourcesandnotesfortablesfiguresboxes"/>
      </w:pPr>
      <w:r w:rsidRPr="00E65BD4">
        <w:t xml:space="preserve">Sources: Mercer </w:t>
      </w:r>
      <w:r w:rsidR="00913F92">
        <w:t>(</w:t>
      </w:r>
      <w:r w:rsidRPr="00E65BD4">
        <w:t>2024</w:t>
      </w:r>
      <w:r w:rsidR="00913F92">
        <w:t>)</w:t>
      </w:r>
      <w:r w:rsidRPr="00E65BD4">
        <w:t xml:space="preserve">, </w:t>
      </w:r>
      <w:r w:rsidR="005A40BB">
        <w:t>Tribunal (</w:t>
      </w:r>
      <w:r w:rsidRPr="00E65BD4">
        <w:t>2023</w:t>
      </w:r>
      <w:r w:rsidR="00F75416">
        <w:t>b)</w:t>
      </w:r>
      <w:r w:rsidRPr="00E65BD4">
        <w:t>.</w:t>
      </w:r>
    </w:p>
    <w:p w14:paraId="3C987224" w14:textId="77777777" w:rsidR="00126902" w:rsidRPr="007639AB" w:rsidRDefault="00126902" w:rsidP="00DA58B8">
      <w:pPr>
        <w:pStyle w:val="05Paragraph"/>
      </w:pPr>
      <w:r w:rsidRPr="007639AB">
        <w:t xml:space="preserve">The Tribunal is of the view that the remuneration structure recommend by Mercer is justified by the evidence and particularly if the significant changes to the role of executives is taken into account. </w:t>
      </w:r>
    </w:p>
    <w:p w14:paraId="3F5FAC70" w14:textId="77777777" w:rsidR="00126902" w:rsidRPr="00695E81" w:rsidRDefault="00126902" w:rsidP="00DA58B8">
      <w:pPr>
        <w:pStyle w:val="05Paragraph"/>
      </w:pPr>
      <w:r w:rsidRPr="007639AB">
        <w:t xml:space="preserve">However, having weighed all of the factors discussed above and in particular the financial position of the State and the likely public reaction to significant increases in public service executive pay at this time, it has decided to </w:t>
      </w:r>
      <w:r w:rsidRPr="00695E81">
        <w:t>make the following adjustments to Mercer’s recommended structure:</w:t>
      </w:r>
    </w:p>
    <w:p w14:paraId="54672AF7" w14:textId="77777777" w:rsidR="00126902" w:rsidRPr="00695E81" w:rsidRDefault="00126902" w:rsidP="00126902">
      <w:pPr>
        <w:pStyle w:val="06VIRTBulletpoints"/>
      </w:pPr>
      <w:r w:rsidRPr="00695E81">
        <w:t>changes to the band structure at the more senior levels have been capped at 4.5 per cent</w:t>
      </w:r>
    </w:p>
    <w:p w14:paraId="14E81D40" w14:textId="77777777" w:rsidR="00126902" w:rsidRPr="00695E81" w:rsidRDefault="00126902" w:rsidP="00126902">
      <w:pPr>
        <w:pStyle w:val="06VIRTBulletpoints"/>
      </w:pPr>
      <w:r w:rsidRPr="00695E81">
        <w:t xml:space="preserve">the gap between the top of the VPS-6 band and the base of the SES-1 band has been increased from 11.5 per cent to 12 per cent to </w:t>
      </w:r>
      <w:r>
        <w:t>encourage</w:t>
      </w:r>
      <w:r w:rsidRPr="00695E81">
        <w:t xml:space="preserve"> the flow of employees into the executive ranks</w:t>
      </w:r>
    </w:p>
    <w:p w14:paraId="27B6D9B9" w14:textId="0E15CDA9" w:rsidR="00126902" w:rsidRPr="00695E81" w:rsidRDefault="00126902" w:rsidP="00126902">
      <w:pPr>
        <w:pStyle w:val="06VIRTBulletpoints"/>
      </w:pPr>
      <w:r w:rsidRPr="00695E81">
        <w:t>the gap between the top of the SES-</w:t>
      </w:r>
      <w:r w:rsidR="00C8004F">
        <w:t>3</w:t>
      </w:r>
      <w:r w:rsidRPr="00695E81">
        <w:t xml:space="preserve"> band and the Secretary/Commissioner band has been maintained at its current level to reflect the important differences between these roles, including the different level of responsibility, risk and scrutiny attached to Secretary roles. </w:t>
      </w:r>
    </w:p>
    <w:p w14:paraId="2CCB4DE6" w14:textId="77777777" w:rsidR="00126902" w:rsidRPr="007639AB" w:rsidRDefault="00126902" w:rsidP="00DA58B8">
      <w:pPr>
        <w:pStyle w:val="05Paragraph"/>
      </w:pPr>
      <w:r w:rsidRPr="00695E81">
        <w:t>Overall, the new remuneration bands set by the Tribunal result in an increase to the current bands of between 4 and 4.5 per cent.</w:t>
      </w:r>
      <w:r w:rsidRPr="007639AB">
        <w:t xml:space="preserve"> </w:t>
      </w:r>
    </w:p>
    <w:p w14:paraId="439B316B" w14:textId="64AACCD8" w:rsidR="00372994" w:rsidRDefault="00D54A6E" w:rsidP="00DA58B8">
      <w:pPr>
        <w:pStyle w:val="05Paragraph"/>
      </w:pPr>
      <w:r w:rsidRPr="00D54A6E">
        <w:t xml:space="preserve">It is important to note that the increases in the remuneration bands are inclusive of Commonwealth Government-legislated changes to statutory superannuation entitlements that take effect from 1 July 2024. In particular, the superannuation guarantee (SG) will increase from 11 per cent to 11.5 per cent and the maximum </w:t>
      </w:r>
      <w:r w:rsidRPr="00D54A6E">
        <w:lastRenderedPageBreak/>
        <w:t>superannuation contribution base (which caps the salary to which the SG applies) will increase from $249,080 to $260,280. Victorian Government policy is that VPS employers must bear the cost of such changes, which is reflected in an increase in each executive’s TRP. Once the impact of the superannuation changes are accounted for, the effective increase in the remuneration bands is between 3.5 per cent and 4.3 per cent.</w:t>
      </w:r>
    </w:p>
    <w:p w14:paraId="0E78332B" w14:textId="1FAE3101" w:rsidR="00126902" w:rsidRPr="007639AB" w:rsidRDefault="00126902" w:rsidP="00DA58B8">
      <w:pPr>
        <w:pStyle w:val="05Paragraph"/>
      </w:pPr>
      <w:r w:rsidRPr="00695E81">
        <w:t xml:space="preserve">It should be noted that an increase in the </w:t>
      </w:r>
      <w:r w:rsidR="00BD3CC6">
        <w:t xml:space="preserve">remuneration </w:t>
      </w:r>
      <w:r w:rsidRPr="00695E81">
        <w:t>bands will not automatically result an increase in remuneration for all executives. The task of the Tribunal is to determine the value of the remuneration bands. While the remuneration for executives at the bottom of each band will need to be adjusted to remain within the relevant band, responsibility for what most executives are paid within the bands resides with employers taking account of the Premier’s annual adjustment guideline rate.</w:t>
      </w:r>
    </w:p>
    <w:p w14:paraId="344FBE75" w14:textId="664D1787" w:rsidR="00126902" w:rsidRPr="007639AB" w:rsidRDefault="00126902" w:rsidP="00DA58B8">
      <w:pPr>
        <w:pStyle w:val="05Paragraph"/>
      </w:pPr>
      <w:r w:rsidRPr="007639AB">
        <w:t xml:space="preserve">The effect of the Tribunal’s decision is shown in </w:t>
      </w:r>
      <w:r w:rsidR="0084702F">
        <w:t>Table 7.2</w:t>
      </w:r>
      <w:r w:rsidRPr="007639AB">
        <w:t>:</w:t>
      </w:r>
    </w:p>
    <w:p w14:paraId="724A4D11" w14:textId="77777777" w:rsidR="00126902" w:rsidRPr="007639AB" w:rsidRDefault="00126902" w:rsidP="00144BE8">
      <w:pPr>
        <w:pStyle w:val="08Figuretableboxheading"/>
      </w:pPr>
      <w:bookmarkStart w:id="170" w:name="_Toc170393579"/>
      <w:r w:rsidRPr="007639AB">
        <w:t xml:space="preserve">Table 7.2: Tribunal’s decision compared to </w:t>
      </w:r>
      <w:r w:rsidRPr="00C8004F">
        <w:t>the</w:t>
      </w:r>
      <w:r w:rsidRPr="007639AB">
        <w:t xml:space="preserve"> current VPS remuneration bands</w:t>
      </w:r>
      <w:bookmarkEnd w:id="170"/>
    </w:p>
    <w:tbl>
      <w:tblPr>
        <w:tblW w:w="8505" w:type="dxa"/>
        <w:tblBorders>
          <w:top w:val="single" w:sz="6" w:space="0" w:color="148A5D"/>
          <w:bottom w:val="single" w:sz="6" w:space="0" w:color="148A5D"/>
          <w:insideH w:val="single" w:sz="6" w:space="0" w:color="148A5D"/>
        </w:tblBorders>
        <w:tblCellMar>
          <w:left w:w="0" w:type="dxa"/>
          <w:right w:w="0" w:type="dxa"/>
        </w:tblCellMar>
        <w:tblLook w:val="04A0" w:firstRow="1" w:lastRow="0" w:firstColumn="1" w:lastColumn="0" w:noHBand="0" w:noVBand="1"/>
      </w:tblPr>
      <w:tblGrid>
        <w:gridCol w:w="2430"/>
        <w:gridCol w:w="3037"/>
        <w:gridCol w:w="1519"/>
        <w:gridCol w:w="1519"/>
      </w:tblGrid>
      <w:tr w:rsidR="00126902" w:rsidRPr="007639AB" w14:paraId="29E0ACF0" w14:textId="77777777" w:rsidTr="00193BE5">
        <w:tc>
          <w:tcPr>
            <w:tcW w:w="2430" w:type="dxa"/>
            <w:tcBorders>
              <w:bottom w:val="single" w:sz="6" w:space="0" w:color="148A5D"/>
            </w:tcBorders>
            <w:shd w:val="clear" w:color="auto" w:fill="148A5D"/>
            <w:hideMark/>
          </w:tcPr>
          <w:p w14:paraId="277B78B8" w14:textId="77777777" w:rsidR="00126902" w:rsidRPr="00C8004F" w:rsidRDefault="00126902" w:rsidP="00C8004F">
            <w:pPr>
              <w:pStyle w:val="10Tabletext"/>
              <w:rPr>
                <w:rFonts w:ascii="Segoe UI" w:hAnsi="Segoe UI" w:cs="Segoe UI"/>
                <w:b/>
                <w:bCs w:val="0"/>
                <w:color w:val="FFFFFF" w:themeColor="background1"/>
                <w:lang w:eastAsia="en-AU"/>
              </w:rPr>
            </w:pPr>
            <w:r w:rsidRPr="00C8004F">
              <w:rPr>
                <w:b/>
                <w:bCs w:val="0"/>
                <w:color w:val="FFFFFF" w:themeColor="background1"/>
                <w:lang w:eastAsia="en-AU"/>
              </w:rPr>
              <w:t>Band</w:t>
            </w:r>
          </w:p>
        </w:tc>
        <w:tc>
          <w:tcPr>
            <w:tcW w:w="3037" w:type="dxa"/>
            <w:tcBorders>
              <w:bottom w:val="single" w:sz="6" w:space="0" w:color="148A5D"/>
            </w:tcBorders>
            <w:shd w:val="clear" w:color="auto" w:fill="148A5D"/>
            <w:hideMark/>
          </w:tcPr>
          <w:p w14:paraId="46D2E1EA" w14:textId="77777777" w:rsidR="00126902" w:rsidRPr="00C8004F" w:rsidRDefault="00126902" w:rsidP="00C8004F">
            <w:pPr>
              <w:pStyle w:val="10Tabletext"/>
              <w:rPr>
                <w:rFonts w:ascii="Segoe UI" w:hAnsi="Segoe UI" w:cs="Segoe UI"/>
                <w:b/>
                <w:bCs w:val="0"/>
                <w:color w:val="FFFFFF" w:themeColor="background1"/>
                <w:lang w:eastAsia="en-AU"/>
              </w:rPr>
            </w:pPr>
            <w:r w:rsidRPr="00C8004F">
              <w:rPr>
                <w:b/>
                <w:bCs w:val="0"/>
                <w:color w:val="FFFFFF" w:themeColor="background1"/>
                <w:lang w:eastAsia="en-AU"/>
              </w:rPr>
              <w:t>Option</w:t>
            </w:r>
          </w:p>
        </w:tc>
        <w:tc>
          <w:tcPr>
            <w:tcW w:w="1519" w:type="dxa"/>
            <w:tcBorders>
              <w:bottom w:val="single" w:sz="6" w:space="0" w:color="148A5D"/>
            </w:tcBorders>
            <w:shd w:val="clear" w:color="auto" w:fill="148A5D"/>
            <w:hideMark/>
          </w:tcPr>
          <w:p w14:paraId="2331BB41" w14:textId="77777777" w:rsidR="00126902" w:rsidRPr="00C8004F" w:rsidRDefault="00126902" w:rsidP="00464B61">
            <w:pPr>
              <w:pStyle w:val="10Tabletext"/>
              <w:jc w:val="right"/>
              <w:rPr>
                <w:rFonts w:ascii="Segoe UI" w:hAnsi="Segoe UI" w:cs="Segoe UI"/>
                <w:b/>
                <w:bCs w:val="0"/>
                <w:color w:val="FFFFFF" w:themeColor="background1"/>
                <w:lang w:eastAsia="en-AU"/>
              </w:rPr>
            </w:pPr>
            <w:r w:rsidRPr="00C8004F">
              <w:rPr>
                <w:b/>
                <w:bCs w:val="0"/>
                <w:color w:val="FFFFFF" w:themeColor="background1"/>
                <w:lang w:eastAsia="en-AU"/>
              </w:rPr>
              <w:t>Bottom of band</w:t>
            </w:r>
          </w:p>
        </w:tc>
        <w:tc>
          <w:tcPr>
            <w:tcW w:w="1519" w:type="dxa"/>
            <w:tcBorders>
              <w:bottom w:val="single" w:sz="6" w:space="0" w:color="148A5D"/>
            </w:tcBorders>
            <w:shd w:val="clear" w:color="auto" w:fill="148A5D"/>
            <w:hideMark/>
          </w:tcPr>
          <w:p w14:paraId="45E98002" w14:textId="77777777" w:rsidR="00126902" w:rsidRPr="00C8004F" w:rsidRDefault="00126902" w:rsidP="00464B61">
            <w:pPr>
              <w:pStyle w:val="10Tabletext"/>
              <w:jc w:val="right"/>
              <w:rPr>
                <w:rFonts w:ascii="Segoe UI" w:hAnsi="Segoe UI" w:cs="Segoe UI"/>
                <w:b/>
                <w:bCs w:val="0"/>
                <w:color w:val="FFFFFF" w:themeColor="background1"/>
                <w:lang w:eastAsia="en-AU"/>
              </w:rPr>
            </w:pPr>
            <w:r w:rsidRPr="00C8004F">
              <w:rPr>
                <w:b/>
                <w:bCs w:val="0"/>
                <w:color w:val="FFFFFF" w:themeColor="background1"/>
                <w:lang w:eastAsia="en-AU"/>
              </w:rPr>
              <w:t>Top of band </w:t>
            </w:r>
          </w:p>
        </w:tc>
      </w:tr>
      <w:tr w:rsidR="00126902" w:rsidRPr="007639AB" w14:paraId="3D51E989" w14:textId="77777777" w:rsidTr="00193BE5">
        <w:trPr>
          <w:trHeight w:val="300"/>
        </w:trPr>
        <w:tc>
          <w:tcPr>
            <w:tcW w:w="2430" w:type="dxa"/>
            <w:vMerge w:val="restart"/>
            <w:shd w:val="clear" w:color="auto" w:fill="auto"/>
          </w:tcPr>
          <w:p w14:paraId="2B572F5B" w14:textId="77777777" w:rsidR="00126902" w:rsidRPr="00C8004F" w:rsidRDefault="00126902" w:rsidP="00C8004F">
            <w:pPr>
              <w:pStyle w:val="10Tabletext"/>
              <w:rPr>
                <w:b/>
                <w:bCs w:val="0"/>
              </w:rPr>
            </w:pPr>
            <w:r w:rsidRPr="00C8004F">
              <w:rPr>
                <w:b/>
                <w:bCs w:val="0"/>
              </w:rPr>
              <w:t>SES-1 /</w:t>
            </w:r>
          </w:p>
          <w:p w14:paraId="4AC08A6D" w14:textId="77777777" w:rsidR="00126902" w:rsidRPr="00C8004F" w:rsidRDefault="00126902" w:rsidP="00C8004F">
            <w:pPr>
              <w:pStyle w:val="10Tabletext"/>
              <w:rPr>
                <w:b/>
                <w:bCs w:val="0"/>
              </w:rPr>
            </w:pPr>
            <w:r w:rsidRPr="00C8004F">
              <w:rPr>
                <w:b/>
                <w:bCs w:val="0"/>
              </w:rPr>
              <w:t>AO Head-1</w:t>
            </w:r>
          </w:p>
        </w:tc>
        <w:tc>
          <w:tcPr>
            <w:tcW w:w="3037" w:type="dxa"/>
            <w:shd w:val="clear" w:color="auto" w:fill="auto"/>
          </w:tcPr>
          <w:p w14:paraId="578B65AB" w14:textId="37B0CDF4" w:rsidR="00126902" w:rsidRPr="00C8004F" w:rsidRDefault="00126902" w:rsidP="00C8004F">
            <w:pPr>
              <w:pStyle w:val="10Tabletext"/>
            </w:pPr>
            <w:r w:rsidRPr="00C8004F">
              <w:t>Current band ($</w:t>
            </w:r>
            <w:r w:rsidR="00C8004F">
              <w:t xml:space="preserve"> p.a.</w:t>
            </w:r>
            <w:r w:rsidRPr="00C8004F">
              <w:t>)</w:t>
            </w:r>
          </w:p>
        </w:tc>
        <w:tc>
          <w:tcPr>
            <w:tcW w:w="1519" w:type="dxa"/>
            <w:shd w:val="clear" w:color="auto" w:fill="auto"/>
          </w:tcPr>
          <w:p w14:paraId="19C82472" w14:textId="77777777" w:rsidR="00126902" w:rsidRPr="00C8004F" w:rsidRDefault="00126902" w:rsidP="00464B61">
            <w:pPr>
              <w:pStyle w:val="10Tabletext"/>
              <w:jc w:val="right"/>
            </w:pPr>
            <w:r w:rsidRPr="00C8004F">
              <w:t xml:space="preserve">216,376 </w:t>
            </w:r>
          </w:p>
        </w:tc>
        <w:tc>
          <w:tcPr>
            <w:tcW w:w="1519" w:type="dxa"/>
            <w:shd w:val="clear" w:color="auto" w:fill="auto"/>
          </w:tcPr>
          <w:p w14:paraId="2E2ADC4B" w14:textId="77777777" w:rsidR="00126902" w:rsidRPr="00C8004F" w:rsidRDefault="00126902" w:rsidP="00464B61">
            <w:pPr>
              <w:pStyle w:val="10Tabletext"/>
              <w:jc w:val="right"/>
            </w:pPr>
            <w:r w:rsidRPr="00C8004F">
              <w:t xml:space="preserve">279,238 </w:t>
            </w:r>
          </w:p>
        </w:tc>
      </w:tr>
      <w:tr w:rsidR="00126902" w:rsidRPr="007639AB" w14:paraId="1B49D947" w14:textId="77777777" w:rsidTr="00193BE5">
        <w:trPr>
          <w:trHeight w:val="300"/>
        </w:trPr>
        <w:tc>
          <w:tcPr>
            <w:tcW w:w="2430" w:type="dxa"/>
            <w:vMerge/>
            <w:shd w:val="clear" w:color="auto" w:fill="auto"/>
            <w:vAlign w:val="center"/>
          </w:tcPr>
          <w:p w14:paraId="0A7900C5" w14:textId="77777777" w:rsidR="00126902" w:rsidRPr="00C8004F" w:rsidRDefault="00126902" w:rsidP="00C8004F">
            <w:pPr>
              <w:pStyle w:val="10Tabletext"/>
              <w:rPr>
                <w:b/>
                <w:bCs w:val="0"/>
              </w:rPr>
            </w:pPr>
          </w:p>
        </w:tc>
        <w:tc>
          <w:tcPr>
            <w:tcW w:w="3037" w:type="dxa"/>
            <w:shd w:val="clear" w:color="auto" w:fill="auto"/>
          </w:tcPr>
          <w:p w14:paraId="5F1F2A6E" w14:textId="0A08352C" w:rsidR="00126902" w:rsidRPr="00C8004F" w:rsidRDefault="00126902" w:rsidP="00C8004F">
            <w:pPr>
              <w:pStyle w:val="10Tabletext"/>
            </w:pPr>
            <w:r w:rsidRPr="00C8004F">
              <w:t>Tribunal’s decision ($</w:t>
            </w:r>
            <w:r w:rsidR="00C8004F">
              <w:t xml:space="preserve"> p.a.</w:t>
            </w:r>
            <w:r w:rsidRPr="00C8004F">
              <w:t>)</w:t>
            </w:r>
          </w:p>
        </w:tc>
        <w:tc>
          <w:tcPr>
            <w:tcW w:w="1519" w:type="dxa"/>
            <w:shd w:val="clear" w:color="auto" w:fill="auto"/>
          </w:tcPr>
          <w:p w14:paraId="49ABA5E3" w14:textId="77777777" w:rsidR="00126902" w:rsidRPr="00C8004F" w:rsidRDefault="00126902" w:rsidP="00464B61">
            <w:pPr>
              <w:pStyle w:val="10Tabletext"/>
              <w:jc w:val="right"/>
            </w:pPr>
            <w:r w:rsidRPr="00C8004F">
              <w:t>225,000</w:t>
            </w:r>
          </w:p>
        </w:tc>
        <w:tc>
          <w:tcPr>
            <w:tcW w:w="1519" w:type="dxa"/>
            <w:shd w:val="clear" w:color="auto" w:fill="auto"/>
          </w:tcPr>
          <w:p w14:paraId="5907CCD4" w14:textId="77777777" w:rsidR="00126902" w:rsidRPr="00C8004F" w:rsidRDefault="00126902" w:rsidP="00464B61">
            <w:pPr>
              <w:pStyle w:val="10Tabletext"/>
              <w:jc w:val="right"/>
            </w:pPr>
            <w:r w:rsidRPr="00C8004F">
              <w:t>290,600</w:t>
            </w:r>
          </w:p>
        </w:tc>
      </w:tr>
      <w:tr w:rsidR="00126902" w:rsidRPr="007639AB" w14:paraId="22254BCF" w14:textId="77777777" w:rsidTr="00193BE5">
        <w:trPr>
          <w:trHeight w:val="300"/>
        </w:trPr>
        <w:tc>
          <w:tcPr>
            <w:tcW w:w="2430" w:type="dxa"/>
            <w:vMerge/>
            <w:tcBorders>
              <w:bottom w:val="single" w:sz="12" w:space="0" w:color="148A5D"/>
            </w:tcBorders>
            <w:shd w:val="clear" w:color="auto" w:fill="auto"/>
            <w:vAlign w:val="center"/>
          </w:tcPr>
          <w:p w14:paraId="7B2140B9" w14:textId="77777777" w:rsidR="00126902" w:rsidRPr="00C8004F" w:rsidRDefault="00126902" w:rsidP="00C8004F">
            <w:pPr>
              <w:pStyle w:val="10Tabletext"/>
              <w:rPr>
                <w:b/>
                <w:bCs w:val="0"/>
              </w:rPr>
            </w:pPr>
          </w:p>
        </w:tc>
        <w:tc>
          <w:tcPr>
            <w:tcW w:w="3037" w:type="dxa"/>
            <w:tcBorders>
              <w:bottom w:val="single" w:sz="12" w:space="0" w:color="148A5D"/>
            </w:tcBorders>
            <w:shd w:val="clear" w:color="auto" w:fill="auto"/>
          </w:tcPr>
          <w:p w14:paraId="45BCE16F" w14:textId="7DF6DBD4" w:rsidR="00126902" w:rsidRPr="00464B61" w:rsidRDefault="0084702F" w:rsidP="00C8004F">
            <w:pPr>
              <w:pStyle w:val="10Tabletext"/>
              <w:rPr>
                <w:i/>
                <w:iCs/>
              </w:rPr>
            </w:pPr>
            <w:r>
              <w:rPr>
                <w:i/>
                <w:iCs/>
              </w:rPr>
              <w:t>C</w:t>
            </w:r>
            <w:r w:rsidR="00126902" w:rsidRPr="00464B61">
              <w:rPr>
                <w:i/>
                <w:iCs/>
              </w:rPr>
              <w:t>hange</w:t>
            </w:r>
            <w:r>
              <w:rPr>
                <w:i/>
                <w:iCs/>
              </w:rPr>
              <w:t xml:space="preserve"> (%)</w:t>
            </w:r>
          </w:p>
        </w:tc>
        <w:tc>
          <w:tcPr>
            <w:tcW w:w="1519" w:type="dxa"/>
            <w:tcBorders>
              <w:bottom w:val="single" w:sz="12" w:space="0" w:color="148A5D"/>
            </w:tcBorders>
            <w:shd w:val="clear" w:color="auto" w:fill="auto"/>
          </w:tcPr>
          <w:p w14:paraId="7A212C46" w14:textId="44DE588E" w:rsidR="00126902" w:rsidRPr="00464B61" w:rsidRDefault="0084702F" w:rsidP="00464B61">
            <w:pPr>
              <w:pStyle w:val="10Tabletext"/>
              <w:jc w:val="right"/>
              <w:rPr>
                <w:i/>
                <w:iCs/>
              </w:rPr>
            </w:pPr>
            <w:r>
              <w:rPr>
                <w:i/>
                <w:iCs/>
              </w:rPr>
              <w:t>+</w:t>
            </w:r>
            <w:r w:rsidR="00126902" w:rsidRPr="00464B61">
              <w:rPr>
                <w:i/>
                <w:iCs/>
              </w:rPr>
              <w:t>4.0</w:t>
            </w:r>
          </w:p>
        </w:tc>
        <w:tc>
          <w:tcPr>
            <w:tcW w:w="1519" w:type="dxa"/>
            <w:tcBorders>
              <w:bottom w:val="single" w:sz="12" w:space="0" w:color="148A5D"/>
            </w:tcBorders>
            <w:shd w:val="clear" w:color="auto" w:fill="auto"/>
          </w:tcPr>
          <w:p w14:paraId="65AC682C" w14:textId="527425EE" w:rsidR="00126902" w:rsidRPr="00464B61" w:rsidRDefault="0084702F" w:rsidP="00464B61">
            <w:pPr>
              <w:pStyle w:val="10Tabletext"/>
              <w:jc w:val="right"/>
              <w:rPr>
                <w:i/>
                <w:iCs/>
              </w:rPr>
            </w:pPr>
            <w:r>
              <w:rPr>
                <w:i/>
                <w:iCs/>
              </w:rPr>
              <w:t>+</w:t>
            </w:r>
            <w:r w:rsidR="00126902" w:rsidRPr="00464B61">
              <w:rPr>
                <w:i/>
                <w:iCs/>
              </w:rPr>
              <w:t>4.1</w:t>
            </w:r>
          </w:p>
        </w:tc>
      </w:tr>
      <w:tr w:rsidR="00126902" w:rsidRPr="007639AB" w14:paraId="37082643" w14:textId="77777777" w:rsidTr="00193BE5">
        <w:trPr>
          <w:trHeight w:val="300"/>
        </w:trPr>
        <w:tc>
          <w:tcPr>
            <w:tcW w:w="2430" w:type="dxa"/>
            <w:vMerge w:val="restart"/>
            <w:tcBorders>
              <w:top w:val="single" w:sz="12" w:space="0" w:color="148A5D"/>
            </w:tcBorders>
            <w:shd w:val="clear" w:color="auto" w:fill="auto"/>
          </w:tcPr>
          <w:p w14:paraId="0BDA064A" w14:textId="77777777" w:rsidR="00126902" w:rsidRPr="00C8004F" w:rsidRDefault="00126902" w:rsidP="00C8004F">
            <w:pPr>
              <w:pStyle w:val="10Tabletext"/>
              <w:rPr>
                <w:b/>
                <w:bCs w:val="0"/>
              </w:rPr>
            </w:pPr>
            <w:r w:rsidRPr="00C8004F">
              <w:rPr>
                <w:b/>
                <w:bCs w:val="0"/>
              </w:rPr>
              <w:t xml:space="preserve">SES-2/ </w:t>
            </w:r>
          </w:p>
          <w:p w14:paraId="4630004D" w14:textId="77777777" w:rsidR="00126902" w:rsidRPr="00C8004F" w:rsidRDefault="00126902" w:rsidP="00C8004F">
            <w:pPr>
              <w:pStyle w:val="10Tabletext"/>
              <w:rPr>
                <w:b/>
                <w:bCs w:val="0"/>
              </w:rPr>
            </w:pPr>
            <w:r w:rsidRPr="00C8004F">
              <w:rPr>
                <w:b/>
                <w:bCs w:val="0"/>
              </w:rPr>
              <w:t>AO Head-</w:t>
            </w:r>
          </w:p>
          <w:p w14:paraId="3A886563" w14:textId="77777777" w:rsidR="00126902" w:rsidRPr="00C8004F" w:rsidRDefault="00126902" w:rsidP="00C8004F">
            <w:pPr>
              <w:pStyle w:val="10Tabletext"/>
              <w:rPr>
                <w:b/>
                <w:bCs w:val="0"/>
              </w:rPr>
            </w:pPr>
          </w:p>
        </w:tc>
        <w:tc>
          <w:tcPr>
            <w:tcW w:w="3037" w:type="dxa"/>
            <w:tcBorders>
              <w:top w:val="single" w:sz="12" w:space="0" w:color="148A5D"/>
            </w:tcBorders>
            <w:shd w:val="clear" w:color="auto" w:fill="auto"/>
          </w:tcPr>
          <w:p w14:paraId="1DA65185" w14:textId="6D69E611" w:rsidR="00126902" w:rsidRPr="00C8004F" w:rsidRDefault="00126902" w:rsidP="00C8004F">
            <w:pPr>
              <w:pStyle w:val="10Tabletext"/>
            </w:pPr>
            <w:r w:rsidRPr="00C8004F">
              <w:t>Current band ($</w:t>
            </w:r>
            <w:r w:rsidR="00C8004F">
              <w:t xml:space="preserve"> p.a.</w:t>
            </w:r>
            <w:r w:rsidRPr="00C8004F">
              <w:t>)</w:t>
            </w:r>
          </w:p>
        </w:tc>
        <w:tc>
          <w:tcPr>
            <w:tcW w:w="1519" w:type="dxa"/>
            <w:tcBorders>
              <w:top w:val="single" w:sz="12" w:space="0" w:color="148A5D"/>
            </w:tcBorders>
            <w:shd w:val="clear" w:color="auto" w:fill="auto"/>
          </w:tcPr>
          <w:p w14:paraId="10922AE5" w14:textId="77777777" w:rsidR="00126902" w:rsidRPr="00C8004F" w:rsidRDefault="00126902" w:rsidP="00464B61">
            <w:pPr>
              <w:pStyle w:val="10Tabletext"/>
              <w:jc w:val="right"/>
            </w:pPr>
            <w:r w:rsidRPr="00C8004F">
              <w:t xml:space="preserve">279,239 </w:t>
            </w:r>
          </w:p>
        </w:tc>
        <w:tc>
          <w:tcPr>
            <w:tcW w:w="1519" w:type="dxa"/>
            <w:tcBorders>
              <w:top w:val="single" w:sz="12" w:space="0" w:color="148A5D"/>
            </w:tcBorders>
            <w:shd w:val="clear" w:color="auto" w:fill="auto"/>
          </w:tcPr>
          <w:p w14:paraId="528442EC" w14:textId="77777777" w:rsidR="00126902" w:rsidRPr="00C8004F" w:rsidRDefault="00126902" w:rsidP="00464B61">
            <w:pPr>
              <w:pStyle w:val="10Tabletext"/>
              <w:jc w:val="right"/>
            </w:pPr>
            <w:r w:rsidRPr="00C8004F">
              <w:t xml:space="preserve">401,017 </w:t>
            </w:r>
          </w:p>
        </w:tc>
      </w:tr>
      <w:tr w:rsidR="00126902" w:rsidRPr="007639AB" w14:paraId="24F25739" w14:textId="77777777" w:rsidTr="00193BE5">
        <w:trPr>
          <w:trHeight w:val="300"/>
        </w:trPr>
        <w:tc>
          <w:tcPr>
            <w:tcW w:w="2430" w:type="dxa"/>
            <w:vMerge/>
            <w:shd w:val="clear" w:color="auto" w:fill="auto"/>
          </w:tcPr>
          <w:p w14:paraId="4EB0999A" w14:textId="77777777" w:rsidR="00126902" w:rsidRPr="00C8004F" w:rsidRDefault="00126902" w:rsidP="00C8004F">
            <w:pPr>
              <w:pStyle w:val="10Tabletext"/>
              <w:rPr>
                <w:b/>
                <w:bCs w:val="0"/>
              </w:rPr>
            </w:pPr>
          </w:p>
        </w:tc>
        <w:tc>
          <w:tcPr>
            <w:tcW w:w="3037" w:type="dxa"/>
            <w:shd w:val="clear" w:color="auto" w:fill="auto"/>
          </w:tcPr>
          <w:p w14:paraId="68018ACD" w14:textId="38F3BD72" w:rsidR="00126902" w:rsidRPr="00C8004F" w:rsidRDefault="00126902" w:rsidP="00C8004F">
            <w:pPr>
              <w:pStyle w:val="10Tabletext"/>
            </w:pPr>
            <w:r w:rsidRPr="00C8004F">
              <w:t>Tribunal’s decision ($</w:t>
            </w:r>
            <w:r w:rsidR="00C8004F">
              <w:t xml:space="preserve"> p.a.</w:t>
            </w:r>
            <w:r w:rsidRPr="00C8004F">
              <w:t>)</w:t>
            </w:r>
          </w:p>
        </w:tc>
        <w:tc>
          <w:tcPr>
            <w:tcW w:w="1519" w:type="dxa"/>
            <w:shd w:val="clear" w:color="auto" w:fill="auto"/>
          </w:tcPr>
          <w:p w14:paraId="1E36BCDB" w14:textId="77777777" w:rsidR="00126902" w:rsidRPr="00C8004F" w:rsidRDefault="00126902" w:rsidP="00464B61">
            <w:pPr>
              <w:pStyle w:val="10Tabletext"/>
              <w:jc w:val="right"/>
            </w:pPr>
            <w:r w:rsidRPr="00C8004F">
              <w:t>290,601</w:t>
            </w:r>
          </w:p>
        </w:tc>
        <w:tc>
          <w:tcPr>
            <w:tcW w:w="1519" w:type="dxa"/>
            <w:shd w:val="clear" w:color="auto" w:fill="auto"/>
          </w:tcPr>
          <w:p w14:paraId="34F7E3FE" w14:textId="77777777" w:rsidR="00126902" w:rsidRPr="00C8004F" w:rsidRDefault="00126902" w:rsidP="00464B61">
            <w:pPr>
              <w:pStyle w:val="10Tabletext"/>
              <w:jc w:val="right"/>
            </w:pPr>
            <w:r w:rsidRPr="00C8004F">
              <w:t>419,000</w:t>
            </w:r>
          </w:p>
        </w:tc>
      </w:tr>
      <w:tr w:rsidR="00126902" w:rsidRPr="007639AB" w14:paraId="1D1D9169" w14:textId="77777777" w:rsidTr="00193BE5">
        <w:tc>
          <w:tcPr>
            <w:tcW w:w="2430" w:type="dxa"/>
            <w:vMerge/>
            <w:tcBorders>
              <w:bottom w:val="single" w:sz="12" w:space="0" w:color="148A5D"/>
            </w:tcBorders>
            <w:shd w:val="clear" w:color="auto" w:fill="auto"/>
          </w:tcPr>
          <w:p w14:paraId="0008F848" w14:textId="77777777" w:rsidR="00126902" w:rsidRPr="00C8004F" w:rsidRDefault="00126902" w:rsidP="00C8004F">
            <w:pPr>
              <w:pStyle w:val="10Tabletext"/>
              <w:rPr>
                <w:b/>
                <w:bCs w:val="0"/>
              </w:rPr>
            </w:pPr>
          </w:p>
        </w:tc>
        <w:tc>
          <w:tcPr>
            <w:tcW w:w="3037" w:type="dxa"/>
            <w:tcBorders>
              <w:bottom w:val="single" w:sz="12" w:space="0" w:color="148A5D"/>
            </w:tcBorders>
            <w:shd w:val="clear" w:color="auto" w:fill="auto"/>
          </w:tcPr>
          <w:p w14:paraId="73299C13" w14:textId="77DA4052" w:rsidR="00126902" w:rsidRPr="00464B61" w:rsidRDefault="00C8004F" w:rsidP="00C8004F">
            <w:pPr>
              <w:pStyle w:val="10Tabletext"/>
              <w:rPr>
                <w:i/>
                <w:iCs/>
              </w:rPr>
            </w:pPr>
            <w:r w:rsidRPr="00C8004F">
              <w:rPr>
                <w:i/>
                <w:iCs/>
              </w:rPr>
              <w:t>C</w:t>
            </w:r>
            <w:r w:rsidR="00126902" w:rsidRPr="00464B61">
              <w:rPr>
                <w:i/>
                <w:iCs/>
              </w:rPr>
              <w:t>hange</w:t>
            </w:r>
            <w:r w:rsidR="0084702F">
              <w:rPr>
                <w:i/>
                <w:iCs/>
              </w:rPr>
              <w:t xml:space="preserve"> (%)</w:t>
            </w:r>
          </w:p>
        </w:tc>
        <w:tc>
          <w:tcPr>
            <w:tcW w:w="1519" w:type="dxa"/>
            <w:tcBorders>
              <w:bottom w:val="single" w:sz="12" w:space="0" w:color="148A5D"/>
            </w:tcBorders>
            <w:shd w:val="clear" w:color="auto" w:fill="auto"/>
          </w:tcPr>
          <w:p w14:paraId="1E556E68" w14:textId="2A4674EE" w:rsidR="00126902" w:rsidRPr="00464B61" w:rsidRDefault="001A29BA" w:rsidP="00464B61">
            <w:pPr>
              <w:pStyle w:val="10Tabletext"/>
              <w:jc w:val="right"/>
              <w:rPr>
                <w:i/>
                <w:iCs/>
              </w:rPr>
            </w:pPr>
            <w:r>
              <w:rPr>
                <w:i/>
                <w:iCs/>
              </w:rPr>
              <w:t>+</w:t>
            </w:r>
            <w:r w:rsidR="00126902" w:rsidRPr="00464B61">
              <w:rPr>
                <w:i/>
                <w:iCs/>
              </w:rPr>
              <w:t>4.1</w:t>
            </w:r>
          </w:p>
        </w:tc>
        <w:tc>
          <w:tcPr>
            <w:tcW w:w="1519" w:type="dxa"/>
            <w:tcBorders>
              <w:bottom w:val="single" w:sz="12" w:space="0" w:color="148A5D"/>
            </w:tcBorders>
            <w:shd w:val="clear" w:color="auto" w:fill="auto"/>
          </w:tcPr>
          <w:p w14:paraId="4E794374" w14:textId="2CEBD9D8" w:rsidR="00126902" w:rsidRPr="00464B61" w:rsidRDefault="0084702F" w:rsidP="00464B61">
            <w:pPr>
              <w:pStyle w:val="10Tabletext"/>
              <w:jc w:val="right"/>
              <w:rPr>
                <w:i/>
                <w:iCs/>
              </w:rPr>
            </w:pPr>
            <w:r>
              <w:rPr>
                <w:i/>
                <w:iCs/>
              </w:rPr>
              <w:t>+</w:t>
            </w:r>
            <w:r w:rsidR="00126902" w:rsidRPr="00464B61">
              <w:rPr>
                <w:i/>
                <w:iCs/>
              </w:rPr>
              <w:t>4.5</w:t>
            </w:r>
          </w:p>
        </w:tc>
      </w:tr>
      <w:tr w:rsidR="00126902" w:rsidRPr="007639AB" w14:paraId="52D58F83" w14:textId="77777777" w:rsidTr="00193BE5">
        <w:trPr>
          <w:trHeight w:val="300"/>
        </w:trPr>
        <w:tc>
          <w:tcPr>
            <w:tcW w:w="2430" w:type="dxa"/>
            <w:vMerge w:val="restart"/>
            <w:tcBorders>
              <w:top w:val="single" w:sz="12" w:space="0" w:color="148A5D"/>
            </w:tcBorders>
            <w:shd w:val="clear" w:color="auto" w:fill="auto"/>
          </w:tcPr>
          <w:p w14:paraId="12601B93" w14:textId="77777777" w:rsidR="00126902" w:rsidRPr="00C8004F" w:rsidRDefault="00126902" w:rsidP="00C8004F">
            <w:pPr>
              <w:pStyle w:val="10Tabletext"/>
              <w:rPr>
                <w:b/>
                <w:bCs w:val="0"/>
              </w:rPr>
            </w:pPr>
            <w:r w:rsidRPr="00C8004F">
              <w:rPr>
                <w:b/>
                <w:bCs w:val="0"/>
              </w:rPr>
              <w:t xml:space="preserve">SES-3 / </w:t>
            </w:r>
          </w:p>
          <w:p w14:paraId="0C0E933F" w14:textId="77777777" w:rsidR="00126902" w:rsidRPr="00C8004F" w:rsidRDefault="00126902" w:rsidP="00C8004F">
            <w:pPr>
              <w:pStyle w:val="10Tabletext"/>
              <w:rPr>
                <w:b/>
                <w:bCs w:val="0"/>
              </w:rPr>
            </w:pPr>
            <w:r w:rsidRPr="00C8004F">
              <w:rPr>
                <w:b/>
                <w:bCs w:val="0"/>
              </w:rPr>
              <w:t>AO Head-3</w:t>
            </w:r>
          </w:p>
        </w:tc>
        <w:tc>
          <w:tcPr>
            <w:tcW w:w="3037" w:type="dxa"/>
            <w:tcBorders>
              <w:top w:val="single" w:sz="12" w:space="0" w:color="148A5D"/>
            </w:tcBorders>
            <w:shd w:val="clear" w:color="auto" w:fill="auto"/>
          </w:tcPr>
          <w:p w14:paraId="26339E3F" w14:textId="0F722FEE" w:rsidR="00126902" w:rsidRPr="00C8004F" w:rsidRDefault="00126902" w:rsidP="00C8004F">
            <w:pPr>
              <w:pStyle w:val="10Tabletext"/>
            </w:pPr>
            <w:r w:rsidRPr="00C8004F">
              <w:t>Current band ($</w:t>
            </w:r>
            <w:r w:rsidR="00C8004F">
              <w:t xml:space="preserve"> p.a.</w:t>
            </w:r>
            <w:r w:rsidRPr="00C8004F">
              <w:t>)</w:t>
            </w:r>
          </w:p>
        </w:tc>
        <w:tc>
          <w:tcPr>
            <w:tcW w:w="1519" w:type="dxa"/>
            <w:tcBorders>
              <w:top w:val="single" w:sz="12" w:space="0" w:color="148A5D"/>
            </w:tcBorders>
            <w:shd w:val="clear" w:color="auto" w:fill="auto"/>
          </w:tcPr>
          <w:p w14:paraId="254A9FDE" w14:textId="77777777" w:rsidR="00126902" w:rsidRPr="00C8004F" w:rsidRDefault="00126902" w:rsidP="00464B61">
            <w:pPr>
              <w:pStyle w:val="10Tabletext"/>
              <w:jc w:val="right"/>
            </w:pPr>
            <w:r w:rsidRPr="00C8004F">
              <w:t>401,018</w:t>
            </w:r>
          </w:p>
        </w:tc>
        <w:tc>
          <w:tcPr>
            <w:tcW w:w="1519" w:type="dxa"/>
            <w:tcBorders>
              <w:top w:val="single" w:sz="12" w:space="0" w:color="148A5D"/>
            </w:tcBorders>
            <w:shd w:val="clear" w:color="auto" w:fill="auto"/>
          </w:tcPr>
          <w:p w14:paraId="3AE3DE57" w14:textId="77777777" w:rsidR="00126902" w:rsidRPr="00C8004F" w:rsidRDefault="00126902" w:rsidP="00464B61">
            <w:pPr>
              <w:pStyle w:val="10Tabletext"/>
              <w:jc w:val="right"/>
            </w:pPr>
            <w:r w:rsidRPr="00C8004F">
              <w:t>533,431</w:t>
            </w:r>
          </w:p>
        </w:tc>
      </w:tr>
      <w:tr w:rsidR="00126902" w:rsidRPr="007639AB" w14:paraId="23D316F8" w14:textId="77777777" w:rsidTr="00193BE5">
        <w:trPr>
          <w:trHeight w:val="300"/>
        </w:trPr>
        <w:tc>
          <w:tcPr>
            <w:tcW w:w="2430" w:type="dxa"/>
            <w:vMerge/>
            <w:shd w:val="clear" w:color="auto" w:fill="auto"/>
          </w:tcPr>
          <w:p w14:paraId="65EF819C" w14:textId="77777777" w:rsidR="00126902" w:rsidRPr="00C8004F" w:rsidRDefault="00126902" w:rsidP="00C8004F">
            <w:pPr>
              <w:pStyle w:val="10Tabletext"/>
              <w:rPr>
                <w:b/>
                <w:bCs w:val="0"/>
              </w:rPr>
            </w:pPr>
          </w:p>
        </w:tc>
        <w:tc>
          <w:tcPr>
            <w:tcW w:w="3037" w:type="dxa"/>
            <w:shd w:val="clear" w:color="auto" w:fill="auto"/>
          </w:tcPr>
          <w:p w14:paraId="304C2287" w14:textId="27E03A05" w:rsidR="00126902" w:rsidRPr="00C8004F" w:rsidRDefault="00126902" w:rsidP="00C8004F">
            <w:pPr>
              <w:pStyle w:val="10Tabletext"/>
            </w:pPr>
            <w:r w:rsidRPr="00C8004F">
              <w:t>Tribunal’s decision ($</w:t>
            </w:r>
            <w:r w:rsidR="00C8004F">
              <w:t xml:space="preserve"> p.a.</w:t>
            </w:r>
            <w:r w:rsidRPr="00C8004F">
              <w:t>)</w:t>
            </w:r>
          </w:p>
        </w:tc>
        <w:tc>
          <w:tcPr>
            <w:tcW w:w="1519" w:type="dxa"/>
            <w:shd w:val="clear" w:color="auto" w:fill="auto"/>
          </w:tcPr>
          <w:p w14:paraId="73D55B3F" w14:textId="77777777" w:rsidR="00126902" w:rsidRPr="00C8004F" w:rsidRDefault="00126902" w:rsidP="00464B61">
            <w:pPr>
              <w:pStyle w:val="10Tabletext"/>
              <w:jc w:val="right"/>
            </w:pPr>
            <w:r w:rsidRPr="00C8004F">
              <w:t>419,001</w:t>
            </w:r>
          </w:p>
        </w:tc>
        <w:tc>
          <w:tcPr>
            <w:tcW w:w="1519" w:type="dxa"/>
            <w:shd w:val="clear" w:color="auto" w:fill="auto"/>
          </w:tcPr>
          <w:p w14:paraId="5B1A87A8" w14:textId="77777777" w:rsidR="00126902" w:rsidRPr="00C8004F" w:rsidRDefault="00126902" w:rsidP="00464B61">
            <w:pPr>
              <w:pStyle w:val="10Tabletext"/>
              <w:jc w:val="right"/>
            </w:pPr>
            <w:r w:rsidRPr="00C8004F">
              <w:t>557,435</w:t>
            </w:r>
          </w:p>
        </w:tc>
      </w:tr>
      <w:tr w:rsidR="00126902" w:rsidRPr="007639AB" w14:paraId="76E573FB" w14:textId="77777777" w:rsidTr="00193BE5">
        <w:trPr>
          <w:trHeight w:val="300"/>
        </w:trPr>
        <w:tc>
          <w:tcPr>
            <w:tcW w:w="2430" w:type="dxa"/>
            <w:vMerge/>
            <w:tcBorders>
              <w:bottom w:val="single" w:sz="12" w:space="0" w:color="148A5D"/>
            </w:tcBorders>
            <w:shd w:val="clear" w:color="auto" w:fill="auto"/>
          </w:tcPr>
          <w:p w14:paraId="7424E0E3" w14:textId="77777777" w:rsidR="00126902" w:rsidRPr="00C8004F" w:rsidRDefault="00126902" w:rsidP="00C8004F">
            <w:pPr>
              <w:pStyle w:val="10Tabletext"/>
              <w:rPr>
                <w:b/>
                <w:bCs w:val="0"/>
              </w:rPr>
            </w:pPr>
          </w:p>
        </w:tc>
        <w:tc>
          <w:tcPr>
            <w:tcW w:w="3037" w:type="dxa"/>
            <w:tcBorders>
              <w:bottom w:val="single" w:sz="12" w:space="0" w:color="148A5D"/>
            </w:tcBorders>
            <w:shd w:val="clear" w:color="auto" w:fill="auto"/>
          </w:tcPr>
          <w:p w14:paraId="45D45887" w14:textId="3F360D92" w:rsidR="00126902" w:rsidRPr="00464B61" w:rsidRDefault="00C8004F" w:rsidP="00C8004F">
            <w:pPr>
              <w:pStyle w:val="10Tabletext"/>
              <w:rPr>
                <w:i/>
                <w:iCs/>
              </w:rPr>
            </w:pPr>
            <w:r w:rsidRPr="00C8004F">
              <w:rPr>
                <w:i/>
                <w:iCs/>
              </w:rPr>
              <w:t>C</w:t>
            </w:r>
            <w:r w:rsidR="00126902" w:rsidRPr="00464B61">
              <w:rPr>
                <w:i/>
                <w:iCs/>
              </w:rPr>
              <w:t>hange</w:t>
            </w:r>
            <w:r w:rsidR="0084702F">
              <w:rPr>
                <w:i/>
                <w:iCs/>
              </w:rPr>
              <w:t xml:space="preserve"> (%)</w:t>
            </w:r>
          </w:p>
        </w:tc>
        <w:tc>
          <w:tcPr>
            <w:tcW w:w="1519" w:type="dxa"/>
            <w:tcBorders>
              <w:bottom w:val="single" w:sz="12" w:space="0" w:color="148A5D"/>
            </w:tcBorders>
            <w:shd w:val="clear" w:color="auto" w:fill="auto"/>
          </w:tcPr>
          <w:p w14:paraId="7E551AD1" w14:textId="00B3510C" w:rsidR="00126902" w:rsidRPr="00464B61" w:rsidRDefault="001A29BA" w:rsidP="00464B61">
            <w:pPr>
              <w:pStyle w:val="10Tabletext"/>
              <w:jc w:val="right"/>
              <w:rPr>
                <w:i/>
                <w:iCs/>
              </w:rPr>
            </w:pPr>
            <w:r>
              <w:rPr>
                <w:i/>
                <w:iCs/>
              </w:rPr>
              <w:t>+</w:t>
            </w:r>
            <w:r w:rsidR="00126902" w:rsidRPr="00464B61">
              <w:rPr>
                <w:i/>
                <w:iCs/>
              </w:rPr>
              <w:t>4.5</w:t>
            </w:r>
          </w:p>
        </w:tc>
        <w:tc>
          <w:tcPr>
            <w:tcW w:w="1519" w:type="dxa"/>
            <w:tcBorders>
              <w:bottom w:val="single" w:sz="12" w:space="0" w:color="148A5D"/>
            </w:tcBorders>
            <w:shd w:val="clear" w:color="auto" w:fill="auto"/>
          </w:tcPr>
          <w:p w14:paraId="21F2B3B9" w14:textId="33D2E8A6" w:rsidR="00126902" w:rsidRPr="00464B61" w:rsidRDefault="001A29BA" w:rsidP="00464B61">
            <w:pPr>
              <w:pStyle w:val="10Tabletext"/>
              <w:jc w:val="right"/>
              <w:rPr>
                <w:i/>
                <w:iCs/>
              </w:rPr>
            </w:pPr>
            <w:r>
              <w:rPr>
                <w:i/>
                <w:iCs/>
              </w:rPr>
              <w:t>+</w:t>
            </w:r>
            <w:r w:rsidR="00126902" w:rsidRPr="00464B61">
              <w:rPr>
                <w:i/>
                <w:iCs/>
              </w:rPr>
              <w:t>4.5</w:t>
            </w:r>
          </w:p>
        </w:tc>
      </w:tr>
      <w:tr w:rsidR="00126902" w:rsidRPr="007639AB" w14:paraId="28E03E0D" w14:textId="77777777" w:rsidTr="00193BE5">
        <w:trPr>
          <w:trHeight w:val="300"/>
        </w:trPr>
        <w:tc>
          <w:tcPr>
            <w:tcW w:w="2430" w:type="dxa"/>
            <w:vMerge w:val="restart"/>
            <w:tcBorders>
              <w:top w:val="single" w:sz="12" w:space="0" w:color="148A5D"/>
            </w:tcBorders>
            <w:shd w:val="clear" w:color="auto" w:fill="auto"/>
          </w:tcPr>
          <w:p w14:paraId="5B9F51BA" w14:textId="1D449C08" w:rsidR="00126902" w:rsidRPr="00C8004F" w:rsidRDefault="00193BE5" w:rsidP="00C8004F">
            <w:pPr>
              <w:pStyle w:val="10Tabletext"/>
              <w:rPr>
                <w:b/>
                <w:bCs w:val="0"/>
              </w:rPr>
            </w:pPr>
            <w:r>
              <w:rPr>
                <w:b/>
                <w:bCs w:val="0"/>
              </w:rPr>
              <w:t xml:space="preserve">Department </w:t>
            </w:r>
            <w:r w:rsidR="000E60FD" w:rsidRPr="00C8004F">
              <w:rPr>
                <w:b/>
                <w:bCs w:val="0"/>
              </w:rPr>
              <w:t>Secretary</w:t>
            </w:r>
            <w:r w:rsidR="00126902" w:rsidRPr="00C8004F">
              <w:rPr>
                <w:b/>
                <w:bCs w:val="0"/>
              </w:rPr>
              <w:t xml:space="preserve"> / Victorian Public Sector Commissioner</w:t>
            </w:r>
          </w:p>
        </w:tc>
        <w:tc>
          <w:tcPr>
            <w:tcW w:w="3037" w:type="dxa"/>
            <w:tcBorders>
              <w:top w:val="single" w:sz="12" w:space="0" w:color="148A5D"/>
            </w:tcBorders>
            <w:shd w:val="clear" w:color="auto" w:fill="auto"/>
          </w:tcPr>
          <w:p w14:paraId="0A0F3BFE" w14:textId="64809079" w:rsidR="00126902" w:rsidRPr="00C8004F" w:rsidRDefault="00126902" w:rsidP="00C8004F">
            <w:pPr>
              <w:pStyle w:val="10Tabletext"/>
            </w:pPr>
            <w:r w:rsidRPr="00C8004F">
              <w:t>Current band ($</w:t>
            </w:r>
            <w:r w:rsidR="00C8004F">
              <w:t xml:space="preserve"> p.a.</w:t>
            </w:r>
            <w:r w:rsidRPr="00C8004F">
              <w:t>)</w:t>
            </w:r>
          </w:p>
        </w:tc>
        <w:tc>
          <w:tcPr>
            <w:tcW w:w="1519" w:type="dxa"/>
            <w:tcBorders>
              <w:top w:val="single" w:sz="12" w:space="0" w:color="148A5D"/>
            </w:tcBorders>
            <w:shd w:val="clear" w:color="auto" w:fill="auto"/>
          </w:tcPr>
          <w:p w14:paraId="057D3693" w14:textId="77777777" w:rsidR="00126902" w:rsidRPr="00C8004F" w:rsidRDefault="00126902" w:rsidP="00464B61">
            <w:pPr>
              <w:pStyle w:val="10Tabletext"/>
              <w:jc w:val="right"/>
            </w:pPr>
            <w:r w:rsidRPr="00C8004F">
              <w:t>577,716</w:t>
            </w:r>
          </w:p>
        </w:tc>
        <w:tc>
          <w:tcPr>
            <w:tcW w:w="1519" w:type="dxa"/>
            <w:tcBorders>
              <w:top w:val="single" w:sz="12" w:space="0" w:color="148A5D"/>
            </w:tcBorders>
            <w:shd w:val="clear" w:color="auto" w:fill="auto"/>
          </w:tcPr>
          <w:p w14:paraId="2FA35AD4" w14:textId="77777777" w:rsidR="00126902" w:rsidRPr="00C8004F" w:rsidRDefault="00126902" w:rsidP="00464B61">
            <w:pPr>
              <w:pStyle w:val="10Tabletext"/>
              <w:jc w:val="right"/>
            </w:pPr>
            <w:r w:rsidRPr="00C8004F">
              <w:t>778,492</w:t>
            </w:r>
          </w:p>
        </w:tc>
      </w:tr>
      <w:tr w:rsidR="00126902" w:rsidRPr="007639AB" w14:paraId="03FE0A3D" w14:textId="77777777" w:rsidTr="00193BE5">
        <w:trPr>
          <w:trHeight w:val="300"/>
        </w:trPr>
        <w:tc>
          <w:tcPr>
            <w:tcW w:w="2430" w:type="dxa"/>
            <w:vMerge/>
            <w:shd w:val="clear" w:color="auto" w:fill="auto"/>
          </w:tcPr>
          <w:p w14:paraId="3DB933B1" w14:textId="77777777" w:rsidR="00126902" w:rsidRPr="007639AB" w:rsidRDefault="00126902" w:rsidP="00C8004F">
            <w:pPr>
              <w:pStyle w:val="10Tabletext"/>
              <w:rPr>
                <w:rFonts w:ascii="Calibri" w:hAnsi="Calibri" w:cs="Calibri"/>
                <w:lang w:eastAsia="en-AU"/>
              </w:rPr>
            </w:pPr>
          </w:p>
        </w:tc>
        <w:tc>
          <w:tcPr>
            <w:tcW w:w="3037" w:type="dxa"/>
            <w:shd w:val="clear" w:color="auto" w:fill="auto"/>
          </w:tcPr>
          <w:p w14:paraId="0500E545" w14:textId="4B740AC9" w:rsidR="00126902" w:rsidRPr="00C8004F" w:rsidRDefault="00126902" w:rsidP="00C8004F">
            <w:pPr>
              <w:pStyle w:val="10Tabletext"/>
            </w:pPr>
            <w:r w:rsidRPr="00C8004F">
              <w:t>Tribunal’s decision ($</w:t>
            </w:r>
            <w:r w:rsidR="00C8004F">
              <w:t xml:space="preserve"> p.a.</w:t>
            </w:r>
            <w:r w:rsidRPr="00C8004F">
              <w:t>)</w:t>
            </w:r>
          </w:p>
        </w:tc>
        <w:tc>
          <w:tcPr>
            <w:tcW w:w="1519" w:type="dxa"/>
            <w:shd w:val="clear" w:color="auto" w:fill="auto"/>
          </w:tcPr>
          <w:p w14:paraId="0E6844FD" w14:textId="77777777" w:rsidR="00126902" w:rsidRPr="00C8004F" w:rsidRDefault="00126902" w:rsidP="00464B61">
            <w:pPr>
              <w:pStyle w:val="10Tabletext"/>
              <w:jc w:val="right"/>
            </w:pPr>
            <w:r w:rsidRPr="00C8004F">
              <w:t>603,713</w:t>
            </w:r>
          </w:p>
        </w:tc>
        <w:tc>
          <w:tcPr>
            <w:tcW w:w="1519" w:type="dxa"/>
            <w:shd w:val="clear" w:color="auto" w:fill="auto"/>
          </w:tcPr>
          <w:p w14:paraId="512B44DF" w14:textId="77777777" w:rsidR="00126902" w:rsidRPr="00C8004F" w:rsidRDefault="00126902" w:rsidP="00464B61">
            <w:pPr>
              <w:pStyle w:val="10Tabletext"/>
              <w:jc w:val="right"/>
            </w:pPr>
            <w:r w:rsidRPr="00C8004F">
              <w:t>813,524</w:t>
            </w:r>
          </w:p>
        </w:tc>
      </w:tr>
      <w:tr w:rsidR="00126902" w:rsidRPr="007639AB" w14:paraId="2D14111F" w14:textId="77777777" w:rsidTr="00193BE5">
        <w:tc>
          <w:tcPr>
            <w:tcW w:w="2430" w:type="dxa"/>
            <w:vMerge/>
            <w:tcBorders>
              <w:bottom w:val="single" w:sz="12" w:space="0" w:color="148A5D"/>
            </w:tcBorders>
            <w:shd w:val="clear" w:color="auto" w:fill="auto"/>
            <w:vAlign w:val="center"/>
          </w:tcPr>
          <w:p w14:paraId="43DB76DD" w14:textId="77777777" w:rsidR="00126902" w:rsidRPr="007639AB" w:rsidRDefault="00126902" w:rsidP="00C8004F">
            <w:pPr>
              <w:pStyle w:val="10Tabletext"/>
              <w:rPr>
                <w:rFonts w:ascii="Calibri" w:hAnsi="Calibri" w:cs="Calibri"/>
                <w:lang w:eastAsia="en-AU"/>
              </w:rPr>
            </w:pPr>
          </w:p>
        </w:tc>
        <w:tc>
          <w:tcPr>
            <w:tcW w:w="3037" w:type="dxa"/>
            <w:tcBorders>
              <w:bottom w:val="single" w:sz="12" w:space="0" w:color="148A5D"/>
            </w:tcBorders>
            <w:shd w:val="clear" w:color="auto" w:fill="auto"/>
          </w:tcPr>
          <w:p w14:paraId="556BD8AC" w14:textId="32E11F60" w:rsidR="00126902" w:rsidRPr="00464B61" w:rsidRDefault="0084702F" w:rsidP="00C8004F">
            <w:pPr>
              <w:pStyle w:val="10Tabletext"/>
              <w:rPr>
                <w:i/>
                <w:iCs/>
              </w:rPr>
            </w:pPr>
            <w:r w:rsidRPr="00464B61">
              <w:rPr>
                <w:i/>
                <w:iCs/>
              </w:rPr>
              <w:t>C</w:t>
            </w:r>
            <w:r w:rsidR="00126902" w:rsidRPr="00464B61">
              <w:rPr>
                <w:i/>
                <w:iCs/>
              </w:rPr>
              <w:t>hange</w:t>
            </w:r>
            <w:r>
              <w:rPr>
                <w:i/>
                <w:iCs/>
              </w:rPr>
              <w:t xml:space="preserve"> (%)</w:t>
            </w:r>
          </w:p>
        </w:tc>
        <w:tc>
          <w:tcPr>
            <w:tcW w:w="1519" w:type="dxa"/>
            <w:tcBorders>
              <w:bottom w:val="single" w:sz="12" w:space="0" w:color="148A5D"/>
            </w:tcBorders>
            <w:shd w:val="clear" w:color="auto" w:fill="auto"/>
          </w:tcPr>
          <w:p w14:paraId="256416E7" w14:textId="0EAF2154" w:rsidR="00126902" w:rsidRPr="00464B61" w:rsidRDefault="001A29BA" w:rsidP="00464B61">
            <w:pPr>
              <w:pStyle w:val="10Tabletext"/>
              <w:jc w:val="right"/>
              <w:rPr>
                <w:i/>
                <w:iCs/>
              </w:rPr>
            </w:pPr>
            <w:r>
              <w:rPr>
                <w:i/>
                <w:iCs/>
              </w:rPr>
              <w:t>+</w:t>
            </w:r>
            <w:r w:rsidR="00126902" w:rsidRPr="00464B61">
              <w:rPr>
                <w:i/>
                <w:iCs/>
              </w:rPr>
              <w:t>4.5</w:t>
            </w:r>
          </w:p>
        </w:tc>
        <w:tc>
          <w:tcPr>
            <w:tcW w:w="1519" w:type="dxa"/>
            <w:tcBorders>
              <w:bottom w:val="single" w:sz="12" w:space="0" w:color="148A5D"/>
            </w:tcBorders>
            <w:shd w:val="clear" w:color="auto" w:fill="auto"/>
          </w:tcPr>
          <w:p w14:paraId="0BCF5C49" w14:textId="1DEFECE8" w:rsidR="00126902" w:rsidRPr="00464B61" w:rsidRDefault="001A29BA" w:rsidP="00464B61">
            <w:pPr>
              <w:pStyle w:val="10Tabletext"/>
              <w:jc w:val="right"/>
              <w:rPr>
                <w:i/>
                <w:iCs/>
              </w:rPr>
            </w:pPr>
            <w:r>
              <w:rPr>
                <w:i/>
                <w:iCs/>
              </w:rPr>
              <w:t>+</w:t>
            </w:r>
            <w:r w:rsidR="00126902" w:rsidRPr="00464B61">
              <w:rPr>
                <w:i/>
                <w:iCs/>
              </w:rPr>
              <w:t>4.5</w:t>
            </w:r>
          </w:p>
        </w:tc>
      </w:tr>
    </w:tbl>
    <w:p w14:paraId="75E1995E" w14:textId="2049AF6F" w:rsidR="00126902" w:rsidRPr="007639AB" w:rsidRDefault="005D1128" w:rsidP="005D1128">
      <w:pPr>
        <w:pStyle w:val="02VIRTHeading2"/>
      </w:pPr>
      <w:bookmarkStart w:id="171" w:name="_Toc169878482"/>
      <w:bookmarkStart w:id="172" w:name="_Toc170396246"/>
      <w:r>
        <w:t>7.4</w:t>
      </w:r>
      <w:r>
        <w:tab/>
      </w:r>
      <w:r w:rsidR="00126902" w:rsidRPr="007639AB">
        <w:t>Other factors</w:t>
      </w:r>
      <w:bookmarkEnd w:id="171"/>
      <w:bookmarkEnd w:id="172"/>
    </w:p>
    <w:p w14:paraId="6AC59372" w14:textId="77777777" w:rsidR="00126902" w:rsidRPr="007639AB" w:rsidRDefault="00126902" w:rsidP="00DA58B8">
      <w:pPr>
        <w:pStyle w:val="05Paragraph"/>
      </w:pPr>
      <w:r w:rsidRPr="007639AB">
        <w:t>A number of submissions received by the Tribunal raised issues relating to conditions of executive employment – including contract length, termination provisions and the ‘right of return’. Employment conditions are not within the scope of the Tribunal’s Determination. However, such conditions — together with the remuneration offered — affect the attraction and retention of executives and for this reason are relevant to the Tribunal’s considerations.</w:t>
      </w:r>
    </w:p>
    <w:p w14:paraId="38B6769F" w14:textId="77777777" w:rsidR="00126902" w:rsidRPr="007639AB" w:rsidRDefault="00126902" w:rsidP="00DA58B8">
      <w:pPr>
        <w:pStyle w:val="05Paragraph"/>
      </w:pPr>
      <w:r w:rsidRPr="007639AB">
        <w:lastRenderedPageBreak/>
        <w:t xml:space="preserve">Attention is drawn in particular to the termination provisions of the employment contract. Under the current provisions, four months’ notice of termination is required to be given. This is significantly less than other Australian jurisdictions </w:t>
      </w:r>
      <w:r w:rsidRPr="00695E81">
        <w:t>considered by the Tribunal</w:t>
      </w:r>
      <w:r>
        <w:t>.</w:t>
      </w:r>
      <w:r w:rsidRPr="007639AB">
        <w:t xml:space="preserve"> It discourages potential candidates from seeking employment at the executive level in Victoria particularly in the light of the increased risk and reputational damage associated with executive employment referred to above. </w:t>
      </w:r>
    </w:p>
    <w:p w14:paraId="4AF1957E" w14:textId="61946430" w:rsidR="00126902" w:rsidRPr="007639AB" w:rsidRDefault="00126902" w:rsidP="00DA58B8">
      <w:pPr>
        <w:pStyle w:val="05Paragraph"/>
      </w:pPr>
      <w:r w:rsidRPr="007639AB">
        <w:t xml:space="preserve">The Tribunal has been told that previous recommendations to extend the period of notice to nine months have not been actioned. The Tribunal recommends that the </w:t>
      </w:r>
      <w:r w:rsidR="00B030CC">
        <w:t>G</w:t>
      </w:r>
      <w:r w:rsidRPr="007639AB">
        <w:t>overnment give further consideration to this issue.</w:t>
      </w:r>
    </w:p>
    <w:p w14:paraId="3100D38C" w14:textId="167D467C" w:rsidR="00126902" w:rsidRPr="007639AB" w:rsidRDefault="00126902" w:rsidP="00DA58B8">
      <w:pPr>
        <w:pStyle w:val="05Paragraph"/>
      </w:pPr>
      <w:r w:rsidRPr="007639AB">
        <w:t xml:space="preserve">An issue relating to a disparity between the Premier’s guideline rate and the Tribunal’s annual adjustments was raised with the Tribunal by the Victorian Secretaries Board. Each year the Premier announces an annual adjustment guideline rate which represents the maximum percentage remuneration increase employers may apply to their executives. Basically, the rate reflects wages policy. </w:t>
      </w:r>
    </w:p>
    <w:p w14:paraId="07C0745C" w14:textId="77777777" w:rsidR="00126902" w:rsidRPr="007639AB" w:rsidRDefault="00126902" w:rsidP="00DA58B8">
      <w:pPr>
        <w:pStyle w:val="05Paragraph"/>
      </w:pPr>
      <w:r w:rsidRPr="007639AB">
        <w:t xml:space="preserve">Over recent years the </w:t>
      </w:r>
      <w:r>
        <w:t>band adjustments</w:t>
      </w:r>
      <w:r w:rsidRPr="007639AB">
        <w:t xml:space="preserve"> determined by the Tribunal ha</w:t>
      </w:r>
      <w:r>
        <w:t>ve</w:t>
      </w:r>
      <w:r w:rsidRPr="007639AB">
        <w:t xml:space="preserve"> been greater than the Premier’s guideline rate. This is because the Tribunal’s Act requires it to consider a range of factors beyond wages policy.</w:t>
      </w:r>
    </w:p>
    <w:p w14:paraId="7D3CA05F" w14:textId="77777777" w:rsidR="00126902" w:rsidRPr="007639AB" w:rsidRDefault="00126902" w:rsidP="00DA58B8">
      <w:pPr>
        <w:pStyle w:val="05Paragraph"/>
      </w:pPr>
      <w:r w:rsidRPr="007639AB">
        <w:t>Over time, the cumulative impact of the guideline rate being lower than the Tribunal’s annual adjustments has resulted in more executives being paid closer to the base of the remuneration bands. Relativities between executive salaries, which may reflect experience and high performance, have not been maintained. This also means that executives may remain at the bottom of their respective bands for extended periods.</w:t>
      </w:r>
    </w:p>
    <w:p w14:paraId="7A56775A" w14:textId="19E14A22" w:rsidR="00BA0EA0" w:rsidRDefault="00126902" w:rsidP="00DA58B8">
      <w:pPr>
        <w:pStyle w:val="05Paragraph"/>
      </w:pPr>
      <w:r w:rsidRPr="00695E81">
        <w:t xml:space="preserve">While the Tribunal does not directly set executive remuneration, it has made guidelines to assist VPS employers in managing this issue. This is further discussed in </w:t>
      </w:r>
      <w:r>
        <w:t xml:space="preserve">the following </w:t>
      </w:r>
      <w:r w:rsidRPr="00695E81">
        <w:t>Chapter, including the importance of employers regularly reviewing executive remuneration to promote fair and equitable arrangements across the executive cohort</w:t>
      </w:r>
    </w:p>
    <w:p w14:paraId="09D35B1E" w14:textId="4D9376DE" w:rsidR="007639AB" w:rsidRPr="007639AB" w:rsidRDefault="007639AB" w:rsidP="00BA0EA0">
      <w:pPr>
        <w:spacing w:after="0"/>
        <w:rPr>
          <w:rFonts w:eastAsia="Rockwell" w:cs="Calibri Light"/>
          <w:color w:val="000000"/>
          <w:szCs w:val="20"/>
        </w:rPr>
      </w:pPr>
    </w:p>
    <w:p w14:paraId="62B52692" w14:textId="4BD4860A" w:rsidR="007639AB" w:rsidRDefault="007639AB">
      <w:pPr>
        <w:spacing w:before="0" w:after="80" w:line="240" w:lineRule="auto"/>
        <w:jc w:val="left"/>
        <w:rPr>
          <w:color w:val="auto"/>
        </w:rPr>
      </w:pPr>
      <w:r>
        <w:rPr>
          <w:color w:val="auto"/>
        </w:rPr>
        <w:br w:type="page"/>
      </w:r>
    </w:p>
    <w:p w14:paraId="1D633E1B" w14:textId="687996D2" w:rsidR="00671CB5" w:rsidRPr="007639AB" w:rsidRDefault="00377E3D" w:rsidP="00E76E49">
      <w:pPr>
        <w:pStyle w:val="01Chapterheading"/>
        <w:spacing w:after="240"/>
        <w:rPr>
          <w:rFonts w:eastAsia="Rockwell"/>
          <w:color w:val="26664E"/>
        </w:rPr>
      </w:pPr>
      <w:bookmarkStart w:id="173" w:name="_Toc169878483"/>
      <w:bookmarkStart w:id="174" w:name="_Toc170396247"/>
      <w:r w:rsidRPr="00DC4486">
        <w:lastRenderedPageBreak/>
        <w:t>8</w:t>
      </w:r>
      <w:r w:rsidRPr="00DC4486">
        <w:tab/>
        <w:t>VPS Executive Remuneration Guidelines</w:t>
      </w:r>
      <w:r w:rsidRPr="00DC4486">
        <w:br/>
      </w:r>
      <w:r w:rsidR="008A7DEE" w:rsidRPr="00C02C39">
        <w:rPr>
          <w:noProof/>
        </w:rPr>
        <w:drawing>
          <wp:inline distT="0" distB="0" distL="0" distR="0" wp14:anchorId="1B3FEBE8" wp14:editId="7E49D58E">
            <wp:extent cx="2222500" cy="253365"/>
            <wp:effectExtent l="0" t="0" r="6350" b="0"/>
            <wp:docPr id="36551978" name="Picture 3655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23">
                      <a:extLst>
                        <a:ext uri="{28A0092B-C50C-407E-A947-70E740481C1C}">
                          <a14:useLocalDpi xmlns:a14="http://schemas.microsoft.com/office/drawing/2010/main" val="0"/>
                        </a:ext>
                      </a:extLst>
                    </a:blip>
                    <a:stretch>
                      <a:fillRect/>
                    </a:stretch>
                  </pic:blipFill>
                  <pic:spPr>
                    <a:xfrm>
                      <a:off x="0" y="0"/>
                      <a:ext cx="2222500" cy="253365"/>
                    </a:xfrm>
                    <a:prstGeom prst="rect">
                      <a:avLst/>
                    </a:prstGeom>
                  </pic:spPr>
                </pic:pic>
              </a:graphicData>
            </a:graphic>
          </wp:inline>
        </w:drawing>
      </w:r>
      <w:bookmarkEnd w:id="173"/>
      <w:bookmarkEnd w:id="174"/>
    </w:p>
    <w:p w14:paraId="24811BC6" w14:textId="77777777" w:rsidR="00964989" w:rsidRPr="00A04ACC" w:rsidRDefault="00964989" w:rsidP="00964989">
      <w:pPr>
        <w:pStyle w:val="05Paragraph"/>
        <w:rPr>
          <w:rFonts w:cs="Calibri Light"/>
        </w:rPr>
      </w:pPr>
      <w:r w:rsidRPr="00A04ACC">
        <w:rPr>
          <w:rFonts w:cs="Calibri Light"/>
        </w:rPr>
        <w:t xml:space="preserve">This chapter discusses </w:t>
      </w:r>
      <w:r>
        <w:rPr>
          <w:rFonts w:cs="Calibri Light"/>
        </w:rPr>
        <w:t>the Tribunal’s considerations when updating its guidelines with respect to the placement of executives within the remuneration bands.</w:t>
      </w:r>
      <w:r w:rsidRPr="004A1680">
        <w:rPr>
          <w:rFonts w:cs="Calibri Light"/>
        </w:rPr>
        <w:t xml:space="preserve"> </w:t>
      </w:r>
      <w:r w:rsidRPr="009F74D6">
        <w:rPr>
          <w:rFonts w:cs="Calibri Light"/>
        </w:rPr>
        <w:t xml:space="preserve">The </w:t>
      </w:r>
      <w:r>
        <w:rPr>
          <w:rFonts w:cs="Calibri Light"/>
        </w:rPr>
        <w:t xml:space="preserve">updated </w:t>
      </w:r>
      <w:r w:rsidRPr="009F74D6">
        <w:rPr>
          <w:rFonts w:cs="Calibri Light"/>
        </w:rPr>
        <w:t>Guidelines are available on the Tribunal’s website.</w:t>
      </w:r>
      <w:r>
        <w:rPr>
          <w:rFonts w:cs="Calibri Light"/>
        </w:rPr>
        <w:t xml:space="preserve"> </w:t>
      </w:r>
    </w:p>
    <w:p w14:paraId="0813335B" w14:textId="77777777" w:rsidR="00964989" w:rsidRPr="009F74D6" w:rsidRDefault="00964989" w:rsidP="00964989">
      <w:pPr>
        <w:pStyle w:val="05Paragraph"/>
        <w:rPr>
          <w:rFonts w:cs="Calibri Light"/>
        </w:rPr>
      </w:pPr>
      <w:r w:rsidRPr="009F74D6">
        <w:rPr>
          <w:rFonts w:cs="Calibri Light"/>
        </w:rPr>
        <w:t>The</w:t>
      </w:r>
      <w:r>
        <w:rPr>
          <w:rFonts w:cs="Calibri Light"/>
        </w:rPr>
        <w:t xml:space="preserve"> existing Guidelines were </w:t>
      </w:r>
      <w:r w:rsidRPr="009F74D6">
        <w:rPr>
          <w:rFonts w:cs="Calibri Light"/>
        </w:rPr>
        <w:t>first published in 2020</w:t>
      </w:r>
      <w:r>
        <w:rPr>
          <w:rFonts w:cs="Calibri Light"/>
        </w:rPr>
        <w:t xml:space="preserve"> and</w:t>
      </w:r>
      <w:r w:rsidRPr="009F74D6">
        <w:rPr>
          <w:rFonts w:cs="Calibri Light"/>
        </w:rPr>
        <w:t xml:space="preserve"> </w:t>
      </w:r>
      <w:r>
        <w:rPr>
          <w:rFonts w:cs="Calibri Light"/>
        </w:rPr>
        <w:t xml:space="preserve">aim to </w:t>
      </w:r>
      <w:r w:rsidRPr="009F74D6">
        <w:rPr>
          <w:rFonts w:cs="Calibri Light"/>
        </w:rPr>
        <w:t xml:space="preserve">assist employers </w:t>
      </w:r>
      <w:r>
        <w:rPr>
          <w:rFonts w:cs="Calibri Light"/>
        </w:rPr>
        <w:t>based on:</w:t>
      </w:r>
    </w:p>
    <w:p w14:paraId="63A5D4EA" w14:textId="77777777" w:rsidR="00964989" w:rsidRPr="009F74D6" w:rsidRDefault="00964989" w:rsidP="00EA14C6">
      <w:pPr>
        <w:pStyle w:val="06VIRTBulletpoints"/>
        <w:rPr>
          <w:rStyle w:val="normaltextrun"/>
          <w:rFonts w:cs="Calibri Light"/>
        </w:rPr>
      </w:pPr>
      <w:r w:rsidRPr="009F74D6">
        <w:t>‘guiding principles’</w:t>
      </w:r>
      <w:r w:rsidRPr="009F74D6" w:rsidDel="00142B50">
        <w:rPr>
          <w:rStyle w:val="normaltextrun"/>
          <w:rFonts w:cs="Calibri Light"/>
          <w:color w:val="000000"/>
          <w:szCs w:val="26"/>
          <w:shd w:val="clear" w:color="auto" w:fill="FFFFFF"/>
        </w:rPr>
        <w:t xml:space="preserve"> </w:t>
      </w:r>
      <w:r w:rsidRPr="009F74D6">
        <w:rPr>
          <w:rStyle w:val="normaltextrun"/>
          <w:rFonts w:cs="Calibri Light"/>
          <w:color w:val="000000"/>
          <w:szCs w:val="26"/>
          <w:shd w:val="clear" w:color="auto" w:fill="FFFFFF"/>
        </w:rPr>
        <w:t>drawn from matters considered by the Tribunal in making the Determination</w:t>
      </w:r>
    </w:p>
    <w:p w14:paraId="6BE61150" w14:textId="77777777" w:rsidR="00964989" w:rsidRPr="009F74D6" w:rsidDel="002231DD" w:rsidRDefault="00964989" w:rsidP="00EA14C6">
      <w:pPr>
        <w:pStyle w:val="06VIRTBulletpoints"/>
      </w:pPr>
      <w:r w:rsidRPr="009F74D6">
        <w:rPr>
          <w:rStyle w:val="normaltextrun"/>
          <w:rFonts w:cs="Calibri Light"/>
          <w:color w:val="000000"/>
          <w:szCs w:val="26"/>
          <w:shd w:val="clear" w:color="auto" w:fill="FFFFFF"/>
        </w:rPr>
        <w:t>‘specific factors’ that VPS employers should consider when setting the remuneration of executives.</w:t>
      </w:r>
    </w:p>
    <w:p w14:paraId="74331103" w14:textId="77777777" w:rsidR="00964989" w:rsidRPr="002D2556" w:rsidRDefault="00964989" w:rsidP="002D2556">
      <w:pPr>
        <w:pStyle w:val="05Paragraph"/>
      </w:pPr>
      <w:r w:rsidRPr="002D2556">
        <w:t xml:space="preserve">The notice of intention invited specific feedback on whether the existing Guidelines were fit for purpose. The Tribunal received feedback on the existing Guidelines from stakeholder submissions, consultation with senior executives and through the questionnaire sent to VPS executives. </w:t>
      </w:r>
    </w:p>
    <w:p w14:paraId="6620901B" w14:textId="01C791EC" w:rsidR="00964989" w:rsidRPr="002D2556" w:rsidRDefault="00964989" w:rsidP="002D2556">
      <w:pPr>
        <w:pStyle w:val="05Paragraph"/>
      </w:pPr>
      <w:r w:rsidRPr="002D2556">
        <w:t>Stakeholders noted that the existing Guidelines did not explicitly support gender pay equality or diversity and inclusion, and would benefit from direct reference to the Government’s objectives in this area. Other feedback included providing more detailed advice to employers on the relative weighting of factors, and making greater use of VPS executive data to inform decision making, including consideration of relativities and gender equality objectives.</w:t>
      </w:r>
    </w:p>
    <w:p w14:paraId="0A454AEE" w14:textId="77777777" w:rsidR="00964989" w:rsidRPr="002D2556" w:rsidRDefault="00964989" w:rsidP="002D2556">
      <w:pPr>
        <w:pStyle w:val="05Paragraph"/>
      </w:pPr>
      <w:r w:rsidRPr="002D2556">
        <w:t>Some respondents to the executive questionnaire also indicated that remuneration relativities across an organisation were not being actively considered, and that the existing Guidelines may result in external experience being more heavily weighted than the accountabilities, responsibilities and requirement of the role. The questionnaire also revealed limited awareness of the Guidelines across the VPS.</w:t>
      </w:r>
    </w:p>
    <w:p w14:paraId="1F584E40" w14:textId="77777777" w:rsidR="00964989" w:rsidRPr="002D2556" w:rsidRDefault="00964989" w:rsidP="002D2556">
      <w:pPr>
        <w:pStyle w:val="05Paragraph"/>
      </w:pPr>
      <w:r w:rsidRPr="002D2556">
        <w:lastRenderedPageBreak/>
        <w:t xml:space="preserve">The Tribunal also heard about a propensity for employers to place executives at the bottom of the relevant remuneration band, with limited ability for remuneration to be reviewed or adjusted during a contract term. </w:t>
      </w:r>
    </w:p>
    <w:p w14:paraId="19BEB329" w14:textId="77777777" w:rsidR="00964989" w:rsidRPr="00E76E49" w:rsidRDefault="00964989" w:rsidP="002D2556">
      <w:pPr>
        <w:pStyle w:val="05Paragraph"/>
        <w:rPr>
          <w:spacing w:val="-4"/>
        </w:rPr>
      </w:pPr>
      <w:r w:rsidRPr="00E76E49">
        <w:rPr>
          <w:spacing w:val="-4"/>
        </w:rPr>
        <w:t xml:space="preserve">The Tribunal has made several changes to the Guidelines in response to this feedback. </w:t>
      </w:r>
    </w:p>
    <w:p w14:paraId="43EBF16E" w14:textId="77777777" w:rsidR="00964989" w:rsidRPr="00EA14C6" w:rsidRDefault="00964989" w:rsidP="002D2556">
      <w:pPr>
        <w:pStyle w:val="05Paragraph"/>
        <w:rPr>
          <w:rStyle w:val="normaltextrun"/>
        </w:rPr>
      </w:pPr>
      <w:r w:rsidRPr="002D2556">
        <w:t xml:space="preserve">Firstly, the ‘guiding principles’ have been amended. In particular, Principle 3.3 — Executive remuneration should be robust — has been amended to include a ‘transparency’ consideration, and an explanation added that the </w:t>
      </w:r>
      <w:r w:rsidRPr="00EA14C6">
        <w:rPr>
          <w:rStyle w:val="normaltextrun"/>
        </w:rPr>
        <w:t>basis for decisions should be clearly understood (for example, through reference to a departmental executive remuneration framework or strategy). </w:t>
      </w:r>
    </w:p>
    <w:p w14:paraId="4D99D204" w14:textId="77777777" w:rsidR="00964989" w:rsidRPr="002D2556" w:rsidRDefault="00964989" w:rsidP="002D2556">
      <w:pPr>
        <w:pStyle w:val="05Paragraph"/>
      </w:pPr>
      <w:r w:rsidRPr="002D2556">
        <w:t>Two additional guiding principles have also been added:</w:t>
      </w:r>
    </w:p>
    <w:p w14:paraId="211AC11E" w14:textId="34EBC7A2" w:rsidR="00964989" w:rsidRPr="00E76E49" w:rsidRDefault="00964989" w:rsidP="002D2556">
      <w:pPr>
        <w:pStyle w:val="06VIRTBulletpoints"/>
        <w:rPr>
          <w:spacing w:val="-2"/>
        </w:rPr>
      </w:pPr>
      <w:r w:rsidRPr="00E76E49">
        <w:rPr>
          <w:spacing w:val="-2"/>
        </w:rPr>
        <w:t xml:space="preserve">Principle 3.4: Executive remuneration should </w:t>
      </w:r>
      <w:r w:rsidR="00255E6A" w:rsidRPr="00E76E49">
        <w:rPr>
          <w:spacing w:val="-2"/>
        </w:rPr>
        <w:t>consider</w:t>
      </w:r>
      <w:r w:rsidRPr="00E76E49">
        <w:rPr>
          <w:spacing w:val="-2"/>
        </w:rPr>
        <w:t xml:space="preserve"> Government policies — for example, to improve gender equality and promote diversity and inclusion.</w:t>
      </w:r>
    </w:p>
    <w:p w14:paraId="1A6F5153" w14:textId="77777777" w:rsidR="00964989" w:rsidRPr="00E76E49" w:rsidRDefault="00964989" w:rsidP="002D2556">
      <w:pPr>
        <w:pStyle w:val="06VIRTBulletpoints"/>
        <w:rPr>
          <w:spacing w:val="-2"/>
        </w:rPr>
      </w:pPr>
      <w:r w:rsidRPr="00E76E49">
        <w:rPr>
          <w:spacing w:val="-2"/>
        </w:rPr>
        <w:t>Principle 3.5: Executive remuneration should be regularly reviewed — both at an individual and workforce level, including consideration of relativities and performance.</w:t>
      </w:r>
    </w:p>
    <w:p w14:paraId="3B8FA42F" w14:textId="426B6141" w:rsidR="00964989" w:rsidRPr="002D2556" w:rsidRDefault="00964989" w:rsidP="002D2556">
      <w:pPr>
        <w:pStyle w:val="05Paragraph"/>
      </w:pPr>
      <w:r w:rsidRPr="002D2556">
        <w:t xml:space="preserve">Secondly, </w:t>
      </w:r>
      <w:r w:rsidRPr="002D2556" w:rsidDel="00970079">
        <w:t xml:space="preserve">the </w:t>
      </w:r>
      <w:r w:rsidRPr="002D2556">
        <w:t>Tribunal</w:t>
      </w:r>
      <w:r w:rsidRPr="002D2556" w:rsidDel="00A5111C">
        <w:t xml:space="preserve"> </w:t>
      </w:r>
      <w:r w:rsidRPr="002D2556">
        <w:t>updated the ‘specific factors’ to emphasise the importance of carefully assessing the specific functions and responsibilities of an executive position (for example, contributing to or leading a major reform initiative) when setting remuneration.</w:t>
      </w:r>
      <w:r w:rsidR="00694341">
        <w:t xml:space="preserve"> The Tribunal also noted that executives </w:t>
      </w:r>
      <w:r w:rsidR="00115B38">
        <w:t xml:space="preserve">may undertake additional work beyond the specific functions and responsibilities of a position </w:t>
      </w:r>
      <w:r w:rsidR="00AF6C2F">
        <w:t xml:space="preserve">— for example, a </w:t>
      </w:r>
      <w:r w:rsidR="00AF6C2F" w:rsidRPr="00AF6C2F">
        <w:t xml:space="preserve">First Nations’ executive may provide broader cultural leadership within </w:t>
      </w:r>
      <w:r w:rsidR="00AF6C2F">
        <w:t>an</w:t>
      </w:r>
      <w:r w:rsidR="00AF6C2F" w:rsidRPr="00AF6C2F">
        <w:t xml:space="preserve"> organisation</w:t>
      </w:r>
      <w:r w:rsidR="003A110E">
        <w:t xml:space="preserve"> — which should be considered in setting remuneration.</w:t>
      </w:r>
    </w:p>
    <w:p w14:paraId="109A8069" w14:textId="5CF136F6" w:rsidR="00964989" w:rsidRPr="002D2556" w:rsidRDefault="00964989" w:rsidP="002D2556">
      <w:pPr>
        <w:pStyle w:val="05Paragraph"/>
      </w:pPr>
      <w:r w:rsidRPr="002D2556">
        <w:t xml:space="preserve">Thirdly, </w:t>
      </w:r>
      <w:r w:rsidR="00F4609B">
        <w:t>t</w:t>
      </w:r>
      <w:r w:rsidRPr="002D2556">
        <w:t xml:space="preserve">he Tribunal has provided two illustrative case studies to assist VPS employers in applying the ‘guiding principles’ and ‘specific factors’ when setting executive remuneration. The case studies highlight the importance of VPS employers regularly reviewing executive remuneration arrangements to ensure that they support the recruitment and retention of executives with the requisite skills, capability and experience, and that they are fair and equitable over time.  </w:t>
      </w:r>
    </w:p>
    <w:p w14:paraId="123CEDC0" w14:textId="77777777" w:rsidR="00964989" w:rsidRPr="002D2556" w:rsidRDefault="00964989" w:rsidP="002D2556">
      <w:pPr>
        <w:pStyle w:val="05Paragraph"/>
      </w:pPr>
      <w:r w:rsidRPr="002D2556">
        <w:t>Finally, the Tribunal has clarified the Guidelines do not require employers to remunerate an executive at the bottom of the remuneration band.</w:t>
      </w:r>
    </w:p>
    <w:p w14:paraId="26BE87B5" w14:textId="6F67EF90" w:rsidR="00671CB5" w:rsidRDefault="00964989" w:rsidP="00E76E49">
      <w:pPr>
        <w:pStyle w:val="05Paragraph"/>
      </w:pPr>
      <w:r w:rsidRPr="002D2556">
        <w:t xml:space="preserve">The Tribunal does not consider it appropriate at this time to provide more detailed advice about the relative weighing of factors. Ultimately, judgement will need to be applied by each VPS employer when weighing up the various factors and data they hold in determining the appropriate remuneration for an executive.  </w:t>
      </w:r>
    </w:p>
    <w:p w14:paraId="0EA130DF" w14:textId="76F44792" w:rsidR="006F2BB8" w:rsidRPr="006F2BB8" w:rsidRDefault="00671CB5" w:rsidP="006F2BB8">
      <w:pPr>
        <w:pStyle w:val="Chapterheading0"/>
        <w:rPr>
          <w:rFonts w:eastAsia="Calibri"/>
        </w:rPr>
      </w:pPr>
      <w:r>
        <w:rPr>
          <w:color w:val="auto"/>
          <w:highlight w:val="yellow"/>
        </w:rPr>
        <w:br w:type="page"/>
      </w:r>
      <w:bookmarkStart w:id="175" w:name="_Toc169878484"/>
      <w:bookmarkStart w:id="176" w:name="_Toc170396248"/>
      <w:r w:rsidR="006F2BB8" w:rsidRPr="00FA5F7B">
        <w:rPr>
          <w:rStyle w:val="01ChapterheadingChar"/>
        </w:rPr>
        <w:lastRenderedPageBreak/>
        <w:t>Appendix A – summary of executive questionnaire responses</w:t>
      </w:r>
      <w:r w:rsidR="006F2BB8" w:rsidRPr="006F2BB8">
        <w:rPr>
          <w:rFonts w:eastAsia="Calibri"/>
        </w:rPr>
        <w:br/>
      </w:r>
      <w:r w:rsidR="006F2BB8" w:rsidRPr="006F2BB8">
        <w:rPr>
          <w:rFonts w:eastAsia="Calibri"/>
          <w:color w:val="auto"/>
        </w:rPr>
        <w:drawing>
          <wp:inline distT="0" distB="0" distL="0" distR="0" wp14:anchorId="5EE2FA03" wp14:editId="449E1EDB">
            <wp:extent cx="2222500" cy="253365"/>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2500" cy="253365"/>
                    </a:xfrm>
                    <a:prstGeom prst="rect">
                      <a:avLst/>
                    </a:prstGeom>
                    <a:noFill/>
                    <a:ln>
                      <a:noFill/>
                    </a:ln>
                  </pic:spPr>
                </pic:pic>
              </a:graphicData>
            </a:graphic>
          </wp:inline>
        </w:drawing>
      </w:r>
      <w:bookmarkEnd w:id="175"/>
      <w:bookmarkEnd w:id="176"/>
    </w:p>
    <w:p w14:paraId="58DC88DE" w14:textId="77777777" w:rsidR="006F2BB8" w:rsidRPr="006F2BB8" w:rsidRDefault="006F2BB8" w:rsidP="006A3A46">
      <w:pPr>
        <w:pStyle w:val="05Paragraph"/>
      </w:pPr>
      <w:r w:rsidRPr="006F2BB8">
        <w:t xml:space="preserve">The Tribunal invited 1,665 VPS executives to make a submission via an anonymous questionnaire to better understand: </w:t>
      </w:r>
    </w:p>
    <w:p w14:paraId="1F7B8CC9" w14:textId="77777777" w:rsidR="006F2BB8" w:rsidRPr="006F2BB8" w:rsidRDefault="006F2BB8" w:rsidP="006A3A46">
      <w:pPr>
        <w:pStyle w:val="06VIRTBulletpoints"/>
      </w:pPr>
      <w:r w:rsidRPr="006F2BB8">
        <w:t>the roles and responsibilities of executives</w:t>
      </w:r>
    </w:p>
    <w:p w14:paraId="61D4B038" w14:textId="77777777" w:rsidR="006F2BB8" w:rsidRPr="006F2BB8" w:rsidRDefault="006F2BB8" w:rsidP="006A3A46">
      <w:pPr>
        <w:pStyle w:val="06VIRTBulletpoints"/>
      </w:pPr>
      <w:r w:rsidRPr="006F2BB8">
        <w:t>their career intentions</w:t>
      </w:r>
    </w:p>
    <w:p w14:paraId="37792CD6" w14:textId="0707486D" w:rsidR="006F2BB8" w:rsidRPr="006F2BB8" w:rsidRDefault="006F2BB8" w:rsidP="006A3A46">
      <w:pPr>
        <w:pStyle w:val="06VIRTBulletpoints"/>
      </w:pPr>
      <w:r w:rsidRPr="006F2BB8">
        <w:t>their views on the level</w:t>
      </w:r>
      <w:r w:rsidR="00795ACC">
        <w:t>s</w:t>
      </w:r>
      <w:r w:rsidRPr="006F2BB8">
        <w:t xml:space="preserve"> and structure of the remuneration bands. </w:t>
      </w:r>
    </w:p>
    <w:p w14:paraId="3EB9D513" w14:textId="77777777" w:rsidR="006F2BB8" w:rsidRPr="006F2BB8" w:rsidRDefault="006F2BB8" w:rsidP="006A3A46">
      <w:pPr>
        <w:pStyle w:val="05Paragraph"/>
      </w:pPr>
      <w:r w:rsidRPr="006F2BB8">
        <w:t>The questionnaire contained 32 questions, 15 of which were mandatory. The questions were grouped into eight sections:</w:t>
      </w:r>
    </w:p>
    <w:p w14:paraId="7A3010BE" w14:textId="77777777" w:rsidR="006F2BB8" w:rsidRPr="006F2BB8" w:rsidRDefault="006F2BB8" w:rsidP="006A3A46">
      <w:pPr>
        <w:pStyle w:val="06VIRTBulletpoints"/>
      </w:pPr>
      <w:r w:rsidRPr="006F2BB8">
        <w:t>introduction and pathway to a VPS executive role</w:t>
      </w:r>
    </w:p>
    <w:p w14:paraId="20FF36DF" w14:textId="77777777" w:rsidR="006F2BB8" w:rsidRPr="006F2BB8" w:rsidRDefault="006F2BB8" w:rsidP="006A3A46">
      <w:pPr>
        <w:pStyle w:val="06VIRTBulletpoints"/>
      </w:pPr>
      <w:r w:rsidRPr="006F2BB8">
        <w:t>intention to stay</w:t>
      </w:r>
    </w:p>
    <w:p w14:paraId="79E8C793" w14:textId="77777777" w:rsidR="006F2BB8" w:rsidRPr="006F2BB8" w:rsidRDefault="006F2BB8" w:rsidP="006A3A46">
      <w:pPr>
        <w:pStyle w:val="06VIRTBulletpoints"/>
      </w:pPr>
      <w:r w:rsidRPr="006F2BB8">
        <w:t>attracting and retaining VPS executives</w:t>
      </w:r>
    </w:p>
    <w:p w14:paraId="723D45F0" w14:textId="77777777" w:rsidR="006F2BB8" w:rsidRPr="006F2BB8" w:rsidRDefault="006F2BB8" w:rsidP="006A3A46">
      <w:pPr>
        <w:pStyle w:val="06VIRTBulletpoints"/>
      </w:pPr>
      <w:r w:rsidRPr="006F2BB8">
        <w:t>roles and responsibilities of VPS executives</w:t>
      </w:r>
    </w:p>
    <w:p w14:paraId="33B10BFD" w14:textId="77777777" w:rsidR="006F2BB8" w:rsidRPr="006F2BB8" w:rsidRDefault="006F2BB8" w:rsidP="006A3A46">
      <w:pPr>
        <w:pStyle w:val="06VIRTBulletpoints"/>
      </w:pPr>
      <w:r w:rsidRPr="006F2BB8">
        <w:t>levels and structure of the VPS executive remuneration bands</w:t>
      </w:r>
    </w:p>
    <w:p w14:paraId="2A25AFDE" w14:textId="77777777" w:rsidR="006F2BB8" w:rsidRPr="006F2BB8" w:rsidRDefault="006F2BB8" w:rsidP="006A3A46">
      <w:pPr>
        <w:pStyle w:val="06VIRTBulletpoints"/>
      </w:pPr>
      <w:r w:rsidRPr="006F2BB8">
        <w:t>about your work</w:t>
      </w:r>
    </w:p>
    <w:p w14:paraId="02D8B204" w14:textId="77777777" w:rsidR="006F2BB8" w:rsidRPr="006F2BB8" w:rsidRDefault="006F2BB8" w:rsidP="006A3A46">
      <w:pPr>
        <w:pStyle w:val="06VIRTBulletpoints"/>
      </w:pPr>
      <w:r w:rsidRPr="006F2BB8">
        <w:t>demographic information</w:t>
      </w:r>
    </w:p>
    <w:p w14:paraId="4E31F92D" w14:textId="77777777" w:rsidR="006F2BB8" w:rsidRPr="006F2BB8" w:rsidRDefault="006F2BB8" w:rsidP="006A3A46">
      <w:pPr>
        <w:pStyle w:val="06VIRTBulletpoints"/>
      </w:pPr>
      <w:r w:rsidRPr="006F2BB8">
        <w:t>final comments and feedback on the questionnaire.</w:t>
      </w:r>
    </w:p>
    <w:p w14:paraId="6E311641" w14:textId="77777777" w:rsidR="006F2BB8" w:rsidRPr="006F2BB8" w:rsidRDefault="006F2BB8" w:rsidP="006A3A46">
      <w:pPr>
        <w:pStyle w:val="05Paragraph"/>
      </w:pPr>
      <w:r w:rsidRPr="006F2BB8">
        <w:t>No single person could have answered all 32 questions as some questions contained branching logic.</w:t>
      </w:r>
      <w:r w:rsidRPr="006F2BB8">
        <w:rPr>
          <w:vertAlign w:val="superscript"/>
        </w:rPr>
        <w:footnoteReference w:id="262"/>
      </w:r>
    </w:p>
    <w:p w14:paraId="6C2FA376" w14:textId="77777777" w:rsidR="006F2BB8" w:rsidRPr="006F2BB8" w:rsidRDefault="006F2BB8" w:rsidP="006A3A46">
      <w:pPr>
        <w:pStyle w:val="05Paragraph"/>
      </w:pPr>
      <w:r w:rsidRPr="006F2BB8">
        <w:t>The questionnaire received 628 responses, with 525 executives completing the questionnaire. This means that 38 per cent of invited executives answered at least one question, while 32 per cent completed the questionnaire.</w:t>
      </w:r>
      <w:r w:rsidRPr="006F2BB8">
        <w:rPr>
          <w:vertAlign w:val="superscript"/>
        </w:rPr>
        <w:footnoteReference w:id="263"/>
      </w:r>
    </w:p>
    <w:p w14:paraId="7A9EDCC6" w14:textId="77777777" w:rsidR="006F2BB8" w:rsidRDefault="006F2BB8" w:rsidP="006A3A46">
      <w:pPr>
        <w:pStyle w:val="05Paragraph"/>
      </w:pPr>
      <w:r w:rsidRPr="006F2BB8">
        <w:lastRenderedPageBreak/>
        <w:t xml:space="preserve">The margin of error for the questionnaire, based on a population size </w:t>
      </w:r>
      <w:r w:rsidRPr="006F2BB8" w:rsidDel="00C21CB0">
        <w:t xml:space="preserve">of 1,665 </w:t>
      </w:r>
      <w:r w:rsidRPr="006F2BB8">
        <w:t xml:space="preserve">and a 99 per cent confidence level, is between </w:t>
      </w:r>
      <w:r w:rsidRPr="006F2BB8" w:rsidDel="00BE692D">
        <w:t>4</w:t>
      </w:r>
      <w:r w:rsidRPr="006F2BB8">
        <w:t xml:space="preserve"> and </w:t>
      </w:r>
      <w:r w:rsidRPr="006F2BB8" w:rsidDel="00BE692D">
        <w:t>5</w:t>
      </w:r>
      <w:r w:rsidRPr="006F2BB8">
        <w:t xml:space="preserve"> per cent.</w:t>
      </w:r>
      <w:r w:rsidRPr="006F2BB8">
        <w:rPr>
          <w:vertAlign w:val="superscript"/>
        </w:rPr>
        <w:footnoteReference w:id="264"/>
      </w:r>
    </w:p>
    <w:p w14:paraId="0272AAE8" w14:textId="784747A9" w:rsidR="0041256C" w:rsidRPr="006F2BB8" w:rsidRDefault="0041256C" w:rsidP="006A3A46">
      <w:pPr>
        <w:pStyle w:val="05Paragraph"/>
      </w:pPr>
      <w:r w:rsidRPr="006F2BB8">
        <w:t xml:space="preserve">Several results are highlighted as being ‘significantly’ different. This wording is only used where there is </w:t>
      </w:r>
      <w:r w:rsidRPr="002A6799">
        <w:t>a statistically significant difference between</w:t>
      </w:r>
      <w:r w:rsidRPr="006F2BB8">
        <w:t xml:space="preserve"> how certain response groups answered those questions. Statistical significance means that the numbers are reliably different using a standard 95 per cent confidence level. This means the difference between the two groups has less than a 5 per cent probability of occurring by chance or sampling error alone.</w:t>
      </w:r>
      <w:r w:rsidRPr="006F2BB8">
        <w:rPr>
          <w:vertAlign w:val="superscript"/>
        </w:rPr>
        <w:footnoteReference w:id="265"/>
      </w:r>
    </w:p>
    <w:p w14:paraId="3B88A253" w14:textId="77777777" w:rsidR="006F2BB8" w:rsidRPr="006F2BB8" w:rsidRDefault="006F2BB8" w:rsidP="00C15CFF">
      <w:pPr>
        <w:pStyle w:val="02VIRTHeading2"/>
      </w:pPr>
      <w:bookmarkStart w:id="177" w:name="_Toc170396249"/>
      <w:r w:rsidRPr="006F2BB8">
        <w:t>Questionnaire responses</w:t>
      </w:r>
      <w:bookmarkEnd w:id="177"/>
    </w:p>
    <w:p w14:paraId="03C81084" w14:textId="0E0E3E32" w:rsidR="006F2BB8" w:rsidRPr="006F2BB8" w:rsidRDefault="006F2BB8" w:rsidP="006A3A46">
      <w:pPr>
        <w:pStyle w:val="05Paragraph"/>
      </w:pPr>
      <w:r w:rsidRPr="006F2BB8">
        <w:t xml:space="preserve">A compilation of questions asked, and responses received is provided below. Some comments and text responses have been excluded due to the large volume of responses received. All feedback has been considered and some responses have been included verbatim in </w:t>
      </w:r>
      <w:r w:rsidR="00A050C9">
        <w:t>C</w:t>
      </w:r>
      <w:r w:rsidRPr="006F2BB8">
        <w:t>hapter 2 and elsewhere in this Statement of Reasons.</w:t>
      </w:r>
    </w:p>
    <w:p w14:paraId="2D2E3A92" w14:textId="77777777" w:rsidR="006F2BB8" w:rsidRPr="006F2BB8" w:rsidRDefault="006F2BB8" w:rsidP="00C15CFF">
      <w:pPr>
        <w:pStyle w:val="03VIRTHeading3"/>
      </w:pPr>
      <w:r w:rsidRPr="006F2BB8">
        <w:t>Profile of executives</w:t>
      </w:r>
    </w:p>
    <w:p w14:paraId="6189C9BB" w14:textId="377BDC22" w:rsidR="006F2BB8" w:rsidRPr="006F2BB8" w:rsidRDefault="006F2BB8" w:rsidP="006A3A46">
      <w:pPr>
        <w:pStyle w:val="05Paragraph"/>
      </w:pPr>
      <w:r w:rsidRPr="006F2BB8">
        <w:t xml:space="preserve">Table A.1 shows that more than half of respondents were employed in the SES-1 band, followed by SES-2, then SES-3. Four additional respondents were </w:t>
      </w:r>
      <w:r w:rsidR="00873240">
        <w:t>A</w:t>
      </w:r>
      <w:r w:rsidRPr="006F2BB8">
        <w:t xml:space="preserve">dministrative </w:t>
      </w:r>
      <w:r w:rsidR="00873240">
        <w:t>O</w:t>
      </w:r>
      <w:r w:rsidRPr="006F2BB8">
        <w:t xml:space="preserve">ffice </w:t>
      </w:r>
      <w:r w:rsidR="00873240">
        <w:t>H</w:t>
      </w:r>
      <w:r w:rsidRPr="006F2BB8">
        <w:t>eads (AO Head-2 and AO Head-3).</w:t>
      </w:r>
    </w:p>
    <w:p w14:paraId="7E0CEAD7" w14:textId="5462B216" w:rsidR="006F2BB8" w:rsidRPr="006F2BB8" w:rsidRDefault="006F2BB8" w:rsidP="006A3A46">
      <w:pPr>
        <w:pStyle w:val="05Paragraph"/>
      </w:pPr>
      <w:r w:rsidRPr="006F2BB8">
        <w:t xml:space="preserve">This distribution closely matches the actual VPS executive workforce data shown in </w:t>
      </w:r>
      <w:r w:rsidR="00A050C9">
        <w:t>C</w:t>
      </w:r>
      <w:r w:rsidRPr="006F2BB8">
        <w:t>hapter 3 (Table 3.</w:t>
      </w:r>
      <w:r w:rsidRPr="002E0695">
        <w:t>3</w:t>
      </w:r>
      <w:r w:rsidRPr="006F2BB8">
        <w:t>).</w:t>
      </w:r>
    </w:p>
    <w:p w14:paraId="509A2720" w14:textId="77777777" w:rsidR="006F2BB8" w:rsidRPr="006F2BB8" w:rsidRDefault="006F2BB8" w:rsidP="006C2935">
      <w:pPr>
        <w:pStyle w:val="08Figuretableboxheading"/>
      </w:pPr>
      <w:bookmarkStart w:id="178" w:name="_Toc170393580"/>
      <w:r w:rsidRPr="006F2BB8">
        <w:lastRenderedPageBreak/>
        <w:t>Table A.1: What is your substantive classification?</w:t>
      </w:r>
      <w:bookmarkEnd w:id="178"/>
    </w:p>
    <w:tbl>
      <w:tblPr>
        <w:tblStyle w:val="ListTable3-Accent1"/>
        <w:tblW w:w="8505" w:type="dxa"/>
        <w:tblLayout w:type="fixed"/>
        <w:tblLook w:val="04A0" w:firstRow="1" w:lastRow="0" w:firstColumn="1" w:lastColumn="0" w:noHBand="0" w:noVBand="1"/>
      </w:tblPr>
      <w:tblGrid>
        <w:gridCol w:w="4962"/>
        <w:gridCol w:w="1771"/>
        <w:gridCol w:w="1772"/>
      </w:tblGrid>
      <w:tr w:rsidR="006F2BB8" w:rsidRPr="006F2BB8" w14:paraId="4BD14D20" w14:textId="77777777" w:rsidTr="00DD39ED">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4962" w:type="dxa"/>
            <w:tcBorders>
              <w:top w:val="single" w:sz="4" w:space="0" w:color="26664E"/>
              <w:left w:val="nil"/>
              <w:bottom w:val="single" w:sz="4" w:space="0" w:color="148A5D"/>
              <w:right w:val="single" w:sz="4" w:space="0" w:color="148A5D"/>
            </w:tcBorders>
            <w:shd w:val="clear" w:color="auto" w:fill="148A5D"/>
          </w:tcPr>
          <w:p w14:paraId="44DBDB8E" w14:textId="77777777" w:rsidR="006F2BB8" w:rsidRPr="00C15CFF" w:rsidRDefault="006F2BB8" w:rsidP="006C2935">
            <w:pPr>
              <w:pStyle w:val="10Tabletext"/>
              <w:keepNext/>
            </w:pPr>
            <w:r w:rsidRPr="00C15CFF">
              <w:t>Answer choices</w:t>
            </w:r>
          </w:p>
        </w:tc>
        <w:tc>
          <w:tcPr>
            <w:tcW w:w="3543" w:type="dxa"/>
            <w:gridSpan w:val="2"/>
            <w:tcBorders>
              <w:top w:val="single" w:sz="4" w:space="0" w:color="26664E"/>
              <w:left w:val="single" w:sz="4" w:space="0" w:color="148A5D"/>
              <w:bottom w:val="single" w:sz="4" w:space="0" w:color="148A5D"/>
              <w:right w:val="nil"/>
            </w:tcBorders>
            <w:shd w:val="clear" w:color="auto" w:fill="148A5D"/>
          </w:tcPr>
          <w:p w14:paraId="4182A3C3" w14:textId="77777777" w:rsidR="006F2BB8" w:rsidRPr="00C15CFF" w:rsidRDefault="006F2BB8" w:rsidP="00DD39ED">
            <w:pPr>
              <w:pStyle w:val="10Tabletext"/>
              <w:keepNext/>
              <w:ind w:left="-249"/>
              <w:jc w:val="center"/>
              <w:cnfStyle w:val="100000000000" w:firstRow="1" w:lastRow="0" w:firstColumn="0" w:lastColumn="0" w:oddVBand="0" w:evenVBand="0" w:oddHBand="0" w:evenHBand="0" w:firstRowFirstColumn="0" w:firstRowLastColumn="0" w:lastRowFirstColumn="0" w:lastRowLastColumn="0"/>
            </w:pPr>
            <w:r w:rsidRPr="00C15CFF">
              <w:t>Responses</w:t>
            </w:r>
          </w:p>
        </w:tc>
      </w:tr>
      <w:tr w:rsidR="006F2BB8" w:rsidRPr="006F2BB8" w14:paraId="487D2ABA" w14:textId="77777777" w:rsidTr="00DD39E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148A5D"/>
              <w:left w:val="nil"/>
              <w:right w:val="single" w:sz="4" w:space="0" w:color="148A5D"/>
            </w:tcBorders>
            <w:shd w:val="clear" w:color="auto" w:fill="148A5D"/>
          </w:tcPr>
          <w:p w14:paraId="3788A3EF" w14:textId="77777777" w:rsidR="006F2BB8" w:rsidRPr="00C15CFF" w:rsidRDefault="006F2BB8" w:rsidP="006C2935">
            <w:pPr>
              <w:pStyle w:val="10Tabletext"/>
              <w:keepNext/>
              <w:rPr>
                <w:color w:val="FFFFFF" w:themeColor="background1"/>
                <w:szCs w:val="24"/>
              </w:rPr>
            </w:pPr>
          </w:p>
        </w:tc>
        <w:tc>
          <w:tcPr>
            <w:tcW w:w="1771" w:type="dxa"/>
            <w:tcBorders>
              <w:top w:val="single" w:sz="4" w:space="0" w:color="148A5D"/>
              <w:left w:val="single" w:sz="4" w:space="0" w:color="148A5D"/>
            </w:tcBorders>
            <w:shd w:val="clear" w:color="auto" w:fill="148A5D"/>
          </w:tcPr>
          <w:p w14:paraId="1005E377" w14:textId="77777777" w:rsidR="006F2BB8" w:rsidRPr="00C15CFF" w:rsidRDefault="006F2BB8" w:rsidP="00DD39ED">
            <w:pPr>
              <w:pStyle w:val="10Tabletext"/>
              <w:keepNext/>
              <w:ind w:left="-249"/>
              <w:jc w:val="center"/>
              <w:cnfStyle w:val="000000100000" w:firstRow="0" w:lastRow="0" w:firstColumn="0" w:lastColumn="0" w:oddVBand="0" w:evenVBand="0" w:oddHBand="1" w:evenHBand="0" w:firstRowFirstColumn="0" w:firstRowLastColumn="0" w:lastRowFirstColumn="0" w:lastRowLastColumn="0"/>
              <w:rPr>
                <w:b/>
                <w:bCs w:val="0"/>
                <w:color w:val="FFFFFF" w:themeColor="background1"/>
                <w:szCs w:val="24"/>
              </w:rPr>
            </w:pPr>
            <w:r w:rsidRPr="00C15CFF">
              <w:rPr>
                <w:b/>
                <w:bCs w:val="0"/>
                <w:color w:val="FFFFFF" w:themeColor="background1"/>
                <w:szCs w:val="24"/>
              </w:rPr>
              <w:t>Number</w:t>
            </w:r>
          </w:p>
        </w:tc>
        <w:tc>
          <w:tcPr>
            <w:tcW w:w="1772" w:type="dxa"/>
            <w:tcBorders>
              <w:top w:val="single" w:sz="4" w:space="0" w:color="148A5D"/>
              <w:right w:val="nil"/>
            </w:tcBorders>
            <w:shd w:val="clear" w:color="auto" w:fill="148A5D"/>
          </w:tcPr>
          <w:p w14:paraId="4CF40553" w14:textId="77777777" w:rsidR="006F2BB8" w:rsidRPr="00C15CFF" w:rsidRDefault="006F2BB8" w:rsidP="00DD39ED">
            <w:pPr>
              <w:pStyle w:val="10Tabletext"/>
              <w:keepNext/>
              <w:ind w:left="-249"/>
              <w:jc w:val="center"/>
              <w:cnfStyle w:val="000000100000" w:firstRow="0" w:lastRow="0" w:firstColumn="0" w:lastColumn="0" w:oddVBand="0" w:evenVBand="0" w:oddHBand="1" w:evenHBand="0" w:firstRowFirstColumn="0" w:firstRowLastColumn="0" w:lastRowFirstColumn="0" w:lastRowLastColumn="0"/>
              <w:rPr>
                <w:b/>
                <w:bCs w:val="0"/>
                <w:color w:val="FFFFFF" w:themeColor="background1"/>
                <w:szCs w:val="24"/>
              </w:rPr>
            </w:pPr>
            <w:r w:rsidRPr="00C15CFF">
              <w:rPr>
                <w:b/>
                <w:bCs w:val="0"/>
                <w:color w:val="FFFFFF" w:themeColor="background1"/>
                <w:szCs w:val="24"/>
              </w:rPr>
              <w:t>%</w:t>
            </w:r>
          </w:p>
        </w:tc>
      </w:tr>
      <w:tr w:rsidR="006F2BB8" w:rsidRPr="006F2BB8" w14:paraId="4304358E" w14:textId="77777777" w:rsidTr="00DD39ED">
        <w:trPr>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04DCF8CA" w14:textId="77777777" w:rsidR="006F2BB8" w:rsidRPr="00C15CFF" w:rsidRDefault="006F2BB8" w:rsidP="006C2935">
            <w:pPr>
              <w:pStyle w:val="10Tabletext"/>
              <w:keepNext/>
            </w:pPr>
            <w:r w:rsidRPr="00C15CFF">
              <w:t>SES-1</w:t>
            </w:r>
          </w:p>
        </w:tc>
        <w:tc>
          <w:tcPr>
            <w:tcW w:w="1771" w:type="dxa"/>
          </w:tcPr>
          <w:p w14:paraId="2C412158" w14:textId="77777777" w:rsidR="006F2BB8" w:rsidRPr="00C15CFF" w:rsidRDefault="006F2BB8" w:rsidP="00DD39ED">
            <w:pPr>
              <w:pStyle w:val="10Tabletext"/>
              <w:keepNext/>
              <w:ind w:left="-249"/>
              <w:jc w:val="center"/>
              <w:cnfStyle w:val="000000000000" w:firstRow="0" w:lastRow="0" w:firstColumn="0" w:lastColumn="0" w:oddVBand="0" w:evenVBand="0" w:oddHBand="0" w:evenHBand="0" w:firstRowFirstColumn="0" w:firstRowLastColumn="0" w:lastRowFirstColumn="0" w:lastRowLastColumn="0"/>
            </w:pPr>
            <w:r w:rsidRPr="00C15CFF">
              <w:t>274</w:t>
            </w:r>
          </w:p>
        </w:tc>
        <w:tc>
          <w:tcPr>
            <w:tcW w:w="1772" w:type="dxa"/>
            <w:tcBorders>
              <w:right w:val="nil"/>
            </w:tcBorders>
          </w:tcPr>
          <w:p w14:paraId="59A8FD24" w14:textId="77777777" w:rsidR="006F2BB8" w:rsidRPr="00C15CFF" w:rsidRDefault="006F2BB8" w:rsidP="00DD39ED">
            <w:pPr>
              <w:pStyle w:val="10Tabletext"/>
              <w:keepNext/>
              <w:ind w:left="-249"/>
              <w:jc w:val="center"/>
              <w:cnfStyle w:val="000000000000" w:firstRow="0" w:lastRow="0" w:firstColumn="0" w:lastColumn="0" w:oddVBand="0" w:evenVBand="0" w:oddHBand="0" w:evenHBand="0" w:firstRowFirstColumn="0" w:firstRowLastColumn="0" w:lastRowFirstColumn="0" w:lastRowLastColumn="0"/>
            </w:pPr>
            <w:r w:rsidRPr="00C15CFF">
              <w:t>52</w:t>
            </w:r>
          </w:p>
        </w:tc>
      </w:tr>
      <w:tr w:rsidR="006F2BB8" w:rsidRPr="006F2BB8" w14:paraId="34018FB6" w14:textId="77777777" w:rsidTr="00DD39E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13875C82" w14:textId="77777777" w:rsidR="006F2BB8" w:rsidRPr="00C15CFF" w:rsidRDefault="006F2BB8" w:rsidP="006C2935">
            <w:pPr>
              <w:pStyle w:val="10Tabletext"/>
              <w:keepNext/>
            </w:pPr>
            <w:r w:rsidRPr="00C15CFF">
              <w:t>SES-2</w:t>
            </w:r>
          </w:p>
        </w:tc>
        <w:tc>
          <w:tcPr>
            <w:tcW w:w="1771" w:type="dxa"/>
          </w:tcPr>
          <w:p w14:paraId="4AF4AB7C" w14:textId="20809009" w:rsidR="006F2BB8" w:rsidRPr="00C15CFF" w:rsidRDefault="006F2BB8" w:rsidP="00DD39ED">
            <w:pPr>
              <w:pStyle w:val="10Tabletext"/>
              <w:keepNext/>
              <w:ind w:left="-249"/>
              <w:jc w:val="center"/>
              <w:cnfStyle w:val="000000100000" w:firstRow="0" w:lastRow="0" w:firstColumn="0" w:lastColumn="0" w:oddVBand="0" w:evenVBand="0" w:oddHBand="1" w:evenHBand="0" w:firstRowFirstColumn="0" w:firstRowLastColumn="0" w:lastRowFirstColumn="0" w:lastRowLastColumn="0"/>
            </w:pPr>
            <w:r w:rsidRPr="00C15CFF">
              <w:t>215</w:t>
            </w:r>
          </w:p>
        </w:tc>
        <w:tc>
          <w:tcPr>
            <w:tcW w:w="1772" w:type="dxa"/>
            <w:tcBorders>
              <w:right w:val="nil"/>
            </w:tcBorders>
          </w:tcPr>
          <w:p w14:paraId="2763A018" w14:textId="77777777" w:rsidR="006F2BB8" w:rsidRPr="00C15CFF" w:rsidRDefault="006F2BB8" w:rsidP="00DD39ED">
            <w:pPr>
              <w:pStyle w:val="10Tabletext"/>
              <w:keepNext/>
              <w:ind w:left="-249"/>
              <w:jc w:val="center"/>
              <w:cnfStyle w:val="000000100000" w:firstRow="0" w:lastRow="0" w:firstColumn="0" w:lastColumn="0" w:oddVBand="0" w:evenVBand="0" w:oddHBand="1" w:evenHBand="0" w:firstRowFirstColumn="0" w:firstRowLastColumn="0" w:lastRowFirstColumn="0" w:lastRowLastColumn="0"/>
            </w:pPr>
            <w:r w:rsidRPr="00C15CFF">
              <w:t>41</w:t>
            </w:r>
          </w:p>
        </w:tc>
      </w:tr>
      <w:tr w:rsidR="006F2BB8" w:rsidRPr="006F2BB8" w14:paraId="3D14866C" w14:textId="77777777" w:rsidTr="00DD39ED">
        <w:trPr>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3AF30E89" w14:textId="77777777" w:rsidR="006F2BB8" w:rsidRPr="00C15CFF" w:rsidRDefault="006F2BB8" w:rsidP="006C2935">
            <w:pPr>
              <w:pStyle w:val="10Tabletext"/>
              <w:keepNext/>
            </w:pPr>
            <w:r w:rsidRPr="00C15CFF">
              <w:t>SES-3</w:t>
            </w:r>
          </w:p>
        </w:tc>
        <w:tc>
          <w:tcPr>
            <w:tcW w:w="1771" w:type="dxa"/>
          </w:tcPr>
          <w:p w14:paraId="19817A4F" w14:textId="19309A86" w:rsidR="006F2BB8" w:rsidRPr="00C15CFF" w:rsidRDefault="006F2BB8" w:rsidP="00DD39ED">
            <w:pPr>
              <w:pStyle w:val="10Tabletext"/>
              <w:keepNext/>
              <w:ind w:left="-249"/>
              <w:jc w:val="center"/>
              <w:cnfStyle w:val="000000000000" w:firstRow="0" w:lastRow="0" w:firstColumn="0" w:lastColumn="0" w:oddVBand="0" w:evenVBand="0" w:oddHBand="0" w:evenHBand="0" w:firstRowFirstColumn="0" w:firstRowLastColumn="0" w:lastRowFirstColumn="0" w:lastRowLastColumn="0"/>
            </w:pPr>
            <w:r w:rsidRPr="00C15CFF">
              <w:t>37</w:t>
            </w:r>
          </w:p>
        </w:tc>
        <w:tc>
          <w:tcPr>
            <w:tcW w:w="1772" w:type="dxa"/>
            <w:tcBorders>
              <w:right w:val="nil"/>
            </w:tcBorders>
          </w:tcPr>
          <w:p w14:paraId="173DE8B1" w14:textId="77777777" w:rsidR="006F2BB8" w:rsidRPr="00C15CFF" w:rsidRDefault="006F2BB8" w:rsidP="00DD39ED">
            <w:pPr>
              <w:pStyle w:val="10Tabletext"/>
              <w:keepNext/>
              <w:ind w:left="-249"/>
              <w:jc w:val="center"/>
              <w:cnfStyle w:val="000000000000" w:firstRow="0" w:lastRow="0" w:firstColumn="0" w:lastColumn="0" w:oddVBand="0" w:evenVBand="0" w:oddHBand="0" w:evenHBand="0" w:firstRowFirstColumn="0" w:firstRowLastColumn="0" w:lastRowFirstColumn="0" w:lastRowLastColumn="0"/>
            </w:pPr>
            <w:r w:rsidRPr="00C15CFF">
              <w:t>7</w:t>
            </w:r>
          </w:p>
        </w:tc>
      </w:tr>
      <w:tr w:rsidR="006F2BB8" w:rsidRPr="006F2BB8" w14:paraId="1D9D7C0B" w14:textId="77777777" w:rsidTr="00DD39E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5775B8F2" w14:textId="77777777" w:rsidR="006F2BB8" w:rsidRPr="00C15CFF" w:rsidRDefault="006F2BB8" w:rsidP="006C2935">
            <w:pPr>
              <w:pStyle w:val="10Tabletext"/>
              <w:keepNext/>
            </w:pPr>
            <w:r w:rsidRPr="00C15CFF">
              <w:t>AO Head-3</w:t>
            </w:r>
          </w:p>
        </w:tc>
        <w:tc>
          <w:tcPr>
            <w:tcW w:w="1771" w:type="dxa"/>
          </w:tcPr>
          <w:p w14:paraId="5A450257" w14:textId="6B29B7C3" w:rsidR="006F2BB8" w:rsidRPr="00C15CFF" w:rsidRDefault="006F2BB8" w:rsidP="00DD39ED">
            <w:pPr>
              <w:pStyle w:val="10Tabletext"/>
              <w:keepNext/>
              <w:ind w:left="-249"/>
              <w:jc w:val="center"/>
              <w:cnfStyle w:val="000000100000" w:firstRow="0" w:lastRow="0" w:firstColumn="0" w:lastColumn="0" w:oddVBand="0" w:evenVBand="0" w:oddHBand="1" w:evenHBand="0" w:firstRowFirstColumn="0" w:firstRowLastColumn="0" w:lastRowFirstColumn="0" w:lastRowLastColumn="0"/>
            </w:pPr>
            <w:r w:rsidRPr="00C15CFF">
              <w:t>3</w:t>
            </w:r>
          </w:p>
        </w:tc>
        <w:tc>
          <w:tcPr>
            <w:tcW w:w="1772" w:type="dxa"/>
            <w:tcBorders>
              <w:right w:val="nil"/>
            </w:tcBorders>
          </w:tcPr>
          <w:p w14:paraId="2477A90F" w14:textId="77777777" w:rsidR="006F2BB8" w:rsidRPr="00C15CFF" w:rsidRDefault="006F2BB8" w:rsidP="00DD39ED">
            <w:pPr>
              <w:pStyle w:val="10Tabletext"/>
              <w:keepNext/>
              <w:ind w:left="-249"/>
              <w:jc w:val="center"/>
              <w:cnfStyle w:val="000000100000" w:firstRow="0" w:lastRow="0" w:firstColumn="0" w:lastColumn="0" w:oddVBand="0" w:evenVBand="0" w:oddHBand="1" w:evenHBand="0" w:firstRowFirstColumn="0" w:firstRowLastColumn="0" w:lastRowFirstColumn="0" w:lastRowLastColumn="0"/>
            </w:pPr>
            <w:r w:rsidRPr="00C15CFF">
              <w:t>1</w:t>
            </w:r>
          </w:p>
        </w:tc>
      </w:tr>
      <w:tr w:rsidR="006F2BB8" w:rsidRPr="006F2BB8" w14:paraId="431EF20B" w14:textId="77777777" w:rsidTr="00DD39ED">
        <w:trPr>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3DAC726F" w14:textId="77777777" w:rsidR="006F2BB8" w:rsidRPr="00C15CFF" w:rsidRDefault="006F2BB8" w:rsidP="006C2935">
            <w:pPr>
              <w:pStyle w:val="10Tabletext"/>
              <w:keepNext/>
            </w:pPr>
            <w:r w:rsidRPr="00C15CFF">
              <w:t>AO Head-2</w:t>
            </w:r>
          </w:p>
        </w:tc>
        <w:tc>
          <w:tcPr>
            <w:tcW w:w="1771" w:type="dxa"/>
          </w:tcPr>
          <w:p w14:paraId="1BAEEE42" w14:textId="7351D958" w:rsidR="006F2BB8" w:rsidRPr="00C15CFF" w:rsidRDefault="006F2BB8" w:rsidP="00DD39ED">
            <w:pPr>
              <w:pStyle w:val="10Tabletext"/>
              <w:keepNext/>
              <w:ind w:left="-249"/>
              <w:jc w:val="center"/>
              <w:cnfStyle w:val="000000000000" w:firstRow="0" w:lastRow="0" w:firstColumn="0" w:lastColumn="0" w:oddVBand="0" w:evenVBand="0" w:oddHBand="0" w:evenHBand="0" w:firstRowFirstColumn="0" w:firstRowLastColumn="0" w:lastRowFirstColumn="0" w:lastRowLastColumn="0"/>
            </w:pPr>
            <w:r w:rsidRPr="00C15CFF">
              <w:t>1</w:t>
            </w:r>
          </w:p>
        </w:tc>
        <w:tc>
          <w:tcPr>
            <w:tcW w:w="1772" w:type="dxa"/>
            <w:tcBorders>
              <w:right w:val="nil"/>
            </w:tcBorders>
          </w:tcPr>
          <w:p w14:paraId="20F71CF7" w14:textId="77777777" w:rsidR="006F2BB8" w:rsidRPr="00C15CFF" w:rsidRDefault="006F2BB8" w:rsidP="00DD39ED">
            <w:pPr>
              <w:pStyle w:val="10Tabletext"/>
              <w:keepNext/>
              <w:ind w:left="-249"/>
              <w:jc w:val="center"/>
              <w:cnfStyle w:val="000000000000" w:firstRow="0" w:lastRow="0" w:firstColumn="0" w:lastColumn="0" w:oddVBand="0" w:evenVBand="0" w:oddHBand="0" w:evenHBand="0" w:firstRowFirstColumn="0" w:firstRowLastColumn="0" w:lastRowFirstColumn="0" w:lastRowLastColumn="0"/>
            </w:pPr>
            <w:r w:rsidRPr="00C15CFF">
              <w:t>&lt;1</w:t>
            </w:r>
          </w:p>
        </w:tc>
      </w:tr>
      <w:tr w:rsidR="006F2BB8" w:rsidRPr="006F2BB8" w14:paraId="737CB307" w14:textId="77777777" w:rsidTr="00DD39E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15386052" w14:textId="77777777" w:rsidR="006F2BB8" w:rsidRPr="00C15CFF" w:rsidRDefault="006F2BB8" w:rsidP="006C2935">
            <w:pPr>
              <w:pStyle w:val="10Tabletext"/>
              <w:keepNext/>
            </w:pPr>
            <w:r w:rsidRPr="00C15CFF">
              <w:t>AO Head-1</w:t>
            </w:r>
          </w:p>
        </w:tc>
        <w:tc>
          <w:tcPr>
            <w:tcW w:w="1771" w:type="dxa"/>
          </w:tcPr>
          <w:p w14:paraId="2ED3F8D7" w14:textId="77777777" w:rsidR="006F2BB8" w:rsidRPr="00C15CFF" w:rsidRDefault="006F2BB8" w:rsidP="00DD39ED">
            <w:pPr>
              <w:pStyle w:val="10Tabletext"/>
              <w:keepNext/>
              <w:ind w:left="-249"/>
              <w:jc w:val="center"/>
              <w:cnfStyle w:val="000000100000" w:firstRow="0" w:lastRow="0" w:firstColumn="0" w:lastColumn="0" w:oddVBand="0" w:evenVBand="0" w:oddHBand="1" w:evenHBand="0" w:firstRowFirstColumn="0" w:firstRowLastColumn="0" w:lastRowFirstColumn="0" w:lastRowLastColumn="0"/>
            </w:pPr>
            <w:r w:rsidRPr="00C15CFF">
              <w:t>0</w:t>
            </w:r>
          </w:p>
        </w:tc>
        <w:tc>
          <w:tcPr>
            <w:tcW w:w="1772" w:type="dxa"/>
            <w:tcBorders>
              <w:right w:val="nil"/>
            </w:tcBorders>
          </w:tcPr>
          <w:p w14:paraId="14FE1BC9" w14:textId="77777777" w:rsidR="006F2BB8" w:rsidRPr="00C15CFF" w:rsidRDefault="006F2BB8" w:rsidP="00DD39ED">
            <w:pPr>
              <w:pStyle w:val="10Tabletext"/>
              <w:keepNext/>
              <w:ind w:left="-249"/>
              <w:jc w:val="center"/>
              <w:cnfStyle w:val="000000100000" w:firstRow="0" w:lastRow="0" w:firstColumn="0" w:lastColumn="0" w:oddVBand="0" w:evenVBand="0" w:oddHBand="1" w:evenHBand="0" w:firstRowFirstColumn="0" w:firstRowLastColumn="0" w:lastRowFirstColumn="0" w:lastRowLastColumn="0"/>
            </w:pPr>
            <w:r w:rsidRPr="00C15CFF">
              <w:t>0</w:t>
            </w:r>
          </w:p>
        </w:tc>
      </w:tr>
      <w:tr w:rsidR="006F2BB8" w:rsidRPr="006F2BB8" w14:paraId="74731CB9" w14:textId="77777777" w:rsidTr="00DD39ED">
        <w:trPr>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11ECF88D" w14:textId="77777777" w:rsidR="006F2BB8" w:rsidRPr="00C15CFF" w:rsidRDefault="006F2BB8" w:rsidP="006C2935">
            <w:pPr>
              <w:pStyle w:val="10Tabletext"/>
              <w:keepNext/>
            </w:pPr>
            <w:r w:rsidRPr="00C15CFF">
              <w:t>Total</w:t>
            </w:r>
          </w:p>
        </w:tc>
        <w:tc>
          <w:tcPr>
            <w:tcW w:w="1771" w:type="dxa"/>
          </w:tcPr>
          <w:p w14:paraId="4B07E701" w14:textId="77777777" w:rsidR="006F2BB8" w:rsidRPr="00C15CFF" w:rsidRDefault="006F2BB8" w:rsidP="00DD39ED">
            <w:pPr>
              <w:pStyle w:val="10Tabletext"/>
              <w:keepNext/>
              <w:ind w:left="-249"/>
              <w:jc w:val="center"/>
              <w:cnfStyle w:val="000000000000" w:firstRow="0" w:lastRow="0" w:firstColumn="0" w:lastColumn="0" w:oddVBand="0" w:evenVBand="0" w:oddHBand="0" w:evenHBand="0" w:firstRowFirstColumn="0" w:firstRowLastColumn="0" w:lastRowFirstColumn="0" w:lastRowLastColumn="0"/>
            </w:pPr>
            <w:r w:rsidRPr="00C15CFF">
              <w:t>530</w:t>
            </w:r>
          </w:p>
        </w:tc>
        <w:tc>
          <w:tcPr>
            <w:tcW w:w="1772" w:type="dxa"/>
            <w:tcBorders>
              <w:right w:val="nil"/>
            </w:tcBorders>
          </w:tcPr>
          <w:p w14:paraId="0935EA88" w14:textId="77777777" w:rsidR="006F2BB8" w:rsidRPr="00C15CFF" w:rsidRDefault="006F2BB8" w:rsidP="00DD39ED">
            <w:pPr>
              <w:pStyle w:val="10Tabletext"/>
              <w:keepNext/>
              <w:ind w:left="-249"/>
              <w:jc w:val="center"/>
              <w:cnfStyle w:val="000000000000" w:firstRow="0" w:lastRow="0" w:firstColumn="0" w:lastColumn="0" w:oddVBand="0" w:evenVBand="0" w:oddHBand="0" w:evenHBand="0" w:firstRowFirstColumn="0" w:firstRowLastColumn="0" w:lastRowFirstColumn="0" w:lastRowLastColumn="0"/>
            </w:pPr>
          </w:p>
        </w:tc>
      </w:tr>
    </w:tbl>
    <w:p w14:paraId="5D23E139" w14:textId="11C4F006" w:rsidR="00811A75" w:rsidRDefault="00811A75" w:rsidP="00E5539D">
      <w:pPr>
        <w:pStyle w:val="09Sourcesandnotesfortablesfiguresboxes"/>
      </w:pPr>
      <w:r>
        <w:t xml:space="preserve">Note: </w:t>
      </w:r>
      <w:r w:rsidR="00FD72CD">
        <w:t>The percentages in this table exceed 100</w:t>
      </w:r>
      <w:r w:rsidR="000F0A7C">
        <w:t xml:space="preserve"> per cent</w:t>
      </w:r>
      <w:r w:rsidR="00FD72CD">
        <w:t xml:space="preserve"> due to the rounding of individual percentages to the nearest whole number</w:t>
      </w:r>
      <w:r w:rsidR="00005AAC">
        <w:t>.</w:t>
      </w:r>
    </w:p>
    <w:p w14:paraId="7F21E3AF" w14:textId="300579F1" w:rsidR="006F2BB8" w:rsidRPr="006F2BB8" w:rsidRDefault="006F2BB8" w:rsidP="006A3A46">
      <w:pPr>
        <w:pStyle w:val="05Paragraph"/>
      </w:pPr>
      <w:r w:rsidRPr="006F2BB8">
        <w:t>More than one quarter of respondents worked in policy and strategy, while</w:t>
      </w:r>
      <w:r w:rsidRPr="006F2BB8" w:rsidDel="0094777C">
        <w:t xml:space="preserve"> </w:t>
      </w:r>
      <w:r w:rsidRPr="006F2BB8">
        <w:t>nearly one-fifth of respondents worked in project and program management. Together these two cohorts accounted for 45 per cent of respondents (Table A.2).</w:t>
      </w:r>
    </w:p>
    <w:p w14:paraId="5228A1CA" w14:textId="77777777" w:rsidR="006F2BB8" w:rsidRPr="006F2BB8" w:rsidRDefault="006F2BB8" w:rsidP="00144BE8">
      <w:pPr>
        <w:pStyle w:val="08Figuretableboxheading"/>
      </w:pPr>
      <w:bookmarkStart w:id="179" w:name="_Toc170393581"/>
      <w:r w:rsidRPr="006F2BB8">
        <w:t>Table A.2: Which of these best describes the type of work you do day-to-day?</w:t>
      </w:r>
      <w:bookmarkEnd w:id="179"/>
    </w:p>
    <w:tbl>
      <w:tblPr>
        <w:tblStyle w:val="ListTable3-Accent1"/>
        <w:tblW w:w="0" w:type="auto"/>
        <w:tblLayout w:type="fixed"/>
        <w:tblLook w:val="04A0" w:firstRow="1" w:lastRow="0" w:firstColumn="1" w:lastColumn="0" w:noHBand="0" w:noVBand="1"/>
      </w:tblPr>
      <w:tblGrid>
        <w:gridCol w:w="4820"/>
        <w:gridCol w:w="1837"/>
        <w:gridCol w:w="1837"/>
      </w:tblGrid>
      <w:tr w:rsidR="006F2BB8" w:rsidRPr="006F2BB8" w14:paraId="1DC0E8FA" w14:textId="77777777" w:rsidTr="00992CF0">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4820" w:type="dxa"/>
            <w:tcBorders>
              <w:top w:val="single" w:sz="4" w:space="0" w:color="26664E"/>
              <w:left w:val="nil"/>
              <w:bottom w:val="single" w:sz="4" w:space="0" w:color="148A5D"/>
              <w:right w:val="single" w:sz="4" w:space="0" w:color="148A5D"/>
            </w:tcBorders>
            <w:shd w:val="clear" w:color="auto" w:fill="148A5D"/>
          </w:tcPr>
          <w:p w14:paraId="7BD3ADE7" w14:textId="77777777" w:rsidR="006F2BB8" w:rsidRPr="00E5539D" w:rsidRDefault="006F2BB8" w:rsidP="00E5539D">
            <w:pPr>
              <w:pStyle w:val="10Tabletext"/>
            </w:pPr>
            <w:r w:rsidRPr="00E5539D">
              <w:t>Answer choices</w:t>
            </w:r>
          </w:p>
        </w:tc>
        <w:tc>
          <w:tcPr>
            <w:tcW w:w="3674" w:type="dxa"/>
            <w:gridSpan w:val="2"/>
            <w:tcBorders>
              <w:top w:val="single" w:sz="4" w:space="0" w:color="26664E"/>
              <w:left w:val="single" w:sz="4" w:space="0" w:color="148A5D"/>
              <w:bottom w:val="single" w:sz="4" w:space="0" w:color="148A5D"/>
              <w:right w:val="nil"/>
            </w:tcBorders>
            <w:shd w:val="clear" w:color="auto" w:fill="148A5D"/>
          </w:tcPr>
          <w:p w14:paraId="02C369DD" w14:textId="77777777" w:rsidR="006F2BB8" w:rsidRPr="00E5539D" w:rsidRDefault="006F2BB8" w:rsidP="00DD39ED">
            <w:pPr>
              <w:pStyle w:val="10Tabletext"/>
              <w:ind w:left="-110"/>
              <w:jc w:val="center"/>
              <w:cnfStyle w:val="100000000000" w:firstRow="1" w:lastRow="0" w:firstColumn="0" w:lastColumn="0" w:oddVBand="0" w:evenVBand="0" w:oddHBand="0" w:evenHBand="0" w:firstRowFirstColumn="0" w:firstRowLastColumn="0" w:lastRowFirstColumn="0" w:lastRowLastColumn="0"/>
            </w:pPr>
            <w:r w:rsidRPr="00E5539D">
              <w:t>Responses</w:t>
            </w:r>
          </w:p>
        </w:tc>
      </w:tr>
      <w:tr w:rsidR="006F2BB8" w:rsidRPr="006F2BB8" w14:paraId="0ADC6970" w14:textId="77777777" w:rsidTr="00DD39E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148A5D"/>
              <w:left w:val="nil"/>
              <w:right w:val="single" w:sz="4" w:space="0" w:color="148A5D"/>
            </w:tcBorders>
            <w:shd w:val="clear" w:color="auto" w:fill="148A5D"/>
          </w:tcPr>
          <w:p w14:paraId="0CB68050" w14:textId="77777777" w:rsidR="006F2BB8" w:rsidRPr="00E5539D" w:rsidRDefault="006F2BB8" w:rsidP="00E5539D">
            <w:pPr>
              <w:pStyle w:val="10Tabletext"/>
              <w:rPr>
                <w:color w:val="FFFFFF" w:themeColor="background1"/>
                <w:szCs w:val="24"/>
              </w:rPr>
            </w:pPr>
          </w:p>
        </w:tc>
        <w:tc>
          <w:tcPr>
            <w:tcW w:w="1837" w:type="dxa"/>
            <w:tcBorders>
              <w:top w:val="single" w:sz="4" w:space="0" w:color="148A5D"/>
              <w:left w:val="single" w:sz="4" w:space="0" w:color="148A5D"/>
              <w:right w:val="single" w:sz="4" w:space="0" w:color="148A5D"/>
            </w:tcBorders>
            <w:shd w:val="clear" w:color="auto" w:fill="148A5D"/>
          </w:tcPr>
          <w:p w14:paraId="50653E19" w14:textId="77777777" w:rsidR="006F2BB8" w:rsidRPr="00E5539D" w:rsidRDefault="006F2BB8" w:rsidP="00DD39ED">
            <w:pPr>
              <w:pStyle w:val="10Tabletext"/>
              <w:ind w:left="-110"/>
              <w:jc w:val="center"/>
              <w:cnfStyle w:val="000000100000" w:firstRow="0" w:lastRow="0" w:firstColumn="0" w:lastColumn="0" w:oddVBand="0" w:evenVBand="0" w:oddHBand="1" w:evenHBand="0" w:firstRowFirstColumn="0" w:firstRowLastColumn="0" w:lastRowFirstColumn="0" w:lastRowLastColumn="0"/>
              <w:rPr>
                <w:b/>
                <w:bCs w:val="0"/>
                <w:color w:val="FFFFFF" w:themeColor="background1"/>
                <w:szCs w:val="24"/>
              </w:rPr>
            </w:pPr>
            <w:r w:rsidRPr="00E5539D">
              <w:rPr>
                <w:b/>
                <w:bCs w:val="0"/>
                <w:color w:val="FFFFFF" w:themeColor="background1"/>
                <w:szCs w:val="24"/>
              </w:rPr>
              <w:t>Number</w:t>
            </w:r>
          </w:p>
        </w:tc>
        <w:tc>
          <w:tcPr>
            <w:tcW w:w="1837" w:type="dxa"/>
            <w:tcBorders>
              <w:top w:val="single" w:sz="4" w:space="0" w:color="148A5D"/>
              <w:left w:val="single" w:sz="4" w:space="0" w:color="148A5D"/>
              <w:right w:val="nil"/>
            </w:tcBorders>
            <w:shd w:val="clear" w:color="auto" w:fill="148A5D"/>
          </w:tcPr>
          <w:p w14:paraId="570C3865" w14:textId="77777777" w:rsidR="006F2BB8" w:rsidRPr="00E5539D" w:rsidRDefault="006F2BB8" w:rsidP="00DD39ED">
            <w:pPr>
              <w:pStyle w:val="10Tabletext"/>
              <w:ind w:left="-110"/>
              <w:jc w:val="center"/>
              <w:cnfStyle w:val="000000100000" w:firstRow="0" w:lastRow="0" w:firstColumn="0" w:lastColumn="0" w:oddVBand="0" w:evenVBand="0" w:oddHBand="1" w:evenHBand="0" w:firstRowFirstColumn="0" w:firstRowLastColumn="0" w:lastRowFirstColumn="0" w:lastRowLastColumn="0"/>
              <w:rPr>
                <w:b/>
                <w:bCs w:val="0"/>
                <w:color w:val="FFFFFF" w:themeColor="background1"/>
                <w:szCs w:val="24"/>
              </w:rPr>
            </w:pPr>
            <w:r w:rsidRPr="00E5539D">
              <w:rPr>
                <w:b/>
                <w:bCs w:val="0"/>
                <w:color w:val="FFFFFF" w:themeColor="background1"/>
                <w:szCs w:val="24"/>
              </w:rPr>
              <w:t>%</w:t>
            </w:r>
          </w:p>
        </w:tc>
      </w:tr>
      <w:tr w:rsidR="006F2BB8" w:rsidRPr="006F2BB8" w14:paraId="7282C1C0" w14:textId="77777777" w:rsidTr="00DD39ED">
        <w:trPr>
          <w:cantSplit/>
        </w:trPr>
        <w:tc>
          <w:tcPr>
            <w:cnfStyle w:val="001000000000" w:firstRow="0" w:lastRow="0" w:firstColumn="1" w:lastColumn="0" w:oddVBand="0" w:evenVBand="0" w:oddHBand="0" w:evenHBand="0" w:firstRowFirstColumn="0" w:firstRowLastColumn="0" w:lastRowFirstColumn="0" w:lastRowLastColumn="0"/>
            <w:tcW w:w="4820" w:type="dxa"/>
            <w:tcBorders>
              <w:left w:val="nil"/>
            </w:tcBorders>
          </w:tcPr>
          <w:p w14:paraId="44C5B2FF" w14:textId="77777777" w:rsidR="006F2BB8" w:rsidRPr="00E5539D" w:rsidRDefault="006F2BB8" w:rsidP="00E5539D">
            <w:pPr>
              <w:pStyle w:val="10Tabletext"/>
            </w:pPr>
            <w:r w:rsidRPr="00E5539D">
              <w:t>Policy and strategy</w:t>
            </w:r>
          </w:p>
        </w:tc>
        <w:tc>
          <w:tcPr>
            <w:tcW w:w="1837" w:type="dxa"/>
          </w:tcPr>
          <w:p w14:paraId="6F70BB26" w14:textId="77777777" w:rsidR="006F2BB8" w:rsidRPr="00E5539D" w:rsidRDefault="006F2BB8" w:rsidP="00DD39ED">
            <w:pPr>
              <w:pStyle w:val="10Tabletext"/>
              <w:ind w:left="-110"/>
              <w:jc w:val="center"/>
              <w:cnfStyle w:val="000000000000" w:firstRow="0" w:lastRow="0" w:firstColumn="0" w:lastColumn="0" w:oddVBand="0" w:evenVBand="0" w:oddHBand="0" w:evenHBand="0" w:firstRowFirstColumn="0" w:firstRowLastColumn="0" w:lastRowFirstColumn="0" w:lastRowLastColumn="0"/>
            </w:pPr>
            <w:r w:rsidRPr="00E5539D">
              <w:t>140</w:t>
            </w:r>
          </w:p>
        </w:tc>
        <w:tc>
          <w:tcPr>
            <w:tcW w:w="1837" w:type="dxa"/>
            <w:tcBorders>
              <w:right w:val="nil"/>
            </w:tcBorders>
          </w:tcPr>
          <w:p w14:paraId="52C88AD4" w14:textId="77777777" w:rsidR="006F2BB8" w:rsidRPr="00E5539D" w:rsidRDefault="006F2BB8" w:rsidP="00DD39ED">
            <w:pPr>
              <w:pStyle w:val="10Tabletext"/>
              <w:ind w:left="-110"/>
              <w:jc w:val="center"/>
              <w:cnfStyle w:val="000000000000" w:firstRow="0" w:lastRow="0" w:firstColumn="0" w:lastColumn="0" w:oddVBand="0" w:evenVBand="0" w:oddHBand="0" w:evenHBand="0" w:firstRowFirstColumn="0" w:firstRowLastColumn="0" w:lastRowFirstColumn="0" w:lastRowLastColumn="0"/>
            </w:pPr>
            <w:r w:rsidRPr="00E5539D">
              <w:t>26</w:t>
            </w:r>
          </w:p>
        </w:tc>
      </w:tr>
      <w:tr w:rsidR="006F2BB8" w:rsidRPr="006F2BB8" w14:paraId="75A2CAB2" w14:textId="77777777" w:rsidTr="00DD39E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20" w:type="dxa"/>
            <w:tcBorders>
              <w:left w:val="nil"/>
            </w:tcBorders>
          </w:tcPr>
          <w:p w14:paraId="1D4FE1AE" w14:textId="77777777" w:rsidR="006F2BB8" w:rsidRPr="00E5539D" w:rsidRDefault="006F2BB8" w:rsidP="00E5539D">
            <w:pPr>
              <w:pStyle w:val="10Tabletext"/>
            </w:pPr>
            <w:r w:rsidRPr="00E5539D">
              <w:t>Project and program management</w:t>
            </w:r>
          </w:p>
        </w:tc>
        <w:tc>
          <w:tcPr>
            <w:tcW w:w="1837" w:type="dxa"/>
          </w:tcPr>
          <w:p w14:paraId="1C919EAA" w14:textId="77777777" w:rsidR="006F2BB8" w:rsidRPr="00E5539D" w:rsidRDefault="006F2BB8" w:rsidP="00DD39ED">
            <w:pPr>
              <w:pStyle w:val="10Tabletext"/>
              <w:ind w:left="-110"/>
              <w:jc w:val="center"/>
              <w:cnfStyle w:val="000000100000" w:firstRow="0" w:lastRow="0" w:firstColumn="0" w:lastColumn="0" w:oddVBand="0" w:evenVBand="0" w:oddHBand="1" w:evenHBand="0" w:firstRowFirstColumn="0" w:firstRowLastColumn="0" w:lastRowFirstColumn="0" w:lastRowLastColumn="0"/>
            </w:pPr>
            <w:r w:rsidRPr="00E5539D">
              <w:t>99</w:t>
            </w:r>
          </w:p>
        </w:tc>
        <w:tc>
          <w:tcPr>
            <w:tcW w:w="1837" w:type="dxa"/>
            <w:tcBorders>
              <w:right w:val="nil"/>
            </w:tcBorders>
          </w:tcPr>
          <w:p w14:paraId="19809A0E" w14:textId="77777777" w:rsidR="006F2BB8" w:rsidRPr="00E5539D" w:rsidRDefault="006F2BB8" w:rsidP="00DD39ED">
            <w:pPr>
              <w:pStyle w:val="10Tabletext"/>
              <w:ind w:left="-110"/>
              <w:jc w:val="center"/>
              <w:cnfStyle w:val="000000100000" w:firstRow="0" w:lastRow="0" w:firstColumn="0" w:lastColumn="0" w:oddVBand="0" w:evenVBand="0" w:oddHBand="1" w:evenHBand="0" w:firstRowFirstColumn="0" w:firstRowLastColumn="0" w:lastRowFirstColumn="0" w:lastRowLastColumn="0"/>
            </w:pPr>
            <w:r w:rsidRPr="00E5539D">
              <w:t>19</w:t>
            </w:r>
          </w:p>
        </w:tc>
      </w:tr>
      <w:tr w:rsidR="006F2BB8" w:rsidRPr="006F2BB8" w14:paraId="70A62789" w14:textId="77777777" w:rsidTr="00DD39ED">
        <w:trPr>
          <w:cantSplit/>
        </w:trPr>
        <w:tc>
          <w:tcPr>
            <w:cnfStyle w:val="001000000000" w:firstRow="0" w:lastRow="0" w:firstColumn="1" w:lastColumn="0" w:oddVBand="0" w:evenVBand="0" w:oddHBand="0" w:evenHBand="0" w:firstRowFirstColumn="0" w:firstRowLastColumn="0" w:lastRowFirstColumn="0" w:lastRowLastColumn="0"/>
            <w:tcW w:w="4820" w:type="dxa"/>
            <w:tcBorders>
              <w:left w:val="nil"/>
            </w:tcBorders>
          </w:tcPr>
          <w:p w14:paraId="0147170A" w14:textId="77777777" w:rsidR="006F2BB8" w:rsidRPr="00E5539D" w:rsidRDefault="006F2BB8" w:rsidP="00E5539D">
            <w:pPr>
              <w:pStyle w:val="10Tabletext"/>
            </w:pPr>
            <w:r w:rsidRPr="00E5539D">
              <w:t>Regulation, governance and risk</w:t>
            </w:r>
          </w:p>
        </w:tc>
        <w:tc>
          <w:tcPr>
            <w:tcW w:w="1837" w:type="dxa"/>
          </w:tcPr>
          <w:p w14:paraId="1F4B7E3A" w14:textId="77777777" w:rsidR="006F2BB8" w:rsidRPr="00E5539D" w:rsidRDefault="006F2BB8" w:rsidP="00DD39ED">
            <w:pPr>
              <w:pStyle w:val="10Tabletext"/>
              <w:ind w:left="-110"/>
              <w:jc w:val="center"/>
              <w:cnfStyle w:val="000000000000" w:firstRow="0" w:lastRow="0" w:firstColumn="0" w:lastColumn="0" w:oddVBand="0" w:evenVBand="0" w:oddHBand="0" w:evenHBand="0" w:firstRowFirstColumn="0" w:firstRowLastColumn="0" w:lastRowFirstColumn="0" w:lastRowLastColumn="0"/>
            </w:pPr>
            <w:r w:rsidRPr="00E5539D">
              <w:t>32</w:t>
            </w:r>
          </w:p>
        </w:tc>
        <w:tc>
          <w:tcPr>
            <w:tcW w:w="1837" w:type="dxa"/>
            <w:tcBorders>
              <w:right w:val="nil"/>
            </w:tcBorders>
          </w:tcPr>
          <w:p w14:paraId="2E363543" w14:textId="77777777" w:rsidR="006F2BB8" w:rsidRPr="00E5539D" w:rsidRDefault="006F2BB8" w:rsidP="00DD39ED">
            <w:pPr>
              <w:pStyle w:val="10Tabletext"/>
              <w:ind w:left="-110"/>
              <w:jc w:val="center"/>
              <w:cnfStyle w:val="000000000000" w:firstRow="0" w:lastRow="0" w:firstColumn="0" w:lastColumn="0" w:oddVBand="0" w:evenVBand="0" w:oddHBand="0" w:evenHBand="0" w:firstRowFirstColumn="0" w:firstRowLastColumn="0" w:lastRowFirstColumn="0" w:lastRowLastColumn="0"/>
            </w:pPr>
            <w:r w:rsidRPr="00E5539D">
              <w:t>6</w:t>
            </w:r>
          </w:p>
        </w:tc>
      </w:tr>
      <w:tr w:rsidR="006F2BB8" w:rsidRPr="006F2BB8" w14:paraId="059BE053" w14:textId="77777777" w:rsidTr="00DD39E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20" w:type="dxa"/>
            <w:tcBorders>
              <w:left w:val="nil"/>
            </w:tcBorders>
          </w:tcPr>
          <w:p w14:paraId="3147B34F" w14:textId="77777777" w:rsidR="006F2BB8" w:rsidRPr="00E5539D" w:rsidRDefault="006F2BB8" w:rsidP="00E5539D">
            <w:pPr>
              <w:pStyle w:val="10Tabletext"/>
            </w:pPr>
            <w:r w:rsidRPr="00E5539D">
              <w:t>Service delivery to the public</w:t>
            </w:r>
          </w:p>
        </w:tc>
        <w:tc>
          <w:tcPr>
            <w:tcW w:w="1837" w:type="dxa"/>
          </w:tcPr>
          <w:p w14:paraId="26B6BB96" w14:textId="77777777" w:rsidR="006F2BB8" w:rsidRPr="00E5539D" w:rsidRDefault="006F2BB8" w:rsidP="00DD39ED">
            <w:pPr>
              <w:pStyle w:val="10Tabletext"/>
              <w:ind w:left="-110"/>
              <w:jc w:val="center"/>
              <w:cnfStyle w:val="000000100000" w:firstRow="0" w:lastRow="0" w:firstColumn="0" w:lastColumn="0" w:oddVBand="0" w:evenVBand="0" w:oddHBand="1" w:evenHBand="0" w:firstRowFirstColumn="0" w:firstRowLastColumn="0" w:lastRowFirstColumn="0" w:lastRowLastColumn="0"/>
            </w:pPr>
            <w:r w:rsidRPr="00E5539D">
              <w:t>27</w:t>
            </w:r>
          </w:p>
        </w:tc>
        <w:tc>
          <w:tcPr>
            <w:tcW w:w="1837" w:type="dxa"/>
            <w:tcBorders>
              <w:right w:val="nil"/>
            </w:tcBorders>
          </w:tcPr>
          <w:p w14:paraId="4B4733D2" w14:textId="77777777" w:rsidR="006F2BB8" w:rsidRPr="00E5539D" w:rsidRDefault="006F2BB8" w:rsidP="00DD39ED">
            <w:pPr>
              <w:pStyle w:val="10Tabletext"/>
              <w:ind w:left="-110"/>
              <w:jc w:val="center"/>
              <w:cnfStyle w:val="000000100000" w:firstRow="0" w:lastRow="0" w:firstColumn="0" w:lastColumn="0" w:oddVBand="0" w:evenVBand="0" w:oddHBand="1" w:evenHBand="0" w:firstRowFirstColumn="0" w:firstRowLastColumn="0" w:lastRowFirstColumn="0" w:lastRowLastColumn="0"/>
            </w:pPr>
            <w:r w:rsidRPr="00E5539D">
              <w:t>5</w:t>
            </w:r>
          </w:p>
        </w:tc>
      </w:tr>
      <w:tr w:rsidR="006F2BB8" w:rsidRPr="006F2BB8" w14:paraId="31DD9D10" w14:textId="77777777" w:rsidTr="00DD39ED">
        <w:trPr>
          <w:cantSplit/>
        </w:trPr>
        <w:tc>
          <w:tcPr>
            <w:cnfStyle w:val="001000000000" w:firstRow="0" w:lastRow="0" w:firstColumn="1" w:lastColumn="0" w:oddVBand="0" w:evenVBand="0" w:oddHBand="0" w:evenHBand="0" w:firstRowFirstColumn="0" w:firstRowLastColumn="0" w:lastRowFirstColumn="0" w:lastRowLastColumn="0"/>
            <w:tcW w:w="4820" w:type="dxa"/>
            <w:tcBorders>
              <w:left w:val="nil"/>
            </w:tcBorders>
          </w:tcPr>
          <w:p w14:paraId="47F98C3F" w14:textId="77777777" w:rsidR="006F2BB8" w:rsidRPr="00E5539D" w:rsidRDefault="006F2BB8" w:rsidP="00E5539D">
            <w:pPr>
              <w:pStyle w:val="10Tabletext"/>
            </w:pPr>
            <w:r w:rsidRPr="00E5539D">
              <w:t>Digital and technology</w:t>
            </w:r>
          </w:p>
        </w:tc>
        <w:tc>
          <w:tcPr>
            <w:tcW w:w="1837" w:type="dxa"/>
          </w:tcPr>
          <w:p w14:paraId="4B861A4A" w14:textId="77777777" w:rsidR="006F2BB8" w:rsidRPr="00E5539D" w:rsidRDefault="006F2BB8" w:rsidP="00DD39ED">
            <w:pPr>
              <w:pStyle w:val="10Tabletext"/>
              <w:ind w:left="-110"/>
              <w:jc w:val="center"/>
              <w:cnfStyle w:val="000000000000" w:firstRow="0" w:lastRow="0" w:firstColumn="0" w:lastColumn="0" w:oddVBand="0" w:evenVBand="0" w:oddHBand="0" w:evenHBand="0" w:firstRowFirstColumn="0" w:firstRowLastColumn="0" w:lastRowFirstColumn="0" w:lastRowLastColumn="0"/>
            </w:pPr>
            <w:r w:rsidRPr="00E5539D">
              <w:t>21</w:t>
            </w:r>
          </w:p>
        </w:tc>
        <w:tc>
          <w:tcPr>
            <w:tcW w:w="1837" w:type="dxa"/>
            <w:tcBorders>
              <w:right w:val="nil"/>
            </w:tcBorders>
          </w:tcPr>
          <w:p w14:paraId="72AB54B5" w14:textId="77777777" w:rsidR="006F2BB8" w:rsidRPr="00E5539D" w:rsidRDefault="006F2BB8" w:rsidP="00DD39ED">
            <w:pPr>
              <w:pStyle w:val="10Tabletext"/>
              <w:ind w:left="-110"/>
              <w:jc w:val="center"/>
              <w:cnfStyle w:val="000000000000" w:firstRow="0" w:lastRow="0" w:firstColumn="0" w:lastColumn="0" w:oddVBand="0" w:evenVBand="0" w:oddHBand="0" w:evenHBand="0" w:firstRowFirstColumn="0" w:firstRowLastColumn="0" w:lastRowFirstColumn="0" w:lastRowLastColumn="0"/>
            </w:pPr>
            <w:r w:rsidRPr="00E5539D">
              <w:t>4</w:t>
            </w:r>
          </w:p>
        </w:tc>
      </w:tr>
      <w:tr w:rsidR="006F2BB8" w:rsidRPr="006F2BB8" w14:paraId="15DDA6FA" w14:textId="77777777" w:rsidTr="00DD39E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20" w:type="dxa"/>
            <w:tcBorders>
              <w:left w:val="nil"/>
            </w:tcBorders>
          </w:tcPr>
          <w:p w14:paraId="1DDF4BA7" w14:textId="77777777" w:rsidR="006F2BB8" w:rsidRPr="00E5539D" w:rsidRDefault="006F2BB8" w:rsidP="008107C6">
            <w:pPr>
              <w:pStyle w:val="10Tabletext"/>
            </w:pPr>
            <w:r w:rsidRPr="00E5539D">
              <w:t>Engineering</w:t>
            </w:r>
          </w:p>
        </w:tc>
        <w:tc>
          <w:tcPr>
            <w:tcW w:w="1837" w:type="dxa"/>
          </w:tcPr>
          <w:p w14:paraId="1A65FB2B" w14:textId="77777777" w:rsidR="006F2BB8" w:rsidRPr="00E5539D" w:rsidRDefault="006F2BB8" w:rsidP="00DD39ED">
            <w:pPr>
              <w:pStyle w:val="10Tabletext"/>
              <w:ind w:left="-110"/>
              <w:jc w:val="center"/>
              <w:cnfStyle w:val="000000100000" w:firstRow="0" w:lastRow="0" w:firstColumn="0" w:lastColumn="0" w:oddVBand="0" w:evenVBand="0" w:oddHBand="1" w:evenHBand="0" w:firstRowFirstColumn="0" w:firstRowLastColumn="0" w:lastRowFirstColumn="0" w:lastRowLastColumn="0"/>
            </w:pPr>
            <w:r w:rsidRPr="00E5539D">
              <w:t>20</w:t>
            </w:r>
          </w:p>
        </w:tc>
        <w:tc>
          <w:tcPr>
            <w:tcW w:w="1837" w:type="dxa"/>
            <w:tcBorders>
              <w:right w:val="nil"/>
            </w:tcBorders>
          </w:tcPr>
          <w:p w14:paraId="55616E9F" w14:textId="77777777" w:rsidR="006F2BB8" w:rsidRPr="00E5539D" w:rsidRDefault="006F2BB8" w:rsidP="00DD39ED">
            <w:pPr>
              <w:pStyle w:val="10Tabletext"/>
              <w:ind w:left="-110"/>
              <w:jc w:val="center"/>
              <w:cnfStyle w:val="000000100000" w:firstRow="0" w:lastRow="0" w:firstColumn="0" w:lastColumn="0" w:oddVBand="0" w:evenVBand="0" w:oddHBand="1" w:evenHBand="0" w:firstRowFirstColumn="0" w:firstRowLastColumn="0" w:lastRowFirstColumn="0" w:lastRowLastColumn="0"/>
            </w:pPr>
            <w:r w:rsidRPr="00E5539D">
              <w:t>4</w:t>
            </w:r>
          </w:p>
        </w:tc>
      </w:tr>
      <w:tr w:rsidR="006F2BB8" w:rsidRPr="006F2BB8" w14:paraId="01A570C6" w14:textId="77777777" w:rsidTr="00DD39ED">
        <w:trPr>
          <w:cantSplit/>
        </w:trPr>
        <w:tc>
          <w:tcPr>
            <w:cnfStyle w:val="001000000000" w:firstRow="0" w:lastRow="0" w:firstColumn="1" w:lastColumn="0" w:oddVBand="0" w:evenVBand="0" w:oddHBand="0" w:evenHBand="0" w:firstRowFirstColumn="0" w:firstRowLastColumn="0" w:lastRowFirstColumn="0" w:lastRowLastColumn="0"/>
            <w:tcW w:w="4820" w:type="dxa"/>
            <w:tcBorders>
              <w:left w:val="nil"/>
            </w:tcBorders>
          </w:tcPr>
          <w:p w14:paraId="735B76CB" w14:textId="77777777" w:rsidR="006F2BB8" w:rsidRPr="008107C6" w:rsidRDefault="006F2BB8" w:rsidP="008107C6">
            <w:pPr>
              <w:pStyle w:val="10Tabletext"/>
            </w:pPr>
            <w:r w:rsidRPr="008107C6">
              <w:t>Communications and community engagement</w:t>
            </w:r>
          </w:p>
        </w:tc>
        <w:tc>
          <w:tcPr>
            <w:tcW w:w="1837" w:type="dxa"/>
          </w:tcPr>
          <w:p w14:paraId="16E94FDF" w14:textId="77777777" w:rsidR="006F2BB8" w:rsidRPr="008107C6" w:rsidRDefault="006F2BB8" w:rsidP="00DD39ED">
            <w:pPr>
              <w:pStyle w:val="10Tabletext"/>
              <w:ind w:left="-110"/>
              <w:jc w:val="center"/>
              <w:cnfStyle w:val="000000000000" w:firstRow="0" w:lastRow="0" w:firstColumn="0" w:lastColumn="0" w:oddVBand="0" w:evenVBand="0" w:oddHBand="0" w:evenHBand="0" w:firstRowFirstColumn="0" w:firstRowLastColumn="0" w:lastRowFirstColumn="0" w:lastRowLastColumn="0"/>
            </w:pPr>
            <w:r w:rsidRPr="008107C6">
              <w:t>18</w:t>
            </w:r>
          </w:p>
        </w:tc>
        <w:tc>
          <w:tcPr>
            <w:tcW w:w="1837" w:type="dxa"/>
            <w:tcBorders>
              <w:right w:val="nil"/>
            </w:tcBorders>
          </w:tcPr>
          <w:p w14:paraId="0FA9D6E3" w14:textId="77777777" w:rsidR="006F2BB8" w:rsidRPr="008107C6" w:rsidRDefault="006F2BB8" w:rsidP="00DD39ED">
            <w:pPr>
              <w:pStyle w:val="10Tabletext"/>
              <w:ind w:left="-110"/>
              <w:jc w:val="center"/>
              <w:cnfStyle w:val="000000000000" w:firstRow="0" w:lastRow="0" w:firstColumn="0" w:lastColumn="0" w:oddVBand="0" w:evenVBand="0" w:oddHBand="0" w:evenHBand="0" w:firstRowFirstColumn="0" w:firstRowLastColumn="0" w:lastRowFirstColumn="0" w:lastRowLastColumn="0"/>
            </w:pPr>
            <w:r w:rsidRPr="008107C6">
              <w:t>3</w:t>
            </w:r>
          </w:p>
        </w:tc>
      </w:tr>
      <w:tr w:rsidR="006F2BB8" w:rsidRPr="006F2BB8" w14:paraId="11DB4F35" w14:textId="77777777" w:rsidTr="00DD39E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20" w:type="dxa"/>
            <w:tcBorders>
              <w:left w:val="nil"/>
            </w:tcBorders>
          </w:tcPr>
          <w:p w14:paraId="42E41925" w14:textId="77777777" w:rsidR="006F2BB8" w:rsidRPr="008107C6" w:rsidRDefault="006F2BB8" w:rsidP="008107C6">
            <w:pPr>
              <w:pStyle w:val="10Tabletext"/>
            </w:pPr>
            <w:r w:rsidRPr="008107C6">
              <w:t>Legal</w:t>
            </w:r>
          </w:p>
        </w:tc>
        <w:tc>
          <w:tcPr>
            <w:tcW w:w="1837" w:type="dxa"/>
          </w:tcPr>
          <w:p w14:paraId="43A589A4" w14:textId="77777777" w:rsidR="006F2BB8" w:rsidRPr="008107C6" w:rsidRDefault="006F2BB8" w:rsidP="00DD39ED">
            <w:pPr>
              <w:pStyle w:val="10Tabletext"/>
              <w:ind w:left="-110"/>
              <w:jc w:val="center"/>
              <w:cnfStyle w:val="000000100000" w:firstRow="0" w:lastRow="0" w:firstColumn="0" w:lastColumn="0" w:oddVBand="0" w:evenVBand="0" w:oddHBand="1" w:evenHBand="0" w:firstRowFirstColumn="0" w:firstRowLastColumn="0" w:lastRowFirstColumn="0" w:lastRowLastColumn="0"/>
            </w:pPr>
            <w:r w:rsidRPr="008107C6">
              <w:t>18</w:t>
            </w:r>
          </w:p>
        </w:tc>
        <w:tc>
          <w:tcPr>
            <w:tcW w:w="1837" w:type="dxa"/>
            <w:tcBorders>
              <w:right w:val="nil"/>
            </w:tcBorders>
          </w:tcPr>
          <w:p w14:paraId="409E3EC8" w14:textId="77777777" w:rsidR="006F2BB8" w:rsidRPr="008107C6" w:rsidRDefault="006F2BB8" w:rsidP="00DD39ED">
            <w:pPr>
              <w:pStyle w:val="10Tabletext"/>
              <w:ind w:left="-110"/>
              <w:jc w:val="center"/>
              <w:cnfStyle w:val="000000100000" w:firstRow="0" w:lastRow="0" w:firstColumn="0" w:lastColumn="0" w:oddVBand="0" w:evenVBand="0" w:oddHBand="1" w:evenHBand="0" w:firstRowFirstColumn="0" w:firstRowLastColumn="0" w:lastRowFirstColumn="0" w:lastRowLastColumn="0"/>
            </w:pPr>
            <w:r w:rsidRPr="008107C6">
              <w:t>3</w:t>
            </w:r>
          </w:p>
        </w:tc>
      </w:tr>
      <w:tr w:rsidR="006F2BB8" w:rsidRPr="006F2BB8" w14:paraId="767A559F" w14:textId="77777777" w:rsidTr="00DD39ED">
        <w:trPr>
          <w:cantSplit/>
        </w:trPr>
        <w:tc>
          <w:tcPr>
            <w:cnfStyle w:val="001000000000" w:firstRow="0" w:lastRow="0" w:firstColumn="1" w:lastColumn="0" w:oddVBand="0" w:evenVBand="0" w:oddHBand="0" w:evenHBand="0" w:firstRowFirstColumn="0" w:firstRowLastColumn="0" w:lastRowFirstColumn="0" w:lastRowLastColumn="0"/>
            <w:tcW w:w="4820" w:type="dxa"/>
            <w:tcBorders>
              <w:left w:val="nil"/>
            </w:tcBorders>
          </w:tcPr>
          <w:p w14:paraId="257A61D9" w14:textId="77777777" w:rsidR="006F2BB8" w:rsidRPr="008107C6" w:rsidRDefault="006F2BB8" w:rsidP="008107C6">
            <w:pPr>
              <w:pStyle w:val="10Tabletext"/>
            </w:pPr>
            <w:r w:rsidRPr="008107C6">
              <w:t>Other</w:t>
            </w:r>
          </w:p>
        </w:tc>
        <w:tc>
          <w:tcPr>
            <w:tcW w:w="1837" w:type="dxa"/>
          </w:tcPr>
          <w:p w14:paraId="63088125" w14:textId="74A73DE4" w:rsidR="006F2BB8" w:rsidRPr="008107C6" w:rsidRDefault="006F2BB8" w:rsidP="00DD39ED">
            <w:pPr>
              <w:pStyle w:val="10Tabletext"/>
              <w:ind w:left="-110"/>
              <w:jc w:val="center"/>
              <w:cnfStyle w:val="000000000000" w:firstRow="0" w:lastRow="0" w:firstColumn="0" w:lastColumn="0" w:oddVBand="0" w:evenVBand="0" w:oddHBand="0" w:evenHBand="0" w:firstRowFirstColumn="0" w:firstRowLastColumn="0" w:lastRowFirstColumn="0" w:lastRowLastColumn="0"/>
            </w:pPr>
            <w:r w:rsidRPr="008107C6">
              <w:t>15</w:t>
            </w:r>
            <w:r w:rsidR="006A3CE0" w:rsidRPr="008107C6">
              <w:t>5</w:t>
            </w:r>
          </w:p>
        </w:tc>
        <w:tc>
          <w:tcPr>
            <w:tcW w:w="1837" w:type="dxa"/>
            <w:tcBorders>
              <w:right w:val="nil"/>
            </w:tcBorders>
          </w:tcPr>
          <w:p w14:paraId="584F54F0" w14:textId="77777777" w:rsidR="006F2BB8" w:rsidRPr="008107C6" w:rsidRDefault="006F2BB8" w:rsidP="00DD39ED">
            <w:pPr>
              <w:pStyle w:val="10Tabletext"/>
              <w:ind w:left="-110"/>
              <w:jc w:val="center"/>
              <w:cnfStyle w:val="000000000000" w:firstRow="0" w:lastRow="0" w:firstColumn="0" w:lastColumn="0" w:oddVBand="0" w:evenVBand="0" w:oddHBand="0" w:evenHBand="0" w:firstRowFirstColumn="0" w:firstRowLastColumn="0" w:lastRowFirstColumn="0" w:lastRowLastColumn="0"/>
            </w:pPr>
            <w:r w:rsidRPr="008107C6">
              <w:t>29</w:t>
            </w:r>
          </w:p>
        </w:tc>
      </w:tr>
      <w:tr w:rsidR="006F2BB8" w:rsidRPr="006F2BB8" w14:paraId="705D1925" w14:textId="77777777" w:rsidTr="00DD39E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20" w:type="dxa"/>
            <w:tcBorders>
              <w:left w:val="nil"/>
            </w:tcBorders>
          </w:tcPr>
          <w:p w14:paraId="4E33BE2E" w14:textId="77777777" w:rsidR="006F2BB8" w:rsidRPr="008107C6" w:rsidRDefault="006F2BB8" w:rsidP="008107C6">
            <w:pPr>
              <w:pStyle w:val="10Tabletext"/>
            </w:pPr>
            <w:r w:rsidRPr="008107C6">
              <w:t>Total</w:t>
            </w:r>
          </w:p>
        </w:tc>
        <w:tc>
          <w:tcPr>
            <w:tcW w:w="1837" w:type="dxa"/>
          </w:tcPr>
          <w:p w14:paraId="3213C9A5" w14:textId="77777777" w:rsidR="006F2BB8" w:rsidRPr="008107C6" w:rsidRDefault="006F2BB8" w:rsidP="00DD39ED">
            <w:pPr>
              <w:pStyle w:val="10Tabletext"/>
              <w:ind w:left="-110"/>
              <w:jc w:val="center"/>
              <w:cnfStyle w:val="000000100000" w:firstRow="0" w:lastRow="0" w:firstColumn="0" w:lastColumn="0" w:oddVBand="0" w:evenVBand="0" w:oddHBand="1" w:evenHBand="0" w:firstRowFirstColumn="0" w:firstRowLastColumn="0" w:lastRowFirstColumn="0" w:lastRowLastColumn="0"/>
            </w:pPr>
            <w:r w:rsidRPr="008107C6">
              <w:t>530</w:t>
            </w:r>
          </w:p>
        </w:tc>
        <w:tc>
          <w:tcPr>
            <w:tcW w:w="1837" w:type="dxa"/>
            <w:tcBorders>
              <w:right w:val="nil"/>
            </w:tcBorders>
          </w:tcPr>
          <w:p w14:paraId="3C2B9E1A" w14:textId="77777777" w:rsidR="006F2BB8" w:rsidRPr="008107C6" w:rsidRDefault="006F2BB8" w:rsidP="00DD39ED">
            <w:pPr>
              <w:pStyle w:val="10Tabletext"/>
              <w:ind w:left="-110"/>
              <w:jc w:val="center"/>
              <w:cnfStyle w:val="000000100000" w:firstRow="0" w:lastRow="0" w:firstColumn="0" w:lastColumn="0" w:oddVBand="0" w:evenVBand="0" w:oddHBand="1" w:evenHBand="0" w:firstRowFirstColumn="0" w:firstRowLastColumn="0" w:lastRowFirstColumn="0" w:lastRowLastColumn="0"/>
            </w:pPr>
          </w:p>
        </w:tc>
      </w:tr>
    </w:tbl>
    <w:p w14:paraId="78681A13" w14:textId="2415306A" w:rsidR="00EA1CDE" w:rsidRDefault="00EA1CDE" w:rsidP="00EA1CDE">
      <w:pPr>
        <w:pStyle w:val="09Sourcesandnotesfortablesfiguresboxes"/>
      </w:pPr>
      <w:r>
        <w:t>Note: The percentages in this table add to 99</w:t>
      </w:r>
      <w:r w:rsidR="000F0A7C">
        <w:t xml:space="preserve"> per cent</w:t>
      </w:r>
      <w:r>
        <w:t xml:space="preserve"> due to the rounding of individual percentages to the nearest whole number.</w:t>
      </w:r>
    </w:p>
    <w:p w14:paraId="1CBDF609" w14:textId="77777777" w:rsidR="00D53B19" w:rsidRDefault="00D53B19">
      <w:pPr>
        <w:spacing w:before="0" w:after="80" w:line="240" w:lineRule="auto"/>
        <w:jc w:val="left"/>
        <w:rPr>
          <w:rFonts w:cs="Arial"/>
          <w:color w:val="auto"/>
          <w:szCs w:val="20"/>
        </w:rPr>
      </w:pPr>
      <w:r>
        <w:br w:type="page"/>
      </w:r>
    </w:p>
    <w:p w14:paraId="3E9A8824" w14:textId="7F7092D5" w:rsidR="006F2BB8" w:rsidRPr="006F2BB8" w:rsidRDefault="006F2BB8" w:rsidP="006A3A46">
      <w:pPr>
        <w:pStyle w:val="05Paragraph"/>
      </w:pPr>
      <w:r w:rsidRPr="006F2BB8">
        <w:lastRenderedPageBreak/>
        <w:t>Most respondents were women, and less than one per cent described their gender as non-binary (Table A.3).</w:t>
      </w:r>
    </w:p>
    <w:p w14:paraId="4965B5E7" w14:textId="77777777" w:rsidR="006F2BB8" w:rsidRPr="006F2BB8" w:rsidRDefault="006F2BB8" w:rsidP="00144BE8">
      <w:pPr>
        <w:pStyle w:val="08Figuretableboxheading"/>
      </w:pPr>
      <w:bookmarkStart w:id="180" w:name="_Toc170393582"/>
      <w:r w:rsidRPr="006F2BB8">
        <w:t>Table A.3: How do you describe your gender?</w:t>
      </w:r>
      <w:bookmarkEnd w:id="180"/>
    </w:p>
    <w:tbl>
      <w:tblPr>
        <w:tblStyle w:val="ListTable3-Accent1"/>
        <w:tblW w:w="0" w:type="auto"/>
        <w:tblLayout w:type="fixed"/>
        <w:tblLook w:val="04A0" w:firstRow="1" w:lastRow="0" w:firstColumn="1" w:lastColumn="0" w:noHBand="0" w:noVBand="1"/>
      </w:tblPr>
      <w:tblGrid>
        <w:gridCol w:w="4820"/>
        <w:gridCol w:w="1837"/>
        <w:gridCol w:w="1837"/>
      </w:tblGrid>
      <w:tr w:rsidR="006F2BB8" w:rsidRPr="006F2BB8" w14:paraId="5AE0BEBE" w14:textId="77777777" w:rsidTr="00A82A2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4820" w:type="dxa"/>
            <w:tcBorders>
              <w:top w:val="single" w:sz="4" w:space="0" w:color="26664E"/>
              <w:left w:val="nil"/>
              <w:bottom w:val="single" w:sz="4" w:space="0" w:color="148A5D"/>
              <w:right w:val="single" w:sz="4" w:space="0" w:color="148A5D"/>
            </w:tcBorders>
            <w:shd w:val="clear" w:color="auto" w:fill="148A5D"/>
          </w:tcPr>
          <w:p w14:paraId="5E003D2D" w14:textId="77777777" w:rsidR="006F2BB8" w:rsidRPr="008107C6" w:rsidRDefault="006F2BB8" w:rsidP="008107C6">
            <w:pPr>
              <w:pStyle w:val="10Tabletext"/>
            </w:pPr>
            <w:r w:rsidRPr="008107C6">
              <w:t>Answer choices</w:t>
            </w:r>
          </w:p>
        </w:tc>
        <w:tc>
          <w:tcPr>
            <w:tcW w:w="3674" w:type="dxa"/>
            <w:gridSpan w:val="2"/>
            <w:tcBorders>
              <w:top w:val="single" w:sz="4" w:space="0" w:color="26664E"/>
              <w:left w:val="single" w:sz="4" w:space="0" w:color="148A5D"/>
              <w:bottom w:val="single" w:sz="4" w:space="0" w:color="148A5D"/>
              <w:right w:val="nil"/>
            </w:tcBorders>
            <w:shd w:val="clear" w:color="auto" w:fill="148A5D"/>
          </w:tcPr>
          <w:p w14:paraId="4A37D485" w14:textId="77777777" w:rsidR="006F2BB8" w:rsidRPr="008107C6" w:rsidRDefault="006F2BB8" w:rsidP="00A82A2A">
            <w:pPr>
              <w:pStyle w:val="10Tabletext"/>
              <w:jc w:val="center"/>
              <w:cnfStyle w:val="100000000000" w:firstRow="1" w:lastRow="0" w:firstColumn="0" w:lastColumn="0" w:oddVBand="0" w:evenVBand="0" w:oddHBand="0" w:evenHBand="0" w:firstRowFirstColumn="0" w:firstRowLastColumn="0" w:lastRowFirstColumn="0" w:lastRowLastColumn="0"/>
            </w:pPr>
            <w:r w:rsidRPr="008107C6">
              <w:t>Responses</w:t>
            </w:r>
          </w:p>
        </w:tc>
      </w:tr>
      <w:tr w:rsidR="006F2BB8" w:rsidRPr="006F2BB8" w14:paraId="7A8E3C0B" w14:textId="77777777" w:rsidTr="00A82A2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148A5D"/>
              <w:left w:val="nil"/>
              <w:right w:val="single" w:sz="4" w:space="0" w:color="148A5D"/>
            </w:tcBorders>
            <w:shd w:val="clear" w:color="auto" w:fill="148A5D"/>
          </w:tcPr>
          <w:p w14:paraId="7B026359" w14:textId="77777777" w:rsidR="006F2BB8" w:rsidRPr="008107C6" w:rsidRDefault="006F2BB8" w:rsidP="008107C6">
            <w:pPr>
              <w:pStyle w:val="10Tabletext"/>
              <w:rPr>
                <w:color w:val="FFFFFF" w:themeColor="background1"/>
                <w:szCs w:val="24"/>
              </w:rPr>
            </w:pPr>
          </w:p>
        </w:tc>
        <w:tc>
          <w:tcPr>
            <w:tcW w:w="1837" w:type="dxa"/>
            <w:tcBorders>
              <w:top w:val="single" w:sz="4" w:space="0" w:color="148A5D"/>
              <w:left w:val="single" w:sz="4" w:space="0" w:color="148A5D"/>
              <w:right w:val="single" w:sz="4" w:space="0" w:color="148A5D"/>
            </w:tcBorders>
            <w:shd w:val="clear" w:color="auto" w:fill="148A5D"/>
          </w:tcPr>
          <w:p w14:paraId="25AA55DA" w14:textId="77777777" w:rsidR="006F2BB8" w:rsidRPr="008107C6" w:rsidRDefault="006F2BB8" w:rsidP="00A82A2A">
            <w:pPr>
              <w:pStyle w:val="10Tabletext"/>
              <w:jc w:val="center"/>
              <w:cnfStyle w:val="000000100000" w:firstRow="0" w:lastRow="0" w:firstColumn="0" w:lastColumn="0" w:oddVBand="0" w:evenVBand="0" w:oddHBand="1" w:evenHBand="0" w:firstRowFirstColumn="0" w:firstRowLastColumn="0" w:lastRowFirstColumn="0" w:lastRowLastColumn="0"/>
              <w:rPr>
                <w:b/>
                <w:bCs w:val="0"/>
                <w:color w:val="FFFFFF" w:themeColor="background1"/>
                <w:szCs w:val="24"/>
              </w:rPr>
            </w:pPr>
            <w:r w:rsidRPr="008107C6">
              <w:rPr>
                <w:b/>
                <w:bCs w:val="0"/>
                <w:color w:val="FFFFFF" w:themeColor="background1"/>
                <w:szCs w:val="24"/>
              </w:rPr>
              <w:t>Number</w:t>
            </w:r>
          </w:p>
        </w:tc>
        <w:tc>
          <w:tcPr>
            <w:tcW w:w="1837" w:type="dxa"/>
            <w:tcBorders>
              <w:top w:val="single" w:sz="4" w:space="0" w:color="148A5D"/>
              <w:left w:val="single" w:sz="4" w:space="0" w:color="148A5D"/>
              <w:right w:val="nil"/>
            </w:tcBorders>
            <w:shd w:val="clear" w:color="auto" w:fill="148A5D"/>
          </w:tcPr>
          <w:p w14:paraId="12AC643D" w14:textId="77777777" w:rsidR="006F2BB8" w:rsidRPr="008107C6" w:rsidRDefault="006F2BB8" w:rsidP="00A82A2A">
            <w:pPr>
              <w:pStyle w:val="10Tabletext"/>
              <w:jc w:val="center"/>
              <w:cnfStyle w:val="000000100000" w:firstRow="0" w:lastRow="0" w:firstColumn="0" w:lastColumn="0" w:oddVBand="0" w:evenVBand="0" w:oddHBand="1" w:evenHBand="0" w:firstRowFirstColumn="0" w:firstRowLastColumn="0" w:lastRowFirstColumn="0" w:lastRowLastColumn="0"/>
              <w:rPr>
                <w:b/>
                <w:bCs w:val="0"/>
                <w:color w:val="FFFFFF" w:themeColor="background1"/>
                <w:szCs w:val="24"/>
              </w:rPr>
            </w:pPr>
            <w:r w:rsidRPr="008107C6">
              <w:rPr>
                <w:b/>
                <w:bCs w:val="0"/>
                <w:color w:val="FFFFFF" w:themeColor="background1"/>
                <w:szCs w:val="24"/>
              </w:rPr>
              <w:t>%</w:t>
            </w:r>
          </w:p>
        </w:tc>
      </w:tr>
      <w:tr w:rsidR="006F2BB8" w:rsidRPr="006F2BB8" w14:paraId="09B32B7A" w14:textId="77777777" w:rsidTr="00A82A2A">
        <w:trPr>
          <w:cantSplit/>
        </w:trPr>
        <w:tc>
          <w:tcPr>
            <w:cnfStyle w:val="001000000000" w:firstRow="0" w:lastRow="0" w:firstColumn="1" w:lastColumn="0" w:oddVBand="0" w:evenVBand="0" w:oddHBand="0" w:evenHBand="0" w:firstRowFirstColumn="0" w:firstRowLastColumn="0" w:lastRowFirstColumn="0" w:lastRowLastColumn="0"/>
            <w:tcW w:w="4820" w:type="dxa"/>
            <w:tcBorders>
              <w:left w:val="nil"/>
            </w:tcBorders>
          </w:tcPr>
          <w:p w14:paraId="3DA26191" w14:textId="77777777" w:rsidR="006F2BB8" w:rsidRPr="008107C6" w:rsidRDefault="006F2BB8" w:rsidP="008107C6">
            <w:pPr>
              <w:pStyle w:val="10Tabletext"/>
            </w:pPr>
            <w:r w:rsidRPr="008107C6">
              <w:t>Woman</w:t>
            </w:r>
          </w:p>
        </w:tc>
        <w:tc>
          <w:tcPr>
            <w:tcW w:w="1837" w:type="dxa"/>
          </w:tcPr>
          <w:p w14:paraId="1985BCFD" w14:textId="77777777" w:rsidR="006F2BB8" w:rsidRPr="008107C6" w:rsidRDefault="006F2BB8" w:rsidP="00A82A2A">
            <w:pPr>
              <w:pStyle w:val="10Tabletext"/>
              <w:jc w:val="center"/>
              <w:cnfStyle w:val="000000000000" w:firstRow="0" w:lastRow="0" w:firstColumn="0" w:lastColumn="0" w:oddVBand="0" w:evenVBand="0" w:oddHBand="0" w:evenHBand="0" w:firstRowFirstColumn="0" w:firstRowLastColumn="0" w:lastRowFirstColumn="0" w:lastRowLastColumn="0"/>
            </w:pPr>
            <w:r w:rsidRPr="008107C6">
              <w:t>282</w:t>
            </w:r>
          </w:p>
        </w:tc>
        <w:tc>
          <w:tcPr>
            <w:tcW w:w="1837" w:type="dxa"/>
            <w:tcBorders>
              <w:right w:val="nil"/>
            </w:tcBorders>
          </w:tcPr>
          <w:p w14:paraId="3AAFEA10" w14:textId="77777777" w:rsidR="006F2BB8" w:rsidRPr="008107C6" w:rsidRDefault="006F2BB8" w:rsidP="00A82A2A">
            <w:pPr>
              <w:pStyle w:val="10Tabletext"/>
              <w:jc w:val="center"/>
              <w:cnfStyle w:val="000000000000" w:firstRow="0" w:lastRow="0" w:firstColumn="0" w:lastColumn="0" w:oddVBand="0" w:evenVBand="0" w:oddHBand="0" w:evenHBand="0" w:firstRowFirstColumn="0" w:firstRowLastColumn="0" w:lastRowFirstColumn="0" w:lastRowLastColumn="0"/>
            </w:pPr>
            <w:r w:rsidRPr="008107C6">
              <w:t>53</w:t>
            </w:r>
          </w:p>
        </w:tc>
      </w:tr>
      <w:tr w:rsidR="006F2BB8" w:rsidRPr="006F2BB8" w14:paraId="317E13D1" w14:textId="77777777" w:rsidTr="00A82A2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20" w:type="dxa"/>
            <w:tcBorders>
              <w:left w:val="nil"/>
            </w:tcBorders>
          </w:tcPr>
          <w:p w14:paraId="39979B9F" w14:textId="77777777" w:rsidR="006F2BB8" w:rsidRPr="008107C6" w:rsidRDefault="006F2BB8" w:rsidP="008107C6">
            <w:pPr>
              <w:pStyle w:val="10Tabletext"/>
            </w:pPr>
            <w:r w:rsidRPr="008107C6">
              <w:t>Man</w:t>
            </w:r>
          </w:p>
        </w:tc>
        <w:tc>
          <w:tcPr>
            <w:tcW w:w="1837" w:type="dxa"/>
          </w:tcPr>
          <w:p w14:paraId="0839F45D" w14:textId="77777777" w:rsidR="006F2BB8" w:rsidRPr="008107C6" w:rsidRDefault="006F2BB8" w:rsidP="00A82A2A">
            <w:pPr>
              <w:pStyle w:val="10Tabletext"/>
              <w:jc w:val="center"/>
              <w:cnfStyle w:val="000000100000" w:firstRow="0" w:lastRow="0" w:firstColumn="0" w:lastColumn="0" w:oddVBand="0" w:evenVBand="0" w:oddHBand="1" w:evenHBand="0" w:firstRowFirstColumn="0" w:firstRowLastColumn="0" w:lastRowFirstColumn="0" w:lastRowLastColumn="0"/>
            </w:pPr>
            <w:r w:rsidRPr="008107C6">
              <w:t>221</w:t>
            </w:r>
          </w:p>
        </w:tc>
        <w:tc>
          <w:tcPr>
            <w:tcW w:w="1837" w:type="dxa"/>
            <w:tcBorders>
              <w:right w:val="nil"/>
            </w:tcBorders>
          </w:tcPr>
          <w:p w14:paraId="32603FD8" w14:textId="77777777" w:rsidR="006F2BB8" w:rsidRPr="008107C6" w:rsidRDefault="006F2BB8" w:rsidP="00A82A2A">
            <w:pPr>
              <w:pStyle w:val="10Tabletext"/>
              <w:jc w:val="center"/>
              <w:cnfStyle w:val="000000100000" w:firstRow="0" w:lastRow="0" w:firstColumn="0" w:lastColumn="0" w:oddVBand="0" w:evenVBand="0" w:oddHBand="1" w:evenHBand="0" w:firstRowFirstColumn="0" w:firstRowLastColumn="0" w:lastRowFirstColumn="0" w:lastRowLastColumn="0"/>
            </w:pPr>
            <w:r w:rsidRPr="008107C6">
              <w:t>42</w:t>
            </w:r>
          </w:p>
        </w:tc>
      </w:tr>
      <w:tr w:rsidR="006F2BB8" w:rsidRPr="006F2BB8" w14:paraId="27D1424C" w14:textId="77777777" w:rsidTr="00A82A2A">
        <w:trPr>
          <w:cantSplit/>
        </w:trPr>
        <w:tc>
          <w:tcPr>
            <w:cnfStyle w:val="001000000000" w:firstRow="0" w:lastRow="0" w:firstColumn="1" w:lastColumn="0" w:oddVBand="0" w:evenVBand="0" w:oddHBand="0" w:evenHBand="0" w:firstRowFirstColumn="0" w:firstRowLastColumn="0" w:lastRowFirstColumn="0" w:lastRowLastColumn="0"/>
            <w:tcW w:w="4820" w:type="dxa"/>
            <w:tcBorders>
              <w:left w:val="nil"/>
            </w:tcBorders>
          </w:tcPr>
          <w:p w14:paraId="4CCB044E" w14:textId="77777777" w:rsidR="006F2BB8" w:rsidRPr="008107C6" w:rsidRDefault="006F2BB8" w:rsidP="008107C6">
            <w:pPr>
              <w:pStyle w:val="10Tabletext"/>
            </w:pPr>
            <w:r w:rsidRPr="008107C6">
              <w:t>Prefer not to say</w:t>
            </w:r>
          </w:p>
        </w:tc>
        <w:tc>
          <w:tcPr>
            <w:tcW w:w="1837" w:type="dxa"/>
          </w:tcPr>
          <w:p w14:paraId="2370F3D6" w14:textId="77777777" w:rsidR="006F2BB8" w:rsidRPr="008107C6" w:rsidRDefault="006F2BB8" w:rsidP="00A82A2A">
            <w:pPr>
              <w:pStyle w:val="10Tabletext"/>
              <w:jc w:val="center"/>
              <w:cnfStyle w:val="000000000000" w:firstRow="0" w:lastRow="0" w:firstColumn="0" w:lastColumn="0" w:oddVBand="0" w:evenVBand="0" w:oddHBand="0" w:evenHBand="0" w:firstRowFirstColumn="0" w:firstRowLastColumn="0" w:lastRowFirstColumn="0" w:lastRowLastColumn="0"/>
            </w:pPr>
            <w:r w:rsidRPr="008107C6">
              <w:t>23</w:t>
            </w:r>
          </w:p>
        </w:tc>
        <w:tc>
          <w:tcPr>
            <w:tcW w:w="1837" w:type="dxa"/>
            <w:tcBorders>
              <w:right w:val="nil"/>
            </w:tcBorders>
          </w:tcPr>
          <w:p w14:paraId="3F4727DE" w14:textId="77777777" w:rsidR="006F2BB8" w:rsidRPr="008107C6" w:rsidRDefault="006F2BB8" w:rsidP="00A82A2A">
            <w:pPr>
              <w:pStyle w:val="10Tabletext"/>
              <w:jc w:val="center"/>
              <w:cnfStyle w:val="000000000000" w:firstRow="0" w:lastRow="0" w:firstColumn="0" w:lastColumn="0" w:oddVBand="0" w:evenVBand="0" w:oddHBand="0" w:evenHBand="0" w:firstRowFirstColumn="0" w:firstRowLastColumn="0" w:lastRowFirstColumn="0" w:lastRowLastColumn="0"/>
            </w:pPr>
            <w:r w:rsidRPr="008107C6">
              <w:t>4</w:t>
            </w:r>
          </w:p>
        </w:tc>
      </w:tr>
      <w:tr w:rsidR="006F2BB8" w:rsidRPr="006F2BB8" w14:paraId="0091D554" w14:textId="77777777" w:rsidTr="00A82A2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20" w:type="dxa"/>
            <w:tcBorders>
              <w:left w:val="nil"/>
            </w:tcBorders>
          </w:tcPr>
          <w:p w14:paraId="21E91E80" w14:textId="77777777" w:rsidR="006F2BB8" w:rsidRPr="008107C6" w:rsidRDefault="006F2BB8" w:rsidP="008107C6">
            <w:pPr>
              <w:pStyle w:val="10Tabletext"/>
            </w:pPr>
            <w:r w:rsidRPr="008107C6">
              <w:t>Non-binary</w:t>
            </w:r>
          </w:p>
        </w:tc>
        <w:tc>
          <w:tcPr>
            <w:tcW w:w="1837" w:type="dxa"/>
          </w:tcPr>
          <w:p w14:paraId="0743D385" w14:textId="77777777" w:rsidR="006F2BB8" w:rsidRPr="008107C6" w:rsidRDefault="006F2BB8" w:rsidP="00A82A2A">
            <w:pPr>
              <w:pStyle w:val="10Tabletext"/>
              <w:jc w:val="center"/>
              <w:cnfStyle w:val="000000100000" w:firstRow="0" w:lastRow="0" w:firstColumn="0" w:lastColumn="0" w:oddVBand="0" w:evenVBand="0" w:oddHBand="1" w:evenHBand="0" w:firstRowFirstColumn="0" w:firstRowLastColumn="0" w:lastRowFirstColumn="0" w:lastRowLastColumn="0"/>
            </w:pPr>
            <w:r w:rsidRPr="008107C6">
              <w:t>2</w:t>
            </w:r>
          </w:p>
        </w:tc>
        <w:tc>
          <w:tcPr>
            <w:tcW w:w="1837" w:type="dxa"/>
            <w:tcBorders>
              <w:right w:val="nil"/>
            </w:tcBorders>
          </w:tcPr>
          <w:p w14:paraId="50163F93" w14:textId="77777777" w:rsidR="006F2BB8" w:rsidRPr="008107C6" w:rsidRDefault="006F2BB8" w:rsidP="00A82A2A">
            <w:pPr>
              <w:pStyle w:val="10Tabletext"/>
              <w:jc w:val="center"/>
              <w:cnfStyle w:val="000000100000" w:firstRow="0" w:lastRow="0" w:firstColumn="0" w:lastColumn="0" w:oddVBand="0" w:evenVBand="0" w:oddHBand="1" w:evenHBand="0" w:firstRowFirstColumn="0" w:firstRowLastColumn="0" w:lastRowFirstColumn="0" w:lastRowLastColumn="0"/>
            </w:pPr>
            <w:r w:rsidRPr="008107C6">
              <w:t>&lt;1</w:t>
            </w:r>
          </w:p>
        </w:tc>
      </w:tr>
      <w:tr w:rsidR="006F2BB8" w:rsidRPr="006F2BB8" w14:paraId="1D07D367" w14:textId="77777777" w:rsidTr="00A82A2A">
        <w:trPr>
          <w:cantSplit/>
        </w:trPr>
        <w:tc>
          <w:tcPr>
            <w:cnfStyle w:val="001000000000" w:firstRow="0" w:lastRow="0" w:firstColumn="1" w:lastColumn="0" w:oddVBand="0" w:evenVBand="0" w:oddHBand="0" w:evenHBand="0" w:firstRowFirstColumn="0" w:firstRowLastColumn="0" w:lastRowFirstColumn="0" w:lastRowLastColumn="0"/>
            <w:tcW w:w="4820" w:type="dxa"/>
            <w:tcBorders>
              <w:left w:val="nil"/>
            </w:tcBorders>
          </w:tcPr>
          <w:p w14:paraId="75B1B2B5" w14:textId="77777777" w:rsidR="006F2BB8" w:rsidRPr="008107C6" w:rsidRDefault="006F2BB8" w:rsidP="008107C6">
            <w:pPr>
              <w:pStyle w:val="10Tabletext"/>
            </w:pPr>
            <w:r w:rsidRPr="008107C6">
              <w:t>I use a different term</w:t>
            </w:r>
          </w:p>
        </w:tc>
        <w:tc>
          <w:tcPr>
            <w:tcW w:w="1837" w:type="dxa"/>
          </w:tcPr>
          <w:p w14:paraId="3D21B6A0" w14:textId="77777777" w:rsidR="006F2BB8" w:rsidRPr="008107C6" w:rsidRDefault="006F2BB8" w:rsidP="00A82A2A">
            <w:pPr>
              <w:pStyle w:val="10Tabletext"/>
              <w:jc w:val="center"/>
              <w:cnfStyle w:val="000000000000" w:firstRow="0" w:lastRow="0" w:firstColumn="0" w:lastColumn="0" w:oddVBand="0" w:evenVBand="0" w:oddHBand="0" w:evenHBand="0" w:firstRowFirstColumn="0" w:firstRowLastColumn="0" w:lastRowFirstColumn="0" w:lastRowLastColumn="0"/>
            </w:pPr>
            <w:r w:rsidRPr="008107C6">
              <w:t>0</w:t>
            </w:r>
          </w:p>
        </w:tc>
        <w:tc>
          <w:tcPr>
            <w:tcW w:w="1837" w:type="dxa"/>
            <w:tcBorders>
              <w:right w:val="nil"/>
            </w:tcBorders>
          </w:tcPr>
          <w:p w14:paraId="5167FAA8" w14:textId="77777777" w:rsidR="006F2BB8" w:rsidRPr="008107C6" w:rsidRDefault="006F2BB8" w:rsidP="00A82A2A">
            <w:pPr>
              <w:pStyle w:val="10Tabletext"/>
              <w:jc w:val="center"/>
              <w:cnfStyle w:val="000000000000" w:firstRow="0" w:lastRow="0" w:firstColumn="0" w:lastColumn="0" w:oddVBand="0" w:evenVBand="0" w:oddHBand="0" w:evenHBand="0" w:firstRowFirstColumn="0" w:firstRowLastColumn="0" w:lastRowFirstColumn="0" w:lastRowLastColumn="0"/>
            </w:pPr>
            <w:r w:rsidRPr="008107C6">
              <w:t>0</w:t>
            </w:r>
          </w:p>
        </w:tc>
      </w:tr>
      <w:tr w:rsidR="006F2BB8" w:rsidRPr="006F2BB8" w14:paraId="0B80ABD3" w14:textId="77777777" w:rsidTr="00A82A2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20" w:type="dxa"/>
            <w:tcBorders>
              <w:left w:val="nil"/>
            </w:tcBorders>
          </w:tcPr>
          <w:p w14:paraId="5045DE20" w14:textId="77777777" w:rsidR="006F2BB8" w:rsidRPr="008107C6" w:rsidRDefault="006F2BB8" w:rsidP="008107C6">
            <w:pPr>
              <w:pStyle w:val="10Tabletext"/>
            </w:pPr>
            <w:r w:rsidRPr="008107C6">
              <w:t>Total</w:t>
            </w:r>
          </w:p>
        </w:tc>
        <w:tc>
          <w:tcPr>
            <w:tcW w:w="1837" w:type="dxa"/>
          </w:tcPr>
          <w:p w14:paraId="236744F3" w14:textId="77777777" w:rsidR="006F2BB8" w:rsidRPr="008107C6" w:rsidRDefault="006F2BB8" w:rsidP="00A82A2A">
            <w:pPr>
              <w:pStyle w:val="10Tabletext"/>
              <w:jc w:val="center"/>
              <w:cnfStyle w:val="000000100000" w:firstRow="0" w:lastRow="0" w:firstColumn="0" w:lastColumn="0" w:oddVBand="0" w:evenVBand="0" w:oddHBand="1" w:evenHBand="0" w:firstRowFirstColumn="0" w:firstRowLastColumn="0" w:lastRowFirstColumn="0" w:lastRowLastColumn="0"/>
            </w:pPr>
            <w:r w:rsidRPr="008107C6">
              <w:t>528</w:t>
            </w:r>
          </w:p>
        </w:tc>
        <w:tc>
          <w:tcPr>
            <w:tcW w:w="1837" w:type="dxa"/>
            <w:tcBorders>
              <w:right w:val="nil"/>
            </w:tcBorders>
          </w:tcPr>
          <w:p w14:paraId="4BCCD127" w14:textId="77777777" w:rsidR="006F2BB8" w:rsidRPr="008107C6" w:rsidRDefault="006F2BB8" w:rsidP="00A82A2A">
            <w:pPr>
              <w:pStyle w:val="10Tabletext"/>
              <w:jc w:val="center"/>
              <w:cnfStyle w:val="000000100000" w:firstRow="0" w:lastRow="0" w:firstColumn="0" w:lastColumn="0" w:oddVBand="0" w:evenVBand="0" w:oddHBand="1" w:evenHBand="0" w:firstRowFirstColumn="0" w:firstRowLastColumn="0" w:lastRowFirstColumn="0" w:lastRowLastColumn="0"/>
            </w:pPr>
          </w:p>
        </w:tc>
      </w:tr>
    </w:tbl>
    <w:p w14:paraId="624C6B48" w14:textId="65ACFC4A" w:rsidR="006F2BB8" w:rsidRPr="006F2BB8" w:rsidRDefault="006F2BB8" w:rsidP="006A3A46">
      <w:pPr>
        <w:pStyle w:val="05Paragraph"/>
      </w:pPr>
      <w:r w:rsidRPr="006F2BB8">
        <w:t xml:space="preserve">All respondents were aged 25 years and older, with </w:t>
      </w:r>
      <w:r w:rsidR="005415B4" w:rsidRPr="006F2BB8">
        <w:t>7</w:t>
      </w:r>
      <w:r w:rsidR="005415B4">
        <w:t xml:space="preserve">7 </w:t>
      </w:r>
      <w:r w:rsidRPr="006F2BB8">
        <w:t>per cent aged between 35 and 54 years old (Table A.4).</w:t>
      </w:r>
    </w:p>
    <w:p w14:paraId="28BC9AC0" w14:textId="77777777" w:rsidR="006F2BB8" w:rsidRPr="006F2BB8" w:rsidRDefault="006F2BB8" w:rsidP="00144BE8">
      <w:pPr>
        <w:pStyle w:val="08Figuretableboxheading"/>
      </w:pPr>
      <w:bookmarkStart w:id="181" w:name="_Toc170393583"/>
      <w:r w:rsidRPr="006F2BB8">
        <w:t>Table A.4: What is your age?</w:t>
      </w:r>
      <w:bookmarkEnd w:id="181"/>
    </w:p>
    <w:tbl>
      <w:tblPr>
        <w:tblStyle w:val="ListTable3-Accent1"/>
        <w:tblW w:w="0" w:type="auto"/>
        <w:tblLayout w:type="fixed"/>
        <w:tblLook w:val="04A0" w:firstRow="1" w:lastRow="0" w:firstColumn="1" w:lastColumn="0" w:noHBand="0" w:noVBand="1"/>
      </w:tblPr>
      <w:tblGrid>
        <w:gridCol w:w="4820"/>
        <w:gridCol w:w="1837"/>
        <w:gridCol w:w="1837"/>
      </w:tblGrid>
      <w:tr w:rsidR="006F2BB8" w:rsidRPr="006F2BB8" w14:paraId="69DF52DB" w14:textId="77777777" w:rsidTr="00A82A2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4820" w:type="dxa"/>
            <w:tcBorders>
              <w:top w:val="single" w:sz="4" w:space="0" w:color="26664E"/>
              <w:left w:val="nil"/>
              <w:bottom w:val="single" w:sz="4" w:space="0" w:color="148A5D"/>
              <w:right w:val="single" w:sz="4" w:space="0" w:color="148A5D"/>
            </w:tcBorders>
            <w:shd w:val="clear" w:color="auto" w:fill="148A5D"/>
          </w:tcPr>
          <w:p w14:paraId="6689794F" w14:textId="77777777" w:rsidR="006F2BB8" w:rsidRPr="00874A32" w:rsidRDefault="006F2BB8" w:rsidP="00874A32">
            <w:pPr>
              <w:pStyle w:val="10Tabletext"/>
            </w:pPr>
            <w:r w:rsidRPr="00874A32">
              <w:t>Answer choices</w:t>
            </w:r>
          </w:p>
        </w:tc>
        <w:tc>
          <w:tcPr>
            <w:tcW w:w="3674" w:type="dxa"/>
            <w:gridSpan w:val="2"/>
            <w:tcBorders>
              <w:top w:val="single" w:sz="4" w:space="0" w:color="26664E"/>
              <w:left w:val="single" w:sz="4" w:space="0" w:color="148A5D"/>
              <w:right w:val="nil"/>
            </w:tcBorders>
            <w:shd w:val="clear" w:color="auto" w:fill="148A5D"/>
          </w:tcPr>
          <w:p w14:paraId="42FFC96E" w14:textId="77777777" w:rsidR="006F2BB8" w:rsidRPr="00874A32" w:rsidRDefault="006F2BB8" w:rsidP="00A82A2A">
            <w:pPr>
              <w:pStyle w:val="10Tabletext"/>
              <w:jc w:val="center"/>
              <w:cnfStyle w:val="100000000000" w:firstRow="1" w:lastRow="0" w:firstColumn="0" w:lastColumn="0" w:oddVBand="0" w:evenVBand="0" w:oddHBand="0" w:evenHBand="0" w:firstRowFirstColumn="0" w:firstRowLastColumn="0" w:lastRowFirstColumn="0" w:lastRowLastColumn="0"/>
            </w:pPr>
            <w:r w:rsidRPr="00874A32">
              <w:t>Responses</w:t>
            </w:r>
          </w:p>
        </w:tc>
      </w:tr>
      <w:tr w:rsidR="006F2BB8" w:rsidRPr="006F2BB8" w14:paraId="26BCBE19" w14:textId="77777777" w:rsidTr="00A82A2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148A5D"/>
              <w:left w:val="nil"/>
              <w:right w:val="single" w:sz="4" w:space="0" w:color="148A5D"/>
            </w:tcBorders>
            <w:shd w:val="clear" w:color="auto" w:fill="148A5D"/>
          </w:tcPr>
          <w:p w14:paraId="377A89DB" w14:textId="77777777" w:rsidR="006F2BB8" w:rsidRPr="00874A32" w:rsidRDefault="006F2BB8" w:rsidP="00874A32">
            <w:pPr>
              <w:pStyle w:val="10Tabletext"/>
              <w:rPr>
                <w:color w:val="FFFFFF" w:themeColor="background1"/>
                <w:szCs w:val="24"/>
              </w:rPr>
            </w:pPr>
          </w:p>
        </w:tc>
        <w:tc>
          <w:tcPr>
            <w:tcW w:w="1837" w:type="dxa"/>
            <w:tcBorders>
              <w:top w:val="single" w:sz="4" w:space="0" w:color="148A5D"/>
              <w:left w:val="single" w:sz="4" w:space="0" w:color="148A5D"/>
              <w:right w:val="single" w:sz="4" w:space="0" w:color="148A5D"/>
            </w:tcBorders>
            <w:shd w:val="clear" w:color="auto" w:fill="148A5D"/>
          </w:tcPr>
          <w:p w14:paraId="7307586B" w14:textId="77777777" w:rsidR="006F2BB8" w:rsidRPr="00874A32" w:rsidRDefault="006F2BB8" w:rsidP="00A82A2A">
            <w:pPr>
              <w:pStyle w:val="10Tabletext"/>
              <w:jc w:val="center"/>
              <w:cnfStyle w:val="000000100000" w:firstRow="0" w:lastRow="0" w:firstColumn="0" w:lastColumn="0" w:oddVBand="0" w:evenVBand="0" w:oddHBand="1" w:evenHBand="0" w:firstRowFirstColumn="0" w:firstRowLastColumn="0" w:lastRowFirstColumn="0" w:lastRowLastColumn="0"/>
              <w:rPr>
                <w:b/>
                <w:bCs w:val="0"/>
                <w:color w:val="FFFFFF" w:themeColor="background1"/>
                <w:szCs w:val="24"/>
              </w:rPr>
            </w:pPr>
            <w:r w:rsidRPr="00874A32">
              <w:rPr>
                <w:b/>
                <w:bCs w:val="0"/>
                <w:color w:val="FFFFFF" w:themeColor="background1"/>
                <w:szCs w:val="24"/>
              </w:rPr>
              <w:t>Number</w:t>
            </w:r>
          </w:p>
        </w:tc>
        <w:tc>
          <w:tcPr>
            <w:tcW w:w="1837" w:type="dxa"/>
            <w:tcBorders>
              <w:top w:val="single" w:sz="4" w:space="0" w:color="148A5D"/>
              <w:left w:val="single" w:sz="4" w:space="0" w:color="148A5D"/>
              <w:right w:val="nil"/>
            </w:tcBorders>
            <w:shd w:val="clear" w:color="auto" w:fill="148A5D"/>
          </w:tcPr>
          <w:p w14:paraId="7BD7F41C" w14:textId="77777777" w:rsidR="006F2BB8" w:rsidRPr="00874A32" w:rsidRDefault="006F2BB8" w:rsidP="00A82A2A">
            <w:pPr>
              <w:pStyle w:val="10Tabletext"/>
              <w:jc w:val="center"/>
              <w:cnfStyle w:val="000000100000" w:firstRow="0" w:lastRow="0" w:firstColumn="0" w:lastColumn="0" w:oddVBand="0" w:evenVBand="0" w:oddHBand="1" w:evenHBand="0" w:firstRowFirstColumn="0" w:firstRowLastColumn="0" w:lastRowFirstColumn="0" w:lastRowLastColumn="0"/>
              <w:rPr>
                <w:b/>
                <w:bCs w:val="0"/>
                <w:color w:val="FFFFFF" w:themeColor="background1"/>
                <w:szCs w:val="24"/>
              </w:rPr>
            </w:pPr>
            <w:r w:rsidRPr="00874A32">
              <w:rPr>
                <w:b/>
                <w:bCs w:val="0"/>
                <w:color w:val="FFFFFF" w:themeColor="background1"/>
                <w:szCs w:val="24"/>
              </w:rPr>
              <w:t>%</w:t>
            </w:r>
          </w:p>
        </w:tc>
      </w:tr>
      <w:tr w:rsidR="006F2BB8" w:rsidRPr="006F2BB8" w14:paraId="567BAFCB" w14:textId="77777777" w:rsidTr="00A82A2A">
        <w:trPr>
          <w:cantSplit/>
        </w:trPr>
        <w:tc>
          <w:tcPr>
            <w:cnfStyle w:val="001000000000" w:firstRow="0" w:lastRow="0" w:firstColumn="1" w:lastColumn="0" w:oddVBand="0" w:evenVBand="0" w:oddHBand="0" w:evenHBand="0" w:firstRowFirstColumn="0" w:firstRowLastColumn="0" w:lastRowFirstColumn="0" w:lastRowLastColumn="0"/>
            <w:tcW w:w="4820" w:type="dxa"/>
            <w:tcBorders>
              <w:left w:val="nil"/>
            </w:tcBorders>
          </w:tcPr>
          <w:p w14:paraId="31D59C86" w14:textId="77777777" w:rsidR="006F2BB8" w:rsidRPr="00874A32" w:rsidRDefault="006F2BB8" w:rsidP="00874A32">
            <w:pPr>
              <w:pStyle w:val="10Tabletext"/>
            </w:pPr>
            <w:r w:rsidRPr="00874A32">
              <w:t>15-24 years</w:t>
            </w:r>
          </w:p>
        </w:tc>
        <w:tc>
          <w:tcPr>
            <w:tcW w:w="1837" w:type="dxa"/>
          </w:tcPr>
          <w:p w14:paraId="6AE2998B" w14:textId="77777777" w:rsidR="006F2BB8" w:rsidRPr="00874A32" w:rsidRDefault="006F2BB8" w:rsidP="00A82A2A">
            <w:pPr>
              <w:pStyle w:val="10Tabletext"/>
              <w:jc w:val="center"/>
              <w:cnfStyle w:val="000000000000" w:firstRow="0" w:lastRow="0" w:firstColumn="0" w:lastColumn="0" w:oddVBand="0" w:evenVBand="0" w:oddHBand="0" w:evenHBand="0" w:firstRowFirstColumn="0" w:firstRowLastColumn="0" w:lastRowFirstColumn="0" w:lastRowLastColumn="0"/>
            </w:pPr>
            <w:r w:rsidRPr="00874A32">
              <w:t>0</w:t>
            </w:r>
          </w:p>
        </w:tc>
        <w:tc>
          <w:tcPr>
            <w:tcW w:w="1837" w:type="dxa"/>
            <w:tcBorders>
              <w:right w:val="nil"/>
            </w:tcBorders>
          </w:tcPr>
          <w:p w14:paraId="122953AC" w14:textId="77777777" w:rsidR="006F2BB8" w:rsidRPr="00874A32" w:rsidRDefault="006F2BB8" w:rsidP="00A82A2A">
            <w:pPr>
              <w:pStyle w:val="10Tabletext"/>
              <w:jc w:val="center"/>
              <w:cnfStyle w:val="000000000000" w:firstRow="0" w:lastRow="0" w:firstColumn="0" w:lastColumn="0" w:oddVBand="0" w:evenVBand="0" w:oddHBand="0" w:evenHBand="0" w:firstRowFirstColumn="0" w:firstRowLastColumn="0" w:lastRowFirstColumn="0" w:lastRowLastColumn="0"/>
            </w:pPr>
            <w:r w:rsidRPr="00874A32">
              <w:t>0</w:t>
            </w:r>
          </w:p>
        </w:tc>
      </w:tr>
      <w:tr w:rsidR="006F2BB8" w:rsidRPr="006F2BB8" w14:paraId="432C4498" w14:textId="77777777" w:rsidTr="00A82A2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20" w:type="dxa"/>
            <w:tcBorders>
              <w:left w:val="nil"/>
            </w:tcBorders>
          </w:tcPr>
          <w:p w14:paraId="6213F56E" w14:textId="77777777" w:rsidR="006F2BB8" w:rsidRPr="00874A32" w:rsidRDefault="006F2BB8" w:rsidP="00874A32">
            <w:pPr>
              <w:pStyle w:val="10Tabletext"/>
            </w:pPr>
            <w:r w:rsidRPr="00874A32">
              <w:t>25-34 years</w:t>
            </w:r>
          </w:p>
        </w:tc>
        <w:tc>
          <w:tcPr>
            <w:tcW w:w="1837" w:type="dxa"/>
          </w:tcPr>
          <w:p w14:paraId="32BB7260" w14:textId="77777777" w:rsidR="006F2BB8" w:rsidRPr="00874A32" w:rsidRDefault="006F2BB8" w:rsidP="00A82A2A">
            <w:pPr>
              <w:pStyle w:val="10Tabletext"/>
              <w:jc w:val="center"/>
              <w:cnfStyle w:val="000000100000" w:firstRow="0" w:lastRow="0" w:firstColumn="0" w:lastColumn="0" w:oddVBand="0" w:evenVBand="0" w:oddHBand="1" w:evenHBand="0" w:firstRowFirstColumn="0" w:firstRowLastColumn="0" w:lastRowFirstColumn="0" w:lastRowLastColumn="0"/>
            </w:pPr>
            <w:r w:rsidRPr="00874A32">
              <w:t>14</w:t>
            </w:r>
          </w:p>
        </w:tc>
        <w:tc>
          <w:tcPr>
            <w:tcW w:w="1837" w:type="dxa"/>
            <w:tcBorders>
              <w:right w:val="nil"/>
            </w:tcBorders>
          </w:tcPr>
          <w:p w14:paraId="5C1F988D" w14:textId="77777777" w:rsidR="006F2BB8" w:rsidRPr="00874A32" w:rsidRDefault="006F2BB8" w:rsidP="00A82A2A">
            <w:pPr>
              <w:pStyle w:val="10Tabletext"/>
              <w:jc w:val="center"/>
              <w:cnfStyle w:val="000000100000" w:firstRow="0" w:lastRow="0" w:firstColumn="0" w:lastColumn="0" w:oddVBand="0" w:evenVBand="0" w:oddHBand="1" w:evenHBand="0" w:firstRowFirstColumn="0" w:firstRowLastColumn="0" w:lastRowFirstColumn="0" w:lastRowLastColumn="0"/>
            </w:pPr>
            <w:r w:rsidRPr="00874A32">
              <w:t>3</w:t>
            </w:r>
          </w:p>
        </w:tc>
      </w:tr>
      <w:tr w:rsidR="006F2BB8" w:rsidRPr="006F2BB8" w14:paraId="38FA4B1B" w14:textId="77777777" w:rsidTr="00A82A2A">
        <w:trPr>
          <w:cantSplit/>
        </w:trPr>
        <w:tc>
          <w:tcPr>
            <w:cnfStyle w:val="001000000000" w:firstRow="0" w:lastRow="0" w:firstColumn="1" w:lastColumn="0" w:oddVBand="0" w:evenVBand="0" w:oddHBand="0" w:evenHBand="0" w:firstRowFirstColumn="0" w:firstRowLastColumn="0" w:lastRowFirstColumn="0" w:lastRowLastColumn="0"/>
            <w:tcW w:w="4820" w:type="dxa"/>
            <w:tcBorders>
              <w:left w:val="nil"/>
            </w:tcBorders>
          </w:tcPr>
          <w:p w14:paraId="1450603A" w14:textId="77777777" w:rsidR="006F2BB8" w:rsidRPr="00874A32" w:rsidRDefault="006F2BB8" w:rsidP="00874A32">
            <w:pPr>
              <w:pStyle w:val="10Tabletext"/>
            </w:pPr>
            <w:r w:rsidRPr="00874A32">
              <w:t>35-44 years</w:t>
            </w:r>
          </w:p>
        </w:tc>
        <w:tc>
          <w:tcPr>
            <w:tcW w:w="1837" w:type="dxa"/>
          </w:tcPr>
          <w:p w14:paraId="6A883ED9" w14:textId="77777777" w:rsidR="006F2BB8" w:rsidRPr="00874A32" w:rsidRDefault="006F2BB8" w:rsidP="00A82A2A">
            <w:pPr>
              <w:pStyle w:val="10Tabletext"/>
              <w:jc w:val="center"/>
              <w:cnfStyle w:val="000000000000" w:firstRow="0" w:lastRow="0" w:firstColumn="0" w:lastColumn="0" w:oddVBand="0" w:evenVBand="0" w:oddHBand="0" w:evenHBand="0" w:firstRowFirstColumn="0" w:firstRowLastColumn="0" w:lastRowFirstColumn="0" w:lastRowLastColumn="0"/>
            </w:pPr>
            <w:r w:rsidRPr="00874A32">
              <w:t>195</w:t>
            </w:r>
          </w:p>
        </w:tc>
        <w:tc>
          <w:tcPr>
            <w:tcW w:w="1837" w:type="dxa"/>
            <w:tcBorders>
              <w:right w:val="nil"/>
            </w:tcBorders>
          </w:tcPr>
          <w:p w14:paraId="07E00A5D" w14:textId="77777777" w:rsidR="006F2BB8" w:rsidRPr="00874A32" w:rsidRDefault="006F2BB8" w:rsidP="00A82A2A">
            <w:pPr>
              <w:pStyle w:val="10Tabletext"/>
              <w:jc w:val="center"/>
              <w:cnfStyle w:val="000000000000" w:firstRow="0" w:lastRow="0" w:firstColumn="0" w:lastColumn="0" w:oddVBand="0" w:evenVBand="0" w:oddHBand="0" w:evenHBand="0" w:firstRowFirstColumn="0" w:firstRowLastColumn="0" w:lastRowFirstColumn="0" w:lastRowLastColumn="0"/>
            </w:pPr>
            <w:r w:rsidRPr="00874A32">
              <w:t>37</w:t>
            </w:r>
          </w:p>
        </w:tc>
      </w:tr>
      <w:tr w:rsidR="006F2BB8" w:rsidRPr="006F2BB8" w14:paraId="6D694E1F" w14:textId="77777777" w:rsidTr="00A82A2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20" w:type="dxa"/>
            <w:tcBorders>
              <w:left w:val="nil"/>
            </w:tcBorders>
          </w:tcPr>
          <w:p w14:paraId="752022EC" w14:textId="77777777" w:rsidR="006F2BB8" w:rsidRPr="00874A32" w:rsidRDefault="006F2BB8" w:rsidP="00874A32">
            <w:pPr>
              <w:pStyle w:val="10Tabletext"/>
            </w:pPr>
            <w:r w:rsidRPr="00874A32">
              <w:t>45-54 years</w:t>
            </w:r>
          </w:p>
        </w:tc>
        <w:tc>
          <w:tcPr>
            <w:tcW w:w="1837" w:type="dxa"/>
          </w:tcPr>
          <w:p w14:paraId="6CE8A8F3" w14:textId="77777777" w:rsidR="006F2BB8" w:rsidRPr="00874A32" w:rsidRDefault="006F2BB8" w:rsidP="00A82A2A">
            <w:pPr>
              <w:pStyle w:val="10Tabletext"/>
              <w:jc w:val="center"/>
              <w:cnfStyle w:val="000000100000" w:firstRow="0" w:lastRow="0" w:firstColumn="0" w:lastColumn="0" w:oddVBand="0" w:evenVBand="0" w:oddHBand="1" w:evenHBand="0" w:firstRowFirstColumn="0" w:firstRowLastColumn="0" w:lastRowFirstColumn="0" w:lastRowLastColumn="0"/>
            </w:pPr>
            <w:r w:rsidRPr="00874A32">
              <w:t>214</w:t>
            </w:r>
          </w:p>
        </w:tc>
        <w:tc>
          <w:tcPr>
            <w:tcW w:w="1837" w:type="dxa"/>
            <w:tcBorders>
              <w:right w:val="nil"/>
            </w:tcBorders>
          </w:tcPr>
          <w:p w14:paraId="34A65DCD" w14:textId="77777777" w:rsidR="006F2BB8" w:rsidRPr="00874A32" w:rsidRDefault="006F2BB8" w:rsidP="00A82A2A">
            <w:pPr>
              <w:pStyle w:val="10Tabletext"/>
              <w:jc w:val="center"/>
              <w:cnfStyle w:val="000000100000" w:firstRow="0" w:lastRow="0" w:firstColumn="0" w:lastColumn="0" w:oddVBand="0" w:evenVBand="0" w:oddHBand="1" w:evenHBand="0" w:firstRowFirstColumn="0" w:firstRowLastColumn="0" w:lastRowFirstColumn="0" w:lastRowLastColumn="0"/>
            </w:pPr>
            <w:r w:rsidRPr="00874A32">
              <w:t>41</w:t>
            </w:r>
          </w:p>
        </w:tc>
      </w:tr>
      <w:tr w:rsidR="006F2BB8" w:rsidRPr="006F2BB8" w14:paraId="3710ADB8" w14:textId="77777777" w:rsidTr="00A82A2A">
        <w:trPr>
          <w:cantSplit/>
        </w:trPr>
        <w:tc>
          <w:tcPr>
            <w:cnfStyle w:val="001000000000" w:firstRow="0" w:lastRow="0" w:firstColumn="1" w:lastColumn="0" w:oddVBand="0" w:evenVBand="0" w:oddHBand="0" w:evenHBand="0" w:firstRowFirstColumn="0" w:firstRowLastColumn="0" w:lastRowFirstColumn="0" w:lastRowLastColumn="0"/>
            <w:tcW w:w="4820" w:type="dxa"/>
            <w:tcBorders>
              <w:left w:val="nil"/>
            </w:tcBorders>
          </w:tcPr>
          <w:p w14:paraId="7BE6F47E" w14:textId="77777777" w:rsidR="006F2BB8" w:rsidRPr="00874A32" w:rsidRDefault="006F2BB8" w:rsidP="00874A32">
            <w:pPr>
              <w:pStyle w:val="10Tabletext"/>
            </w:pPr>
            <w:r w:rsidRPr="00874A32">
              <w:t>55-64 years</w:t>
            </w:r>
          </w:p>
        </w:tc>
        <w:tc>
          <w:tcPr>
            <w:tcW w:w="1837" w:type="dxa"/>
          </w:tcPr>
          <w:p w14:paraId="663E8214" w14:textId="77777777" w:rsidR="006F2BB8" w:rsidRPr="00874A32" w:rsidRDefault="006F2BB8" w:rsidP="00A82A2A">
            <w:pPr>
              <w:pStyle w:val="10Tabletext"/>
              <w:jc w:val="center"/>
              <w:cnfStyle w:val="000000000000" w:firstRow="0" w:lastRow="0" w:firstColumn="0" w:lastColumn="0" w:oddVBand="0" w:evenVBand="0" w:oddHBand="0" w:evenHBand="0" w:firstRowFirstColumn="0" w:firstRowLastColumn="0" w:lastRowFirstColumn="0" w:lastRowLastColumn="0"/>
            </w:pPr>
            <w:r w:rsidRPr="00874A32">
              <w:t>77</w:t>
            </w:r>
          </w:p>
        </w:tc>
        <w:tc>
          <w:tcPr>
            <w:tcW w:w="1837" w:type="dxa"/>
            <w:tcBorders>
              <w:right w:val="nil"/>
            </w:tcBorders>
          </w:tcPr>
          <w:p w14:paraId="0711204C" w14:textId="77777777" w:rsidR="006F2BB8" w:rsidRPr="00874A32" w:rsidRDefault="006F2BB8" w:rsidP="00A82A2A">
            <w:pPr>
              <w:pStyle w:val="10Tabletext"/>
              <w:jc w:val="center"/>
              <w:cnfStyle w:val="000000000000" w:firstRow="0" w:lastRow="0" w:firstColumn="0" w:lastColumn="0" w:oddVBand="0" w:evenVBand="0" w:oddHBand="0" w:evenHBand="0" w:firstRowFirstColumn="0" w:firstRowLastColumn="0" w:lastRowFirstColumn="0" w:lastRowLastColumn="0"/>
            </w:pPr>
            <w:r w:rsidRPr="00874A32">
              <w:t>15</w:t>
            </w:r>
          </w:p>
        </w:tc>
      </w:tr>
      <w:tr w:rsidR="006F2BB8" w:rsidRPr="006F2BB8" w14:paraId="0FDA788A" w14:textId="77777777" w:rsidTr="00A82A2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20" w:type="dxa"/>
            <w:tcBorders>
              <w:left w:val="nil"/>
            </w:tcBorders>
          </w:tcPr>
          <w:p w14:paraId="15E548D5" w14:textId="77777777" w:rsidR="006F2BB8" w:rsidRPr="00874A32" w:rsidRDefault="006F2BB8" w:rsidP="00874A32">
            <w:pPr>
              <w:pStyle w:val="10Tabletext"/>
            </w:pPr>
            <w:r w:rsidRPr="00874A32">
              <w:t>65+ years</w:t>
            </w:r>
          </w:p>
        </w:tc>
        <w:tc>
          <w:tcPr>
            <w:tcW w:w="1837" w:type="dxa"/>
          </w:tcPr>
          <w:p w14:paraId="1827D6D1" w14:textId="77777777" w:rsidR="006F2BB8" w:rsidRPr="00874A32" w:rsidRDefault="006F2BB8" w:rsidP="00A82A2A">
            <w:pPr>
              <w:pStyle w:val="10Tabletext"/>
              <w:jc w:val="center"/>
              <w:cnfStyle w:val="000000100000" w:firstRow="0" w:lastRow="0" w:firstColumn="0" w:lastColumn="0" w:oddVBand="0" w:evenVBand="0" w:oddHBand="1" w:evenHBand="0" w:firstRowFirstColumn="0" w:firstRowLastColumn="0" w:lastRowFirstColumn="0" w:lastRowLastColumn="0"/>
            </w:pPr>
            <w:r w:rsidRPr="00874A32">
              <w:t>7</w:t>
            </w:r>
          </w:p>
        </w:tc>
        <w:tc>
          <w:tcPr>
            <w:tcW w:w="1837" w:type="dxa"/>
            <w:tcBorders>
              <w:right w:val="nil"/>
            </w:tcBorders>
          </w:tcPr>
          <w:p w14:paraId="4B68D5AF" w14:textId="77777777" w:rsidR="006F2BB8" w:rsidRPr="00874A32" w:rsidRDefault="006F2BB8" w:rsidP="00A82A2A">
            <w:pPr>
              <w:pStyle w:val="10Tabletext"/>
              <w:jc w:val="center"/>
              <w:cnfStyle w:val="000000100000" w:firstRow="0" w:lastRow="0" w:firstColumn="0" w:lastColumn="0" w:oddVBand="0" w:evenVBand="0" w:oddHBand="1" w:evenHBand="0" w:firstRowFirstColumn="0" w:firstRowLastColumn="0" w:lastRowFirstColumn="0" w:lastRowLastColumn="0"/>
            </w:pPr>
            <w:r w:rsidRPr="00874A32">
              <w:t>1</w:t>
            </w:r>
          </w:p>
        </w:tc>
      </w:tr>
      <w:tr w:rsidR="006F2BB8" w:rsidRPr="006F2BB8" w14:paraId="15524489" w14:textId="77777777" w:rsidTr="00A82A2A">
        <w:trPr>
          <w:cantSplit/>
        </w:trPr>
        <w:tc>
          <w:tcPr>
            <w:cnfStyle w:val="001000000000" w:firstRow="0" w:lastRow="0" w:firstColumn="1" w:lastColumn="0" w:oddVBand="0" w:evenVBand="0" w:oddHBand="0" w:evenHBand="0" w:firstRowFirstColumn="0" w:firstRowLastColumn="0" w:lastRowFirstColumn="0" w:lastRowLastColumn="0"/>
            <w:tcW w:w="4820" w:type="dxa"/>
            <w:tcBorders>
              <w:left w:val="nil"/>
            </w:tcBorders>
          </w:tcPr>
          <w:p w14:paraId="4B4EF111" w14:textId="77777777" w:rsidR="006F2BB8" w:rsidRPr="00874A32" w:rsidRDefault="006F2BB8" w:rsidP="00874A32">
            <w:pPr>
              <w:pStyle w:val="10Tabletext"/>
            </w:pPr>
            <w:r w:rsidRPr="00874A32">
              <w:t>Prefer not to say</w:t>
            </w:r>
          </w:p>
        </w:tc>
        <w:tc>
          <w:tcPr>
            <w:tcW w:w="1837" w:type="dxa"/>
          </w:tcPr>
          <w:p w14:paraId="2E82F617" w14:textId="77777777" w:rsidR="006F2BB8" w:rsidRPr="00874A32" w:rsidRDefault="006F2BB8" w:rsidP="00A82A2A">
            <w:pPr>
              <w:pStyle w:val="10Tabletext"/>
              <w:jc w:val="center"/>
              <w:cnfStyle w:val="000000000000" w:firstRow="0" w:lastRow="0" w:firstColumn="0" w:lastColumn="0" w:oddVBand="0" w:evenVBand="0" w:oddHBand="0" w:evenHBand="0" w:firstRowFirstColumn="0" w:firstRowLastColumn="0" w:lastRowFirstColumn="0" w:lastRowLastColumn="0"/>
            </w:pPr>
            <w:r w:rsidRPr="00874A32">
              <w:t>21</w:t>
            </w:r>
          </w:p>
        </w:tc>
        <w:tc>
          <w:tcPr>
            <w:tcW w:w="1837" w:type="dxa"/>
            <w:tcBorders>
              <w:right w:val="nil"/>
            </w:tcBorders>
          </w:tcPr>
          <w:p w14:paraId="71278CD2" w14:textId="77777777" w:rsidR="006F2BB8" w:rsidRPr="00874A32" w:rsidRDefault="006F2BB8" w:rsidP="00A82A2A">
            <w:pPr>
              <w:pStyle w:val="10Tabletext"/>
              <w:jc w:val="center"/>
              <w:cnfStyle w:val="000000000000" w:firstRow="0" w:lastRow="0" w:firstColumn="0" w:lastColumn="0" w:oddVBand="0" w:evenVBand="0" w:oddHBand="0" w:evenHBand="0" w:firstRowFirstColumn="0" w:firstRowLastColumn="0" w:lastRowFirstColumn="0" w:lastRowLastColumn="0"/>
            </w:pPr>
            <w:r w:rsidRPr="00874A32">
              <w:t>4</w:t>
            </w:r>
          </w:p>
        </w:tc>
      </w:tr>
      <w:tr w:rsidR="006F2BB8" w:rsidRPr="006F2BB8" w14:paraId="4A0F6A60" w14:textId="77777777" w:rsidTr="00A82A2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20" w:type="dxa"/>
            <w:tcBorders>
              <w:left w:val="nil"/>
            </w:tcBorders>
          </w:tcPr>
          <w:p w14:paraId="101BF325" w14:textId="77777777" w:rsidR="006F2BB8" w:rsidRPr="00874A32" w:rsidRDefault="006F2BB8" w:rsidP="00874A32">
            <w:pPr>
              <w:pStyle w:val="10Tabletext"/>
            </w:pPr>
            <w:r w:rsidRPr="00874A32">
              <w:t>Total</w:t>
            </w:r>
          </w:p>
        </w:tc>
        <w:tc>
          <w:tcPr>
            <w:tcW w:w="1837" w:type="dxa"/>
          </w:tcPr>
          <w:p w14:paraId="1B4B8ED6" w14:textId="77777777" w:rsidR="006F2BB8" w:rsidRPr="00874A32" w:rsidRDefault="006F2BB8" w:rsidP="00A82A2A">
            <w:pPr>
              <w:pStyle w:val="10Tabletext"/>
              <w:jc w:val="center"/>
              <w:cnfStyle w:val="000000100000" w:firstRow="0" w:lastRow="0" w:firstColumn="0" w:lastColumn="0" w:oddVBand="0" w:evenVBand="0" w:oddHBand="1" w:evenHBand="0" w:firstRowFirstColumn="0" w:firstRowLastColumn="0" w:lastRowFirstColumn="0" w:lastRowLastColumn="0"/>
            </w:pPr>
            <w:r w:rsidRPr="00874A32">
              <w:t>528</w:t>
            </w:r>
          </w:p>
        </w:tc>
        <w:tc>
          <w:tcPr>
            <w:tcW w:w="1837" w:type="dxa"/>
            <w:tcBorders>
              <w:right w:val="nil"/>
            </w:tcBorders>
          </w:tcPr>
          <w:p w14:paraId="3CB36AA7" w14:textId="77777777" w:rsidR="006F2BB8" w:rsidRPr="00874A32" w:rsidRDefault="006F2BB8" w:rsidP="00A82A2A">
            <w:pPr>
              <w:pStyle w:val="10Tabletext"/>
              <w:jc w:val="center"/>
              <w:cnfStyle w:val="000000100000" w:firstRow="0" w:lastRow="0" w:firstColumn="0" w:lastColumn="0" w:oddVBand="0" w:evenVBand="0" w:oddHBand="1" w:evenHBand="0" w:firstRowFirstColumn="0" w:firstRowLastColumn="0" w:lastRowFirstColumn="0" w:lastRowLastColumn="0"/>
            </w:pPr>
          </w:p>
        </w:tc>
      </w:tr>
    </w:tbl>
    <w:p w14:paraId="09420483" w14:textId="480E1A0F" w:rsidR="00EF47C4" w:rsidRDefault="00EF47C4" w:rsidP="007A3801">
      <w:pPr>
        <w:pStyle w:val="09Sourcesandnotesfortablesfiguresboxes"/>
        <w:spacing w:after="180"/>
        <w:ind w:right="-147"/>
      </w:pPr>
      <w:r>
        <w:t>Note: The percentages in this table exceed 100</w:t>
      </w:r>
      <w:r w:rsidR="000F0A7C">
        <w:t xml:space="preserve"> per cent</w:t>
      </w:r>
      <w:r>
        <w:t xml:space="preserve"> due to the rounding of individual percentages to the nearest whole number.</w:t>
      </w:r>
    </w:p>
    <w:p w14:paraId="4C70B952" w14:textId="765D9989" w:rsidR="006F2BB8" w:rsidRPr="006F2BB8" w:rsidRDefault="006F2BB8" w:rsidP="006A3A46">
      <w:pPr>
        <w:pStyle w:val="05Paragraph"/>
      </w:pPr>
      <w:r w:rsidRPr="006F2BB8">
        <w:t>Over 90 per cent of respondents held positions primarily based in Melbourne (Table A.5).</w:t>
      </w:r>
    </w:p>
    <w:p w14:paraId="1B824D77" w14:textId="77777777" w:rsidR="006F2BB8" w:rsidRPr="006F2BB8" w:rsidRDefault="006F2BB8" w:rsidP="007A3801">
      <w:pPr>
        <w:pStyle w:val="08Figuretableboxheading"/>
        <w:spacing w:before="120"/>
      </w:pPr>
      <w:bookmarkStart w:id="182" w:name="_Toc170393584"/>
      <w:r w:rsidRPr="006F2BB8">
        <w:t>Table A.5: Please select where you have primarily worked from over the last 3 months. If you work in more than one location, select the primary or ‘base’ location.</w:t>
      </w:r>
      <w:bookmarkEnd w:id="182"/>
    </w:p>
    <w:tbl>
      <w:tblPr>
        <w:tblStyle w:val="ListTable3-Accent1"/>
        <w:tblW w:w="0" w:type="auto"/>
        <w:tblLayout w:type="fixed"/>
        <w:tblLook w:val="04A0" w:firstRow="1" w:lastRow="0" w:firstColumn="1" w:lastColumn="0" w:noHBand="0" w:noVBand="1"/>
      </w:tblPr>
      <w:tblGrid>
        <w:gridCol w:w="4962"/>
        <w:gridCol w:w="1766"/>
        <w:gridCol w:w="1766"/>
      </w:tblGrid>
      <w:tr w:rsidR="006F2BB8" w:rsidRPr="006F2BB8" w14:paraId="623F1088" w14:textId="77777777" w:rsidTr="00A82A2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4962" w:type="dxa"/>
            <w:tcBorders>
              <w:top w:val="single" w:sz="4" w:space="0" w:color="26664E"/>
              <w:left w:val="nil"/>
              <w:bottom w:val="single" w:sz="4" w:space="0" w:color="148A5D"/>
              <w:right w:val="single" w:sz="4" w:space="0" w:color="148A5D"/>
            </w:tcBorders>
            <w:shd w:val="clear" w:color="auto" w:fill="148A5D"/>
          </w:tcPr>
          <w:p w14:paraId="70E29D6D" w14:textId="77777777" w:rsidR="006F2BB8" w:rsidRPr="00874A32" w:rsidRDefault="006F2BB8" w:rsidP="00874A32">
            <w:pPr>
              <w:pStyle w:val="10Tabletext"/>
            </w:pPr>
            <w:r w:rsidRPr="00874A32">
              <w:t>Answer choices</w:t>
            </w:r>
          </w:p>
        </w:tc>
        <w:tc>
          <w:tcPr>
            <w:tcW w:w="3532" w:type="dxa"/>
            <w:gridSpan w:val="2"/>
            <w:tcBorders>
              <w:top w:val="single" w:sz="4" w:space="0" w:color="26664E"/>
              <w:left w:val="single" w:sz="4" w:space="0" w:color="148A5D"/>
              <w:bottom w:val="single" w:sz="4" w:space="0" w:color="148A5D"/>
              <w:right w:val="nil"/>
            </w:tcBorders>
            <w:shd w:val="clear" w:color="auto" w:fill="148A5D"/>
          </w:tcPr>
          <w:p w14:paraId="40BE5E93" w14:textId="77777777" w:rsidR="006F2BB8" w:rsidRPr="00874A32" w:rsidRDefault="006F2BB8" w:rsidP="00A82A2A">
            <w:pPr>
              <w:pStyle w:val="10Tabletext"/>
              <w:jc w:val="center"/>
              <w:cnfStyle w:val="100000000000" w:firstRow="1" w:lastRow="0" w:firstColumn="0" w:lastColumn="0" w:oddVBand="0" w:evenVBand="0" w:oddHBand="0" w:evenHBand="0" w:firstRowFirstColumn="0" w:firstRowLastColumn="0" w:lastRowFirstColumn="0" w:lastRowLastColumn="0"/>
            </w:pPr>
            <w:r w:rsidRPr="00874A32">
              <w:t>Responses</w:t>
            </w:r>
          </w:p>
        </w:tc>
      </w:tr>
      <w:tr w:rsidR="006F2BB8" w:rsidRPr="006F2BB8" w14:paraId="3E5B7C12" w14:textId="77777777" w:rsidTr="00A82A2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148A5D"/>
              <w:left w:val="nil"/>
              <w:right w:val="single" w:sz="4" w:space="0" w:color="148A5D"/>
            </w:tcBorders>
            <w:shd w:val="clear" w:color="auto" w:fill="148A5D"/>
          </w:tcPr>
          <w:p w14:paraId="286A1729" w14:textId="77777777" w:rsidR="006F2BB8" w:rsidRPr="00874A32" w:rsidRDefault="006F2BB8" w:rsidP="00874A32">
            <w:pPr>
              <w:pStyle w:val="10Tabletext"/>
              <w:rPr>
                <w:color w:val="FFFFFF" w:themeColor="background1"/>
                <w:szCs w:val="24"/>
              </w:rPr>
            </w:pPr>
          </w:p>
        </w:tc>
        <w:tc>
          <w:tcPr>
            <w:tcW w:w="1766" w:type="dxa"/>
            <w:tcBorders>
              <w:top w:val="single" w:sz="4" w:space="0" w:color="148A5D"/>
              <w:left w:val="single" w:sz="4" w:space="0" w:color="148A5D"/>
              <w:right w:val="single" w:sz="4" w:space="0" w:color="148A5D"/>
            </w:tcBorders>
            <w:shd w:val="clear" w:color="auto" w:fill="148A5D"/>
          </w:tcPr>
          <w:p w14:paraId="09074D00" w14:textId="77777777" w:rsidR="006F2BB8" w:rsidRPr="00874A32" w:rsidRDefault="006F2BB8" w:rsidP="00A82A2A">
            <w:pPr>
              <w:pStyle w:val="10Tabletext"/>
              <w:jc w:val="center"/>
              <w:cnfStyle w:val="000000100000" w:firstRow="0" w:lastRow="0" w:firstColumn="0" w:lastColumn="0" w:oddVBand="0" w:evenVBand="0" w:oddHBand="1" w:evenHBand="0" w:firstRowFirstColumn="0" w:firstRowLastColumn="0" w:lastRowFirstColumn="0" w:lastRowLastColumn="0"/>
              <w:rPr>
                <w:b/>
                <w:bCs w:val="0"/>
                <w:color w:val="FFFFFF" w:themeColor="background1"/>
                <w:szCs w:val="24"/>
              </w:rPr>
            </w:pPr>
            <w:r w:rsidRPr="00874A32">
              <w:rPr>
                <w:b/>
                <w:bCs w:val="0"/>
                <w:color w:val="FFFFFF" w:themeColor="background1"/>
                <w:szCs w:val="24"/>
              </w:rPr>
              <w:t>Number</w:t>
            </w:r>
          </w:p>
        </w:tc>
        <w:tc>
          <w:tcPr>
            <w:tcW w:w="1766" w:type="dxa"/>
            <w:tcBorders>
              <w:top w:val="single" w:sz="4" w:space="0" w:color="148A5D"/>
              <w:left w:val="single" w:sz="4" w:space="0" w:color="148A5D"/>
              <w:right w:val="nil"/>
            </w:tcBorders>
            <w:shd w:val="clear" w:color="auto" w:fill="148A5D"/>
          </w:tcPr>
          <w:p w14:paraId="7821A8F3" w14:textId="77777777" w:rsidR="006F2BB8" w:rsidRPr="00874A32" w:rsidRDefault="006F2BB8" w:rsidP="00A82A2A">
            <w:pPr>
              <w:pStyle w:val="10Tabletext"/>
              <w:jc w:val="center"/>
              <w:cnfStyle w:val="000000100000" w:firstRow="0" w:lastRow="0" w:firstColumn="0" w:lastColumn="0" w:oddVBand="0" w:evenVBand="0" w:oddHBand="1" w:evenHBand="0" w:firstRowFirstColumn="0" w:firstRowLastColumn="0" w:lastRowFirstColumn="0" w:lastRowLastColumn="0"/>
              <w:rPr>
                <w:b/>
                <w:bCs w:val="0"/>
                <w:color w:val="FFFFFF" w:themeColor="background1"/>
                <w:szCs w:val="24"/>
              </w:rPr>
            </w:pPr>
            <w:r w:rsidRPr="00874A32">
              <w:rPr>
                <w:b/>
                <w:bCs w:val="0"/>
                <w:color w:val="FFFFFF" w:themeColor="background1"/>
                <w:szCs w:val="24"/>
              </w:rPr>
              <w:t>%</w:t>
            </w:r>
          </w:p>
        </w:tc>
      </w:tr>
      <w:tr w:rsidR="006F2BB8" w:rsidRPr="002C3E58" w14:paraId="3CA4418D" w14:textId="77777777" w:rsidTr="00A82A2A">
        <w:trPr>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56B399E0" w14:textId="77777777" w:rsidR="006F2BB8" w:rsidRPr="00874A32" w:rsidRDefault="006F2BB8" w:rsidP="00874A32">
            <w:pPr>
              <w:pStyle w:val="10Tabletext"/>
            </w:pPr>
            <w:r w:rsidRPr="00874A32">
              <w:t>Melbourne CBD</w:t>
            </w:r>
          </w:p>
        </w:tc>
        <w:tc>
          <w:tcPr>
            <w:tcW w:w="1766" w:type="dxa"/>
          </w:tcPr>
          <w:p w14:paraId="43231053" w14:textId="77777777" w:rsidR="006F2BB8" w:rsidRPr="00874A32" w:rsidRDefault="006F2BB8" w:rsidP="00A82A2A">
            <w:pPr>
              <w:pStyle w:val="10Tabletext"/>
              <w:jc w:val="center"/>
              <w:cnfStyle w:val="000000000000" w:firstRow="0" w:lastRow="0" w:firstColumn="0" w:lastColumn="0" w:oddVBand="0" w:evenVBand="0" w:oddHBand="0" w:evenHBand="0" w:firstRowFirstColumn="0" w:firstRowLastColumn="0" w:lastRowFirstColumn="0" w:lastRowLastColumn="0"/>
            </w:pPr>
            <w:r w:rsidRPr="00874A32">
              <w:t>417</w:t>
            </w:r>
          </w:p>
        </w:tc>
        <w:tc>
          <w:tcPr>
            <w:tcW w:w="1766" w:type="dxa"/>
            <w:tcBorders>
              <w:right w:val="nil"/>
            </w:tcBorders>
          </w:tcPr>
          <w:p w14:paraId="333613D9" w14:textId="77777777" w:rsidR="006F2BB8" w:rsidRPr="00874A32" w:rsidRDefault="006F2BB8" w:rsidP="00A82A2A">
            <w:pPr>
              <w:pStyle w:val="10Tabletext"/>
              <w:jc w:val="center"/>
              <w:cnfStyle w:val="000000000000" w:firstRow="0" w:lastRow="0" w:firstColumn="0" w:lastColumn="0" w:oddVBand="0" w:evenVBand="0" w:oddHBand="0" w:evenHBand="0" w:firstRowFirstColumn="0" w:firstRowLastColumn="0" w:lastRowFirstColumn="0" w:lastRowLastColumn="0"/>
            </w:pPr>
            <w:r w:rsidRPr="00874A32">
              <w:t>79</w:t>
            </w:r>
          </w:p>
        </w:tc>
      </w:tr>
      <w:tr w:rsidR="006F2BB8" w:rsidRPr="002C3E58" w14:paraId="796B1ED2" w14:textId="77777777" w:rsidTr="00A82A2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04739046" w14:textId="77777777" w:rsidR="006F2BB8" w:rsidRPr="00874A32" w:rsidRDefault="006F2BB8" w:rsidP="00874A32">
            <w:pPr>
              <w:pStyle w:val="10Tabletext"/>
            </w:pPr>
            <w:r w:rsidRPr="00874A32">
              <w:t>Melbourne suburbs</w:t>
            </w:r>
          </w:p>
        </w:tc>
        <w:tc>
          <w:tcPr>
            <w:tcW w:w="1766" w:type="dxa"/>
          </w:tcPr>
          <w:p w14:paraId="60727CEF" w14:textId="77777777" w:rsidR="006F2BB8" w:rsidRPr="00874A32" w:rsidRDefault="006F2BB8" w:rsidP="00A82A2A">
            <w:pPr>
              <w:pStyle w:val="10Tabletext"/>
              <w:jc w:val="center"/>
              <w:cnfStyle w:val="000000100000" w:firstRow="0" w:lastRow="0" w:firstColumn="0" w:lastColumn="0" w:oddVBand="0" w:evenVBand="0" w:oddHBand="1" w:evenHBand="0" w:firstRowFirstColumn="0" w:firstRowLastColumn="0" w:lastRowFirstColumn="0" w:lastRowLastColumn="0"/>
            </w:pPr>
            <w:r w:rsidRPr="00874A32">
              <w:t>79</w:t>
            </w:r>
          </w:p>
        </w:tc>
        <w:tc>
          <w:tcPr>
            <w:tcW w:w="1766" w:type="dxa"/>
            <w:tcBorders>
              <w:right w:val="nil"/>
            </w:tcBorders>
          </w:tcPr>
          <w:p w14:paraId="232FBCCF" w14:textId="77777777" w:rsidR="006F2BB8" w:rsidRPr="00874A32" w:rsidRDefault="006F2BB8" w:rsidP="00A82A2A">
            <w:pPr>
              <w:pStyle w:val="10Tabletext"/>
              <w:jc w:val="center"/>
              <w:cnfStyle w:val="000000100000" w:firstRow="0" w:lastRow="0" w:firstColumn="0" w:lastColumn="0" w:oddVBand="0" w:evenVBand="0" w:oddHBand="1" w:evenHBand="0" w:firstRowFirstColumn="0" w:firstRowLastColumn="0" w:lastRowFirstColumn="0" w:lastRowLastColumn="0"/>
            </w:pPr>
            <w:r w:rsidRPr="00874A32">
              <w:t>15</w:t>
            </w:r>
          </w:p>
        </w:tc>
      </w:tr>
      <w:tr w:rsidR="006F2BB8" w:rsidRPr="002C3E58" w14:paraId="6B40C09B" w14:textId="77777777" w:rsidTr="00A82A2A">
        <w:trPr>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1D8A6563" w14:textId="77777777" w:rsidR="006F2BB8" w:rsidRPr="00874A32" w:rsidRDefault="006F2BB8" w:rsidP="00874A32">
            <w:pPr>
              <w:pStyle w:val="10Tabletext"/>
            </w:pPr>
            <w:r w:rsidRPr="00874A32">
              <w:t>Regional city</w:t>
            </w:r>
          </w:p>
        </w:tc>
        <w:tc>
          <w:tcPr>
            <w:tcW w:w="1766" w:type="dxa"/>
          </w:tcPr>
          <w:p w14:paraId="61604D9F" w14:textId="77777777" w:rsidR="006F2BB8" w:rsidRPr="00874A32" w:rsidRDefault="006F2BB8" w:rsidP="00A82A2A">
            <w:pPr>
              <w:pStyle w:val="10Tabletext"/>
              <w:jc w:val="center"/>
              <w:cnfStyle w:val="000000000000" w:firstRow="0" w:lastRow="0" w:firstColumn="0" w:lastColumn="0" w:oddVBand="0" w:evenVBand="0" w:oddHBand="0" w:evenHBand="0" w:firstRowFirstColumn="0" w:firstRowLastColumn="0" w:lastRowFirstColumn="0" w:lastRowLastColumn="0"/>
            </w:pPr>
            <w:r w:rsidRPr="00874A32">
              <w:t>25</w:t>
            </w:r>
          </w:p>
        </w:tc>
        <w:tc>
          <w:tcPr>
            <w:tcW w:w="1766" w:type="dxa"/>
            <w:tcBorders>
              <w:right w:val="nil"/>
            </w:tcBorders>
          </w:tcPr>
          <w:p w14:paraId="468EB19D" w14:textId="77777777" w:rsidR="006F2BB8" w:rsidRPr="00874A32" w:rsidRDefault="006F2BB8" w:rsidP="00A82A2A">
            <w:pPr>
              <w:pStyle w:val="10Tabletext"/>
              <w:jc w:val="center"/>
              <w:cnfStyle w:val="000000000000" w:firstRow="0" w:lastRow="0" w:firstColumn="0" w:lastColumn="0" w:oddVBand="0" w:evenVBand="0" w:oddHBand="0" w:evenHBand="0" w:firstRowFirstColumn="0" w:firstRowLastColumn="0" w:lastRowFirstColumn="0" w:lastRowLastColumn="0"/>
            </w:pPr>
            <w:r w:rsidRPr="00874A32">
              <w:t>5</w:t>
            </w:r>
          </w:p>
        </w:tc>
      </w:tr>
      <w:tr w:rsidR="006F2BB8" w:rsidRPr="002C3E58" w14:paraId="5B29B4D2" w14:textId="77777777" w:rsidTr="00A82A2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2E29DBB7" w14:textId="77777777" w:rsidR="006F2BB8" w:rsidRPr="00874A32" w:rsidRDefault="006F2BB8" w:rsidP="00874A32">
            <w:pPr>
              <w:pStyle w:val="10Tabletext"/>
            </w:pPr>
            <w:r w:rsidRPr="00874A32">
              <w:t>Location in Victoria outside of a regional city</w:t>
            </w:r>
          </w:p>
        </w:tc>
        <w:tc>
          <w:tcPr>
            <w:tcW w:w="1766" w:type="dxa"/>
          </w:tcPr>
          <w:p w14:paraId="16DEDA6B" w14:textId="77777777" w:rsidR="006F2BB8" w:rsidRPr="00874A32" w:rsidRDefault="006F2BB8" w:rsidP="00A82A2A">
            <w:pPr>
              <w:pStyle w:val="10Tabletext"/>
              <w:jc w:val="center"/>
              <w:cnfStyle w:val="000000100000" w:firstRow="0" w:lastRow="0" w:firstColumn="0" w:lastColumn="0" w:oddVBand="0" w:evenVBand="0" w:oddHBand="1" w:evenHBand="0" w:firstRowFirstColumn="0" w:firstRowLastColumn="0" w:lastRowFirstColumn="0" w:lastRowLastColumn="0"/>
            </w:pPr>
            <w:r w:rsidRPr="00874A32">
              <w:t>9</w:t>
            </w:r>
          </w:p>
        </w:tc>
        <w:tc>
          <w:tcPr>
            <w:tcW w:w="1766" w:type="dxa"/>
            <w:tcBorders>
              <w:right w:val="nil"/>
            </w:tcBorders>
          </w:tcPr>
          <w:p w14:paraId="7E6DF3AA" w14:textId="77777777" w:rsidR="006F2BB8" w:rsidRPr="00874A32" w:rsidRDefault="006F2BB8" w:rsidP="00A82A2A">
            <w:pPr>
              <w:pStyle w:val="10Tabletext"/>
              <w:jc w:val="center"/>
              <w:cnfStyle w:val="000000100000" w:firstRow="0" w:lastRow="0" w:firstColumn="0" w:lastColumn="0" w:oddVBand="0" w:evenVBand="0" w:oddHBand="1" w:evenHBand="0" w:firstRowFirstColumn="0" w:firstRowLastColumn="0" w:lastRowFirstColumn="0" w:lastRowLastColumn="0"/>
            </w:pPr>
            <w:r w:rsidRPr="00874A32">
              <w:t>2</w:t>
            </w:r>
          </w:p>
        </w:tc>
      </w:tr>
      <w:tr w:rsidR="00DD7B67" w:rsidRPr="002C3E58" w14:paraId="3991EF27" w14:textId="77777777" w:rsidTr="00A82A2A">
        <w:trPr>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28153713" w14:textId="6EC601D0" w:rsidR="00DD7B67" w:rsidRPr="00874A32" w:rsidRDefault="00DD7B67" w:rsidP="00874A32">
            <w:pPr>
              <w:pStyle w:val="10Tabletext"/>
            </w:pPr>
            <w:r w:rsidRPr="00874A32">
              <w:t>Other</w:t>
            </w:r>
          </w:p>
        </w:tc>
        <w:tc>
          <w:tcPr>
            <w:tcW w:w="1766" w:type="dxa"/>
          </w:tcPr>
          <w:p w14:paraId="50EE9A7C" w14:textId="6037E6D9" w:rsidR="00DD7B67" w:rsidRPr="00874A32" w:rsidRDefault="00DD7B67" w:rsidP="00A82A2A">
            <w:pPr>
              <w:pStyle w:val="10Tabletext"/>
              <w:jc w:val="center"/>
              <w:cnfStyle w:val="000000000000" w:firstRow="0" w:lastRow="0" w:firstColumn="0" w:lastColumn="0" w:oddVBand="0" w:evenVBand="0" w:oddHBand="0" w:evenHBand="0" w:firstRowFirstColumn="0" w:firstRowLastColumn="0" w:lastRowFirstColumn="0" w:lastRowLastColumn="0"/>
            </w:pPr>
            <w:r w:rsidRPr="00874A32">
              <w:t>0</w:t>
            </w:r>
          </w:p>
        </w:tc>
        <w:tc>
          <w:tcPr>
            <w:tcW w:w="1766" w:type="dxa"/>
            <w:tcBorders>
              <w:right w:val="nil"/>
            </w:tcBorders>
          </w:tcPr>
          <w:p w14:paraId="6CA964EE" w14:textId="1EBE4F78" w:rsidR="00DD7B67" w:rsidRPr="00874A32" w:rsidRDefault="00DD7B67" w:rsidP="00A82A2A">
            <w:pPr>
              <w:pStyle w:val="10Tabletext"/>
              <w:jc w:val="center"/>
              <w:cnfStyle w:val="000000000000" w:firstRow="0" w:lastRow="0" w:firstColumn="0" w:lastColumn="0" w:oddVBand="0" w:evenVBand="0" w:oddHBand="0" w:evenHBand="0" w:firstRowFirstColumn="0" w:firstRowLastColumn="0" w:lastRowFirstColumn="0" w:lastRowLastColumn="0"/>
            </w:pPr>
            <w:r w:rsidRPr="00874A32">
              <w:t>0</w:t>
            </w:r>
          </w:p>
        </w:tc>
      </w:tr>
      <w:tr w:rsidR="006F2BB8" w:rsidRPr="002C3E58" w14:paraId="5551D7F5" w14:textId="77777777" w:rsidTr="00A82A2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6A0AC410" w14:textId="77777777" w:rsidR="006F2BB8" w:rsidRPr="00874A32" w:rsidRDefault="006F2BB8" w:rsidP="00874A32">
            <w:pPr>
              <w:pStyle w:val="10Tabletext"/>
            </w:pPr>
            <w:r w:rsidRPr="00874A32">
              <w:t>Total</w:t>
            </w:r>
          </w:p>
        </w:tc>
        <w:tc>
          <w:tcPr>
            <w:tcW w:w="1766" w:type="dxa"/>
          </w:tcPr>
          <w:p w14:paraId="3A10899B" w14:textId="77777777" w:rsidR="006F2BB8" w:rsidRPr="00874A32" w:rsidRDefault="006F2BB8" w:rsidP="00A82A2A">
            <w:pPr>
              <w:pStyle w:val="10Tabletext"/>
              <w:jc w:val="center"/>
              <w:cnfStyle w:val="000000100000" w:firstRow="0" w:lastRow="0" w:firstColumn="0" w:lastColumn="0" w:oddVBand="0" w:evenVBand="0" w:oddHBand="1" w:evenHBand="0" w:firstRowFirstColumn="0" w:firstRowLastColumn="0" w:lastRowFirstColumn="0" w:lastRowLastColumn="0"/>
            </w:pPr>
            <w:r w:rsidRPr="00874A32">
              <w:t>530</w:t>
            </w:r>
          </w:p>
        </w:tc>
        <w:tc>
          <w:tcPr>
            <w:tcW w:w="1766" w:type="dxa"/>
            <w:tcBorders>
              <w:right w:val="nil"/>
            </w:tcBorders>
          </w:tcPr>
          <w:p w14:paraId="277BD973" w14:textId="77777777" w:rsidR="006F2BB8" w:rsidRPr="00874A32" w:rsidRDefault="006F2BB8" w:rsidP="00A82A2A">
            <w:pPr>
              <w:pStyle w:val="10Tabletext"/>
              <w:jc w:val="center"/>
              <w:cnfStyle w:val="000000100000" w:firstRow="0" w:lastRow="0" w:firstColumn="0" w:lastColumn="0" w:oddVBand="0" w:evenVBand="0" w:oddHBand="1" w:evenHBand="0" w:firstRowFirstColumn="0" w:firstRowLastColumn="0" w:lastRowFirstColumn="0" w:lastRowLastColumn="0"/>
            </w:pPr>
          </w:p>
        </w:tc>
      </w:tr>
    </w:tbl>
    <w:p w14:paraId="65A41F2F" w14:textId="2C80B780" w:rsidR="00D2127D" w:rsidRDefault="00D2127D" w:rsidP="00D2127D">
      <w:pPr>
        <w:pStyle w:val="09Sourcesandnotesfortablesfiguresboxes"/>
      </w:pPr>
      <w:r>
        <w:t>Note: The percentages in this table exceed 100</w:t>
      </w:r>
      <w:r w:rsidR="000F0A7C">
        <w:t xml:space="preserve"> per cent</w:t>
      </w:r>
      <w:r>
        <w:t xml:space="preserve"> due to the rounding of individual percentages to the nearest whole number.</w:t>
      </w:r>
    </w:p>
    <w:p w14:paraId="3FD6C146" w14:textId="6804790E" w:rsidR="006F2BB8" w:rsidRPr="006F2BB8" w:rsidRDefault="006F2BB8" w:rsidP="006A3A46">
      <w:pPr>
        <w:pStyle w:val="05Paragraph"/>
      </w:pPr>
      <w:r w:rsidRPr="006F2BB8">
        <w:t xml:space="preserve">Additionally, nearly 60 per cent of respondents </w:t>
      </w:r>
      <w:r w:rsidRPr="006F2BB8" w:rsidDel="008F7AAC">
        <w:t>regularly</w:t>
      </w:r>
      <w:r w:rsidRPr="006F2BB8">
        <w:t xml:space="preserve"> worked from home (or another private location) (Table A.6).</w:t>
      </w:r>
    </w:p>
    <w:p w14:paraId="2CC16A28" w14:textId="77777777" w:rsidR="006F2BB8" w:rsidRPr="006F2BB8" w:rsidRDefault="006F2BB8" w:rsidP="006C2935">
      <w:pPr>
        <w:pStyle w:val="08Figuretableboxheading"/>
      </w:pPr>
      <w:bookmarkStart w:id="183" w:name="_Toc170393585"/>
      <w:r w:rsidRPr="006F2BB8">
        <w:lastRenderedPageBreak/>
        <w:t>Table A.6: What have been your main places of work over the last 3 months? Please select all that apply.</w:t>
      </w:r>
      <w:bookmarkEnd w:id="183"/>
    </w:p>
    <w:tbl>
      <w:tblPr>
        <w:tblStyle w:val="ListTable3-Accent1"/>
        <w:tblW w:w="0" w:type="auto"/>
        <w:tblLayout w:type="fixed"/>
        <w:tblLook w:val="04A0" w:firstRow="1" w:lastRow="0" w:firstColumn="1" w:lastColumn="0" w:noHBand="0" w:noVBand="1"/>
      </w:tblPr>
      <w:tblGrid>
        <w:gridCol w:w="4962"/>
        <w:gridCol w:w="1766"/>
        <w:gridCol w:w="1766"/>
      </w:tblGrid>
      <w:tr w:rsidR="006F2BB8" w:rsidRPr="006F2BB8" w14:paraId="2C6B1D93" w14:textId="77777777" w:rsidTr="00214E07">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4962" w:type="dxa"/>
            <w:tcBorders>
              <w:top w:val="single" w:sz="4" w:space="0" w:color="26664E"/>
              <w:left w:val="nil"/>
              <w:bottom w:val="single" w:sz="4" w:space="0" w:color="148A5D"/>
              <w:right w:val="single" w:sz="4" w:space="0" w:color="148A5D"/>
            </w:tcBorders>
            <w:shd w:val="clear" w:color="auto" w:fill="148A5D"/>
          </w:tcPr>
          <w:p w14:paraId="13123E33" w14:textId="77777777" w:rsidR="006F2BB8" w:rsidRPr="00874A32" w:rsidRDefault="006F2BB8" w:rsidP="006C2935">
            <w:pPr>
              <w:pStyle w:val="10Tabletext"/>
              <w:keepNext/>
            </w:pPr>
            <w:r w:rsidRPr="00874A32">
              <w:t>Answer choices</w:t>
            </w:r>
          </w:p>
        </w:tc>
        <w:tc>
          <w:tcPr>
            <w:tcW w:w="3532" w:type="dxa"/>
            <w:gridSpan w:val="2"/>
            <w:tcBorders>
              <w:top w:val="single" w:sz="4" w:space="0" w:color="26664E"/>
              <w:left w:val="single" w:sz="4" w:space="0" w:color="148A5D"/>
              <w:bottom w:val="single" w:sz="4" w:space="0" w:color="148A5D"/>
              <w:right w:val="nil"/>
            </w:tcBorders>
            <w:shd w:val="clear" w:color="auto" w:fill="148A5D"/>
          </w:tcPr>
          <w:p w14:paraId="3DE8F0CF" w14:textId="77777777" w:rsidR="006F2BB8" w:rsidRPr="00874A32" w:rsidRDefault="006F2BB8" w:rsidP="00214E07">
            <w:pPr>
              <w:pStyle w:val="10Tabletext"/>
              <w:keepNext/>
              <w:jc w:val="center"/>
              <w:cnfStyle w:val="100000000000" w:firstRow="1" w:lastRow="0" w:firstColumn="0" w:lastColumn="0" w:oddVBand="0" w:evenVBand="0" w:oddHBand="0" w:evenHBand="0" w:firstRowFirstColumn="0" w:firstRowLastColumn="0" w:lastRowFirstColumn="0" w:lastRowLastColumn="0"/>
            </w:pPr>
            <w:r w:rsidRPr="00874A32">
              <w:t>Responses</w:t>
            </w:r>
          </w:p>
        </w:tc>
      </w:tr>
      <w:tr w:rsidR="006F2BB8" w:rsidRPr="006F2BB8" w14:paraId="52EBD172" w14:textId="77777777" w:rsidTr="00214E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148A5D"/>
              <w:left w:val="nil"/>
              <w:right w:val="single" w:sz="4" w:space="0" w:color="148A5D"/>
            </w:tcBorders>
            <w:shd w:val="clear" w:color="auto" w:fill="148A5D"/>
          </w:tcPr>
          <w:p w14:paraId="245A6B38" w14:textId="77777777" w:rsidR="006F2BB8" w:rsidRPr="00874A32" w:rsidRDefault="006F2BB8" w:rsidP="006C2935">
            <w:pPr>
              <w:pStyle w:val="10Tabletext"/>
              <w:keepNext/>
              <w:rPr>
                <w:color w:val="FFFFFF" w:themeColor="background1"/>
                <w:szCs w:val="24"/>
              </w:rPr>
            </w:pPr>
          </w:p>
        </w:tc>
        <w:tc>
          <w:tcPr>
            <w:tcW w:w="1766" w:type="dxa"/>
            <w:tcBorders>
              <w:top w:val="single" w:sz="4" w:space="0" w:color="148A5D"/>
              <w:left w:val="single" w:sz="4" w:space="0" w:color="148A5D"/>
              <w:right w:val="single" w:sz="4" w:space="0" w:color="148A5D"/>
            </w:tcBorders>
            <w:shd w:val="clear" w:color="auto" w:fill="148A5D"/>
          </w:tcPr>
          <w:p w14:paraId="3BCFFC84" w14:textId="77777777" w:rsidR="006F2BB8" w:rsidRPr="00874A32" w:rsidRDefault="006F2BB8" w:rsidP="00214E07">
            <w:pPr>
              <w:pStyle w:val="10Tabletext"/>
              <w:keepNext/>
              <w:jc w:val="center"/>
              <w:cnfStyle w:val="000000100000" w:firstRow="0" w:lastRow="0" w:firstColumn="0" w:lastColumn="0" w:oddVBand="0" w:evenVBand="0" w:oddHBand="1" w:evenHBand="0" w:firstRowFirstColumn="0" w:firstRowLastColumn="0" w:lastRowFirstColumn="0" w:lastRowLastColumn="0"/>
              <w:rPr>
                <w:b/>
                <w:bCs w:val="0"/>
                <w:color w:val="FFFFFF" w:themeColor="background1"/>
                <w:szCs w:val="24"/>
              </w:rPr>
            </w:pPr>
            <w:r w:rsidRPr="00874A32">
              <w:rPr>
                <w:b/>
                <w:bCs w:val="0"/>
                <w:color w:val="FFFFFF" w:themeColor="background1"/>
                <w:szCs w:val="24"/>
              </w:rPr>
              <w:t>Number</w:t>
            </w:r>
          </w:p>
        </w:tc>
        <w:tc>
          <w:tcPr>
            <w:tcW w:w="1766" w:type="dxa"/>
            <w:tcBorders>
              <w:top w:val="single" w:sz="4" w:space="0" w:color="148A5D"/>
              <w:left w:val="single" w:sz="4" w:space="0" w:color="148A5D"/>
              <w:right w:val="nil"/>
            </w:tcBorders>
            <w:shd w:val="clear" w:color="auto" w:fill="148A5D"/>
          </w:tcPr>
          <w:p w14:paraId="35171E22" w14:textId="77777777" w:rsidR="006F2BB8" w:rsidRPr="00874A32" w:rsidRDefault="006F2BB8" w:rsidP="00214E07">
            <w:pPr>
              <w:pStyle w:val="10Tabletext"/>
              <w:keepNext/>
              <w:jc w:val="center"/>
              <w:cnfStyle w:val="000000100000" w:firstRow="0" w:lastRow="0" w:firstColumn="0" w:lastColumn="0" w:oddVBand="0" w:evenVBand="0" w:oddHBand="1" w:evenHBand="0" w:firstRowFirstColumn="0" w:firstRowLastColumn="0" w:lastRowFirstColumn="0" w:lastRowLastColumn="0"/>
              <w:rPr>
                <w:b/>
                <w:bCs w:val="0"/>
                <w:color w:val="FFFFFF" w:themeColor="background1"/>
                <w:szCs w:val="24"/>
              </w:rPr>
            </w:pPr>
            <w:r w:rsidRPr="00874A32">
              <w:rPr>
                <w:b/>
                <w:bCs w:val="0"/>
                <w:color w:val="FFFFFF" w:themeColor="background1"/>
                <w:szCs w:val="24"/>
              </w:rPr>
              <w:t>%</w:t>
            </w:r>
          </w:p>
        </w:tc>
      </w:tr>
      <w:tr w:rsidR="006F2BB8" w:rsidRPr="006F2BB8" w14:paraId="18EFCE7F" w14:textId="77777777" w:rsidTr="00214E07">
        <w:trPr>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3BCEED1D" w14:textId="77777777" w:rsidR="006F2BB8" w:rsidRPr="00874A32" w:rsidRDefault="006F2BB8" w:rsidP="006C2935">
            <w:pPr>
              <w:pStyle w:val="10Tabletext"/>
              <w:keepNext/>
            </w:pPr>
            <w:r w:rsidRPr="00874A32">
              <w:t>Your employer’s office</w:t>
            </w:r>
          </w:p>
        </w:tc>
        <w:tc>
          <w:tcPr>
            <w:tcW w:w="1766" w:type="dxa"/>
          </w:tcPr>
          <w:p w14:paraId="0C6B3E31" w14:textId="77777777" w:rsidR="006F2BB8" w:rsidRPr="00874A32" w:rsidRDefault="006F2BB8" w:rsidP="00214E07">
            <w:pPr>
              <w:pStyle w:val="10Tabletext"/>
              <w:keepNext/>
              <w:jc w:val="center"/>
              <w:cnfStyle w:val="000000000000" w:firstRow="0" w:lastRow="0" w:firstColumn="0" w:lastColumn="0" w:oddVBand="0" w:evenVBand="0" w:oddHBand="0" w:evenHBand="0" w:firstRowFirstColumn="0" w:firstRowLastColumn="0" w:lastRowFirstColumn="0" w:lastRowLastColumn="0"/>
            </w:pPr>
            <w:r w:rsidRPr="00874A32">
              <w:t>497</w:t>
            </w:r>
          </w:p>
        </w:tc>
        <w:tc>
          <w:tcPr>
            <w:tcW w:w="1766" w:type="dxa"/>
            <w:tcBorders>
              <w:right w:val="nil"/>
            </w:tcBorders>
          </w:tcPr>
          <w:p w14:paraId="093D8A50" w14:textId="77777777" w:rsidR="006F2BB8" w:rsidRPr="00874A32" w:rsidRDefault="006F2BB8" w:rsidP="00214E07">
            <w:pPr>
              <w:pStyle w:val="10Tabletext"/>
              <w:keepNext/>
              <w:jc w:val="center"/>
              <w:cnfStyle w:val="000000000000" w:firstRow="0" w:lastRow="0" w:firstColumn="0" w:lastColumn="0" w:oddVBand="0" w:evenVBand="0" w:oddHBand="0" w:evenHBand="0" w:firstRowFirstColumn="0" w:firstRowLastColumn="0" w:lastRowFirstColumn="0" w:lastRowLastColumn="0"/>
            </w:pPr>
            <w:r w:rsidRPr="00874A32">
              <w:t>94</w:t>
            </w:r>
          </w:p>
        </w:tc>
      </w:tr>
      <w:tr w:rsidR="006F2BB8" w:rsidRPr="006F2BB8" w14:paraId="1A274997" w14:textId="77777777" w:rsidTr="00214E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42D190CA" w14:textId="77777777" w:rsidR="006F2BB8" w:rsidRPr="00874A32" w:rsidRDefault="006F2BB8" w:rsidP="006C2935">
            <w:pPr>
              <w:pStyle w:val="10Tabletext"/>
              <w:keepNext/>
            </w:pPr>
            <w:r w:rsidRPr="00874A32">
              <w:t>Home or private location</w:t>
            </w:r>
          </w:p>
        </w:tc>
        <w:tc>
          <w:tcPr>
            <w:tcW w:w="1766" w:type="dxa"/>
          </w:tcPr>
          <w:p w14:paraId="7CAC6720" w14:textId="77777777" w:rsidR="006F2BB8" w:rsidRPr="00874A32" w:rsidRDefault="006F2BB8" w:rsidP="00214E07">
            <w:pPr>
              <w:pStyle w:val="10Tabletext"/>
              <w:keepNext/>
              <w:jc w:val="center"/>
              <w:cnfStyle w:val="000000100000" w:firstRow="0" w:lastRow="0" w:firstColumn="0" w:lastColumn="0" w:oddVBand="0" w:evenVBand="0" w:oddHBand="1" w:evenHBand="0" w:firstRowFirstColumn="0" w:firstRowLastColumn="0" w:lastRowFirstColumn="0" w:lastRowLastColumn="0"/>
            </w:pPr>
            <w:r w:rsidRPr="00874A32">
              <w:t>315</w:t>
            </w:r>
          </w:p>
        </w:tc>
        <w:tc>
          <w:tcPr>
            <w:tcW w:w="1766" w:type="dxa"/>
            <w:tcBorders>
              <w:right w:val="nil"/>
            </w:tcBorders>
          </w:tcPr>
          <w:p w14:paraId="7CFD3D58" w14:textId="77777777" w:rsidR="006F2BB8" w:rsidRPr="00874A32" w:rsidRDefault="006F2BB8" w:rsidP="00214E07">
            <w:pPr>
              <w:pStyle w:val="10Tabletext"/>
              <w:keepNext/>
              <w:jc w:val="center"/>
              <w:cnfStyle w:val="000000100000" w:firstRow="0" w:lastRow="0" w:firstColumn="0" w:lastColumn="0" w:oddVBand="0" w:evenVBand="0" w:oddHBand="1" w:evenHBand="0" w:firstRowFirstColumn="0" w:firstRowLastColumn="0" w:lastRowFirstColumn="0" w:lastRowLastColumn="0"/>
            </w:pPr>
            <w:r w:rsidRPr="00874A32">
              <w:t>59</w:t>
            </w:r>
          </w:p>
        </w:tc>
      </w:tr>
      <w:tr w:rsidR="006F2BB8" w:rsidRPr="006F2BB8" w14:paraId="4B77E2D0" w14:textId="77777777" w:rsidTr="00214E07">
        <w:trPr>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703ED9A1" w14:textId="77777777" w:rsidR="006F2BB8" w:rsidRPr="00874A32" w:rsidRDefault="006F2BB8" w:rsidP="006C2935">
            <w:pPr>
              <w:pStyle w:val="10Tabletext"/>
              <w:keepNext/>
            </w:pPr>
            <w:r w:rsidRPr="00874A32">
              <w:t>A frontline or service delivery location</w:t>
            </w:r>
          </w:p>
        </w:tc>
        <w:tc>
          <w:tcPr>
            <w:tcW w:w="1766" w:type="dxa"/>
          </w:tcPr>
          <w:p w14:paraId="362FE309" w14:textId="77777777" w:rsidR="006F2BB8" w:rsidRPr="00874A32" w:rsidRDefault="006F2BB8" w:rsidP="00214E07">
            <w:pPr>
              <w:pStyle w:val="10Tabletext"/>
              <w:keepNext/>
              <w:jc w:val="center"/>
              <w:cnfStyle w:val="000000000000" w:firstRow="0" w:lastRow="0" w:firstColumn="0" w:lastColumn="0" w:oddVBand="0" w:evenVBand="0" w:oddHBand="0" w:evenHBand="0" w:firstRowFirstColumn="0" w:firstRowLastColumn="0" w:lastRowFirstColumn="0" w:lastRowLastColumn="0"/>
            </w:pPr>
            <w:r w:rsidRPr="00874A32">
              <w:t>46</w:t>
            </w:r>
          </w:p>
        </w:tc>
        <w:tc>
          <w:tcPr>
            <w:tcW w:w="1766" w:type="dxa"/>
            <w:tcBorders>
              <w:right w:val="nil"/>
            </w:tcBorders>
          </w:tcPr>
          <w:p w14:paraId="66259953" w14:textId="77777777" w:rsidR="006F2BB8" w:rsidRPr="00874A32" w:rsidRDefault="006F2BB8" w:rsidP="00214E07">
            <w:pPr>
              <w:pStyle w:val="10Tabletext"/>
              <w:keepNext/>
              <w:jc w:val="center"/>
              <w:cnfStyle w:val="000000000000" w:firstRow="0" w:lastRow="0" w:firstColumn="0" w:lastColumn="0" w:oddVBand="0" w:evenVBand="0" w:oddHBand="0" w:evenHBand="0" w:firstRowFirstColumn="0" w:firstRowLastColumn="0" w:lastRowFirstColumn="0" w:lastRowLastColumn="0"/>
            </w:pPr>
            <w:r w:rsidRPr="00874A32">
              <w:t>9</w:t>
            </w:r>
          </w:p>
        </w:tc>
      </w:tr>
      <w:tr w:rsidR="006F2BB8" w:rsidRPr="006F2BB8" w14:paraId="78B475E1" w14:textId="77777777" w:rsidTr="00214E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51452159" w14:textId="77777777" w:rsidR="006F2BB8" w:rsidRPr="00874A32" w:rsidRDefault="006F2BB8" w:rsidP="006C2935">
            <w:pPr>
              <w:pStyle w:val="10Tabletext"/>
              <w:keepNext/>
            </w:pPr>
            <w:r w:rsidRPr="00874A32">
              <w:t>A Gov hub or suburban hub</w:t>
            </w:r>
          </w:p>
        </w:tc>
        <w:tc>
          <w:tcPr>
            <w:tcW w:w="1766" w:type="dxa"/>
          </w:tcPr>
          <w:p w14:paraId="641D40BA" w14:textId="77777777" w:rsidR="006F2BB8" w:rsidRPr="00874A32" w:rsidRDefault="006F2BB8" w:rsidP="00214E07">
            <w:pPr>
              <w:pStyle w:val="10Tabletext"/>
              <w:keepNext/>
              <w:jc w:val="center"/>
              <w:cnfStyle w:val="000000100000" w:firstRow="0" w:lastRow="0" w:firstColumn="0" w:lastColumn="0" w:oddVBand="0" w:evenVBand="0" w:oddHBand="1" w:evenHBand="0" w:firstRowFirstColumn="0" w:firstRowLastColumn="0" w:lastRowFirstColumn="0" w:lastRowLastColumn="0"/>
            </w:pPr>
            <w:r w:rsidRPr="00874A32">
              <w:t>18</w:t>
            </w:r>
          </w:p>
        </w:tc>
        <w:tc>
          <w:tcPr>
            <w:tcW w:w="1766" w:type="dxa"/>
            <w:tcBorders>
              <w:right w:val="nil"/>
            </w:tcBorders>
          </w:tcPr>
          <w:p w14:paraId="514900E7" w14:textId="77777777" w:rsidR="006F2BB8" w:rsidRPr="00874A32" w:rsidRDefault="006F2BB8" w:rsidP="00214E07">
            <w:pPr>
              <w:pStyle w:val="10Tabletext"/>
              <w:keepNext/>
              <w:jc w:val="center"/>
              <w:cnfStyle w:val="000000100000" w:firstRow="0" w:lastRow="0" w:firstColumn="0" w:lastColumn="0" w:oddVBand="0" w:evenVBand="0" w:oddHBand="1" w:evenHBand="0" w:firstRowFirstColumn="0" w:firstRowLastColumn="0" w:lastRowFirstColumn="0" w:lastRowLastColumn="0"/>
            </w:pPr>
            <w:r w:rsidRPr="00874A32">
              <w:t>3</w:t>
            </w:r>
          </w:p>
        </w:tc>
      </w:tr>
      <w:tr w:rsidR="006F2BB8" w:rsidRPr="006F2BB8" w14:paraId="19AA83C0" w14:textId="77777777" w:rsidTr="00214E07">
        <w:trPr>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3E1B4262" w14:textId="77777777" w:rsidR="006F2BB8" w:rsidRPr="00874A32" w:rsidRDefault="006F2BB8" w:rsidP="006C2935">
            <w:pPr>
              <w:pStyle w:val="10Tabletext"/>
              <w:keepNext/>
            </w:pPr>
            <w:r w:rsidRPr="00874A32">
              <w:t>Other</w:t>
            </w:r>
          </w:p>
        </w:tc>
        <w:tc>
          <w:tcPr>
            <w:tcW w:w="1766" w:type="dxa"/>
          </w:tcPr>
          <w:p w14:paraId="36CE7701" w14:textId="77777777" w:rsidR="006F2BB8" w:rsidRPr="00874A32" w:rsidRDefault="006F2BB8" w:rsidP="00214E07">
            <w:pPr>
              <w:pStyle w:val="10Tabletext"/>
              <w:keepNext/>
              <w:jc w:val="center"/>
              <w:cnfStyle w:val="000000000000" w:firstRow="0" w:lastRow="0" w:firstColumn="0" w:lastColumn="0" w:oddVBand="0" w:evenVBand="0" w:oddHBand="0" w:evenHBand="0" w:firstRowFirstColumn="0" w:firstRowLastColumn="0" w:lastRowFirstColumn="0" w:lastRowLastColumn="0"/>
            </w:pPr>
            <w:r w:rsidRPr="00874A32">
              <w:t>13</w:t>
            </w:r>
          </w:p>
        </w:tc>
        <w:tc>
          <w:tcPr>
            <w:tcW w:w="1766" w:type="dxa"/>
            <w:tcBorders>
              <w:right w:val="nil"/>
            </w:tcBorders>
          </w:tcPr>
          <w:p w14:paraId="29B82D31" w14:textId="77777777" w:rsidR="006F2BB8" w:rsidRPr="00874A32" w:rsidRDefault="006F2BB8" w:rsidP="00214E07">
            <w:pPr>
              <w:pStyle w:val="10Tabletext"/>
              <w:keepNext/>
              <w:jc w:val="center"/>
              <w:cnfStyle w:val="000000000000" w:firstRow="0" w:lastRow="0" w:firstColumn="0" w:lastColumn="0" w:oddVBand="0" w:evenVBand="0" w:oddHBand="0" w:evenHBand="0" w:firstRowFirstColumn="0" w:firstRowLastColumn="0" w:lastRowFirstColumn="0" w:lastRowLastColumn="0"/>
            </w:pPr>
            <w:r w:rsidRPr="00874A32">
              <w:t>2</w:t>
            </w:r>
          </w:p>
        </w:tc>
      </w:tr>
      <w:tr w:rsidR="006F2BB8" w:rsidRPr="006F2BB8" w14:paraId="570A14A4" w14:textId="77777777" w:rsidTr="00214E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3D8D1326" w14:textId="271AF950" w:rsidR="006F2BB8" w:rsidRPr="00874A32" w:rsidRDefault="006F2BB8" w:rsidP="006C2935">
            <w:pPr>
              <w:pStyle w:val="10Tabletext"/>
              <w:keepNext/>
            </w:pPr>
            <w:r w:rsidRPr="00874A32">
              <w:t>Total</w:t>
            </w:r>
            <w:r w:rsidR="00AD11F7" w:rsidRPr="00874A32">
              <w:t xml:space="preserve"> respondents</w:t>
            </w:r>
          </w:p>
        </w:tc>
        <w:tc>
          <w:tcPr>
            <w:tcW w:w="1766" w:type="dxa"/>
          </w:tcPr>
          <w:p w14:paraId="68246DB2" w14:textId="77777777" w:rsidR="006F2BB8" w:rsidRPr="00874A32" w:rsidRDefault="006F2BB8" w:rsidP="00214E07">
            <w:pPr>
              <w:pStyle w:val="10Tabletext"/>
              <w:keepNext/>
              <w:jc w:val="center"/>
              <w:cnfStyle w:val="000000100000" w:firstRow="0" w:lastRow="0" w:firstColumn="0" w:lastColumn="0" w:oddVBand="0" w:evenVBand="0" w:oddHBand="1" w:evenHBand="0" w:firstRowFirstColumn="0" w:firstRowLastColumn="0" w:lastRowFirstColumn="0" w:lastRowLastColumn="0"/>
            </w:pPr>
            <w:r w:rsidRPr="00874A32">
              <w:t>530</w:t>
            </w:r>
          </w:p>
        </w:tc>
        <w:tc>
          <w:tcPr>
            <w:tcW w:w="1766" w:type="dxa"/>
            <w:tcBorders>
              <w:right w:val="nil"/>
            </w:tcBorders>
          </w:tcPr>
          <w:p w14:paraId="58913E26" w14:textId="77777777" w:rsidR="006F2BB8" w:rsidRPr="00874A32" w:rsidRDefault="006F2BB8" w:rsidP="00214E07">
            <w:pPr>
              <w:pStyle w:val="10Tabletext"/>
              <w:keepNext/>
              <w:jc w:val="center"/>
              <w:cnfStyle w:val="000000100000" w:firstRow="0" w:lastRow="0" w:firstColumn="0" w:lastColumn="0" w:oddVBand="0" w:evenVBand="0" w:oddHBand="1" w:evenHBand="0" w:firstRowFirstColumn="0" w:firstRowLastColumn="0" w:lastRowFirstColumn="0" w:lastRowLastColumn="0"/>
            </w:pPr>
          </w:p>
        </w:tc>
      </w:tr>
    </w:tbl>
    <w:p w14:paraId="0E94E1EC" w14:textId="718BF4DA" w:rsidR="00533340" w:rsidRDefault="00533340" w:rsidP="00533340">
      <w:pPr>
        <w:pStyle w:val="09Sourcesandnotesfortablesfiguresboxes"/>
      </w:pPr>
      <w:r>
        <w:t>Note: The percentages in this table exceed 100</w:t>
      </w:r>
      <w:r w:rsidR="000F0A7C">
        <w:t xml:space="preserve"> per cent</w:t>
      </w:r>
      <w:r>
        <w:t xml:space="preserve"> </w:t>
      </w:r>
      <w:r w:rsidR="003F6749">
        <w:t>as respondents were asked to select multiple options if applicable</w:t>
      </w:r>
      <w:r>
        <w:t>.</w:t>
      </w:r>
    </w:p>
    <w:p w14:paraId="38C6B371" w14:textId="628F3423" w:rsidR="006F2BB8" w:rsidRPr="006F2BB8" w:rsidRDefault="006F2BB8" w:rsidP="006A3A46">
      <w:pPr>
        <w:pStyle w:val="05Paragraph"/>
      </w:pPr>
      <w:r w:rsidRPr="006F2BB8" w:rsidDel="00E96258">
        <w:t xml:space="preserve">Only </w:t>
      </w:r>
      <w:r w:rsidRPr="006F2BB8">
        <w:t>10 per cent of respondents lived in regional Victoria, while 23 per cent lived in Melbourne’s inner suburbs (Figure A.1 and Table A.7).</w:t>
      </w:r>
    </w:p>
    <w:p w14:paraId="39DEC40D" w14:textId="77777777" w:rsidR="006F2BB8" w:rsidRDefault="006F2BB8" w:rsidP="00144BE8">
      <w:pPr>
        <w:pStyle w:val="08Figuretableboxheading"/>
      </w:pPr>
      <w:bookmarkStart w:id="184" w:name="_Toc170393586"/>
      <w:r w:rsidRPr="006F2BB8">
        <w:t>Figure A.1: What is the postcode for your usual place of residence?</w:t>
      </w:r>
      <w:bookmarkEnd w:id="184"/>
    </w:p>
    <w:p w14:paraId="4ACD261E" w14:textId="04DB356F" w:rsidR="00C15CC8" w:rsidRPr="006F2BB8" w:rsidRDefault="00C15CC8" w:rsidP="00144BE8">
      <w:pPr>
        <w:pStyle w:val="08Figuretableboxheading"/>
      </w:pPr>
      <w:r>
        <w:rPr>
          <w:noProof/>
        </w:rPr>
        <w:drawing>
          <wp:inline distT="0" distB="0" distL="0" distR="0" wp14:anchorId="7E7EF64F" wp14:editId="619AA5E5">
            <wp:extent cx="5414010" cy="2170430"/>
            <wp:effectExtent l="0" t="0" r="0" b="1270"/>
            <wp:docPr id="12593760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14010" cy="2170430"/>
                    </a:xfrm>
                    <a:prstGeom prst="rect">
                      <a:avLst/>
                    </a:prstGeom>
                    <a:noFill/>
                  </pic:spPr>
                </pic:pic>
              </a:graphicData>
            </a:graphic>
          </wp:inline>
        </w:drawing>
      </w:r>
    </w:p>
    <w:p w14:paraId="44E7C02A" w14:textId="400E9E47" w:rsidR="006F2BB8" w:rsidRPr="006F2BB8" w:rsidRDefault="006F2BB8" w:rsidP="00144BE8">
      <w:pPr>
        <w:pStyle w:val="08Figuretableboxheading"/>
      </w:pPr>
      <w:bookmarkStart w:id="185" w:name="_Toc170393587"/>
      <w:r w:rsidRPr="006F2BB8">
        <w:t>Table A.7: What is the postcode for your usual place of residence?</w:t>
      </w:r>
      <w:bookmarkEnd w:id="185"/>
    </w:p>
    <w:tbl>
      <w:tblPr>
        <w:tblStyle w:val="ListTable3-Accent1"/>
        <w:tblW w:w="0" w:type="auto"/>
        <w:tblLayout w:type="fixed"/>
        <w:tblLook w:val="04A0" w:firstRow="1" w:lastRow="0" w:firstColumn="1" w:lastColumn="0" w:noHBand="0" w:noVBand="1"/>
      </w:tblPr>
      <w:tblGrid>
        <w:gridCol w:w="4962"/>
        <w:gridCol w:w="1766"/>
        <w:gridCol w:w="1766"/>
      </w:tblGrid>
      <w:tr w:rsidR="006F2BB8" w:rsidRPr="006F2BB8" w14:paraId="13288FDE" w14:textId="77777777" w:rsidTr="00180966">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4962" w:type="dxa"/>
            <w:tcBorders>
              <w:top w:val="single" w:sz="4" w:space="0" w:color="26664E"/>
              <w:left w:val="nil"/>
              <w:bottom w:val="single" w:sz="4" w:space="0" w:color="148A5D"/>
              <w:right w:val="single" w:sz="4" w:space="0" w:color="148A5D"/>
            </w:tcBorders>
            <w:shd w:val="clear" w:color="auto" w:fill="148A5D"/>
          </w:tcPr>
          <w:p w14:paraId="09C3EB05" w14:textId="77777777" w:rsidR="006F2BB8" w:rsidRPr="00874A32" w:rsidRDefault="006F2BB8" w:rsidP="00874A32">
            <w:pPr>
              <w:pStyle w:val="10Tabletext"/>
            </w:pPr>
            <w:r w:rsidRPr="00874A32">
              <w:t>Answers</w:t>
            </w:r>
          </w:p>
        </w:tc>
        <w:tc>
          <w:tcPr>
            <w:tcW w:w="3532" w:type="dxa"/>
            <w:gridSpan w:val="2"/>
            <w:tcBorders>
              <w:top w:val="single" w:sz="4" w:space="0" w:color="26664E"/>
              <w:left w:val="single" w:sz="4" w:space="0" w:color="148A5D"/>
              <w:right w:val="nil"/>
            </w:tcBorders>
            <w:shd w:val="clear" w:color="auto" w:fill="148A5D"/>
          </w:tcPr>
          <w:p w14:paraId="3C1BD78A" w14:textId="77777777" w:rsidR="006F2BB8" w:rsidRPr="00874A32" w:rsidRDefault="006F2BB8" w:rsidP="00180966">
            <w:pPr>
              <w:pStyle w:val="10Tabletext"/>
              <w:jc w:val="center"/>
              <w:cnfStyle w:val="100000000000" w:firstRow="1" w:lastRow="0" w:firstColumn="0" w:lastColumn="0" w:oddVBand="0" w:evenVBand="0" w:oddHBand="0" w:evenHBand="0" w:firstRowFirstColumn="0" w:firstRowLastColumn="0" w:lastRowFirstColumn="0" w:lastRowLastColumn="0"/>
            </w:pPr>
            <w:r w:rsidRPr="00874A32">
              <w:t>Responses</w:t>
            </w:r>
          </w:p>
        </w:tc>
      </w:tr>
      <w:tr w:rsidR="006F2BB8" w:rsidRPr="006F2BB8" w14:paraId="377D03F7" w14:textId="77777777" w:rsidTr="0018096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148A5D"/>
              <w:left w:val="nil"/>
              <w:right w:val="single" w:sz="4" w:space="0" w:color="148A5D"/>
            </w:tcBorders>
            <w:shd w:val="clear" w:color="auto" w:fill="148A5D"/>
          </w:tcPr>
          <w:p w14:paraId="1623FD1C" w14:textId="77777777" w:rsidR="006F2BB8" w:rsidRPr="00874A32" w:rsidRDefault="006F2BB8" w:rsidP="00874A32">
            <w:pPr>
              <w:pStyle w:val="10Tabletext"/>
              <w:rPr>
                <w:color w:val="FFFFFF" w:themeColor="background1"/>
                <w:szCs w:val="24"/>
              </w:rPr>
            </w:pPr>
          </w:p>
        </w:tc>
        <w:tc>
          <w:tcPr>
            <w:tcW w:w="1766" w:type="dxa"/>
            <w:tcBorders>
              <w:top w:val="single" w:sz="4" w:space="0" w:color="148A5D"/>
              <w:left w:val="single" w:sz="4" w:space="0" w:color="148A5D"/>
              <w:right w:val="single" w:sz="4" w:space="0" w:color="148A5D"/>
            </w:tcBorders>
            <w:shd w:val="clear" w:color="auto" w:fill="148A5D"/>
          </w:tcPr>
          <w:p w14:paraId="7DB1DD41" w14:textId="77777777" w:rsidR="006F2BB8" w:rsidRPr="00874A32" w:rsidRDefault="006F2BB8" w:rsidP="00180966">
            <w:pPr>
              <w:pStyle w:val="10Tabletext"/>
              <w:jc w:val="center"/>
              <w:cnfStyle w:val="000000100000" w:firstRow="0" w:lastRow="0" w:firstColumn="0" w:lastColumn="0" w:oddVBand="0" w:evenVBand="0" w:oddHBand="1" w:evenHBand="0" w:firstRowFirstColumn="0" w:firstRowLastColumn="0" w:lastRowFirstColumn="0" w:lastRowLastColumn="0"/>
              <w:rPr>
                <w:b/>
                <w:bCs w:val="0"/>
                <w:color w:val="FFFFFF" w:themeColor="background1"/>
                <w:szCs w:val="24"/>
              </w:rPr>
            </w:pPr>
            <w:r w:rsidRPr="00874A32">
              <w:rPr>
                <w:b/>
                <w:bCs w:val="0"/>
                <w:color w:val="FFFFFF" w:themeColor="background1"/>
                <w:szCs w:val="24"/>
              </w:rPr>
              <w:t>Number</w:t>
            </w:r>
          </w:p>
        </w:tc>
        <w:tc>
          <w:tcPr>
            <w:tcW w:w="1766" w:type="dxa"/>
            <w:tcBorders>
              <w:top w:val="single" w:sz="4" w:space="0" w:color="148A5D"/>
              <w:left w:val="single" w:sz="4" w:space="0" w:color="148A5D"/>
              <w:right w:val="nil"/>
            </w:tcBorders>
            <w:shd w:val="clear" w:color="auto" w:fill="148A5D"/>
          </w:tcPr>
          <w:p w14:paraId="2B820EC2" w14:textId="77777777" w:rsidR="006F2BB8" w:rsidRPr="00874A32" w:rsidRDefault="006F2BB8" w:rsidP="00180966">
            <w:pPr>
              <w:pStyle w:val="10Tabletext"/>
              <w:jc w:val="center"/>
              <w:cnfStyle w:val="000000100000" w:firstRow="0" w:lastRow="0" w:firstColumn="0" w:lastColumn="0" w:oddVBand="0" w:evenVBand="0" w:oddHBand="1" w:evenHBand="0" w:firstRowFirstColumn="0" w:firstRowLastColumn="0" w:lastRowFirstColumn="0" w:lastRowLastColumn="0"/>
              <w:rPr>
                <w:b/>
                <w:bCs w:val="0"/>
                <w:color w:val="FFFFFF" w:themeColor="background1"/>
                <w:szCs w:val="24"/>
              </w:rPr>
            </w:pPr>
            <w:r w:rsidRPr="00874A32">
              <w:rPr>
                <w:b/>
                <w:bCs w:val="0"/>
                <w:color w:val="FFFFFF" w:themeColor="background1"/>
                <w:szCs w:val="24"/>
              </w:rPr>
              <w:t>%</w:t>
            </w:r>
          </w:p>
        </w:tc>
      </w:tr>
      <w:tr w:rsidR="006F2BB8" w:rsidRPr="003A6CD4" w14:paraId="55C44C18" w14:textId="77777777" w:rsidTr="00180966">
        <w:trPr>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520DEC40" w14:textId="77777777" w:rsidR="006F2BB8" w:rsidRPr="00874A32" w:rsidRDefault="006F2BB8" w:rsidP="00874A32">
            <w:pPr>
              <w:pStyle w:val="10Tabletext"/>
            </w:pPr>
            <w:r w:rsidRPr="00874A32">
              <w:t>Melbourne – northern suburbs</w:t>
            </w:r>
          </w:p>
        </w:tc>
        <w:tc>
          <w:tcPr>
            <w:tcW w:w="1766" w:type="dxa"/>
          </w:tcPr>
          <w:p w14:paraId="7B2D4510" w14:textId="77777777" w:rsidR="006F2BB8" w:rsidRPr="00874A32" w:rsidRDefault="006F2BB8" w:rsidP="00180966">
            <w:pPr>
              <w:pStyle w:val="10Tabletext"/>
              <w:jc w:val="center"/>
              <w:cnfStyle w:val="000000000000" w:firstRow="0" w:lastRow="0" w:firstColumn="0" w:lastColumn="0" w:oddVBand="0" w:evenVBand="0" w:oddHBand="0" w:evenHBand="0" w:firstRowFirstColumn="0" w:firstRowLastColumn="0" w:lastRowFirstColumn="0" w:lastRowLastColumn="0"/>
            </w:pPr>
            <w:r w:rsidRPr="00874A32">
              <w:t>123</w:t>
            </w:r>
          </w:p>
        </w:tc>
        <w:tc>
          <w:tcPr>
            <w:tcW w:w="1766" w:type="dxa"/>
            <w:tcBorders>
              <w:right w:val="nil"/>
            </w:tcBorders>
          </w:tcPr>
          <w:p w14:paraId="12BF73A5" w14:textId="77777777" w:rsidR="006F2BB8" w:rsidRPr="00874A32" w:rsidRDefault="006F2BB8" w:rsidP="00180966">
            <w:pPr>
              <w:pStyle w:val="10Tabletext"/>
              <w:jc w:val="center"/>
              <w:cnfStyle w:val="000000000000" w:firstRow="0" w:lastRow="0" w:firstColumn="0" w:lastColumn="0" w:oddVBand="0" w:evenVBand="0" w:oddHBand="0" w:evenHBand="0" w:firstRowFirstColumn="0" w:firstRowLastColumn="0" w:lastRowFirstColumn="0" w:lastRowLastColumn="0"/>
            </w:pPr>
            <w:r w:rsidRPr="00874A32">
              <w:t>23</w:t>
            </w:r>
          </w:p>
        </w:tc>
      </w:tr>
      <w:tr w:rsidR="006F2BB8" w:rsidRPr="003A6CD4" w14:paraId="1003FFA9" w14:textId="77777777" w:rsidTr="0018096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66A815AD" w14:textId="77777777" w:rsidR="006F2BB8" w:rsidRPr="00874A32" w:rsidRDefault="006F2BB8" w:rsidP="00874A32">
            <w:pPr>
              <w:pStyle w:val="10Tabletext"/>
            </w:pPr>
            <w:r w:rsidRPr="00874A32">
              <w:t>Melbourne – inner suburbs</w:t>
            </w:r>
          </w:p>
        </w:tc>
        <w:tc>
          <w:tcPr>
            <w:tcW w:w="1766" w:type="dxa"/>
          </w:tcPr>
          <w:p w14:paraId="59546955" w14:textId="77777777" w:rsidR="006F2BB8" w:rsidRPr="00874A32" w:rsidRDefault="006F2BB8" w:rsidP="00180966">
            <w:pPr>
              <w:pStyle w:val="10Tabletext"/>
              <w:jc w:val="center"/>
              <w:cnfStyle w:val="000000100000" w:firstRow="0" w:lastRow="0" w:firstColumn="0" w:lastColumn="0" w:oddVBand="0" w:evenVBand="0" w:oddHBand="1" w:evenHBand="0" w:firstRowFirstColumn="0" w:firstRowLastColumn="0" w:lastRowFirstColumn="0" w:lastRowLastColumn="0"/>
            </w:pPr>
            <w:r w:rsidRPr="00874A32">
              <w:t>120</w:t>
            </w:r>
          </w:p>
        </w:tc>
        <w:tc>
          <w:tcPr>
            <w:tcW w:w="1766" w:type="dxa"/>
            <w:tcBorders>
              <w:right w:val="nil"/>
            </w:tcBorders>
          </w:tcPr>
          <w:p w14:paraId="1659D9C4" w14:textId="77777777" w:rsidR="006F2BB8" w:rsidRPr="00874A32" w:rsidRDefault="006F2BB8" w:rsidP="00180966">
            <w:pPr>
              <w:pStyle w:val="10Tabletext"/>
              <w:jc w:val="center"/>
              <w:cnfStyle w:val="000000100000" w:firstRow="0" w:lastRow="0" w:firstColumn="0" w:lastColumn="0" w:oddVBand="0" w:evenVBand="0" w:oddHBand="1" w:evenHBand="0" w:firstRowFirstColumn="0" w:firstRowLastColumn="0" w:lastRowFirstColumn="0" w:lastRowLastColumn="0"/>
            </w:pPr>
            <w:r w:rsidRPr="00874A32">
              <w:t>23</w:t>
            </w:r>
          </w:p>
        </w:tc>
      </w:tr>
      <w:tr w:rsidR="006F2BB8" w:rsidRPr="003A6CD4" w14:paraId="2B88ABD5" w14:textId="77777777" w:rsidTr="00180966">
        <w:trPr>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0473A681" w14:textId="67A6C870" w:rsidR="006F2BB8" w:rsidRPr="00874A32" w:rsidRDefault="006F2BB8" w:rsidP="00874A32">
            <w:pPr>
              <w:pStyle w:val="10Tabletext"/>
            </w:pPr>
            <w:r w:rsidRPr="00874A32">
              <w:t>Melbourne – south</w:t>
            </w:r>
            <w:r w:rsidR="00AC5290" w:rsidRPr="00874A32">
              <w:t>-</w:t>
            </w:r>
            <w:r w:rsidRPr="00874A32">
              <w:t>eastern suburbs</w:t>
            </w:r>
          </w:p>
        </w:tc>
        <w:tc>
          <w:tcPr>
            <w:tcW w:w="1766" w:type="dxa"/>
          </w:tcPr>
          <w:p w14:paraId="63C74780" w14:textId="77777777" w:rsidR="006F2BB8" w:rsidRPr="00874A32" w:rsidRDefault="006F2BB8" w:rsidP="00180966">
            <w:pPr>
              <w:pStyle w:val="10Tabletext"/>
              <w:jc w:val="center"/>
              <w:cnfStyle w:val="000000000000" w:firstRow="0" w:lastRow="0" w:firstColumn="0" w:lastColumn="0" w:oddVBand="0" w:evenVBand="0" w:oddHBand="0" w:evenHBand="0" w:firstRowFirstColumn="0" w:firstRowLastColumn="0" w:lastRowFirstColumn="0" w:lastRowLastColumn="0"/>
            </w:pPr>
            <w:r w:rsidRPr="00874A32">
              <w:t>87</w:t>
            </w:r>
          </w:p>
        </w:tc>
        <w:tc>
          <w:tcPr>
            <w:tcW w:w="1766" w:type="dxa"/>
            <w:tcBorders>
              <w:right w:val="nil"/>
            </w:tcBorders>
          </w:tcPr>
          <w:p w14:paraId="6F0EF2E2" w14:textId="77777777" w:rsidR="006F2BB8" w:rsidRPr="00874A32" w:rsidRDefault="006F2BB8" w:rsidP="00180966">
            <w:pPr>
              <w:pStyle w:val="10Tabletext"/>
              <w:jc w:val="center"/>
              <w:cnfStyle w:val="000000000000" w:firstRow="0" w:lastRow="0" w:firstColumn="0" w:lastColumn="0" w:oddVBand="0" w:evenVBand="0" w:oddHBand="0" w:evenHBand="0" w:firstRowFirstColumn="0" w:firstRowLastColumn="0" w:lastRowFirstColumn="0" w:lastRowLastColumn="0"/>
            </w:pPr>
            <w:r w:rsidRPr="00874A32">
              <w:t>17</w:t>
            </w:r>
          </w:p>
        </w:tc>
      </w:tr>
      <w:tr w:rsidR="006F2BB8" w:rsidRPr="003A6CD4" w14:paraId="60E3D85C" w14:textId="77777777" w:rsidTr="0018096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3534DB3A" w14:textId="77777777" w:rsidR="006F2BB8" w:rsidRPr="00874A32" w:rsidRDefault="006F2BB8" w:rsidP="00874A32">
            <w:pPr>
              <w:pStyle w:val="10Tabletext"/>
            </w:pPr>
            <w:r w:rsidRPr="00874A32">
              <w:t>Melbourne – eastern suburbs</w:t>
            </w:r>
          </w:p>
        </w:tc>
        <w:tc>
          <w:tcPr>
            <w:tcW w:w="1766" w:type="dxa"/>
          </w:tcPr>
          <w:p w14:paraId="47CB1989" w14:textId="77777777" w:rsidR="006F2BB8" w:rsidRPr="00874A32" w:rsidRDefault="006F2BB8" w:rsidP="00180966">
            <w:pPr>
              <w:pStyle w:val="10Tabletext"/>
              <w:jc w:val="center"/>
              <w:cnfStyle w:val="000000100000" w:firstRow="0" w:lastRow="0" w:firstColumn="0" w:lastColumn="0" w:oddVBand="0" w:evenVBand="0" w:oddHBand="1" w:evenHBand="0" w:firstRowFirstColumn="0" w:firstRowLastColumn="0" w:lastRowFirstColumn="0" w:lastRowLastColumn="0"/>
            </w:pPr>
            <w:r w:rsidRPr="00874A32">
              <w:t>75</w:t>
            </w:r>
          </w:p>
        </w:tc>
        <w:tc>
          <w:tcPr>
            <w:tcW w:w="1766" w:type="dxa"/>
            <w:tcBorders>
              <w:right w:val="nil"/>
            </w:tcBorders>
          </w:tcPr>
          <w:p w14:paraId="559F71F6" w14:textId="77777777" w:rsidR="006F2BB8" w:rsidRPr="00874A32" w:rsidRDefault="006F2BB8" w:rsidP="00180966">
            <w:pPr>
              <w:pStyle w:val="10Tabletext"/>
              <w:jc w:val="center"/>
              <w:cnfStyle w:val="000000100000" w:firstRow="0" w:lastRow="0" w:firstColumn="0" w:lastColumn="0" w:oddVBand="0" w:evenVBand="0" w:oddHBand="1" w:evenHBand="0" w:firstRowFirstColumn="0" w:firstRowLastColumn="0" w:lastRowFirstColumn="0" w:lastRowLastColumn="0"/>
            </w:pPr>
            <w:r w:rsidRPr="00874A32">
              <w:t>14</w:t>
            </w:r>
          </w:p>
        </w:tc>
      </w:tr>
      <w:tr w:rsidR="006F2BB8" w:rsidRPr="003A6CD4" w14:paraId="6E5B1F3A" w14:textId="77777777" w:rsidTr="00180966">
        <w:trPr>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1FF03424" w14:textId="77777777" w:rsidR="006F2BB8" w:rsidRPr="00874A32" w:rsidRDefault="006F2BB8" w:rsidP="00874A32">
            <w:pPr>
              <w:pStyle w:val="10Tabletext"/>
            </w:pPr>
            <w:r w:rsidRPr="00874A32">
              <w:t>Melbourne – western suburbs</w:t>
            </w:r>
          </w:p>
        </w:tc>
        <w:tc>
          <w:tcPr>
            <w:tcW w:w="1766" w:type="dxa"/>
          </w:tcPr>
          <w:p w14:paraId="5D0D0013" w14:textId="77777777" w:rsidR="006F2BB8" w:rsidRPr="00874A32" w:rsidRDefault="006F2BB8" w:rsidP="00180966">
            <w:pPr>
              <w:pStyle w:val="10Tabletext"/>
              <w:jc w:val="center"/>
              <w:cnfStyle w:val="000000000000" w:firstRow="0" w:lastRow="0" w:firstColumn="0" w:lastColumn="0" w:oddVBand="0" w:evenVBand="0" w:oddHBand="0" w:evenHBand="0" w:firstRowFirstColumn="0" w:firstRowLastColumn="0" w:lastRowFirstColumn="0" w:lastRowLastColumn="0"/>
            </w:pPr>
            <w:r w:rsidRPr="00874A32">
              <w:t>64</w:t>
            </w:r>
          </w:p>
        </w:tc>
        <w:tc>
          <w:tcPr>
            <w:tcW w:w="1766" w:type="dxa"/>
            <w:tcBorders>
              <w:right w:val="nil"/>
            </w:tcBorders>
          </w:tcPr>
          <w:p w14:paraId="56C8BF2E" w14:textId="77777777" w:rsidR="006F2BB8" w:rsidRPr="00874A32" w:rsidRDefault="006F2BB8" w:rsidP="00180966">
            <w:pPr>
              <w:pStyle w:val="10Tabletext"/>
              <w:jc w:val="center"/>
              <w:cnfStyle w:val="000000000000" w:firstRow="0" w:lastRow="0" w:firstColumn="0" w:lastColumn="0" w:oddVBand="0" w:evenVBand="0" w:oddHBand="0" w:evenHBand="0" w:firstRowFirstColumn="0" w:firstRowLastColumn="0" w:lastRowFirstColumn="0" w:lastRowLastColumn="0"/>
            </w:pPr>
            <w:r w:rsidRPr="00874A32">
              <w:t>12</w:t>
            </w:r>
          </w:p>
        </w:tc>
      </w:tr>
      <w:tr w:rsidR="006F2BB8" w:rsidRPr="003A6CD4" w14:paraId="3426C344" w14:textId="77777777" w:rsidTr="0018096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38C9D3E8" w14:textId="77777777" w:rsidR="006F2BB8" w:rsidRPr="00874A32" w:rsidRDefault="006F2BB8" w:rsidP="00874A32">
            <w:pPr>
              <w:pStyle w:val="10Tabletext"/>
            </w:pPr>
            <w:r w:rsidRPr="00874A32">
              <w:t>Regional – Grampians</w:t>
            </w:r>
          </w:p>
        </w:tc>
        <w:tc>
          <w:tcPr>
            <w:tcW w:w="1766" w:type="dxa"/>
          </w:tcPr>
          <w:p w14:paraId="31D32B0C" w14:textId="77777777" w:rsidR="006F2BB8" w:rsidRPr="00874A32" w:rsidRDefault="006F2BB8" w:rsidP="00180966">
            <w:pPr>
              <w:pStyle w:val="10Tabletext"/>
              <w:jc w:val="center"/>
              <w:cnfStyle w:val="000000100000" w:firstRow="0" w:lastRow="0" w:firstColumn="0" w:lastColumn="0" w:oddVBand="0" w:evenVBand="0" w:oddHBand="1" w:evenHBand="0" w:firstRowFirstColumn="0" w:firstRowLastColumn="0" w:lastRowFirstColumn="0" w:lastRowLastColumn="0"/>
            </w:pPr>
            <w:r w:rsidRPr="00874A32">
              <w:t>16</w:t>
            </w:r>
          </w:p>
        </w:tc>
        <w:tc>
          <w:tcPr>
            <w:tcW w:w="1766" w:type="dxa"/>
            <w:tcBorders>
              <w:right w:val="nil"/>
            </w:tcBorders>
          </w:tcPr>
          <w:p w14:paraId="0D2734F1" w14:textId="77777777" w:rsidR="006F2BB8" w:rsidRPr="00874A32" w:rsidRDefault="006F2BB8" w:rsidP="00180966">
            <w:pPr>
              <w:pStyle w:val="10Tabletext"/>
              <w:jc w:val="center"/>
              <w:cnfStyle w:val="000000100000" w:firstRow="0" w:lastRow="0" w:firstColumn="0" w:lastColumn="0" w:oddVBand="0" w:evenVBand="0" w:oddHBand="1" w:evenHBand="0" w:firstRowFirstColumn="0" w:firstRowLastColumn="0" w:lastRowFirstColumn="0" w:lastRowLastColumn="0"/>
            </w:pPr>
            <w:r w:rsidRPr="00874A32">
              <w:t>3</w:t>
            </w:r>
          </w:p>
        </w:tc>
      </w:tr>
      <w:tr w:rsidR="006F2BB8" w:rsidRPr="003A6CD4" w14:paraId="7E83C285" w14:textId="77777777" w:rsidTr="00180966">
        <w:trPr>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4E1DC6A4" w14:textId="77777777" w:rsidR="006F2BB8" w:rsidRPr="00874A32" w:rsidRDefault="006F2BB8" w:rsidP="00874A32">
            <w:pPr>
              <w:pStyle w:val="10Tabletext"/>
            </w:pPr>
            <w:r w:rsidRPr="00874A32">
              <w:t>Regional – Barwon South West</w:t>
            </w:r>
          </w:p>
        </w:tc>
        <w:tc>
          <w:tcPr>
            <w:tcW w:w="1766" w:type="dxa"/>
          </w:tcPr>
          <w:p w14:paraId="675A7198" w14:textId="77777777" w:rsidR="006F2BB8" w:rsidRPr="00874A32" w:rsidRDefault="006F2BB8" w:rsidP="00180966">
            <w:pPr>
              <w:pStyle w:val="10Tabletext"/>
              <w:jc w:val="center"/>
              <w:cnfStyle w:val="000000000000" w:firstRow="0" w:lastRow="0" w:firstColumn="0" w:lastColumn="0" w:oddVBand="0" w:evenVBand="0" w:oddHBand="0" w:evenHBand="0" w:firstRowFirstColumn="0" w:firstRowLastColumn="0" w:lastRowFirstColumn="0" w:lastRowLastColumn="0"/>
            </w:pPr>
            <w:r w:rsidRPr="00874A32">
              <w:t>15</w:t>
            </w:r>
          </w:p>
        </w:tc>
        <w:tc>
          <w:tcPr>
            <w:tcW w:w="1766" w:type="dxa"/>
            <w:tcBorders>
              <w:right w:val="nil"/>
            </w:tcBorders>
          </w:tcPr>
          <w:p w14:paraId="13C4C344" w14:textId="77777777" w:rsidR="006F2BB8" w:rsidRPr="00874A32" w:rsidRDefault="006F2BB8" w:rsidP="00180966">
            <w:pPr>
              <w:pStyle w:val="10Tabletext"/>
              <w:jc w:val="center"/>
              <w:cnfStyle w:val="000000000000" w:firstRow="0" w:lastRow="0" w:firstColumn="0" w:lastColumn="0" w:oddVBand="0" w:evenVBand="0" w:oddHBand="0" w:evenHBand="0" w:firstRowFirstColumn="0" w:firstRowLastColumn="0" w:lastRowFirstColumn="0" w:lastRowLastColumn="0"/>
            </w:pPr>
            <w:r w:rsidRPr="00874A32">
              <w:t>3</w:t>
            </w:r>
          </w:p>
        </w:tc>
      </w:tr>
      <w:tr w:rsidR="006F2BB8" w:rsidRPr="003A6CD4" w14:paraId="4082136A" w14:textId="77777777" w:rsidTr="0018096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1FCA58B6" w14:textId="77777777" w:rsidR="006F2BB8" w:rsidRPr="00874A32" w:rsidRDefault="006F2BB8" w:rsidP="00874A32">
            <w:pPr>
              <w:pStyle w:val="10Tabletext"/>
            </w:pPr>
            <w:r w:rsidRPr="00874A32">
              <w:t>Regional – Loddon Mallee</w:t>
            </w:r>
          </w:p>
        </w:tc>
        <w:tc>
          <w:tcPr>
            <w:tcW w:w="1766" w:type="dxa"/>
          </w:tcPr>
          <w:p w14:paraId="30BA0347" w14:textId="77777777" w:rsidR="006F2BB8" w:rsidRPr="00874A32" w:rsidRDefault="006F2BB8" w:rsidP="00180966">
            <w:pPr>
              <w:pStyle w:val="10Tabletext"/>
              <w:jc w:val="center"/>
              <w:cnfStyle w:val="000000100000" w:firstRow="0" w:lastRow="0" w:firstColumn="0" w:lastColumn="0" w:oddVBand="0" w:evenVBand="0" w:oddHBand="1" w:evenHBand="0" w:firstRowFirstColumn="0" w:firstRowLastColumn="0" w:lastRowFirstColumn="0" w:lastRowLastColumn="0"/>
            </w:pPr>
            <w:r w:rsidRPr="00874A32">
              <w:t>11</w:t>
            </w:r>
          </w:p>
        </w:tc>
        <w:tc>
          <w:tcPr>
            <w:tcW w:w="1766" w:type="dxa"/>
            <w:tcBorders>
              <w:right w:val="nil"/>
            </w:tcBorders>
          </w:tcPr>
          <w:p w14:paraId="6B1C875E" w14:textId="77777777" w:rsidR="006F2BB8" w:rsidRPr="00874A32" w:rsidRDefault="006F2BB8" w:rsidP="00180966">
            <w:pPr>
              <w:pStyle w:val="10Tabletext"/>
              <w:jc w:val="center"/>
              <w:cnfStyle w:val="000000100000" w:firstRow="0" w:lastRow="0" w:firstColumn="0" w:lastColumn="0" w:oddVBand="0" w:evenVBand="0" w:oddHBand="1" w:evenHBand="0" w:firstRowFirstColumn="0" w:firstRowLastColumn="0" w:lastRowFirstColumn="0" w:lastRowLastColumn="0"/>
            </w:pPr>
            <w:r w:rsidRPr="00874A32">
              <w:t>2</w:t>
            </w:r>
          </w:p>
        </w:tc>
      </w:tr>
      <w:tr w:rsidR="006F2BB8" w:rsidRPr="003A6CD4" w14:paraId="20AC94BF" w14:textId="77777777" w:rsidTr="00180966">
        <w:trPr>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592FA37F" w14:textId="77777777" w:rsidR="006F2BB8" w:rsidRPr="00874A32" w:rsidRDefault="006F2BB8" w:rsidP="00874A32">
            <w:pPr>
              <w:pStyle w:val="10Tabletext"/>
            </w:pPr>
            <w:r w:rsidRPr="00874A32">
              <w:t>Regional – Gippsland</w:t>
            </w:r>
          </w:p>
        </w:tc>
        <w:tc>
          <w:tcPr>
            <w:tcW w:w="1766" w:type="dxa"/>
          </w:tcPr>
          <w:p w14:paraId="13A01EC0" w14:textId="77777777" w:rsidR="006F2BB8" w:rsidRPr="00874A32" w:rsidRDefault="006F2BB8" w:rsidP="00180966">
            <w:pPr>
              <w:pStyle w:val="10Tabletext"/>
              <w:jc w:val="center"/>
              <w:cnfStyle w:val="000000000000" w:firstRow="0" w:lastRow="0" w:firstColumn="0" w:lastColumn="0" w:oddVBand="0" w:evenVBand="0" w:oddHBand="0" w:evenHBand="0" w:firstRowFirstColumn="0" w:firstRowLastColumn="0" w:lastRowFirstColumn="0" w:lastRowLastColumn="0"/>
            </w:pPr>
            <w:r w:rsidRPr="00874A32">
              <w:t>6</w:t>
            </w:r>
          </w:p>
        </w:tc>
        <w:tc>
          <w:tcPr>
            <w:tcW w:w="1766" w:type="dxa"/>
            <w:tcBorders>
              <w:right w:val="nil"/>
            </w:tcBorders>
          </w:tcPr>
          <w:p w14:paraId="00C8568A" w14:textId="77777777" w:rsidR="006F2BB8" w:rsidRPr="00874A32" w:rsidRDefault="006F2BB8" w:rsidP="00180966">
            <w:pPr>
              <w:pStyle w:val="10Tabletext"/>
              <w:jc w:val="center"/>
              <w:cnfStyle w:val="000000000000" w:firstRow="0" w:lastRow="0" w:firstColumn="0" w:lastColumn="0" w:oddVBand="0" w:evenVBand="0" w:oddHBand="0" w:evenHBand="0" w:firstRowFirstColumn="0" w:firstRowLastColumn="0" w:lastRowFirstColumn="0" w:lastRowLastColumn="0"/>
            </w:pPr>
            <w:r w:rsidRPr="00874A32">
              <w:t>1</w:t>
            </w:r>
          </w:p>
        </w:tc>
      </w:tr>
      <w:tr w:rsidR="006F2BB8" w:rsidRPr="003A6CD4" w14:paraId="0118E2C6" w14:textId="77777777" w:rsidTr="0018096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17D3281A" w14:textId="77777777" w:rsidR="006F2BB8" w:rsidRPr="00874A32" w:rsidRDefault="006F2BB8" w:rsidP="00874A32">
            <w:pPr>
              <w:pStyle w:val="10Tabletext"/>
            </w:pPr>
            <w:r w:rsidRPr="00874A32">
              <w:t>Regional – Hume</w:t>
            </w:r>
          </w:p>
        </w:tc>
        <w:tc>
          <w:tcPr>
            <w:tcW w:w="1766" w:type="dxa"/>
          </w:tcPr>
          <w:p w14:paraId="1AB61BB7" w14:textId="77777777" w:rsidR="006F2BB8" w:rsidRPr="00874A32" w:rsidRDefault="006F2BB8" w:rsidP="00180966">
            <w:pPr>
              <w:pStyle w:val="10Tabletext"/>
              <w:jc w:val="center"/>
              <w:cnfStyle w:val="000000100000" w:firstRow="0" w:lastRow="0" w:firstColumn="0" w:lastColumn="0" w:oddVBand="0" w:evenVBand="0" w:oddHBand="1" w:evenHBand="0" w:firstRowFirstColumn="0" w:firstRowLastColumn="0" w:lastRowFirstColumn="0" w:lastRowLastColumn="0"/>
            </w:pPr>
            <w:r w:rsidRPr="00874A32">
              <w:t>5</w:t>
            </w:r>
          </w:p>
        </w:tc>
        <w:tc>
          <w:tcPr>
            <w:tcW w:w="1766" w:type="dxa"/>
            <w:tcBorders>
              <w:right w:val="nil"/>
            </w:tcBorders>
          </w:tcPr>
          <w:p w14:paraId="57520865" w14:textId="77777777" w:rsidR="006F2BB8" w:rsidRPr="00874A32" w:rsidRDefault="006F2BB8" w:rsidP="00180966">
            <w:pPr>
              <w:pStyle w:val="10Tabletext"/>
              <w:jc w:val="center"/>
              <w:cnfStyle w:val="000000100000" w:firstRow="0" w:lastRow="0" w:firstColumn="0" w:lastColumn="0" w:oddVBand="0" w:evenVBand="0" w:oddHBand="1" w:evenHBand="0" w:firstRowFirstColumn="0" w:firstRowLastColumn="0" w:lastRowFirstColumn="0" w:lastRowLastColumn="0"/>
            </w:pPr>
            <w:r w:rsidRPr="00874A32">
              <w:t>1</w:t>
            </w:r>
          </w:p>
        </w:tc>
      </w:tr>
      <w:tr w:rsidR="006F2BB8" w:rsidRPr="003A6CD4" w14:paraId="42E8E89B" w14:textId="77777777" w:rsidTr="00180966">
        <w:trPr>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32C07A15" w14:textId="77777777" w:rsidR="006F2BB8" w:rsidRPr="00874A32" w:rsidRDefault="006F2BB8" w:rsidP="00874A32">
            <w:pPr>
              <w:pStyle w:val="10Tabletext"/>
            </w:pPr>
            <w:r w:rsidRPr="00874A32">
              <w:t>NSW</w:t>
            </w:r>
          </w:p>
        </w:tc>
        <w:tc>
          <w:tcPr>
            <w:tcW w:w="1766" w:type="dxa"/>
          </w:tcPr>
          <w:p w14:paraId="1D183B4B" w14:textId="77777777" w:rsidR="006F2BB8" w:rsidRPr="00874A32" w:rsidRDefault="006F2BB8" w:rsidP="00180966">
            <w:pPr>
              <w:pStyle w:val="10Tabletext"/>
              <w:jc w:val="center"/>
              <w:cnfStyle w:val="000000000000" w:firstRow="0" w:lastRow="0" w:firstColumn="0" w:lastColumn="0" w:oddVBand="0" w:evenVBand="0" w:oddHBand="0" w:evenHBand="0" w:firstRowFirstColumn="0" w:firstRowLastColumn="0" w:lastRowFirstColumn="0" w:lastRowLastColumn="0"/>
            </w:pPr>
            <w:r w:rsidRPr="00874A32">
              <w:t>3</w:t>
            </w:r>
          </w:p>
        </w:tc>
        <w:tc>
          <w:tcPr>
            <w:tcW w:w="1766" w:type="dxa"/>
            <w:tcBorders>
              <w:right w:val="nil"/>
            </w:tcBorders>
          </w:tcPr>
          <w:p w14:paraId="45A76C0C" w14:textId="77777777" w:rsidR="006F2BB8" w:rsidRPr="00874A32" w:rsidRDefault="006F2BB8" w:rsidP="00180966">
            <w:pPr>
              <w:pStyle w:val="10Tabletext"/>
              <w:jc w:val="center"/>
              <w:cnfStyle w:val="000000000000" w:firstRow="0" w:lastRow="0" w:firstColumn="0" w:lastColumn="0" w:oddVBand="0" w:evenVBand="0" w:oddHBand="0" w:evenHBand="0" w:firstRowFirstColumn="0" w:firstRowLastColumn="0" w:lastRowFirstColumn="0" w:lastRowLastColumn="0"/>
            </w:pPr>
            <w:r w:rsidRPr="00874A32">
              <w:t>1</w:t>
            </w:r>
          </w:p>
        </w:tc>
      </w:tr>
      <w:tr w:rsidR="006F2BB8" w:rsidRPr="003A6CD4" w14:paraId="13B8755C" w14:textId="77777777" w:rsidTr="0018096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7C30552D" w14:textId="77777777" w:rsidR="006F2BB8" w:rsidRPr="00874A32" w:rsidRDefault="006F2BB8" w:rsidP="00874A32">
            <w:pPr>
              <w:pStyle w:val="10Tabletext"/>
            </w:pPr>
            <w:r w:rsidRPr="00874A32">
              <w:t>Total</w:t>
            </w:r>
          </w:p>
        </w:tc>
        <w:tc>
          <w:tcPr>
            <w:tcW w:w="1766" w:type="dxa"/>
          </w:tcPr>
          <w:p w14:paraId="65409B80" w14:textId="5682EBC5" w:rsidR="006F2BB8" w:rsidRPr="00874A32" w:rsidRDefault="006F2BB8" w:rsidP="00180966">
            <w:pPr>
              <w:pStyle w:val="10Tabletext"/>
              <w:jc w:val="center"/>
              <w:cnfStyle w:val="000000100000" w:firstRow="0" w:lastRow="0" w:firstColumn="0" w:lastColumn="0" w:oddVBand="0" w:evenVBand="0" w:oddHBand="1" w:evenHBand="0" w:firstRowFirstColumn="0" w:firstRowLastColumn="0" w:lastRowFirstColumn="0" w:lastRowLastColumn="0"/>
            </w:pPr>
            <w:r w:rsidRPr="00874A32">
              <w:t>525</w:t>
            </w:r>
          </w:p>
        </w:tc>
        <w:tc>
          <w:tcPr>
            <w:tcW w:w="1766" w:type="dxa"/>
            <w:tcBorders>
              <w:right w:val="nil"/>
            </w:tcBorders>
          </w:tcPr>
          <w:p w14:paraId="7A9A7CF3" w14:textId="77777777" w:rsidR="006F2BB8" w:rsidRPr="00874A32" w:rsidRDefault="006F2BB8" w:rsidP="00180966">
            <w:pPr>
              <w:pStyle w:val="10Tabletext"/>
              <w:jc w:val="center"/>
              <w:cnfStyle w:val="000000100000" w:firstRow="0" w:lastRow="0" w:firstColumn="0" w:lastColumn="0" w:oddVBand="0" w:evenVBand="0" w:oddHBand="1" w:evenHBand="0" w:firstRowFirstColumn="0" w:firstRowLastColumn="0" w:lastRowFirstColumn="0" w:lastRowLastColumn="0"/>
            </w:pPr>
          </w:p>
        </w:tc>
      </w:tr>
    </w:tbl>
    <w:p w14:paraId="267B004C" w14:textId="77777777" w:rsidR="006F2BB8" w:rsidRPr="006F2BB8" w:rsidRDefault="006F2BB8" w:rsidP="00874A32">
      <w:pPr>
        <w:pStyle w:val="09Sourcesandnotesfortablesfiguresboxes"/>
      </w:pPr>
      <w:r w:rsidRPr="006F2BB8">
        <w:t>Note: Respondents gave a postcode which have been sorted into the regions above.</w:t>
      </w:r>
    </w:p>
    <w:p w14:paraId="57C72E16" w14:textId="5E080638" w:rsidR="006F2BB8" w:rsidRPr="006F2BB8" w:rsidRDefault="006F2BB8" w:rsidP="006A3A46">
      <w:pPr>
        <w:pStyle w:val="05Paragraph"/>
      </w:pPr>
      <w:r w:rsidRPr="006F2BB8">
        <w:lastRenderedPageBreak/>
        <w:t>While most respondents worked full-time,</w:t>
      </w:r>
      <w:r w:rsidRPr="006F2BB8" w:rsidDel="00894AB6">
        <w:t xml:space="preserve"> </w:t>
      </w:r>
      <w:r w:rsidRPr="006F2BB8">
        <w:t xml:space="preserve">a small percentage reported they work full-time </w:t>
      </w:r>
      <w:r w:rsidR="00D8710C">
        <w:t>but would prefer</w:t>
      </w:r>
      <w:r w:rsidRPr="006F2BB8">
        <w:t xml:space="preserve"> to work part-time (Table A.8). Nearly 80 per cent of respondents who indicated they currently work full-time but would like to work part-time were women.</w:t>
      </w:r>
    </w:p>
    <w:p w14:paraId="0F3FF0F7" w14:textId="77777777" w:rsidR="006F2BB8" w:rsidRPr="006F2BB8" w:rsidRDefault="006F2BB8" w:rsidP="00144BE8">
      <w:pPr>
        <w:pStyle w:val="08Figuretableboxheading"/>
      </w:pPr>
      <w:bookmarkStart w:id="186" w:name="_Toc170393588"/>
      <w:r w:rsidRPr="006F2BB8">
        <w:t>Table A.8: Do you work full-time or part-time?</w:t>
      </w:r>
      <w:bookmarkEnd w:id="186"/>
    </w:p>
    <w:tbl>
      <w:tblPr>
        <w:tblStyle w:val="ListTable3-Accent1"/>
        <w:tblW w:w="0" w:type="auto"/>
        <w:tblLayout w:type="fixed"/>
        <w:tblLook w:val="04A0" w:firstRow="1" w:lastRow="0" w:firstColumn="1" w:lastColumn="0" w:noHBand="0" w:noVBand="1"/>
      </w:tblPr>
      <w:tblGrid>
        <w:gridCol w:w="4962"/>
        <w:gridCol w:w="1766"/>
        <w:gridCol w:w="1766"/>
      </w:tblGrid>
      <w:tr w:rsidR="006F2BB8" w:rsidRPr="004C5EDF" w14:paraId="54CA47F1" w14:textId="77777777" w:rsidTr="00BA52CB">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4962" w:type="dxa"/>
            <w:tcBorders>
              <w:top w:val="single" w:sz="4" w:space="0" w:color="26664E"/>
              <w:left w:val="nil"/>
              <w:bottom w:val="single" w:sz="4" w:space="0" w:color="148A5D"/>
              <w:right w:val="single" w:sz="4" w:space="0" w:color="148A5D"/>
            </w:tcBorders>
            <w:shd w:val="clear" w:color="auto" w:fill="148A5D"/>
          </w:tcPr>
          <w:p w14:paraId="230BE795" w14:textId="77777777" w:rsidR="006F2BB8" w:rsidRPr="00874A32" w:rsidRDefault="006F2BB8" w:rsidP="00874A32">
            <w:pPr>
              <w:pStyle w:val="10Tabletext"/>
            </w:pPr>
            <w:r w:rsidRPr="00874A32">
              <w:t>Answer choices</w:t>
            </w:r>
          </w:p>
        </w:tc>
        <w:tc>
          <w:tcPr>
            <w:tcW w:w="3532" w:type="dxa"/>
            <w:gridSpan w:val="2"/>
            <w:tcBorders>
              <w:top w:val="single" w:sz="4" w:space="0" w:color="26664E"/>
              <w:left w:val="single" w:sz="4" w:space="0" w:color="148A5D"/>
              <w:bottom w:val="single" w:sz="4" w:space="0" w:color="148A5D"/>
              <w:right w:val="nil"/>
            </w:tcBorders>
            <w:shd w:val="clear" w:color="auto" w:fill="148A5D"/>
          </w:tcPr>
          <w:p w14:paraId="1AC00D48" w14:textId="77777777" w:rsidR="006F2BB8" w:rsidRPr="00874A32" w:rsidRDefault="006F2BB8" w:rsidP="00BA52CB">
            <w:pPr>
              <w:pStyle w:val="10Tabletext"/>
              <w:jc w:val="center"/>
              <w:cnfStyle w:val="100000000000" w:firstRow="1" w:lastRow="0" w:firstColumn="0" w:lastColumn="0" w:oddVBand="0" w:evenVBand="0" w:oddHBand="0" w:evenHBand="0" w:firstRowFirstColumn="0" w:firstRowLastColumn="0" w:lastRowFirstColumn="0" w:lastRowLastColumn="0"/>
            </w:pPr>
            <w:r w:rsidRPr="00874A32">
              <w:t>Responses</w:t>
            </w:r>
          </w:p>
        </w:tc>
      </w:tr>
      <w:tr w:rsidR="006F2BB8" w:rsidRPr="004C5EDF" w14:paraId="05C86D33" w14:textId="77777777" w:rsidTr="00BA52C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148A5D"/>
              <w:left w:val="nil"/>
              <w:right w:val="single" w:sz="4" w:space="0" w:color="148A5D"/>
            </w:tcBorders>
            <w:shd w:val="clear" w:color="auto" w:fill="148A5D"/>
          </w:tcPr>
          <w:p w14:paraId="6F36B8A6" w14:textId="77777777" w:rsidR="006F2BB8" w:rsidRPr="00874A32" w:rsidRDefault="006F2BB8" w:rsidP="00874A32">
            <w:pPr>
              <w:pStyle w:val="10Tabletext"/>
              <w:rPr>
                <w:color w:val="FFFFFF" w:themeColor="background1"/>
              </w:rPr>
            </w:pPr>
          </w:p>
        </w:tc>
        <w:tc>
          <w:tcPr>
            <w:tcW w:w="1766" w:type="dxa"/>
            <w:tcBorders>
              <w:top w:val="single" w:sz="4" w:space="0" w:color="148A5D"/>
              <w:left w:val="single" w:sz="4" w:space="0" w:color="148A5D"/>
              <w:right w:val="single" w:sz="4" w:space="0" w:color="148A5D"/>
            </w:tcBorders>
            <w:shd w:val="clear" w:color="auto" w:fill="148A5D"/>
          </w:tcPr>
          <w:p w14:paraId="215698D1" w14:textId="77777777" w:rsidR="006F2BB8" w:rsidRPr="00874A32" w:rsidRDefault="006F2BB8" w:rsidP="00BA52CB">
            <w:pPr>
              <w:pStyle w:val="10Tabletext"/>
              <w:jc w:val="center"/>
              <w:cnfStyle w:val="000000100000" w:firstRow="0" w:lastRow="0" w:firstColumn="0" w:lastColumn="0" w:oddVBand="0" w:evenVBand="0" w:oddHBand="1" w:evenHBand="0" w:firstRowFirstColumn="0" w:firstRowLastColumn="0" w:lastRowFirstColumn="0" w:lastRowLastColumn="0"/>
              <w:rPr>
                <w:b/>
                <w:bCs w:val="0"/>
                <w:color w:val="FFFFFF" w:themeColor="background1"/>
              </w:rPr>
            </w:pPr>
            <w:r w:rsidRPr="00874A32">
              <w:rPr>
                <w:b/>
                <w:bCs w:val="0"/>
                <w:color w:val="FFFFFF" w:themeColor="background1"/>
              </w:rPr>
              <w:t>Number</w:t>
            </w:r>
          </w:p>
        </w:tc>
        <w:tc>
          <w:tcPr>
            <w:tcW w:w="1766" w:type="dxa"/>
            <w:tcBorders>
              <w:top w:val="single" w:sz="4" w:space="0" w:color="148A5D"/>
              <w:left w:val="single" w:sz="4" w:space="0" w:color="148A5D"/>
              <w:right w:val="nil"/>
            </w:tcBorders>
            <w:shd w:val="clear" w:color="auto" w:fill="148A5D"/>
          </w:tcPr>
          <w:p w14:paraId="12313B9B" w14:textId="77777777" w:rsidR="006F2BB8" w:rsidRPr="00874A32" w:rsidRDefault="006F2BB8" w:rsidP="00BA52CB">
            <w:pPr>
              <w:pStyle w:val="10Tabletext"/>
              <w:jc w:val="center"/>
              <w:cnfStyle w:val="000000100000" w:firstRow="0" w:lastRow="0" w:firstColumn="0" w:lastColumn="0" w:oddVBand="0" w:evenVBand="0" w:oddHBand="1" w:evenHBand="0" w:firstRowFirstColumn="0" w:firstRowLastColumn="0" w:lastRowFirstColumn="0" w:lastRowLastColumn="0"/>
              <w:rPr>
                <w:b/>
                <w:bCs w:val="0"/>
                <w:color w:val="FFFFFF" w:themeColor="background1"/>
              </w:rPr>
            </w:pPr>
            <w:r w:rsidRPr="00874A32">
              <w:rPr>
                <w:b/>
                <w:bCs w:val="0"/>
                <w:color w:val="FFFFFF" w:themeColor="background1"/>
              </w:rPr>
              <w:t>%</w:t>
            </w:r>
          </w:p>
        </w:tc>
      </w:tr>
      <w:tr w:rsidR="006F2BB8" w:rsidRPr="004C5EDF" w14:paraId="77752B9A" w14:textId="77777777" w:rsidTr="00BA52CB">
        <w:trPr>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7511E05E" w14:textId="77777777" w:rsidR="006F2BB8" w:rsidRPr="00874A32" w:rsidRDefault="006F2BB8" w:rsidP="00874A32">
            <w:pPr>
              <w:pStyle w:val="10Tabletext"/>
            </w:pPr>
            <w:r w:rsidRPr="00874A32">
              <w:t>Full-time</w:t>
            </w:r>
          </w:p>
        </w:tc>
        <w:tc>
          <w:tcPr>
            <w:tcW w:w="1766" w:type="dxa"/>
          </w:tcPr>
          <w:p w14:paraId="49D961BF" w14:textId="77777777" w:rsidR="006F2BB8" w:rsidRPr="00874A32" w:rsidRDefault="006F2BB8" w:rsidP="00BA52CB">
            <w:pPr>
              <w:pStyle w:val="10Tabletext"/>
              <w:jc w:val="center"/>
              <w:cnfStyle w:val="000000000000" w:firstRow="0" w:lastRow="0" w:firstColumn="0" w:lastColumn="0" w:oddVBand="0" w:evenVBand="0" w:oddHBand="0" w:evenHBand="0" w:firstRowFirstColumn="0" w:firstRowLastColumn="0" w:lastRowFirstColumn="0" w:lastRowLastColumn="0"/>
            </w:pPr>
            <w:r w:rsidRPr="00874A32">
              <w:t>470</w:t>
            </w:r>
          </w:p>
        </w:tc>
        <w:tc>
          <w:tcPr>
            <w:tcW w:w="1766" w:type="dxa"/>
            <w:tcBorders>
              <w:right w:val="nil"/>
            </w:tcBorders>
          </w:tcPr>
          <w:p w14:paraId="3387AFEF" w14:textId="77777777" w:rsidR="006F2BB8" w:rsidRPr="00874A32" w:rsidRDefault="006F2BB8" w:rsidP="00BA52CB">
            <w:pPr>
              <w:pStyle w:val="10Tabletext"/>
              <w:jc w:val="center"/>
              <w:cnfStyle w:val="000000000000" w:firstRow="0" w:lastRow="0" w:firstColumn="0" w:lastColumn="0" w:oddVBand="0" w:evenVBand="0" w:oddHBand="0" w:evenHBand="0" w:firstRowFirstColumn="0" w:firstRowLastColumn="0" w:lastRowFirstColumn="0" w:lastRowLastColumn="0"/>
            </w:pPr>
            <w:r w:rsidRPr="00874A32">
              <w:t>89</w:t>
            </w:r>
          </w:p>
        </w:tc>
      </w:tr>
      <w:tr w:rsidR="006F2BB8" w:rsidRPr="004C5EDF" w14:paraId="7DF6B672" w14:textId="77777777" w:rsidTr="00BA52C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6516B398" w14:textId="77777777" w:rsidR="006F2BB8" w:rsidRPr="00874A32" w:rsidRDefault="006F2BB8" w:rsidP="00874A32">
            <w:pPr>
              <w:pStyle w:val="10Tabletext"/>
            </w:pPr>
            <w:r w:rsidRPr="00874A32">
              <w:t>Part-time</w:t>
            </w:r>
          </w:p>
        </w:tc>
        <w:tc>
          <w:tcPr>
            <w:tcW w:w="1766" w:type="dxa"/>
          </w:tcPr>
          <w:p w14:paraId="32F4C9C7" w14:textId="77777777" w:rsidR="006F2BB8" w:rsidRPr="00874A32" w:rsidRDefault="006F2BB8" w:rsidP="00BA52CB">
            <w:pPr>
              <w:pStyle w:val="10Tabletext"/>
              <w:jc w:val="center"/>
              <w:cnfStyle w:val="000000100000" w:firstRow="0" w:lastRow="0" w:firstColumn="0" w:lastColumn="0" w:oddVBand="0" w:evenVBand="0" w:oddHBand="1" w:evenHBand="0" w:firstRowFirstColumn="0" w:firstRowLastColumn="0" w:lastRowFirstColumn="0" w:lastRowLastColumn="0"/>
            </w:pPr>
            <w:r w:rsidRPr="00874A32">
              <w:t>30</w:t>
            </w:r>
          </w:p>
        </w:tc>
        <w:tc>
          <w:tcPr>
            <w:tcW w:w="1766" w:type="dxa"/>
            <w:tcBorders>
              <w:right w:val="nil"/>
            </w:tcBorders>
          </w:tcPr>
          <w:p w14:paraId="73ED9EEC" w14:textId="77777777" w:rsidR="006F2BB8" w:rsidRPr="00874A32" w:rsidRDefault="006F2BB8" w:rsidP="00BA52CB">
            <w:pPr>
              <w:pStyle w:val="10Tabletext"/>
              <w:jc w:val="center"/>
              <w:cnfStyle w:val="000000100000" w:firstRow="0" w:lastRow="0" w:firstColumn="0" w:lastColumn="0" w:oddVBand="0" w:evenVBand="0" w:oddHBand="1" w:evenHBand="0" w:firstRowFirstColumn="0" w:firstRowLastColumn="0" w:lastRowFirstColumn="0" w:lastRowLastColumn="0"/>
            </w:pPr>
            <w:r w:rsidRPr="00874A32">
              <w:t>6</w:t>
            </w:r>
          </w:p>
        </w:tc>
      </w:tr>
      <w:tr w:rsidR="006F2BB8" w:rsidRPr="004C5EDF" w14:paraId="7E1E012D" w14:textId="77777777" w:rsidTr="00BA52CB">
        <w:trPr>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7CC23736" w14:textId="77777777" w:rsidR="006F2BB8" w:rsidRPr="00874A32" w:rsidRDefault="006F2BB8" w:rsidP="00874A32">
            <w:pPr>
              <w:pStyle w:val="10Tabletext"/>
            </w:pPr>
            <w:r w:rsidRPr="00874A32">
              <w:t>Full-time, but I would like to work part-time</w:t>
            </w:r>
          </w:p>
        </w:tc>
        <w:tc>
          <w:tcPr>
            <w:tcW w:w="1766" w:type="dxa"/>
          </w:tcPr>
          <w:p w14:paraId="41CCFFF0" w14:textId="77777777" w:rsidR="006F2BB8" w:rsidRPr="00874A32" w:rsidRDefault="006F2BB8" w:rsidP="00BA52CB">
            <w:pPr>
              <w:pStyle w:val="10Tabletext"/>
              <w:jc w:val="center"/>
              <w:cnfStyle w:val="000000000000" w:firstRow="0" w:lastRow="0" w:firstColumn="0" w:lastColumn="0" w:oddVBand="0" w:evenVBand="0" w:oddHBand="0" w:evenHBand="0" w:firstRowFirstColumn="0" w:firstRowLastColumn="0" w:lastRowFirstColumn="0" w:lastRowLastColumn="0"/>
            </w:pPr>
            <w:r w:rsidRPr="00874A32">
              <w:t>30</w:t>
            </w:r>
          </w:p>
        </w:tc>
        <w:tc>
          <w:tcPr>
            <w:tcW w:w="1766" w:type="dxa"/>
            <w:tcBorders>
              <w:right w:val="nil"/>
            </w:tcBorders>
          </w:tcPr>
          <w:p w14:paraId="708374A0" w14:textId="77777777" w:rsidR="006F2BB8" w:rsidRPr="00874A32" w:rsidRDefault="006F2BB8" w:rsidP="00BA52CB">
            <w:pPr>
              <w:pStyle w:val="10Tabletext"/>
              <w:jc w:val="center"/>
              <w:cnfStyle w:val="000000000000" w:firstRow="0" w:lastRow="0" w:firstColumn="0" w:lastColumn="0" w:oddVBand="0" w:evenVBand="0" w:oddHBand="0" w:evenHBand="0" w:firstRowFirstColumn="0" w:firstRowLastColumn="0" w:lastRowFirstColumn="0" w:lastRowLastColumn="0"/>
            </w:pPr>
            <w:r w:rsidRPr="00874A32">
              <w:t>6</w:t>
            </w:r>
          </w:p>
        </w:tc>
      </w:tr>
      <w:tr w:rsidR="006F2BB8" w:rsidRPr="004C5EDF" w14:paraId="6C16A508" w14:textId="77777777" w:rsidTr="00BA52C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602020A5" w14:textId="77777777" w:rsidR="006F2BB8" w:rsidRPr="00874A32" w:rsidRDefault="006F2BB8" w:rsidP="00874A32">
            <w:pPr>
              <w:pStyle w:val="10Tabletext"/>
            </w:pPr>
            <w:r w:rsidRPr="00874A32">
              <w:t>Part-time, but I would like to work full-time</w:t>
            </w:r>
          </w:p>
        </w:tc>
        <w:tc>
          <w:tcPr>
            <w:tcW w:w="1766" w:type="dxa"/>
          </w:tcPr>
          <w:p w14:paraId="4B91392D" w14:textId="77777777" w:rsidR="006F2BB8" w:rsidRPr="00874A32" w:rsidRDefault="006F2BB8" w:rsidP="00BA52CB">
            <w:pPr>
              <w:pStyle w:val="10Tabletext"/>
              <w:jc w:val="center"/>
              <w:cnfStyle w:val="000000100000" w:firstRow="0" w:lastRow="0" w:firstColumn="0" w:lastColumn="0" w:oddVBand="0" w:evenVBand="0" w:oddHBand="1" w:evenHBand="0" w:firstRowFirstColumn="0" w:firstRowLastColumn="0" w:lastRowFirstColumn="0" w:lastRowLastColumn="0"/>
            </w:pPr>
            <w:r w:rsidRPr="00874A32">
              <w:t>0</w:t>
            </w:r>
          </w:p>
        </w:tc>
        <w:tc>
          <w:tcPr>
            <w:tcW w:w="1766" w:type="dxa"/>
            <w:tcBorders>
              <w:right w:val="nil"/>
            </w:tcBorders>
          </w:tcPr>
          <w:p w14:paraId="1D4B4805" w14:textId="77777777" w:rsidR="006F2BB8" w:rsidRPr="00874A32" w:rsidRDefault="006F2BB8" w:rsidP="00BA52CB">
            <w:pPr>
              <w:pStyle w:val="10Tabletext"/>
              <w:jc w:val="center"/>
              <w:cnfStyle w:val="000000100000" w:firstRow="0" w:lastRow="0" w:firstColumn="0" w:lastColumn="0" w:oddVBand="0" w:evenVBand="0" w:oddHBand="1" w:evenHBand="0" w:firstRowFirstColumn="0" w:firstRowLastColumn="0" w:lastRowFirstColumn="0" w:lastRowLastColumn="0"/>
            </w:pPr>
            <w:r w:rsidRPr="00874A32">
              <w:t>0</w:t>
            </w:r>
          </w:p>
        </w:tc>
      </w:tr>
      <w:tr w:rsidR="006F2BB8" w:rsidRPr="004C5EDF" w14:paraId="6BD1A1E5" w14:textId="77777777" w:rsidTr="00BA52CB">
        <w:trPr>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3BC60D1B" w14:textId="77777777" w:rsidR="006F2BB8" w:rsidRPr="00874A32" w:rsidRDefault="006F2BB8" w:rsidP="00874A32">
            <w:pPr>
              <w:pStyle w:val="10Tabletext"/>
            </w:pPr>
            <w:r w:rsidRPr="00874A32">
              <w:t>Total</w:t>
            </w:r>
          </w:p>
        </w:tc>
        <w:tc>
          <w:tcPr>
            <w:tcW w:w="1766" w:type="dxa"/>
          </w:tcPr>
          <w:p w14:paraId="37F19F8C" w14:textId="77777777" w:rsidR="006F2BB8" w:rsidRPr="00874A32" w:rsidRDefault="006F2BB8" w:rsidP="00BA52CB">
            <w:pPr>
              <w:pStyle w:val="10Tabletext"/>
              <w:jc w:val="center"/>
              <w:cnfStyle w:val="000000000000" w:firstRow="0" w:lastRow="0" w:firstColumn="0" w:lastColumn="0" w:oddVBand="0" w:evenVBand="0" w:oddHBand="0" w:evenHBand="0" w:firstRowFirstColumn="0" w:firstRowLastColumn="0" w:lastRowFirstColumn="0" w:lastRowLastColumn="0"/>
            </w:pPr>
            <w:r w:rsidRPr="00874A32">
              <w:t>530</w:t>
            </w:r>
          </w:p>
        </w:tc>
        <w:tc>
          <w:tcPr>
            <w:tcW w:w="1766" w:type="dxa"/>
            <w:tcBorders>
              <w:right w:val="nil"/>
            </w:tcBorders>
          </w:tcPr>
          <w:p w14:paraId="4B82966D" w14:textId="77777777" w:rsidR="006F2BB8" w:rsidRPr="00874A32" w:rsidRDefault="006F2BB8" w:rsidP="00BA52CB">
            <w:pPr>
              <w:pStyle w:val="10Tabletext"/>
              <w:jc w:val="center"/>
              <w:cnfStyle w:val="000000000000" w:firstRow="0" w:lastRow="0" w:firstColumn="0" w:lastColumn="0" w:oddVBand="0" w:evenVBand="0" w:oddHBand="0" w:evenHBand="0" w:firstRowFirstColumn="0" w:firstRowLastColumn="0" w:lastRowFirstColumn="0" w:lastRowLastColumn="0"/>
            </w:pPr>
          </w:p>
        </w:tc>
      </w:tr>
    </w:tbl>
    <w:p w14:paraId="38DB362F" w14:textId="4FBC97BB" w:rsidR="00E2361B" w:rsidRDefault="00E2361B" w:rsidP="00874A32">
      <w:pPr>
        <w:pStyle w:val="09Sourcesandnotesfortablesfiguresboxes"/>
      </w:pPr>
      <w:r>
        <w:t>Note: The percentages in this table exceed 100</w:t>
      </w:r>
      <w:r w:rsidR="000F0A7C">
        <w:t xml:space="preserve"> per cent</w:t>
      </w:r>
      <w:r>
        <w:t xml:space="preserve"> due to the rounding of individual percentages to the nearest whole number.</w:t>
      </w:r>
    </w:p>
    <w:p w14:paraId="643CC746" w14:textId="733FD653" w:rsidR="006F2BB8" w:rsidRPr="006F2BB8" w:rsidRDefault="006F2BB8" w:rsidP="006A3A46">
      <w:pPr>
        <w:pStyle w:val="05Paragraph"/>
      </w:pPr>
      <w:r w:rsidRPr="006F2BB8">
        <w:t xml:space="preserve">Respondents were also asked to share the reasons </w:t>
      </w:r>
      <w:r w:rsidR="005B0FBB">
        <w:t>why</w:t>
      </w:r>
      <w:r w:rsidRPr="006F2BB8">
        <w:t xml:space="preserve"> they work full-time but would prefer to work part-time. All respondents indicated that the demands of their role prevent them from working part-time. For example,</w:t>
      </w:r>
    </w:p>
    <w:p w14:paraId="0AB5B6A7" w14:textId="77777777" w:rsidR="006F2BB8" w:rsidRPr="006F2BB8" w:rsidRDefault="006F2BB8" w:rsidP="00D31BB6">
      <w:pPr>
        <w:pStyle w:val="07VIRTBreakouttext"/>
      </w:pPr>
      <w:r w:rsidRPr="006F2BB8">
        <w:t>My workload is too high to work less than a 60-hour work week however I would very much like to work less (as would my family).</w:t>
      </w:r>
    </w:p>
    <w:p w14:paraId="782CDF8F" w14:textId="77777777" w:rsidR="006F2BB8" w:rsidRPr="006F2BB8" w:rsidRDefault="006F2BB8" w:rsidP="00874A32">
      <w:pPr>
        <w:pStyle w:val="03VIRTHeading3"/>
      </w:pPr>
      <w:r w:rsidRPr="006F2BB8">
        <w:t>Pathway to a VPS executive role</w:t>
      </w:r>
    </w:p>
    <w:p w14:paraId="6C89684F" w14:textId="77777777" w:rsidR="006F2BB8" w:rsidRPr="006F2BB8" w:rsidRDefault="006F2BB8" w:rsidP="006A3A46">
      <w:pPr>
        <w:pStyle w:val="05Paragraph"/>
      </w:pPr>
      <w:r w:rsidRPr="006F2BB8">
        <w:t>Around 60 per cent of respondents were relatively new to the VPS executive workforce, having worked as a VPS executive for less than five years (Table A.9).</w:t>
      </w:r>
    </w:p>
    <w:p w14:paraId="6E73862C" w14:textId="77777777" w:rsidR="006F2BB8" w:rsidRPr="006F2BB8" w:rsidRDefault="006F2BB8" w:rsidP="00144BE8">
      <w:pPr>
        <w:pStyle w:val="08Figuretableboxheading"/>
      </w:pPr>
      <w:bookmarkStart w:id="187" w:name="_Toc170393589"/>
      <w:r w:rsidRPr="006F2BB8">
        <w:t>Table A.9: How many years in total have you been an executive within the VPS?</w:t>
      </w:r>
      <w:bookmarkEnd w:id="187"/>
    </w:p>
    <w:tbl>
      <w:tblPr>
        <w:tblStyle w:val="ListTable3-Accent1"/>
        <w:tblW w:w="0" w:type="auto"/>
        <w:tblLayout w:type="fixed"/>
        <w:tblLook w:val="04A0" w:firstRow="1" w:lastRow="0" w:firstColumn="1" w:lastColumn="0" w:noHBand="0" w:noVBand="1"/>
      </w:tblPr>
      <w:tblGrid>
        <w:gridCol w:w="4962"/>
        <w:gridCol w:w="1766"/>
        <w:gridCol w:w="1766"/>
      </w:tblGrid>
      <w:tr w:rsidR="006F2BB8" w:rsidRPr="006F2BB8" w14:paraId="4CE2B4F6" w14:textId="77777777" w:rsidTr="00F92857">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4962" w:type="dxa"/>
            <w:tcBorders>
              <w:top w:val="single" w:sz="4" w:space="0" w:color="26664E"/>
              <w:left w:val="nil"/>
              <w:bottom w:val="single" w:sz="4" w:space="0" w:color="148A5D"/>
              <w:right w:val="single" w:sz="4" w:space="0" w:color="148A5D"/>
            </w:tcBorders>
            <w:shd w:val="clear" w:color="auto" w:fill="148A5D"/>
          </w:tcPr>
          <w:p w14:paraId="60EF4057" w14:textId="77777777" w:rsidR="006F2BB8" w:rsidRPr="00874A32" w:rsidRDefault="006F2BB8" w:rsidP="00874A32">
            <w:pPr>
              <w:pStyle w:val="10Tabletext"/>
            </w:pPr>
            <w:r w:rsidRPr="00874A32">
              <w:t>Answer choices</w:t>
            </w:r>
          </w:p>
        </w:tc>
        <w:tc>
          <w:tcPr>
            <w:tcW w:w="3532" w:type="dxa"/>
            <w:gridSpan w:val="2"/>
            <w:tcBorders>
              <w:top w:val="single" w:sz="4" w:space="0" w:color="26664E"/>
              <w:left w:val="single" w:sz="4" w:space="0" w:color="148A5D"/>
              <w:bottom w:val="single" w:sz="4" w:space="0" w:color="148A5D"/>
              <w:right w:val="nil"/>
            </w:tcBorders>
            <w:shd w:val="clear" w:color="auto" w:fill="148A5D"/>
          </w:tcPr>
          <w:p w14:paraId="55843B45" w14:textId="77777777" w:rsidR="006F2BB8" w:rsidRPr="00874A32" w:rsidRDefault="006F2BB8" w:rsidP="00F92857">
            <w:pPr>
              <w:pStyle w:val="10Tabletext"/>
              <w:jc w:val="center"/>
              <w:cnfStyle w:val="100000000000" w:firstRow="1" w:lastRow="0" w:firstColumn="0" w:lastColumn="0" w:oddVBand="0" w:evenVBand="0" w:oddHBand="0" w:evenHBand="0" w:firstRowFirstColumn="0" w:firstRowLastColumn="0" w:lastRowFirstColumn="0" w:lastRowLastColumn="0"/>
            </w:pPr>
            <w:r w:rsidRPr="00874A32">
              <w:t>Responses</w:t>
            </w:r>
          </w:p>
        </w:tc>
      </w:tr>
      <w:tr w:rsidR="006F2BB8" w:rsidRPr="006F2BB8" w14:paraId="0B3B99CC" w14:textId="77777777" w:rsidTr="00F928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148A5D"/>
              <w:left w:val="nil"/>
              <w:right w:val="single" w:sz="4" w:space="0" w:color="148A5D"/>
            </w:tcBorders>
            <w:shd w:val="clear" w:color="auto" w:fill="148A5D"/>
          </w:tcPr>
          <w:p w14:paraId="3045149D" w14:textId="77777777" w:rsidR="006F2BB8" w:rsidRPr="00874A32" w:rsidRDefault="006F2BB8" w:rsidP="00874A32">
            <w:pPr>
              <w:pStyle w:val="10Tabletext"/>
              <w:rPr>
                <w:color w:val="FFFFFF" w:themeColor="background1"/>
              </w:rPr>
            </w:pPr>
          </w:p>
        </w:tc>
        <w:tc>
          <w:tcPr>
            <w:tcW w:w="1766" w:type="dxa"/>
            <w:tcBorders>
              <w:top w:val="single" w:sz="4" w:space="0" w:color="148A5D"/>
              <w:left w:val="single" w:sz="4" w:space="0" w:color="148A5D"/>
              <w:right w:val="single" w:sz="4" w:space="0" w:color="148A5D"/>
            </w:tcBorders>
            <w:shd w:val="clear" w:color="auto" w:fill="148A5D"/>
          </w:tcPr>
          <w:p w14:paraId="65349D4E" w14:textId="77777777" w:rsidR="006F2BB8" w:rsidRPr="00874A32" w:rsidRDefault="006F2BB8" w:rsidP="00F92857">
            <w:pPr>
              <w:pStyle w:val="10Tabletext"/>
              <w:jc w:val="center"/>
              <w:cnfStyle w:val="000000100000" w:firstRow="0" w:lastRow="0" w:firstColumn="0" w:lastColumn="0" w:oddVBand="0" w:evenVBand="0" w:oddHBand="1" w:evenHBand="0" w:firstRowFirstColumn="0" w:firstRowLastColumn="0" w:lastRowFirstColumn="0" w:lastRowLastColumn="0"/>
              <w:rPr>
                <w:b/>
                <w:bCs w:val="0"/>
                <w:color w:val="FFFFFF" w:themeColor="background1"/>
              </w:rPr>
            </w:pPr>
            <w:r w:rsidRPr="00874A32">
              <w:rPr>
                <w:b/>
                <w:bCs w:val="0"/>
                <w:color w:val="FFFFFF" w:themeColor="background1"/>
              </w:rPr>
              <w:t>Number</w:t>
            </w:r>
          </w:p>
        </w:tc>
        <w:tc>
          <w:tcPr>
            <w:tcW w:w="1766" w:type="dxa"/>
            <w:tcBorders>
              <w:top w:val="single" w:sz="4" w:space="0" w:color="148A5D"/>
              <w:left w:val="single" w:sz="4" w:space="0" w:color="148A5D"/>
              <w:right w:val="nil"/>
            </w:tcBorders>
            <w:shd w:val="clear" w:color="auto" w:fill="148A5D"/>
          </w:tcPr>
          <w:p w14:paraId="2E83A41C" w14:textId="77777777" w:rsidR="006F2BB8" w:rsidRPr="00874A32" w:rsidRDefault="006F2BB8" w:rsidP="00F92857">
            <w:pPr>
              <w:pStyle w:val="10Tabletext"/>
              <w:jc w:val="center"/>
              <w:cnfStyle w:val="000000100000" w:firstRow="0" w:lastRow="0" w:firstColumn="0" w:lastColumn="0" w:oddVBand="0" w:evenVBand="0" w:oddHBand="1" w:evenHBand="0" w:firstRowFirstColumn="0" w:firstRowLastColumn="0" w:lastRowFirstColumn="0" w:lastRowLastColumn="0"/>
              <w:rPr>
                <w:b/>
                <w:bCs w:val="0"/>
                <w:color w:val="FFFFFF" w:themeColor="background1"/>
              </w:rPr>
            </w:pPr>
            <w:r w:rsidRPr="00874A32">
              <w:rPr>
                <w:b/>
                <w:bCs w:val="0"/>
                <w:color w:val="FFFFFF" w:themeColor="background1"/>
              </w:rPr>
              <w:t>%</w:t>
            </w:r>
          </w:p>
        </w:tc>
      </w:tr>
      <w:tr w:rsidR="006F2BB8" w:rsidRPr="006F2BB8" w14:paraId="6D1D5285" w14:textId="77777777" w:rsidTr="00F92857">
        <w:trPr>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0887CF80" w14:textId="77777777" w:rsidR="006F2BB8" w:rsidRPr="00874A32" w:rsidRDefault="006F2BB8" w:rsidP="00874A32">
            <w:pPr>
              <w:pStyle w:val="10Tabletext"/>
            </w:pPr>
            <w:r w:rsidRPr="00874A32">
              <w:t>Less than 5 years</w:t>
            </w:r>
          </w:p>
        </w:tc>
        <w:tc>
          <w:tcPr>
            <w:tcW w:w="1766" w:type="dxa"/>
          </w:tcPr>
          <w:p w14:paraId="5D30114E" w14:textId="77777777" w:rsidR="006F2BB8" w:rsidRPr="00874A32" w:rsidRDefault="006F2BB8" w:rsidP="00F92857">
            <w:pPr>
              <w:pStyle w:val="10Tabletext"/>
              <w:jc w:val="center"/>
              <w:cnfStyle w:val="000000000000" w:firstRow="0" w:lastRow="0" w:firstColumn="0" w:lastColumn="0" w:oddVBand="0" w:evenVBand="0" w:oddHBand="0" w:evenHBand="0" w:firstRowFirstColumn="0" w:firstRowLastColumn="0" w:lastRowFirstColumn="0" w:lastRowLastColumn="0"/>
            </w:pPr>
            <w:r w:rsidRPr="00874A32">
              <w:t>363</w:t>
            </w:r>
          </w:p>
        </w:tc>
        <w:tc>
          <w:tcPr>
            <w:tcW w:w="1766" w:type="dxa"/>
            <w:tcBorders>
              <w:right w:val="nil"/>
            </w:tcBorders>
          </w:tcPr>
          <w:p w14:paraId="1814B2D5" w14:textId="77777777" w:rsidR="006F2BB8" w:rsidRPr="00874A32" w:rsidRDefault="006F2BB8" w:rsidP="00F92857">
            <w:pPr>
              <w:pStyle w:val="10Tabletext"/>
              <w:jc w:val="center"/>
              <w:cnfStyle w:val="000000000000" w:firstRow="0" w:lastRow="0" w:firstColumn="0" w:lastColumn="0" w:oddVBand="0" w:evenVBand="0" w:oddHBand="0" w:evenHBand="0" w:firstRowFirstColumn="0" w:firstRowLastColumn="0" w:lastRowFirstColumn="0" w:lastRowLastColumn="0"/>
            </w:pPr>
            <w:r w:rsidRPr="00874A32">
              <w:t>58</w:t>
            </w:r>
          </w:p>
        </w:tc>
      </w:tr>
      <w:tr w:rsidR="006F2BB8" w:rsidRPr="006F2BB8" w14:paraId="53BFD6FB" w14:textId="77777777" w:rsidTr="00F928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18F39A8D" w14:textId="77777777" w:rsidR="006F2BB8" w:rsidRPr="00874A32" w:rsidRDefault="006F2BB8" w:rsidP="00874A32">
            <w:pPr>
              <w:pStyle w:val="10Tabletext"/>
            </w:pPr>
            <w:r w:rsidRPr="00874A32">
              <w:t>5-9 years</w:t>
            </w:r>
          </w:p>
        </w:tc>
        <w:tc>
          <w:tcPr>
            <w:tcW w:w="1766" w:type="dxa"/>
          </w:tcPr>
          <w:p w14:paraId="547CCBCB" w14:textId="77777777" w:rsidR="006F2BB8" w:rsidRPr="00874A32" w:rsidRDefault="006F2BB8" w:rsidP="00F92857">
            <w:pPr>
              <w:pStyle w:val="10Tabletext"/>
              <w:jc w:val="center"/>
              <w:cnfStyle w:val="000000100000" w:firstRow="0" w:lastRow="0" w:firstColumn="0" w:lastColumn="0" w:oddVBand="0" w:evenVBand="0" w:oddHBand="1" w:evenHBand="0" w:firstRowFirstColumn="0" w:firstRowLastColumn="0" w:lastRowFirstColumn="0" w:lastRowLastColumn="0"/>
            </w:pPr>
            <w:r w:rsidRPr="00874A32">
              <w:t>171</w:t>
            </w:r>
          </w:p>
        </w:tc>
        <w:tc>
          <w:tcPr>
            <w:tcW w:w="1766" w:type="dxa"/>
            <w:tcBorders>
              <w:right w:val="nil"/>
            </w:tcBorders>
          </w:tcPr>
          <w:p w14:paraId="52A309E7" w14:textId="77777777" w:rsidR="006F2BB8" w:rsidRPr="00874A32" w:rsidRDefault="006F2BB8" w:rsidP="00F92857">
            <w:pPr>
              <w:pStyle w:val="10Tabletext"/>
              <w:jc w:val="center"/>
              <w:cnfStyle w:val="000000100000" w:firstRow="0" w:lastRow="0" w:firstColumn="0" w:lastColumn="0" w:oddVBand="0" w:evenVBand="0" w:oddHBand="1" w:evenHBand="0" w:firstRowFirstColumn="0" w:firstRowLastColumn="0" w:lastRowFirstColumn="0" w:lastRowLastColumn="0"/>
            </w:pPr>
            <w:r w:rsidRPr="00874A32">
              <w:t>27</w:t>
            </w:r>
          </w:p>
        </w:tc>
      </w:tr>
      <w:tr w:rsidR="006F2BB8" w:rsidRPr="006F2BB8" w14:paraId="5DF5F5BB" w14:textId="77777777" w:rsidTr="00F92857">
        <w:trPr>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01A742E3" w14:textId="77777777" w:rsidR="006F2BB8" w:rsidRPr="00874A32" w:rsidRDefault="006F2BB8" w:rsidP="00874A32">
            <w:pPr>
              <w:pStyle w:val="10Tabletext"/>
            </w:pPr>
            <w:r w:rsidRPr="00874A32">
              <w:t>10-14 years</w:t>
            </w:r>
          </w:p>
        </w:tc>
        <w:tc>
          <w:tcPr>
            <w:tcW w:w="1766" w:type="dxa"/>
          </w:tcPr>
          <w:p w14:paraId="08BDC0EE" w14:textId="77777777" w:rsidR="006F2BB8" w:rsidRPr="00874A32" w:rsidRDefault="006F2BB8" w:rsidP="00F92857">
            <w:pPr>
              <w:pStyle w:val="10Tabletext"/>
              <w:jc w:val="center"/>
              <w:cnfStyle w:val="000000000000" w:firstRow="0" w:lastRow="0" w:firstColumn="0" w:lastColumn="0" w:oddVBand="0" w:evenVBand="0" w:oddHBand="0" w:evenHBand="0" w:firstRowFirstColumn="0" w:firstRowLastColumn="0" w:lastRowFirstColumn="0" w:lastRowLastColumn="0"/>
            </w:pPr>
            <w:r w:rsidRPr="00874A32">
              <w:t>48</w:t>
            </w:r>
          </w:p>
        </w:tc>
        <w:tc>
          <w:tcPr>
            <w:tcW w:w="1766" w:type="dxa"/>
            <w:tcBorders>
              <w:right w:val="nil"/>
            </w:tcBorders>
          </w:tcPr>
          <w:p w14:paraId="729F225B" w14:textId="77777777" w:rsidR="006F2BB8" w:rsidRPr="00874A32" w:rsidRDefault="006F2BB8" w:rsidP="00F92857">
            <w:pPr>
              <w:pStyle w:val="10Tabletext"/>
              <w:jc w:val="center"/>
              <w:cnfStyle w:val="000000000000" w:firstRow="0" w:lastRow="0" w:firstColumn="0" w:lastColumn="0" w:oddVBand="0" w:evenVBand="0" w:oddHBand="0" w:evenHBand="0" w:firstRowFirstColumn="0" w:firstRowLastColumn="0" w:lastRowFirstColumn="0" w:lastRowLastColumn="0"/>
            </w:pPr>
            <w:r w:rsidRPr="00874A32">
              <w:t>8</w:t>
            </w:r>
          </w:p>
        </w:tc>
      </w:tr>
      <w:tr w:rsidR="006F2BB8" w:rsidRPr="006F2BB8" w14:paraId="0BBBF31F" w14:textId="77777777" w:rsidTr="00F928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3FE0E21F" w14:textId="77777777" w:rsidR="006F2BB8" w:rsidRPr="00874A32" w:rsidRDefault="006F2BB8" w:rsidP="00874A32">
            <w:pPr>
              <w:pStyle w:val="10Tabletext"/>
            </w:pPr>
            <w:r w:rsidRPr="00874A32">
              <w:t>15-19 years</w:t>
            </w:r>
          </w:p>
        </w:tc>
        <w:tc>
          <w:tcPr>
            <w:tcW w:w="1766" w:type="dxa"/>
          </w:tcPr>
          <w:p w14:paraId="314F9B46" w14:textId="77777777" w:rsidR="006F2BB8" w:rsidRPr="00874A32" w:rsidRDefault="006F2BB8" w:rsidP="00F92857">
            <w:pPr>
              <w:pStyle w:val="10Tabletext"/>
              <w:jc w:val="center"/>
              <w:cnfStyle w:val="000000100000" w:firstRow="0" w:lastRow="0" w:firstColumn="0" w:lastColumn="0" w:oddVBand="0" w:evenVBand="0" w:oddHBand="1" w:evenHBand="0" w:firstRowFirstColumn="0" w:firstRowLastColumn="0" w:lastRowFirstColumn="0" w:lastRowLastColumn="0"/>
            </w:pPr>
            <w:r w:rsidRPr="00874A32">
              <w:t>25</w:t>
            </w:r>
          </w:p>
        </w:tc>
        <w:tc>
          <w:tcPr>
            <w:tcW w:w="1766" w:type="dxa"/>
            <w:tcBorders>
              <w:right w:val="nil"/>
            </w:tcBorders>
          </w:tcPr>
          <w:p w14:paraId="5604A85E" w14:textId="77777777" w:rsidR="006F2BB8" w:rsidRPr="00874A32" w:rsidRDefault="006F2BB8" w:rsidP="00F92857">
            <w:pPr>
              <w:pStyle w:val="10Tabletext"/>
              <w:jc w:val="center"/>
              <w:cnfStyle w:val="000000100000" w:firstRow="0" w:lastRow="0" w:firstColumn="0" w:lastColumn="0" w:oddVBand="0" w:evenVBand="0" w:oddHBand="1" w:evenHBand="0" w:firstRowFirstColumn="0" w:firstRowLastColumn="0" w:lastRowFirstColumn="0" w:lastRowLastColumn="0"/>
            </w:pPr>
            <w:r w:rsidRPr="00874A32">
              <w:t>4</w:t>
            </w:r>
          </w:p>
        </w:tc>
      </w:tr>
      <w:tr w:rsidR="006F2BB8" w:rsidRPr="006F2BB8" w14:paraId="5CD9E043" w14:textId="77777777" w:rsidTr="00F92857">
        <w:trPr>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446A9EFD" w14:textId="77777777" w:rsidR="006F2BB8" w:rsidRPr="00874A32" w:rsidRDefault="006F2BB8" w:rsidP="00874A32">
            <w:pPr>
              <w:pStyle w:val="10Tabletext"/>
            </w:pPr>
            <w:r w:rsidRPr="00874A32">
              <w:t>20-24 years</w:t>
            </w:r>
          </w:p>
        </w:tc>
        <w:tc>
          <w:tcPr>
            <w:tcW w:w="1766" w:type="dxa"/>
          </w:tcPr>
          <w:p w14:paraId="496228A0" w14:textId="77777777" w:rsidR="006F2BB8" w:rsidRPr="00874A32" w:rsidRDefault="006F2BB8" w:rsidP="00F92857">
            <w:pPr>
              <w:pStyle w:val="10Tabletext"/>
              <w:jc w:val="center"/>
              <w:cnfStyle w:val="000000000000" w:firstRow="0" w:lastRow="0" w:firstColumn="0" w:lastColumn="0" w:oddVBand="0" w:evenVBand="0" w:oddHBand="0" w:evenHBand="0" w:firstRowFirstColumn="0" w:firstRowLastColumn="0" w:lastRowFirstColumn="0" w:lastRowLastColumn="0"/>
            </w:pPr>
            <w:r w:rsidRPr="00874A32">
              <w:t>11</w:t>
            </w:r>
          </w:p>
        </w:tc>
        <w:tc>
          <w:tcPr>
            <w:tcW w:w="1766" w:type="dxa"/>
            <w:tcBorders>
              <w:right w:val="nil"/>
            </w:tcBorders>
          </w:tcPr>
          <w:p w14:paraId="55BD5E5C" w14:textId="77777777" w:rsidR="006F2BB8" w:rsidRPr="00874A32" w:rsidRDefault="006F2BB8" w:rsidP="00F92857">
            <w:pPr>
              <w:pStyle w:val="10Tabletext"/>
              <w:jc w:val="center"/>
              <w:cnfStyle w:val="000000000000" w:firstRow="0" w:lastRow="0" w:firstColumn="0" w:lastColumn="0" w:oddVBand="0" w:evenVBand="0" w:oddHBand="0" w:evenHBand="0" w:firstRowFirstColumn="0" w:firstRowLastColumn="0" w:lastRowFirstColumn="0" w:lastRowLastColumn="0"/>
            </w:pPr>
            <w:r w:rsidRPr="00874A32">
              <w:t>2</w:t>
            </w:r>
          </w:p>
        </w:tc>
      </w:tr>
      <w:tr w:rsidR="006F2BB8" w:rsidRPr="006F2BB8" w14:paraId="12DDD9AF" w14:textId="77777777" w:rsidTr="00F928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2D7D594F" w14:textId="77777777" w:rsidR="006F2BB8" w:rsidRPr="00874A32" w:rsidRDefault="006F2BB8" w:rsidP="00874A32">
            <w:pPr>
              <w:pStyle w:val="10Tabletext"/>
            </w:pPr>
            <w:r w:rsidRPr="00874A32">
              <w:t>25 years or more</w:t>
            </w:r>
          </w:p>
        </w:tc>
        <w:tc>
          <w:tcPr>
            <w:tcW w:w="1766" w:type="dxa"/>
          </w:tcPr>
          <w:p w14:paraId="3CD805EA" w14:textId="77777777" w:rsidR="006F2BB8" w:rsidRPr="00874A32" w:rsidRDefault="006F2BB8" w:rsidP="00F92857">
            <w:pPr>
              <w:pStyle w:val="10Tabletext"/>
              <w:jc w:val="center"/>
              <w:cnfStyle w:val="000000100000" w:firstRow="0" w:lastRow="0" w:firstColumn="0" w:lastColumn="0" w:oddVBand="0" w:evenVBand="0" w:oddHBand="1" w:evenHBand="0" w:firstRowFirstColumn="0" w:firstRowLastColumn="0" w:lastRowFirstColumn="0" w:lastRowLastColumn="0"/>
            </w:pPr>
            <w:r w:rsidRPr="00874A32">
              <w:t>10</w:t>
            </w:r>
          </w:p>
        </w:tc>
        <w:tc>
          <w:tcPr>
            <w:tcW w:w="1766" w:type="dxa"/>
            <w:tcBorders>
              <w:right w:val="nil"/>
            </w:tcBorders>
          </w:tcPr>
          <w:p w14:paraId="4667B028" w14:textId="77777777" w:rsidR="006F2BB8" w:rsidRPr="00874A32" w:rsidRDefault="006F2BB8" w:rsidP="00F92857">
            <w:pPr>
              <w:pStyle w:val="10Tabletext"/>
              <w:jc w:val="center"/>
              <w:cnfStyle w:val="000000100000" w:firstRow="0" w:lastRow="0" w:firstColumn="0" w:lastColumn="0" w:oddVBand="0" w:evenVBand="0" w:oddHBand="1" w:evenHBand="0" w:firstRowFirstColumn="0" w:firstRowLastColumn="0" w:lastRowFirstColumn="0" w:lastRowLastColumn="0"/>
            </w:pPr>
            <w:r w:rsidRPr="00874A32">
              <w:t>2</w:t>
            </w:r>
          </w:p>
        </w:tc>
      </w:tr>
      <w:tr w:rsidR="006F2BB8" w:rsidRPr="006F2BB8" w14:paraId="6185737E" w14:textId="77777777" w:rsidTr="00F92857">
        <w:trPr>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63F4B84F" w14:textId="77777777" w:rsidR="006F2BB8" w:rsidRPr="00874A32" w:rsidRDefault="006F2BB8" w:rsidP="00874A32">
            <w:pPr>
              <w:pStyle w:val="10Tabletext"/>
            </w:pPr>
            <w:r w:rsidRPr="00874A32">
              <w:t>Total</w:t>
            </w:r>
          </w:p>
        </w:tc>
        <w:tc>
          <w:tcPr>
            <w:tcW w:w="1766" w:type="dxa"/>
          </w:tcPr>
          <w:p w14:paraId="3E4F8F35" w14:textId="77777777" w:rsidR="006F2BB8" w:rsidRPr="00874A32" w:rsidRDefault="006F2BB8" w:rsidP="00F92857">
            <w:pPr>
              <w:pStyle w:val="10Tabletext"/>
              <w:jc w:val="center"/>
              <w:cnfStyle w:val="000000000000" w:firstRow="0" w:lastRow="0" w:firstColumn="0" w:lastColumn="0" w:oddVBand="0" w:evenVBand="0" w:oddHBand="0" w:evenHBand="0" w:firstRowFirstColumn="0" w:firstRowLastColumn="0" w:lastRowFirstColumn="0" w:lastRowLastColumn="0"/>
            </w:pPr>
            <w:r w:rsidRPr="00874A32">
              <w:t>628</w:t>
            </w:r>
          </w:p>
        </w:tc>
        <w:tc>
          <w:tcPr>
            <w:tcW w:w="1766" w:type="dxa"/>
            <w:tcBorders>
              <w:right w:val="nil"/>
            </w:tcBorders>
          </w:tcPr>
          <w:p w14:paraId="0D35BC4C" w14:textId="77777777" w:rsidR="006F2BB8" w:rsidRPr="00874A32" w:rsidRDefault="006F2BB8" w:rsidP="00F92857">
            <w:pPr>
              <w:pStyle w:val="10Tabletext"/>
              <w:jc w:val="center"/>
              <w:cnfStyle w:val="000000000000" w:firstRow="0" w:lastRow="0" w:firstColumn="0" w:lastColumn="0" w:oddVBand="0" w:evenVBand="0" w:oddHBand="0" w:evenHBand="0" w:firstRowFirstColumn="0" w:firstRowLastColumn="0" w:lastRowFirstColumn="0" w:lastRowLastColumn="0"/>
            </w:pPr>
          </w:p>
        </w:tc>
      </w:tr>
    </w:tbl>
    <w:p w14:paraId="16D7AAFC" w14:textId="6A154DA8" w:rsidR="008A573E" w:rsidRDefault="008A573E" w:rsidP="00874A32">
      <w:pPr>
        <w:pStyle w:val="09Sourcesandnotesfortablesfiguresboxes"/>
      </w:pPr>
      <w:r>
        <w:t>Note: The percentages in this table exceed 100</w:t>
      </w:r>
      <w:r w:rsidR="000F0A7C">
        <w:t xml:space="preserve"> per cent</w:t>
      </w:r>
      <w:r>
        <w:t xml:space="preserve"> due to the rounding of individual percentages to the nearest whole number.</w:t>
      </w:r>
    </w:p>
    <w:p w14:paraId="57AC9857" w14:textId="28671D31" w:rsidR="006F2BB8" w:rsidRPr="006F2BB8" w:rsidRDefault="006F2BB8" w:rsidP="006A3A46">
      <w:pPr>
        <w:pStyle w:val="05Paragraph"/>
      </w:pPr>
      <w:r w:rsidRPr="006F2BB8">
        <w:t>Respondents were asked to identify the type of position they held immediately prior to becoming a VPS executive for the first time (Table A.10):</w:t>
      </w:r>
    </w:p>
    <w:p w14:paraId="135D2D35" w14:textId="59E0A07A" w:rsidR="006F2BB8" w:rsidRPr="006F2BB8" w:rsidRDefault="006F2BB8" w:rsidP="006A3A46">
      <w:pPr>
        <w:pStyle w:val="06VIRTBulletpoints"/>
      </w:pPr>
      <w:r>
        <w:t>n</w:t>
      </w:r>
      <w:r w:rsidRPr="006F2BB8">
        <w:t>early half said they had worked at a non-executive level within the VPS</w:t>
      </w:r>
    </w:p>
    <w:p w14:paraId="789BF76F" w14:textId="31943BE5" w:rsidR="006F2BB8" w:rsidRPr="006F2BB8" w:rsidRDefault="006F2BB8" w:rsidP="006A3A46">
      <w:pPr>
        <w:pStyle w:val="06VIRTBulletpoints"/>
      </w:pPr>
      <w:r>
        <w:t>m</w:t>
      </w:r>
      <w:r w:rsidRPr="006F2BB8">
        <w:t>ore than a third (37 per cent) were already working at executive level when they joined the VPS executive workforce.</w:t>
      </w:r>
    </w:p>
    <w:p w14:paraId="12704B79" w14:textId="77777777" w:rsidR="006F2BB8" w:rsidRPr="006F2BB8" w:rsidRDefault="006F2BB8" w:rsidP="00144BE8">
      <w:pPr>
        <w:pStyle w:val="08Figuretableboxheading"/>
      </w:pPr>
      <w:bookmarkStart w:id="188" w:name="_Toc170393590"/>
      <w:r w:rsidRPr="006F2BB8">
        <w:lastRenderedPageBreak/>
        <w:t>Table A.10: Which of the following best describes the position you held before your first VPS executive role?</w:t>
      </w:r>
      <w:bookmarkEnd w:id="188"/>
    </w:p>
    <w:tbl>
      <w:tblPr>
        <w:tblStyle w:val="ListTable3-Accent1"/>
        <w:tblW w:w="0" w:type="auto"/>
        <w:tblLayout w:type="fixed"/>
        <w:tblLook w:val="04A0" w:firstRow="1" w:lastRow="0" w:firstColumn="1" w:lastColumn="0" w:noHBand="0" w:noVBand="1"/>
      </w:tblPr>
      <w:tblGrid>
        <w:gridCol w:w="5670"/>
        <w:gridCol w:w="1483"/>
        <w:gridCol w:w="1341"/>
      </w:tblGrid>
      <w:tr w:rsidR="006F2BB8" w:rsidRPr="006F2BB8" w14:paraId="276ADA4E" w14:textId="77777777" w:rsidTr="00D12D19">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5670" w:type="dxa"/>
            <w:tcBorders>
              <w:top w:val="single" w:sz="4" w:space="0" w:color="26664E"/>
              <w:left w:val="nil"/>
              <w:bottom w:val="single" w:sz="4" w:space="0" w:color="148A5D"/>
              <w:right w:val="single" w:sz="4" w:space="0" w:color="148A5D"/>
            </w:tcBorders>
            <w:shd w:val="clear" w:color="auto" w:fill="148A5D"/>
          </w:tcPr>
          <w:p w14:paraId="790C1507" w14:textId="77777777" w:rsidR="006F2BB8" w:rsidRPr="00874A32" w:rsidRDefault="006F2BB8" w:rsidP="00874A32">
            <w:pPr>
              <w:pStyle w:val="10Tabletext"/>
            </w:pPr>
            <w:r w:rsidRPr="00874A32">
              <w:t>Answer choices</w:t>
            </w:r>
          </w:p>
        </w:tc>
        <w:tc>
          <w:tcPr>
            <w:tcW w:w="2824" w:type="dxa"/>
            <w:gridSpan w:val="2"/>
            <w:tcBorders>
              <w:top w:val="single" w:sz="4" w:space="0" w:color="26664E"/>
              <w:left w:val="single" w:sz="4" w:space="0" w:color="148A5D"/>
              <w:right w:val="nil"/>
            </w:tcBorders>
            <w:shd w:val="clear" w:color="auto" w:fill="148A5D"/>
          </w:tcPr>
          <w:p w14:paraId="5F8FB6F6" w14:textId="77777777" w:rsidR="006F2BB8" w:rsidRPr="00874A32" w:rsidRDefault="006F2BB8" w:rsidP="00D12D19">
            <w:pPr>
              <w:pStyle w:val="10Tabletext"/>
              <w:jc w:val="center"/>
              <w:cnfStyle w:val="100000000000" w:firstRow="1" w:lastRow="0" w:firstColumn="0" w:lastColumn="0" w:oddVBand="0" w:evenVBand="0" w:oddHBand="0" w:evenHBand="0" w:firstRowFirstColumn="0" w:firstRowLastColumn="0" w:lastRowFirstColumn="0" w:lastRowLastColumn="0"/>
            </w:pPr>
            <w:r w:rsidRPr="00874A32">
              <w:t>Responses</w:t>
            </w:r>
          </w:p>
        </w:tc>
      </w:tr>
      <w:tr w:rsidR="006F2BB8" w:rsidRPr="006F2BB8" w14:paraId="462DE70F" w14:textId="77777777" w:rsidTr="00D12D1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148A5D"/>
              <w:left w:val="nil"/>
              <w:right w:val="single" w:sz="4" w:space="0" w:color="148A5D"/>
            </w:tcBorders>
            <w:shd w:val="clear" w:color="auto" w:fill="148A5D"/>
          </w:tcPr>
          <w:p w14:paraId="49459B22" w14:textId="77777777" w:rsidR="006F2BB8" w:rsidRPr="00874A32" w:rsidRDefault="006F2BB8" w:rsidP="00874A32">
            <w:pPr>
              <w:pStyle w:val="10Tabletext"/>
              <w:rPr>
                <w:color w:val="FFFFFF" w:themeColor="background1"/>
                <w:szCs w:val="24"/>
              </w:rPr>
            </w:pPr>
          </w:p>
        </w:tc>
        <w:tc>
          <w:tcPr>
            <w:tcW w:w="1483" w:type="dxa"/>
            <w:tcBorders>
              <w:top w:val="single" w:sz="4" w:space="0" w:color="148A5D"/>
              <w:left w:val="single" w:sz="4" w:space="0" w:color="148A5D"/>
              <w:right w:val="single" w:sz="4" w:space="0" w:color="148A5D"/>
            </w:tcBorders>
            <w:shd w:val="clear" w:color="auto" w:fill="148A5D"/>
          </w:tcPr>
          <w:p w14:paraId="0E5D350E" w14:textId="77777777" w:rsidR="006F2BB8" w:rsidRPr="00874A32" w:rsidRDefault="006F2BB8" w:rsidP="00D12D19">
            <w:pPr>
              <w:pStyle w:val="10Tabletext"/>
              <w:jc w:val="center"/>
              <w:cnfStyle w:val="000000100000" w:firstRow="0" w:lastRow="0" w:firstColumn="0" w:lastColumn="0" w:oddVBand="0" w:evenVBand="0" w:oddHBand="1" w:evenHBand="0" w:firstRowFirstColumn="0" w:firstRowLastColumn="0" w:lastRowFirstColumn="0" w:lastRowLastColumn="0"/>
              <w:rPr>
                <w:b/>
                <w:bCs w:val="0"/>
                <w:color w:val="FFFFFF" w:themeColor="background1"/>
                <w:szCs w:val="24"/>
              </w:rPr>
            </w:pPr>
            <w:r w:rsidRPr="00874A32">
              <w:rPr>
                <w:b/>
                <w:bCs w:val="0"/>
                <w:color w:val="FFFFFF" w:themeColor="background1"/>
                <w:szCs w:val="24"/>
              </w:rPr>
              <w:t>Number</w:t>
            </w:r>
          </w:p>
        </w:tc>
        <w:tc>
          <w:tcPr>
            <w:tcW w:w="1341" w:type="dxa"/>
            <w:tcBorders>
              <w:top w:val="single" w:sz="4" w:space="0" w:color="148A5D"/>
              <w:left w:val="single" w:sz="4" w:space="0" w:color="148A5D"/>
              <w:right w:val="nil"/>
            </w:tcBorders>
            <w:shd w:val="clear" w:color="auto" w:fill="148A5D"/>
          </w:tcPr>
          <w:p w14:paraId="28C91B6D" w14:textId="77777777" w:rsidR="006F2BB8" w:rsidRPr="00874A32" w:rsidRDefault="006F2BB8" w:rsidP="00D12D19">
            <w:pPr>
              <w:pStyle w:val="10Tabletext"/>
              <w:jc w:val="center"/>
              <w:cnfStyle w:val="000000100000" w:firstRow="0" w:lastRow="0" w:firstColumn="0" w:lastColumn="0" w:oddVBand="0" w:evenVBand="0" w:oddHBand="1" w:evenHBand="0" w:firstRowFirstColumn="0" w:firstRowLastColumn="0" w:lastRowFirstColumn="0" w:lastRowLastColumn="0"/>
              <w:rPr>
                <w:b/>
                <w:bCs w:val="0"/>
                <w:color w:val="FFFFFF" w:themeColor="background1"/>
                <w:szCs w:val="24"/>
              </w:rPr>
            </w:pPr>
            <w:r w:rsidRPr="00874A32">
              <w:rPr>
                <w:b/>
                <w:bCs w:val="0"/>
                <w:color w:val="FFFFFF" w:themeColor="background1"/>
                <w:szCs w:val="24"/>
              </w:rPr>
              <w:t>%</w:t>
            </w:r>
          </w:p>
        </w:tc>
      </w:tr>
      <w:tr w:rsidR="006F2BB8" w:rsidRPr="006F2BB8" w14:paraId="5F399D02" w14:textId="77777777" w:rsidTr="00D12D19">
        <w:trPr>
          <w:cantSplit/>
        </w:trPr>
        <w:tc>
          <w:tcPr>
            <w:cnfStyle w:val="001000000000" w:firstRow="0" w:lastRow="0" w:firstColumn="1" w:lastColumn="0" w:oddVBand="0" w:evenVBand="0" w:oddHBand="0" w:evenHBand="0" w:firstRowFirstColumn="0" w:firstRowLastColumn="0" w:lastRowFirstColumn="0" w:lastRowLastColumn="0"/>
            <w:tcW w:w="5670" w:type="dxa"/>
            <w:tcBorders>
              <w:left w:val="nil"/>
            </w:tcBorders>
          </w:tcPr>
          <w:p w14:paraId="6A0608B5" w14:textId="29B034C3" w:rsidR="006F2BB8" w:rsidRPr="00874A32" w:rsidRDefault="006F2BB8" w:rsidP="00874A32">
            <w:pPr>
              <w:pStyle w:val="10Tabletext"/>
            </w:pPr>
            <w:r w:rsidRPr="00874A32">
              <w:t xml:space="preserve">Non-executive – Victorian </w:t>
            </w:r>
            <w:r w:rsidR="00D67987">
              <w:t>P</w:t>
            </w:r>
            <w:r w:rsidRPr="00874A32">
              <w:t xml:space="preserve">ublic </w:t>
            </w:r>
            <w:r w:rsidR="00D67987">
              <w:t>S</w:t>
            </w:r>
            <w:r w:rsidRPr="00874A32">
              <w:t>ervice body</w:t>
            </w:r>
          </w:p>
        </w:tc>
        <w:tc>
          <w:tcPr>
            <w:tcW w:w="1483" w:type="dxa"/>
          </w:tcPr>
          <w:p w14:paraId="0488F4EE" w14:textId="77777777" w:rsidR="006F2BB8" w:rsidRPr="00874A32" w:rsidRDefault="006F2BB8" w:rsidP="00D12D19">
            <w:pPr>
              <w:pStyle w:val="10Tabletext"/>
              <w:jc w:val="center"/>
              <w:cnfStyle w:val="000000000000" w:firstRow="0" w:lastRow="0" w:firstColumn="0" w:lastColumn="0" w:oddVBand="0" w:evenVBand="0" w:oddHBand="0" w:evenHBand="0" w:firstRowFirstColumn="0" w:firstRowLastColumn="0" w:lastRowFirstColumn="0" w:lastRowLastColumn="0"/>
            </w:pPr>
            <w:r w:rsidRPr="00874A32">
              <w:t>310</w:t>
            </w:r>
          </w:p>
        </w:tc>
        <w:tc>
          <w:tcPr>
            <w:tcW w:w="1341" w:type="dxa"/>
            <w:tcBorders>
              <w:right w:val="nil"/>
            </w:tcBorders>
          </w:tcPr>
          <w:p w14:paraId="1528F487" w14:textId="77777777" w:rsidR="006F2BB8" w:rsidRPr="00874A32" w:rsidRDefault="006F2BB8" w:rsidP="00D12D19">
            <w:pPr>
              <w:pStyle w:val="10Tabletext"/>
              <w:jc w:val="center"/>
              <w:cnfStyle w:val="000000000000" w:firstRow="0" w:lastRow="0" w:firstColumn="0" w:lastColumn="0" w:oddVBand="0" w:evenVBand="0" w:oddHBand="0" w:evenHBand="0" w:firstRowFirstColumn="0" w:firstRowLastColumn="0" w:lastRowFirstColumn="0" w:lastRowLastColumn="0"/>
            </w:pPr>
            <w:r w:rsidRPr="00874A32">
              <w:t>49</w:t>
            </w:r>
          </w:p>
        </w:tc>
      </w:tr>
      <w:tr w:rsidR="006F2BB8" w:rsidRPr="006F2BB8" w14:paraId="335E37F1" w14:textId="77777777" w:rsidTr="00D12D1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70" w:type="dxa"/>
            <w:tcBorders>
              <w:left w:val="nil"/>
            </w:tcBorders>
          </w:tcPr>
          <w:p w14:paraId="404937E2" w14:textId="77777777" w:rsidR="006F2BB8" w:rsidRPr="00874A32" w:rsidRDefault="006F2BB8" w:rsidP="00874A32">
            <w:pPr>
              <w:pStyle w:val="10Tabletext"/>
            </w:pPr>
            <w:r w:rsidRPr="00874A32">
              <w:t>Executive – Victorian public entity</w:t>
            </w:r>
          </w:p>
        </w:tc>
        <w:tc>
          <w:tcPr>
            <w:tcW w:w="1483" w:type="dxa"/>
          </w:tcPr>
          <w:p w14:paraId="53F1B0FE" w14:textId="77777777" w:rsidR="006F2BB8" w:rsidRPr="00874A32" w:rsidRDefault="006F2BB8" w:rsidP="00D12D19">
            <w:pPr>
              <w:pStyle w:val="10Tabletext"/>
              <w:jc w:val="center"/>
              <w:cnfStyle w:val="000000100000" w:firstRow="0" w:lastRow="0" w:firstColumn="0" w:lastColumn="0" w:oddVBand="0" w:evenVBand="0" w:oddHBand="1" w:evenHBand="0" w:firstRowFirstColumn="0" w:firstRowLastColumn="0" w:lastRowFirstColumn="0" w:lastRowLastColumn="0"/>
            </w:pPr>
            <w:r w:rsidRPr="00874A32">
              <w:t>92</w:t>
            </w:r>
          </w:p>
        </w:tc>
        <w:tc>
          <w:tcPr>
            <w:tcW w:w="1341" w:type="dxa"/>
            <w:tcBorders>
              <w:right w:val="nil"/>
            </w:tcBorders>
          </w:tcPr>
          <w:p w14:paraId="7A1FDC95" w14:textId="77777777" w:rsidR="006F2BB8" w:rsidRPr="00874A32" w:rsidRDefault="006F2BB8" w:rsidP="00D12D19">
            <w:pPr>
              <w:pStyle w:val="10Tabletext"/>
              <w:jc w:val="center"/>
              <w:cnfStyle w:val="000000100000" w:firstRow="0" w:lastRow="0" w:firstColumn="0" w:lastColumn="0" w:oddVBand="0" w:evenVBand="0" w:oddHBand="1" w:evenHBand="0" w:firstRowFirstColumn="0" w:firstRowLastColumn="0" w:lastRowFirstColumn="0" w:lastRowLastColumn="0"/>
            </w:pPr>
            <w:r w:rsidRPr="00874A32">
              <w:t>15</w:t>
            </w:r>
          </w:p>
        </w:tc>
      </w:tr>
      <w:tr w:rsidR="006F2BB8" w:rsidRPr="006F2BB8" w14:paraId="46371DF8" w14:textId="77777777" w:rsidTr="00D12D19">
        <w:trPr>
          <w:cantSplit/>
        </w:trPr>
        <w:tc>
          <w:tcPr>
            <w:cnfStyle w:val="001000000000" w:firstRow="0" w:lastRow="0" w:firstColumn="1" w:lastColumn="0" w:oddVBand="0" w:evenVBand="0" w:oddHBand="0" w:evenHBand="0" w:firstRowFirstColumn="0" w:firstRowLastColumn="0" w:lastRowFirstColumn="0" w:lastRowLastColumn="0"/>
            <w:tcW w:w="5670" w:type="dxa"/>
            <w:tcBorders>
              <w:left w:val="nil"/>
            </w:tcBorders>
          </w:tcPr>
          <w:p w14:paraId="4094DD1C" w14:textId="77777777" w:rsidR="006F2BB8" w:rsidRPr="00874A32" w:rsidRDefault="006F2BB8" w:rsidP="00874A32">
            <w:pPr>
              <w:pStyle w:val="10Tabletext"/>
            </w:pPr>
            <w:r w:rsidRPr="00874A32">
              <w:t>Executive – Victorian for-profit sector</w:t>
            </w:r>
          </w:p>
        </w:tc>
        <w:tc>
          <w:tcPr>
            <w:tcW w:w="1483" w:type="dxa"/>
          </w:tcPr>
          <w:p w14:paraId="29F35CBB" w14:textId="43168B66" w:rsidR="006F2BB8" w:rsidRPr="00874A32" w:rsidRDefault="0061180B" w:rsidP="00D12D19">
            <w:pPr>
              <w:pStyle w:val="10Tabletext"/>
              <w:jc w:val="center"/>
              <w:cnfStyle w:val="000000000000" w:firstRow="0" w:lastRow="0" w:firstColumn="0" w:lastColumn="0" w:oddVBand="0" w:evenVBand="0" w:oddHBand="0" w:evenHBand="0" w:firstRowFirstColumn="0" w:firstRowLastColumn="0" w:lastRowFirstColumn="0" w:lastRowLastColumn="0"/>
            </w:pPr>
            <w:r w:rsidRPr="00874A32">
              <w:t>46</w:t>
            </w:r>
          </w:p>
        </w:tc>
        <w:tc>
          <w:tcPr>
            <w:tcW w:w="1341" w:type="dxa"/>
            <w:tcBorders>
              <w:right w:val="nil"/>
            </w:tcBorders>
          </w:tcPr>
          <w:p w14:paraId="78393870" w14:textId="52EEA7BD" w:rsidR="006F2BB8" w:rsidRPr="00874A32" w:rsidRDefault="00F6408D" w:rsidP="00D12D19">
            <w:pPr>
              <w:pStyle w:val="10Tabletext"/>
              <w:jc w:val="center"/>
              <w:cnfStyle w:val="000000000000" w:firstRow="0" w:lastRow="0" w:firstColumn="0" w:lastColumn="0" w:oddVBand="0" w:evenVBand="0" w:oddHBand="0" w:evenHBand="0" w:firstRowFirstColumn="0" w:firstRowLastColumn="0" w:lastRowFirstColumn="0" w:lastRowLastColumn="0"/>
            </w:pPr>
            <w:r w:rsidRPr="00874A32">
              <w:t>7</w:t>
            </w:r>
          </w:p>
        </w:tc>
      </w:tr>
      <w:tr w:rsidR="006F2BB8" w:rsidRPr="006F2BB8" w14:paraId="0D911573" w14:textId="77777777" w:rsidTr="00D12D1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70" w:type="dxa"/>
            <w:tcBorders>
              <w:left w:val="nil"/>
            </w:tcBorders>
          </w:tcPr>
          <w:p w14:paraId="4B85818B" w14:textId="77777777" w:rsidR="006F2BB8" w:rsidRPr="00874A32" w:rsidRDefault="006F2BB8" w:rsidP="00874A32">
            <w:pPr>
              <w:pStyle w:val="10Tabletext"/>
            </w:pPr>
            <w:r w:rsidRPr="00874A32">
              <w:t>Non-executive – Victorian public entity</w:t>
            </w:r>
          </w:p>
        </w:tc>
        <w:tc>
          <w:tcPr>
            <w:tcW w:w="1483" w:type="dxa"/>
          </w:tcPr>
          <w:p w14:paraId="5BC79227" w14:textId="77777777" w:rsidR="006F2BB8" w:rsidRPr="00874A32" w:rsidRDefault="006F2BB8" w:rsidP="00D12D19">
            <w:pPr>
              <w:pStyle w:val="10Tabletext"/>
              <w:jc w:val="center"/>
              <w:cnfStyle w:val="000000100000" w:firstRow="0" w:lastRow="0" w:firstColumn="0" w:lastColumn="0" w:oddVBand="0" w:evenVBand="0" w:oddHBand="1" w:evenHBand="0" w:firstRowFirstColumn="0" w:firstRowLastColumn="0" w:lastRowFirstColumn="0" w:lastRowLastColumn="0"/>
            </w:pPr>
            <w:r w:rsidRPr="00874A32">
              <w:t>38</w:t>
            </w:r>
          </w:p>
        </w:tc>
        <w:tc>
          <w:tcPr>
            <w:tcW w:w="1341" w:type="dxa"/>
            <w:tcBorders>
              <w:right w:val="nil"/>
            </w:tcBorders>
          </w:tcPr>
          <w:p w14:paraId="123EC826" w14:textId="77777777" w:rsidR="006F2BB8" w:rsidRPr="00874A32" w:rsidRDefault="006F2BB8" w:rsidP="00D12D19">
            <w:pPr>
              <w:pStyle w:val="10Tabletext"/>
              <w:jc w:val="center"/>
              <w:cnfStyle w:val="000000100000" w:firstRow="0" w:lastRow="0" w:firstColumn="0" w:lastColumn="0" w:oddVBand="0" w:evenVBand="0" w:oddHBand="1" w:evenHBand="0" w:firstRowFirstColumn="0" w:firstRowLastColumn="0" w:lastRowFirstColumn="0" w:lastRowLastColumn="0"/>
            </w:pPr>
            <w:r w:rsidRPr="00874A32">
              <w:t>6</w:t>
            </w:r>
          </w:p>
        </w:tc>
      </w:tr>
      <w:tr w:rsidR="006F2BB8" w:rsidRPr="006F2BB8" w14:paraId="6F93D1B2" w14:textId="77777777" w:rsidTr="00D12D19">
        <w:trPr>
          <w:cantSplit/>
        </w:trPr>
        <w:tc>
          <w:tcPr>
            <w:cnfStyle w:val="001000000000" w:firstRow="0" w:lastRow="0" w:firstColumn="1" w:lastColumn="0" w:oddVBand="0" w:evenVBand="0" w:oddHBand="0" w:evenHBand="0" w:firstRowFirstColumn="0" w:firstRowLastColumn="0" w:lastRowFirstColumn="0" w:lastRowLastColumn="0"/>
            <w:tcW w:w="5670" w:type="dxa"/>
            <w:tcBorders>
              <w:left w:val="nil"/>
            </w:tcBorders>
          </w:tcPr>
          <w:p w14:paraId="11F0A6BC" w14:textId="77777777" w:rsidR="006F2BB8" w:rsidRPr="00874A32" w:rsidRDefault="006F2BB8" w:rsidP="00874A32">
            <w:pPr>
              <w:pStyle w:val="10Tabletext"/>
            </w:pPr>
            <w:r w:rsidRPr="00874A32">
              <w:t>Non-executive – Victorian for-profit sector</w:t>
            </w:r>
          </w:p>
        </w:tc>
        <w:tc>
          <w:tcPr>
            <w:tcW w:w="1483" w:type="dxa"/>
          </w:tcPr>
          <w:p w14:paraId="5839387C" w14:textId="77777777" w:rsidR="006F2BB8" w:rsidRPr="00874A32" w:rsidRDefault="006F2BB8" w:rsidP="00D12D19">
            <w:pPr>
              <w:pStyle w:val="10Tabletext"/>
              <w:jc w:val="center"/>
              <w:cnfStyle w:val="000000000000" w:firstRow="0" w:lastRow="0" w:firstColumn="0" w:lastColumn="0" w:oddVBand="0" w:evenVBand="0" w:oddHBand="0" w:evenHBand="0" w:firstRowFirstColumn="0" w:firstRowLastColumn="0" w:lastRowFirstColumn="0" w:lastRowLastColumn="0"/>
            </w:pPr>
            <w:r w:rsidRPr="00874A32">
              <w:t>26</w:t>
            </w:r>
          </w:p>
        </w:tc>
        <w:tc>
          <w:tcPr>
            <w:tcW w:w="1341" w:type="dxa"/>
            <w:tcBorders>
              <w:right w:val="nil"/>
            </w:tcBorders>
          </w:tcPr>
          <w:p w14:paraId="2638E41C" w14:textId="77777777" w:rsidR="006F2BB8" w:rsidRPr="00874A32" w:rsidRDefault="006F2BB8" w:rsidP="00D12D19">
            <w:pPr>
              <w:pStyle w:val="10Tabletext"/>
              <w:jc w:val="center"/>
              <w:cnfStyle w:val="000000000000" w:firstRow="0" w:lastRow="0" w:firstColumn="0" w:lastColumn="0" w:oddVBand="0" w:evenVBand="0" w:oddHBand="0" w:evenHBand="0" w:firstRowFirstColumn="0" w:firstRowLastColumn="0" w:lastRowFirstColumn="0" w:lastRowLastColumn="0"/>
            </w:pPr>
            <w:r w:rsidRPr="00874A32">
              <w:t>4</w:t>
            </w:r>
          </w:p>
        </w:tc>
      </w:tr>
      <w:tr w:rsidR="006F2BB8" w:rsidRPr="006F2BB8" w14:paraId="7D55208E" w14:textId="77777777" w:rsidTr="00D12D1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70" w:type="dxa"/>
            <w:tcBorders>
              <w:left w:val="nil"/>
            </w:tcBorders>
          </w:tcPr>
          <w:p w14:paraId="14E09D77" w14:textId="77777777" w:rsidR="006F2BB8" w:rsidRPr="00874A32" w:rsidRDefault="006F2BB8" w:rsidP="00874A32">
            <w:pPr>
              <w:pStyle w:val="10Tabletext"/>
            </w:pPr>
            <w:r w:rsidRPr="00874A32">
              <w:t>Executive – public sector in another Australian jurisdiction</w:t>
            </w:r>
          </w:p>
        </w:tc>
        <w:tc>
          <w:tcPr>
            <w:tcW w:w="1483" w:type="dxa"/>
          </w:tcPr>
          <w:p w14:paraId="0805A531" w14:textId="77777777" w:rsidR="006F2BB8" w:rsidRPr="00874A32" w:rsidRDefault="006F2BB8" w:rsidP="00D12D19">
            <w:pPr>
              <w:pStyle w:val="10Tabletext"/>
              <w:jc w:val="center"/>
              <w:cnfStyle w:val="000000100000" w:firstRow="0" w:lastRow="0" w:firstColumn="0" w:lastColumn="0" w:oddVBand="0" w:evenVBand="0" w:oddHBand="1" w:evenHBand="0" w:firstRowFirstColumn="0" w:firstRowLastColumn="0" w:lastRowFirstColumn="0" w:lastRowLastColumn="0"/>
            </w:pPr>
            <w:r w:rsidRPr="00874A32">
              <w:t>24</w:t>
            </w:r>
          </w:p>
        </w:tc>
        <w:tc>
          <w:tcPr>
            <w:tcW w:w="1341" w:type="dxa"/>
            <w:tcBorders>
              <w:right w:val="nil"/>
            </w:tcBorders>
          </w:tcPr>
          <w:p w14:paraId="5B9EFCCD" w14:textId="77777777" w:rsidR="006F2BB8" w:rsidRPr="00874A32" w:rsidRDefault="006F2BB8" w:rsidP="00D12D19">
            <w:pPr>
              <w:pStyle w:val="10Tabletext"/>
              <w:jc w:val="center"/>
              <w:cnfStyle w:val="000000100000" w:firstRow="0" w:lastRow="0" w:firstColumn="0" w:lastColumn="0" w:oddVBand="0" w:evenVBand="0" w:oddHBand="1" w:evenHBand="0" w:firstRowFirstColumn="0" w:firstRowLastColumn="0" w:lastRowFirstColumn="0" w:lastRowLastColumn="0"/>
            </w:pPr>
            <w:r w:rsidRPr="00874A32">
              <w:t>4</w:t>
            </w:r>
          </w:p>
        </w:tc>
      </w:tr>
      <w:tr w:rsidR="006F2BB8" w:rsidRPr="006F2BB8" w14:paraId="6ADD7B14" w14:textId="77777777" w:rsidTr="00D12D19">
        <w:trPr>
          <w:cantSplit/>
        </w:trPr>
        <w:tc>
          <w:tcPr>
            <w:cnfStyle w:val="001000000000" w:firstRow="0" w:lastRow="0" w:firstColumn="1" w:lastColumn="0" w:oddVBand="0" w:evenVBand="0" w:oddHBand="0" w:evenHBand="0" w:firstRowFirstColumn="0" w:firstRowLastColumn="0" w:lastRowFirstColumn="0" w:lastRowLastColumn="0"/>
            <w:tcW w:w="5670" w:type="dxa"/>
            <w:tcBorders>
              <w:left w:val="nil"/>
            </w:tcBorders>
          </w:tcPr>
          <w:p w14:paraId="45CEF0DB" w14:textId="77777777" w:rsidR="006F2BB8" w:rsidRPr="00874A32" w:rsidRDefault="006F2BB8" w:rsidP="00874A32">
            <w:pPr>
              <w:pStyle w:val="10Tabletext"/>
            </w:pPr>
            <w:r w:rsidRPr="00874A32">
              <w:t>Executive – Victorian not-for-profit sector</w:t>
            </w:r>
          </w:p>
        </w:tc>
        <w:tc>
          <w:tcPr>
            <w:tcW w:w="1483" w:type="dxa"/>
          </w:tcPr>
          <w:p w14:paraId="2EFAD268" w14:textId="77777777" w:rsidR="006F2BB8" w:rsidRPr="00874A32" w:rsidRDefault="006F2BB8" w:rsidP="00D12D19">
            <w:pPr>
              <w:pStyle w:val="10Tabletext"/>
              <w:jc w:val="center"/>
              <w:cnfStyle w:val="000000000000" w:firstRow="0" w:lastRow="0" w:firstColumn="0" w:lastColumn="0" w:oddVBand="0" w:evenVBand="0" w:oddHBand="0" w:evenHBand="0" w:firstRowFirstColumn="0" w:firstRowLastColumn="0" w:lastRowFirstColumn="0" w:lastRowLastColumn="0"/>
            </w:pPr>
            <w:r w:rsidRPr="00874A32">
              <w:t>21</w:t>
            </w:r>
          </w:p>
        </w:tc>
        <w:tc>
          <w:tcPr>
            <w:tcW w:w="1341" w:type="dxa"/>
            <w:tcBorders>
              <w:right w:val="nil"/>
            </w:tcBorders>
          </w:tcPr>
          <w:p w14:paraId="6766B93E" w14:textId="77777777" w:rsidR="006F2BB8" w:rsidRPr="00874A32" w:rsidRDefault="006F2BB8" w:rsidP="00D12D19">
            <w:pPr>
              <w:pStyle w:val="10Tabletext"/>
              <w:jc w:val="center"/>
              <w:cnfStyle w:val="000000000000" w:firstRow="0" w:lastRow="0" w:firstColumn="0" w:lastColumn="0" w:oddVBand="0" w:evenVBand="0" w:oddHBand="0" w:evenHBand="0" w:firstRowFirstColumn="0" w:firstRowLastColumn="0" w:lastRowFirstColumn="0" w:lastRowLastColumn="0"/>
            </w:pPr>
            <w:r w:rsidRPr="00874A32">
              <w:t>3</w:t>
            </w:r>
          </w:p>
        </w:tc>
      </w:tr>
      <w:tr w:rsidR="006F2BB8" w:rsidRPr="006F2BB8" w14:paraId="26D942D3" w14:textId="77777777" w:rsidTr="00D12D1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70" w:type="dxa"/>
            <w:tcBorders>
              <w:left w:val="nil"/>
            </w:tcBorders>
          </w:tcPr>
          <w:p w14:paraId="4DC79C43" w14:textId="77777777" w:rsidR="006F2BB8" w:rsidRPr="00874A32" w:rsidRDefault="006F2BB8" w:rsidP="00874A32">
            <w:pPr>
              <w:pStyle w:val="10Tabletext"/>
            </w:pPr>
            <w:r w:rsidRPr="00874A32">
              <w:t>Executive – international for-profit sector</w:t>
            </w:r>
          </w:p>
        </w:tc>
        <w:tc>
          <w:tcPr>
            <w:tcW w:w="1483" w:type="dxa"/>
          </w:tcPr>
          <w:p w14:paraId="7DC282B0" w14:textId="77777777" w:rsidR="006F2BB8" w:rsidRPr="00874A32" w:rsidRDefault="006F2BB8" w:rsidP="00D12D19">
            <w:pPr>
              <w:pStyle w:val="10Tabletext"/>
              <w:jc w:val="center"/>
              <w:cnfStyle w:val="000000100000" w:firstRow="0" w:lastRow="0" w:firstColumn="0" w:lastColumn="0" w:oddVBand="0" w:evenVBand="0" w:oddHBand="1" w:evenHBand="0" w:firstRowFirstColumn="0" w:firstRowLastColumn="0" w:lastRowFirstColumn="0" w:lastRowLastColumn="0"/>
            </w:pPr>
            <w:r w:rsidRPr="00874A32">
              <w:t>19</w:t>
            </w:r>
          </w:p>
        </w:tc>
        <w:tc>
          <w:tcPr>
            <w:tcW w:w="1341" w:type="dxa"/>
            <w:tcBorders>
              <w:right w:val="nil"/>
            </w:tcBorders>
          </w:tcPr>
          <w:p w14:paraId="2A1C9DAA" w14:textId="77777777" w:rsidR="006F2BB8" w:rsidRPr="00874A32" w:rsidRDefault="006F2BB8" w:rsidP="00D12D19">
            <w:pPr>
              <w:pStyle w:val="10Tabletext"/>
              <w:jc w:val="center"/>
              <w:cnfStyle w:val="000000100000" w:firstRow="0" w:lastRow="0" w:firstColumn="0" w:lastColumn="0" w:oddVBand="0" w:evenVBand="0" w:oddHBand="1" w:evenHBand="0" w:firstRowFirstColumn="0" w:firstRowLastColumn="0" w:lastRowFirstColumn="0" w:lastRowLastColumn="0"/>
            </w:pPr>
            <w:r w:rsidRPr="00874A32">
              <w:t>3</w:t>
            </w:r>
          </w:p>
        </w:tc>
      </w:tr>
      <w:tr w:rsidR="006F2BB8" w:rsidRPr="006F2BB8" w14:paraId="1B8BEF8C" w14:textId="77777777" w:rsidTr="00D12D19">
        <w:trPr>
          <w:cantSplit/>
        </w:trPr>
        <w:tc>
          <w:tcPr>
            <w:cnfStyle w:val="001000000000" w:firstRow="0" w:lastRow="0" w:firstColumn="1" w:lastColumn="0" w:oddVBand="0" w:evenVBand="0" w:oddHBand="0" w:evenHBand="0" w:firstRowFirstColumn="0" w:firstRowLastColumn="0" w:lastRowFirstColumn="0" w:lastRowLastColumn="0"/>
            <w:tcW w:w="5670" w:type="dxa"/>
            <w:tcBorders>
              <w:left w:val="nil"/>
            </w:tcBorders>
          </w:tcPr>
          <w:p w14:paraId="77E557BD" w14:textId="77777777" w:rsidR="006F2BB8" w:rsidRPr="00874A32" w:rsidRDefault="006F2BB8" w:rsidP="00874A32">
            <w:pPr>
              <w:pStyle w:val="10Tabletext"/>
            </w:pPr>
            <w:r w:rsidRPr="00874A32">
              <w:t>Executive – Victorian local government</w:t>
            </w:r>
          </w:p>
        </w:tc>
        <w:tc>
          <w:tcPr>
            <w:tcW w:w="1483" w:type="dxa"/>
          </w:tcPr>
          <w:p w14:paraId="3463EB9E" w14:textId="77777777" w:rsidR="006F2BB8" w:rsidRPr="00874A32" w:rsidRDefault="006F2BB8" w:rsidP="00D12D19">
            <w:pPr>
              <w:pStyle w:val="10Tabletext"/>
              <w:jc w:val="center"/>
              <w:cnfStyle w:val="000000000000" w:firstRow="0" w:lastRow="0" w:firstColumn="0" w:lastColumn="0" w:oddVBand="0" w:evenVBand="0" w:oddHBand="0" w:evenHBand="0" w:firstRowFirstColumn="0" w:firstRowLastColumn="0" w:lastRowFirstColumn="0" w:lastRowLastColumn="0"/>
            </w:pPr>
            <w:r w:rsidRPr="00874A32">
              <w:t>14</w:t>
            </w:r>
          </w:p>
        </w:tc>
        <w:tc>
          <w:tcPr>
            <w:tcW w:w="1341" w:type="dxa"/>
            <w:tcBorders>
              <w:right w:val="nil"/>
            </w:tcBorders>
          </w:tcPr>
          <w:p w14:paraId="7852CCE9" w14:textId="77777777" w:rsidR="006F2BB8" w:rsidRPr="00874A32" w:rsidRDefault="006F2BB8" w:rsidP="00D12D19">
            <w:pPr>
              <w:pStyle w:val="10Tabletext"/>
              <w:jc w:val="center"/>
              <w:cnfStyle w:val="000000000000" w:firstRow="0" w:lastRow="0" w:firstColumn="0" w:lastColumn="0" w:oddVBand="0" w:evenVBand="0" w:oddHBand="0" w:evenHBand="0" w:firstRowFirstColumn="0" w:firstRowLastColumn="0" w:lastRowFirstColumn="0" w:lastRowLastColumn="0"/>
            </w:pPr>
            <w:r w:rsidRPr="00874A32">
              <w:t>2</w:t>
            </w:r>
          </w:p>
        </w:tc>
      </w:tr>
      <w:tr w:rsidR="006F2BB8" w:rsidRPr="006F2BB8" w14:paraId="06A1911B" w14:textId="77777777" w:rsidTr="00D12D1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70" w:type="dxa"/>
            <w:tcBorders>
              <w:left w:val="nil"/>
            </w:tcBorders>
          </w:tcPr>
          <w:p w14:paraId="62718CB9" w14:textId="77777777" w:rsidR="006F2BB8" w:rsidRPr="00874A32" w:rsidRDefault="006F2BB8" w:rsidP="00874A32">
            <w:pPr>
              <w:pStyle w:val="10Tabletext"/>
            </w:pPr>
            <w:r w:rsidRPr="00874A32">
              <w:t>Executive – for-profit sector in another Australian jurisdiction</w:t>
            </w:r>
          </w:p>
        </w:tc>
        <w:tc>
          <w:tcPr>
            <w:tcW w:w="1483" w:type="dxa"/>
          </w:tcPr>
          <w:p w14:paraId="39307E42" w14:textId="77777777" w:rsidR="006F2BB8" w:rsidRPr="00874A32" w:rsidRDefault="006F2BB8" w:rsidP="00D12D19">
            <w:pPr>
              <w:pStyle w:val="10Tabletext"/>
              <w:jc w:val="center"/>
              <w:cnfStyle w:val="000000100000" w:firstRow="0" w:lastRow="0" w:firstColumn="0" w:lastColumn="0" w:oddVBand="0" w:evenVBand="0" w:oddHBand="1" w:evenHBand="0" w:firstRowFirstColumn="0" w:firstRowLastColumn="0" w:lastRowFirstColumn="0" w:lastRowLastColumn="0"/>
            </w:pPr>
            <w:r w:rsidRPr="00874A32">
              <w:t>7</w:t>
            </w:r>
          </w:p>
        </w:tc>
        <w:tc>
          <w:tcPr>
            <w:tcW w:w="1341" w:type="dxa"/>
            <w:tcBorders>
              <w:right w:val="nil"/>
            </w:tcBorders>
          </w:tcPr>
          <w:p w14:paraId="146876C8" w14:textId="77777777" w:rsidR="006F2BB8" w:rsidRPr="00874A32" w:rsidRDefault="006F2BB8" w:rsidP="00D12D19">
            <w:pPr>
              <w:pStyle w:val="10Tabletext"/>
              <w:jc w:val="center"/>
              <w:cnfStyle w:val="000000100000" w:firstRow="0" w:lastRow="0" w:firstColumn="0" w:lastColumn="0" w:oddVBand="0" w:evenVBand="0" w:oddHBand="1" w:evenHBand="0" w:firstRowFirstColumn="0" w:firstRowLastColumn="0" w:lastRowFirstColumn="0" w:lastRowLastColumn="0"/>
            </w:pPr>
            <w:r w:rsidRPr="00874A32">
              <w:t>1</w:t>
            </w:r>
          </w:p>
        </w:tc>
      </w:tr>
      <w:tr w:rsidR="006F2BB8" w:rsidRPr="006F2BB8" w14:paraId="767DBF83" w14:textId="77777777" w:rsidTr="00D12D19">
        <w:trPr>
          <w:cantSplit/>
        </w:trPr>
        <w:tc>
          <w:tcPr>
            <w:cnfStyle w:val="001000000000" w:firstRow="0" w:lastRow="0" w:firstColumn="1" w:lastColumn="0" w:oddVBand="0" w:evenVBand="0" w:oddHBand="0" w:evenHBand="0" w:firstRowFirstColumn="0" w:firstRowLastColumn="0" w:lastRowFirstColumn="0" w:lastRowLastColumn="0"/>
            <w:tcW w:w="5670" w:type="dxa"/>
            <w:tcBorders>
              <w:left w:val="nil"/>
            </w:tcBorders>
          </w:tcPr>
          <w:p w14:paraId="7F485FFE" w14:textId="77777777" w:rsidR="006F2BB8" w:rsidRPr="00874A32" w:rsidRDefault="006F2BB8" w:rsidP="00874A32">
            <w:pPr>
              <w:pStyle w:val="10Tabletext"/>
            </w:pPr>
            <w:r w:rsidRPr="00874A32">
              <w:t>Other</w:t>
            </w:r>
          </w:p>
        </w:tc>
        <w:tc>
          <w:tcPr>
            <w:tcW w:w="1483" w:type="dxa"/>
          </w:tcPr>
          <w:p w14:paraId="16979367" w14:textId="28A5D5C7" w:rsidR="006F2BB8" w:rsidRPr="00874A32" w:rsidRDefault="00F6408D" w:rsidP="00D12D19">
            <w:pPr>
              <w:pStyle w:val="10Tabletext"/>
              <w:jc w:val="center"/>
              <w:cnfStyle w:val="000000000000" w:firstRow="0" w:lastRow="0" w:firstColumn="0" w:lastColumn="0" w:oddVBand="0" w:evenVBand="0" w:oddHBand="0" w:evenHBand="0" w:firstRowFirstColumn="0" w:firstRowLastColumn="0" w:lastRowFirstColumn="0" w:lastRowLastColumn="0"/>
            </w:pPr>
            <w:r w:rsidRPr="00874A32">
              <w:t>31</w:t>
            </w:r>
          </w:p>
        </w:tc>
        <w:tc>
          <w:tcPr>
            <w:tcW w:w="1341" w:type="dxa"/>
            <w:tcBorders>
              <w:right w:val="nil"/>
            </w:tcBorders>
          </w:tcPr>
          <w:p w14:paraId="4FFEA145" w14:textId="7D06FE25" w:rsidR="006F2BB8" w:rsidRPr="00874A32" w:rsidRDefault="00F6408D" w:rsidP="00D12D19">
            <w:pPr>
              <w:pStyle w:val="10Tabletext"/>
              <w:jc w:val="center"/>
              <w:cnfStyle w:val="000000000000" w:firstRow="0" w:lastRow="0" w:firstColumn="0" w:lastColumn="0" w:oddVBand="0" w:evenVBand="0" w:oddHBand="0" w:evenHBand="0" w:firstRowFirstColumn="0" w:firstRowLastColumn="0" w:lastRowFirstColumn="0" w:lastRowLastColumn="0"/>
            </w:pPr>
            <w:r w:rsidRPr="00874A32">
              <w:t>5</w:t>
            </w:r>
          </w:p>
        </w:tc>
      </w:tr>
      <w:tr w:rsidR="006F2BB8" w:rsidRPr="006F2BB8" w14:paraId="62D3BEB5" w14:textId="77777777" w:rsidTr="00D12D1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70" w:type="dxa"/>
            <w:tcBorders>
              <w:left w:val="nil"/>
            </w:tcBorders>
          </w:tcPr>
          <w:p w14:paraId="5128F090" w14:textId="77777777" w:rsidR="006F2BB8" w:rsidRPr="00874A32" w:rsidRDefault="006F2BB8" w:rsidP="00874A32">
            <w:pPr>
              <w:pStyle w:val="10Tabletext"/>
            </w:pPr>
            <w:r w:rsidRPr="00874A32">
              <w:t>Total</w:t>
            </w:r>
          </w:p>
        </w:tc>
        <w:tc>
          <w:tcPr>
            <w:tcW w:w="1483" w:type="dxa"/>
          </w:tcPr>
          <w:p w14:paraId="2AA1946A" w14:textId="77777777" w:rsidR="006F2BB8" w:rsidRPr="00874A32" w:rsidRDefault="006F2BB8" w:rsidP="00D12D19">
            <w:pPr>
              <w:pStyle w:val="10Tabletext"/>
              <w:jc w:val="center"/>
              <w:cnfStyle w:val="000000100000" w:firstRow="0" w:lastRow="0" w:firstColumn="0" w:lastColumn="0" w:oddVBand="0" w:evenVBand="0" w:oddHBand="1" w:evenHBand="0" w:firstRowFirstColumn="0" w:firstRowLastColumn="0" w:lastRowFirstColumn="0" w:lastRowLastColumn="0"/>
            </w:pPr>
            <w:r w:rsidRPr="00874A32">
              <w:t>628</w:t>
            </w:r>
          </w:p>
        </w:tc>
        <w:tc>
          <w:tcPr>
            <w:tcW w:w="1341" w:type="dxa"/>
            <w:tcBorders>
              <w:right w:val="nil"/>
            </w:tcBorders>
          </w:tcPr>
          <w:p w14:paraId="13C760A8" w14:textId="77777777" w:rsidR="006F2BB8" w:rsidRPr="00874A32" w:rsidRDefault="006F2BB8" w:rsidP="00D12D19">
            <w:pPr>
              <w:pStyle w:val="10Tabletext"/>
              <w:jc w:val="center"/>
              <w:cnfStyle w:val="000000100000" w:firstRow="0" w:lastRow="0" w:firstColumn="0" w:lastColumn="0" w:oddVBand="0" w:evenVBand="0" w:oddHBand="1" w:evenHBand="0" w:firstRowFirstColumn="0" w:firstRowLastColumn="0" w:lastRowFirstColumn="0" w:lastRowLastColumn="0"/>
            </w:pPr>
          </w:p>
        </w:tc>
      </w:tr>
    </w:tbl>
    <w:p w14:paraId="5A8B33BF" w14:textId="5BC30041" w:rsidR="00421CBE" w:rsidRDefault="00421CBE" w:rsidP="00421CBE">
      <w:pPr>
        <w:pStyle w:val="09Sourcesandnotesfortablesfiguresboxes"/>
      </w:pPr>
      <w:r>
        <w:t>Note: The percentages in this table add to 99</w:t>
      </w:r>
      <w:r w:rsidR="001C38B3">
        <w:t xml:space="preserve"> per cent</w:t>
      </w:r>
      <w:r>
        <w:t xml:space="preserve"> due to the rounding of individual percentages to the nearest whole number.</w:t>
      </w:r>
    </w:p>
    <w:p w14:paraId="70481000" w14:textId="77777777" w:rsidR="006F2BB8" w:rsidRPr="006F2BB8" w:rsidRDefault="006F2BB8" w:rsidP="00150220">
      <w:pPr>
        <w:pStyle w:val="03VIRTHeading3"/>
      </w:pPr>
      <w:r w:rsidRPr="006F2BB8">
        <w:t>Intention to stay</w:t>
      </w:r>
    </w:p>
    <w:p w14:paraId="179ABF92" w14:textId="67CC0E6F" w:rsidR="006F2BB8" w:rsidRPr="006F2BB8" w:rsidRDefault="006F2BB8" w:rsidP="006A3A46">
      <w:pPr>
        <w:pStyle w:val="05Paragraph"/>
      </w:pPr>
      <w:r w:rsidRPr="006F2BB8">
        <w:t xml:space="preserve">Nearly half of respondents planned to work for the VPS at executive level for over five years (Table A.11). Given the </w:t>
      </w:r>
      <w:r w:rsidR="00AC1DAE" w:rsidRPr="006D1B74">
        <w:rPr>
          <w:i/>
          <w:iCs/>
        </w:rPr>
        <w:t>Public Administration Act 2004</w:t>
      </w:r>
      <w:r w:rsidR="00AC1DAE">
        <w:t xml:space="preserve"> (Vic)</w:t>
      </w:r>
      <w:r w:rsidRPr="006F2BB8">
        <w:t xml:space="preserve"> permits executive contracts of up to five years, this indicates most respondents were committed to working in the VPS for an extended period.</w:t>
      </w:r>
    </w:p>
    <w:p w14:paraId="26B40959" w14:textId="5C311D21" w:rsidR="006F2BB8" w:rsidRPr="008E577A" w:rsidRDefault="006F2BB8" w:rsidP="006A3A46">
      <w:pPr>
        <w:pStyle w:val="05Paragraph"/>
        <w:rPr>
          <w:spacing w:val="-6"/>
        </w:rPr>
      </w:pPr>
      <w:r w:rsidRPr="008E577A">
        <w:rPr>
          <w:spacing w:val="-6"/>
        </w:rPr>
        <w:t xml:space="preserve">Conversely, </w:t>
      </w:r>
      <w:r w:rsidR="006B5321" w:rsidRPr="008E577A">
        <w:rPr>
          <w:spacing w:val="-6"/>
        </w:rPr>
        <w:t xml:space="preserve">over </w:t>
      </w:r>
      <w:r w:rsidRPr="008E577A">
        <w:rPr>
          <w:spacing w:val="-6"/>
        </w:rPr>
        <w:t xml:space="preserve">10 per cent of respondents planned to leave the VPS executive workforce by December 2024 (one year </w:t>
      </w:r>
      <w:r w:rsidR="00AC1DAE" w:rsidRPr="008E577A">
        <w:rPr>
          <w:spacing w:val="-6"/>
        </w:rPr>
        <w:t>from when</w:t>
      </w:r>
      <w:r w:rsidRPr="008E577A">
        <w:rPr>
          <w:spacing w:val="-6"/>
        </w:rPr>
        <w:t xml:space="preserve"> the questionnaire was conducted).</w:t>
      </w:r>
    </w:p>
    <w:p w14:paraId="63D775D8" w14:textId="77777777" w:rsidR="006F2BB8" w:rsidRPr="006F2BB8" w:rsidRDefault="006F2BB8" w:rsidP="00144BE8">
      <w:pPr>
        <w:pStyle w:val="08Figuretableboxheading"/>
      </w:pPr>
      <w:bookmarkStart w:id="189" w:name="_Toc170393591"/>
      <w:r w:rsidRPr="006F2BB8">
        <w:t>Table A.11: I plan to work for the VPS at executive level for</w:t>
      </w:r>
      <w:bookmarkEnd w:id="189"/>
    </w:p>
    <w:tbl>
      <w:tblPr>
        <w:tblStyle w:val="ListTable3-Accent1"/>
        <w:tblW w:w="0" w:type="auto"/>
        <w:tblLayout w:type="fixed"/>
        <w:tblLook w:val="04A0" w:firstRow="1" w:lastRow="0" w:firstColumn="1" w:lastColumn="0" w:noHBand="0" w:noVBand="1"/>
      </w:tblPr>
      <w:tblGrid>
        <w:gridCol w:w="3399"/>
        <w:gridCol w:w="2271"/>
        <w:gridCol w:w="1412"/>
        <w:gridCol w:w="1412"/>
      </w:tblGrid>
      <w:tr w:rsidR="006F2BB8" w:rsidRPr="006F2BB8" w14:paraId="6A873E03" w14:textId="77777777" w:rsidTr="00D12D19">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3399" w:type="dxa"/>
            <w:tcBorders>
              <w:top w:val="single" w:sz="4" w:space="0" w:color="26664E"/>
              <w:left w:val="nil"/>
              <w:bottom w:val="single" w:sz="4" w:space="0" w:color="148A5D"/>
              <w:right w:val="single" w:sz="4" w:space="0" w:color="148A5D"/>
            </w:tcBorders>
            <w:shd w:val="clear" w:color="auto" w:fill="148A5D"/>
          </w:tcPr>
          <w:p w14:paraId="5BD0C97E" w14:textId="77777777" w:rsidR="006F2BB8" w:rsidRPr="00150220" w:rsidRDefault="006F2BB8" w:rsidP="00150220">
            <w:pPr>
              <w:pStyle w:val="10Tabletext"/>
            </w:pPr>
            <w:r w:rsidRPr="00150220">
              <w:t>Answer choices</w:t>
            </w:r>
          </w:p>
        </w:tc>
        <w:tc>
          <w:tcPr>
            <w:tcW w:w="2271" w:type="dxa"/>
            <w:tcBorders>
              <w:top w:val="single" w:sz="4" w:space="0" w:color="26664E"/>
              <w:left w:val="single" w:sz="4" w:space="0" w:color="148A5D"/>
              <w:bottom w:val="single" w:sz="4" w:space="0" w:color="148A5D"/>
              <w:right w:val="single" w:sz="4" w:space="0" w:color="148A5D"/>
            </w:tcBorders>
            <w:shd w:val="clear" w:color="auto" w:fill="148A5D"/>
          </w:tcPr>
          <w:p w14:paraId="73CEC16F" w14:textId="77777777" w:rsidR="006F2BB8" w:rsidRPr="00150220" w:rsidRDefault="006F2BB8" w:rsidP="00150220">
            <w:pPr>
              <w:pStyle w:val="10Tabletext"/>
              <w:cnfStyle w:val="100000000000" w:firstRow="1" w:lastRow="0" w:firstColumn="0" w:lastColumn="0" w:oddVBand="0" w:evenVBand="0" w:oddHBand="0" w:evenHBand="0" w:firstRowFirstColumn="0" w:firstRowLastColumn="0" w:lastRowFirstColumn="0" w:lastRowLastColumn="0"/>
            </w:pPr>
            <w:r w:rsidRPr="00150220">
              <w:t>Branching logic</w:t>
            </w:r>
          </w:p>
        </w:tc>
        <w:tc>
          <w:tcPr>
            <w:tcW w:w="2824" w:type="dxa"/>
            <w:gridSpan w:val="2"/>
            <w:tcBorders>
              <w:top w:val="single" w:sz="4" w:space="0" w:color="26664E"/>
              <w:left w:val="single" w:sz="4" w:space="0" w:color="148A5D"/>
              <w:right w:val="nil"/>
            </w:tcBorders>
            <w:shd w:val="clear" w:color="auto" w:fill="148A5D"/>
          </w:tcPr>
          <w:p w14:paraId="5DDFB748" w14:textId="77777777" w:rsidR="006F2BB8" w:rsidRPr="00150220" w:rsidRDefault="006F2BB8" w:rsidP="00D12D19">
            <w:pPr>
              <w:pStyle w:val="10Tabletext"/>
              <w:jc w:val="center"/>
              <w:cnfStyle w:val="100000000000" w:firstRow="1" w:lastRow="0" w:firstColumn="0" w:lastColumn="0" w:oddVBand="0" w:evenVBand="0" w:oddHBand="0" w:evenHBand="0" w:firstRowFirstColumn="0" w:firstRowLastColumn="0" w:lastRowFirstColumn="0" w:lastRowLastColumn="0"/>
            </w:pPr>
            <w:r w:rsidRPr="00150220">
              <w:t>Responses</w:t>
            </w:r>
          </w:p>
        </w:tc>
      </w:tr>
      <w:tr w:rsidR="006F2BB8" w:rsidRPr="006F2BB8" w14:paraId="1CE91E59" w14:textId="77777777" w:rsidTr="00D12D1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9" w:type="dxa"/>
            <w:tcBorders>
              <w:top w:val="single" w:sz="4" w:space="0" w:color="148A5D"/>
              <w:left w:val="nil"/>
              <w:right w:val="single" w:sz="4" w:space="0" w:color="148A5D"/>
            </w:tcBorders>
            <w:shd w:val="clear" w:color="auto" w:fill="148A5D"/>
          </w:tcPr>
          <w:p w14:paraId="6162F8C4" w14:textId="77777777" w:rsidR="006F2BB8" w:rsidRPr="00150220" w:rsidRDefault="006F2BB8" w:rsidP="00150220">
            <w:pPr>
              <w:pStyle w:val="10Tabletext"/>
              <w:rPr>
                <w:color w:val="FFFFFF" w:themeColor="background1"/>
              </w:rPr>
            </w:pPr>
          </w:p>
        </w:tc>
        <w:tc>
          <w:tcPr>
            <w:tcW w:w="2271" w:type="dxa"/>
            <w:tcBorders>
              <w:top w:val="single" w:sz="4" w:space="0" w:color="148A5D"/>
              <w:left w:val="single" w:sz="4" w:space="0" w:color="148A5D"/>
              <w:right w:val="single" w:sz="4" w:space="0" w:color="148A5D"/>
            </w:tcBorders>
            <w:shd w:val="clear" w:color="auto" w:fill="148A5D"/>
          </w:tcPr>
          <w:p w14:paraId="2CEE64D3" w14:textId="77777777" w:rsidR="006F2BB8" w:rsidRPr="00150220" w:rsidRDefault="006F2BB8" w:rsidP="00150220">
            <w:pPr>
              <w:pStyle w:val="10Tabletext"/>
              <w:cnfStyle w:val="000000100000" w:firstRow="0" w:lastRow="0" w:firstColumn="0" w:lastColumn="0" w:oddVBand="0" w:evenVBand="0" w:oddHBand="1" w:evenHBand="0" w:firstRowFirstColumn="0" w:firstRowLastColumn="0" w:lastRowFirstColumn="0" w:lastRowLastColumn="0"/>
              <w:rPr>
                <w:b/>
                <w:bCs w:val="0"/>
                <w:color w:val="FFFFFF" w:themeColor="background1"/>
              </w:rPr>
            </w:pPr>
          </w:p>
        </w:tc>
        <w:tc>
          <w:tcPr>
            <w:tcW w:w="1412" w:type="dxa"/>
            <w:tcBorders>
              <w:top w:val="single" w:sz="4" w:space="0" w:color="148A5D"/>
              <w:left w:val="single" w:sz="4" w:space="0" w:color="148A5D"/>
              <w:right w:val="single" w:sz="4" w:space="0" w:color="148A5D"/>
            </w:tcBorders>
            <w:shd w:val="clear" w:color="auto" w:fill="148A5D"/>
          </w:tcPr>
          <w:p w14:paraId="509EC286" w14:textId="77777777" w:rsidR="006F2BB8" w:rsidRPr="00150220" w:rsidRDefault="006F2BB8" w:rsidP="00D12D19">
            <w:pPr>
              <w:pStyle w:val="10Tabletext"/>
              <w:jc w:val="center"/>
              <w:cnfStyle w:val="000000100000" w:firstRow="0" w:lastRow="0" w:firstColumn="0" w:lastColumn="0" w:oddVBand="0" w:evenVBand="0" w:oddHBand="1" w:evenHBand="0" w:firstRowFirstColumn="0" w:firstRowLastColumn="0" w:lastRowFirstColumn="0" w:lastRowLastColumn="0"/>
              <w:rPr>
                <w:b/>
                <w:bCs w:val="0"/>
                <w:color w:val="FFFFFF" w:themeColor="background1"/>
              </w:rPr>
            </w:pPr>
            <w:r w:rsidRPr="00150220">
              <w:rPr>
                <w:b/>
                <w:bCs w:val="0"/>
                <w:color w:val="FFFFFF" w:themeColor="background1"/>
              </w:rPr>
              <w:t>Number</w:t>
            </w:r>
          </w:p>
        </w:tc>
        <w:tc>
          <w:tcPr>
            <w:tcW w:w="1412" w:type="dxa"/>
            <w:tcBorders>
              <w:top w:val="single" w:sz="4" w:space="0" w:color="148A5D"/>
              <w:left w:val="single" w:sz="4" w:space="0" w:color="148A5D"/>
              <w:right w:val="nil"/>
            </w:tcBorders>
            <w:shd w:val="clear" w:color="auto" w:fill="148A5D"/>
          </w:tcPr>
          <w:p w14:paraId="759980A5" w14:textId="77777777" w:rsidR="006F2BB8" w:rsidRPr="00150220" w:rsidRDefault="006F2BB8" w:rsidP="00D12D19">
            <w:pPr>
              <w:pStyle w:val="10Tabletext"/>
              <w:jc w:val="center"/>
              <w:cnfStyle w:val="000000100000" w:firstRow="0" w:lastRow="0" w:firstColumn="0" w:lastColumn="0" w:oddVBand="0" w:evenVBand="0" w:oddHBand="1" w:evenHBand="0" w:firstRowFirstColumn="0" w:firstRowLastColumn="0" w:lastRowFirstColumn="0" w:lastRowLastColumn="0"/>
              <w:rPr>
                <w:b/>
                <w:bCs w:val="0"/>
                <w:color w:val="FFFFFF" w:themeColor="background1"/>
              </w:rPr>
            </w:pPr>
            <w:r w:rsidRPr="00150220">
              <w:rPr>
                <w:b/>
                <w:bCs w:val="0"/>
                <w:color w:val="FFFFFF" w:themeColor="background1"/>
              </w:rPr>
              <w:t>%</w:t>
            </w:r>
          </w:p>
        </w:tc>
      </w:tr>
      <w:tr w:rsidR="006F2BB8" w:rsidRPr="006F2BB8" w14:paraId="65ECFEF8" w14:textId="77777777" w:rsidTr="00D12D19">
        <w:trPr>
          <w:cantSplit/>
        </w:trPr>
        <w:tc>
          <w:tcPr>
            <w:cnfStyle w:val="001000000000" w:firstRow="0" w:lastRow="0" w:firstColumn="1" w:lastColumn="0" w:oddVBand="0" w:evenVBand="0" w:oddHBand="0" w:evenHBand="0" w:firstRowFirstColumn="0" w:firstRowLastColumn="0" w:lastRowFirstColumn="0" w:lastRowLastColumn="0"/>
            <w:tcW w:w="3399" w:type="dxa"/>
            <w:tcBorders>
              <w:left w:val="nil"/>
            </w:tcBorders>
          </w:tcPr>
          <w:p w14:paraId="363DFF18" w14:textId="77777777" w:rsidR="006F2BB8" w:rsidRPr="00150220" w:rsidRDefault="006F2BB8" w:rsidP="00150220">
            <w:pPr>
              <w:pStyle w:val="10Tabletext"/>
            </w:pPr>
            <w:r w:rsidRPr="00150220">
              <w:t>Over 5 years</w:t>
            </w:r>
          </w:p>
        </w:tc>
        <w:tc>
          <w:tcPr>
            <w:tcW w:w="2271" w:type="dxa"/>
          </w:tcPr>
          <w:p w14:paraId="03700F7E" w14:textId="77777777" w:rsidR="006F2BB8" w:rsidRPr="00150220" w:rsidRDefault="006F2BB8" w:rsidP="00150220">
            <w:pPr>
              <w:pStyle w:val="10Tabletext"/>
              <w:cnfStyle w:val="000000000000" w:firstRow="0" w:lastRow="0" w:firstColumn="0" w:lastColumn="0" w:oddVBand="0" w:evenVBand="0" w:oddHBand="0" w:evenHBand="0" w:firstRowFirstColumn="0" w:firstRowLastColumn="0" w:lastRowFirstColumn="0" w:lastRowLastColumn="0"/>
            </w:pPr>
            <w:r w:rsidRPr="00150220">
              <w:t>Go to Table A.14</w:t>
            </w:r>
          </w:p>
        </w:tc>
        <w:tc>
          <w:tcPr>
            <w:tcW w:w="1412" w:type="dxa"/>
          </w:tcPr>
          <w:p w14:paraId="7D0F0B18" w14:textId="77777777" w:rsidR="006F2BB8" w:rsidRPr="00150220" w:rsidRDefault="006F2BB8" w:rsidP="00D12D19">
            <w:pPr>
              <w:pStyle w:val="10Tabletext"/>
              <w:jc w:val="center"/>
              <w:cnfStyle w:val="000000000000" w:firstRow="0" w:lastRow="0" w:firstColumn="0" w:lastColumn="0" w:oddVBand="0" w:evenVBand="0" w:oddHBand="0" w:evenHBand="0" w:firstRowFirstColumn="0" w:firstRowLastColumn="0" w:lastRowFirstColumn="0" w:lastRowLastColumn="0"/>
            </w:pPr>
            <w:r w:rsidRPr="00150220">
              <w:t>296</w:t>
            </w:r>
          </w:p>
        </w:tc>
        <w:tc>
          <w:tcPr>
            <w:tcW w:w="1412" w:type="dxa"/>
            <w:tcBorders>
              <w:right w:val="nil"/>
            </w:tcBorders>
          </w:tcPr>
          <w:p w14:paraId="45298C02" w14:textId="77777777" w:rsidR="006F2BB8" w:rsidRPr="00150220" w:rsidRDefault="006F2BB8" w:rsidP="00D12D19">
            <w:pPr>
              <w:pStyle w:val="10Tabletext"/>
              <w:jc w:val="center"/>
              <w:cnfStyle w:val="000000000000" w:firstRow="0" w:lastRow="0" w:firstColumn="0" w:lastColumn="0" w:oddVBand="0" w:evenVBand="0" w:oddHBand="0" w:evenHBand="0" w:firstRowFirstColumn="0" w:firstRowLastColumn="0" w:lastRowFirstColumn="0" w:lastRowLastColumn="0"/>
            </w:pPr>
            <w:r w:rsidRPr="00150220">
              <w:t>47</w:t>
            </w:r>
          </w:p>
        </w:tc>
      </w:tr>
      <w:tr w:rsidR="006F2BB8" w:rsidRPr="006F2BB8" w14:paraId="440B45BC" w14:textId="77777777" w:rsidTr="00D12D1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9" w:type="dxa"/>
            <w:tcBorders>
              <w:left w:val="nil"/>
            </w:tcBorders>
          </w:tcPr>
          <w:p w14:paraId="4FFE4C8E" w14:textId="77777777" w:rsidR="006F2BB8" w:rsidRPr="00150220" w:rsidRDefault="006F2BB8" w:rsidP="00150220">
            <w:pPr>
              <w:pStyle w:val="10Tabletext"/>
            </w:pPr>
            <w:r w:rsidRPr="00150220">
              <w:t>Over 3 years and up to 5 years</w:t>
            </w:r>
          </w:p>
        </w:tc>
        <w:tc>
          <w:tcPr>
            <w:tcW w:w="2271" w:type="dxa"/>
          </w:tcPr>
          <w:p w14:paraId="69CBC2F8" w14:textId="77777777" w:rsidR="006F2BB8" w:rsidRPr="00150220" w:rsidRDefault="006F2BB8" w:rsidP="00150220">
            <w:pPr>
              <w:pStyle w:val="10Tabletext"/>
              <w:cnfStyle w:val="000000100000" w:firstRow="0" w:lastRow="0" w:firstColumn="0" w:lastColumn="0" w:oddVBand="0" w:evenVBand="0" w:oddHBand="1" w:evenHBand="0" w:firstRowFirstColumn="0" w:firstRowLastColumn="0" w:lastRowFirstColumn="0" w:lastRowLastColumn="0"/>
            </w:pPr>
            <w:r w:rsidRPr="00150220">
              <w:t>Go to Table A.14</w:t>
            </w:r>
          </w:p>
        </w:tc>
        <w:tc>
          <w:tcPr>
            <w:tcW w:w="1412" w:type="dxa"/>
          </w:tcPr>
          <w:p w14:paraId="490386B3" w14:textId="77777777" w:rsidR="006F2BB8" w:rsidRPr="00150220" w:rsidRDefault="006F2BB8" w:rsidP="00D12D19">
            <w:pPr>
              <w:pStyle w:val="10Tabletext"/>
              <w:jc w:val="center"/>
              <w:cnfStyle w:val="000000100000" w:firstRow="0" w:lastRow="0" w:firstColumn="0" w:lastColumn="0" w:oddVBand="0" w:evenVBand="0" w:oddHBand="1" w:evenHBand="0" w:firstRowFirstColumn="0" w:firstRowLastColumn="0" w:lastRowFirstColumn="0" w:lastRowLastColumn="0"/>
            </w:pPr>
            <w:r w:rsidRPr="00150220">
              <w:t>133</w:t>
            </w:r>
          </w:p>
        </w:tc>
        <w:tc>
          <w:tcPr>
            <w:tcW w:w="1412" w:type="dxa"/>
            <w:tcBorders>
              <w:right w:val="nil"/>
            </w:tcBorders>
          </w:tcPr>
          <w:p w14:paraId="27535C5E" w14:textId="77777777" w:rsidR="006F2BB8" w:rsidRPr="00150220" w:rsidRDefault="006F2BB8" w:rsidP="00D12D19">
            <w:pPr>
              <w:pStyle w:val="10Tabletext"/>
              <w:jc w:val="center"/>
              <w:cnfStyle w:val="000000100000" w:firstRow="0" w:lastRow="0" w:firstColumn="0" w:lastColumn="0" w:oddVBand="0" w:evenVBand="0" w:oddHBand="1" w:evenHBand="0" w:firstRowFirstColumn="0" w:firstRowLastColumn="0" w:lastRowFirstColumn="0" w:lastRowLastColumn="0"/>
            </w:pPr>
            <w:r w:rsidRPr="00150220">
              <w:t>21</w:t>
            </w:r>
          </w:p>
        </w:tc>
      </w:tr>
      <w:tr w:rsidR="006F2BB8" w:rsidRPr="006F2BB8" w14:paraId="77C04B03" w14:textId="77777777" w:rsidTr="00D12D19">
        <w:trPr>
          <w:cantSplit/>
        </w:trPr>
        <w:tc>
          <w:tcPr>
            <w:cnfStyle w:val="001000000000" w:firstRow="0" w:lastRow="0" w:firstColumn="1" w:lastColumn="0" w:oddVBand="0" w:evenVBand="0" w:oddHBand="0" w:evenHBand="0" w:firstRowFirstColumn="0" w:firstRowLastColumn="0" w:lastRowFirstColumn="0" w:lastRowLastColumn="0"/>
            <w:tcW w:w="3399" w:type="dxa"/>
            <w:tcBorders>
              <w:left w:val="nil"/>
            </w:tcBorders>
          </w:tcPr>
          <w:p w14:paraId="7F7F10FD" w14:textId="77777777" w:rsidR="006F2BB8" w:rsidRPr="00150220" w:rsidRDefault="006F2BB8" w:rsidP="00150220">
            <w:pPr>
              <w:pStyle w:val="10Tabletext"/>
            </w:pPr>
            <w:r w:rsidRPr="00150220">
              <w:t>Over 1 year and up to 3 years</w:t>
            </w:r>
          </w:p>
        </w:tc>
        <w:tc>
          <w:tcPr>
            <w:tcW w:w="2271" w:type="dxa"/>
          </w:tcPr>
          <w:p w14:paraId="48BBB5FE" w14:textId="77777777" w:rsidR="006F2BB8" w:rsidRPr="00150220" w:rsidRDefault="006F2BB8" w:rsidP="00150220">
            <w:pPr>
              <w:pStyle w:val="10Tabletext"/>
              <w:cnfStyle w:val="000000000000" w:firstRow="0" w:lastRow="0" w:firstColumn="0" w:lastColumn="0" w:oddVBand="0" w:evenVBand="0" w:oddHBand="0" w:evenHBand="0" w:firstRowFirstColumn="0" w:firstRowLastColumn="0" w:lastRowFirstColumn="0" w:lastRowLastColumn="0"/>
            </w:pPr>
            <w:r w:rsidRPr="00150220">
              <w:t>Go to Table A.14</w:t>
            </w:r>
          </w:p>
        </w:tc>
        <w:tc>
          <w:tcPr>
            <w:tcW w:w="1412" w:type="dxa"/>
          </w:tcPr>
          <w:p w14:paraId="6441A351" w14:textId="77777777" w:rsidR="006F2BB8" w:rsidRPr="00150220" w:rsidRDefault="006F2BB8" w:rsidP="00D12D19">
            <w:pPr>
              <w:pStyle w:val="10Tabletext"/>
              <w:jc w:val="center"/>
              <w:cnfStyle w:val="000000000000" w:firstRow="0" w:lastRow="0" w:firstColumn="0" w:lastColumn="0" w:oddVBand="0" w:evenVBand="0" w:oddHBand="0" w:evenHBand="0" w:firstRowFirstColumn="0" w:firstRowLastColumn="0" w:lastRowFirstColumn="0" w:lastRowLastColumn="0"/>
            </w:pPr>
            <w:r w:rsidRPr="00150220">
              <w:t>130</w:t>
            </w:r>
          </w:p>
        </w:tc>
        <w:tc>
          <w:tcPr>
            <w:tcW w:w="1412" w:type="dxa"/>
            <w:tcBorders>
              <w:right w:val="nil"/>
            </w:tcBorders>
          </w:tcPr>
          <w:p w14:paraId="452356A8" w14:textId="77777777" w:rsidR="006F2BB8" w:rsidRPr="00150220" w:rsidRDefault="006F2BB8" w:rsidP="00D12D19">
            <w:pPr>
              <w:pStyle w:val="10Tabletext"/>
              <w:jc w:val="center"/>
              <w:cnfStyle w:val="000000000000" w:firstRow="0" w:lastRow="0" w:firstColumn="0" w:lastColumn="0" w:oddVBand="0" w:evenVBand="0" w:oddHBand="0" w:evenHBand="0" w:firstRowFirstColumn="0" w:firstRowLastColumn="0" w:lastRowFirstColumn="0" w:lastRowLastColumn="0"/>
            </w:pPr>
            <w:r w:rsidRPr="00150220">
              <w:t>21</w:t>
            </w:r>
          </w:p>
        </w:tc>
      </w:tr>
      <w:tr w:rsidR="006F2BB8" w:rsidRPr="006F2BB8" w14:paraId="0C42E9C9" w14:textId="77777777" w:rsidTr="00D12D1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9" w:type="dxa"/>
            <w:tcBorders>
              <w:left w:val="nil"/>
            </w:tcBorders>
          </w:tcPr>
          <w:p w14:paraId="270AA615" w14:textId="77777777" w:rsidR="006F2BB8" w:rsidRPr="00150220" w:rsidRDefault="006F2BB8" w:rsidP="00150220">
            <w:pPr>
              <w:pStyle w:val="10Tabletext"/>
            </w:pPr>
            <w:r w:rsidRPr="00150220">
              <w:t>Over 6 months and up to 1 year</w:t>
            </w:r>
          </w:p>
        </w:tc>
        <w:tc>
          <w:tcPr>
            <w:tcW w:w="2271" w:type="dxa"/>
          </w:tcPr>
          <w:p w14:paraId="5E922DFF" w14:textId="77777777" w:rsidR="006F2BB8" w:rsidRPr="00150220" w:rsidRDefault="006F2BB8" w:rsidP="00150220">
            <w:pPr>
              <w:pStyle w:val="10Tabletext"/>
              <w:cnfStyle w:val="000000100000" w:firstRow="0" w:lastRow="0" w:firstColumn="0" w:lastColumn="0" w:oddVBand="0" w:evenVBand="0" w:oddHBand="1" w:evenHBand="0" w:firstRowFirstColumn="0" w:firstRowLastColumn="0" w:lastRowFirstColumn="0" w:lastRowLastColumn="0"/>
            </w:pPr>
            <w:r w:rsidRPr="00150220">
              <w:t>Go to Table A.12</w:t>
            </w:r>
          </w:p>
        </w:tc>
        <w:tc>
          <w:tcPr>
            <w:tcW w:w="1412" w:type="dxa"/>
          </w:tcPr>
          <w:p w14:paraId="28FB7C96" w14:textId="77777777" w:rsidR="006F2BB8" w:rsidRPr="00150220" w:rsidRDefault="006F2BB8" w:rsidP="00D12D19">
            <w:pPr>
              <w:pStyle w:val="10Tabletext"/>
              <w:jc w:val="center"/>
              <w:cnfStyle w:val="000000100000" w:firstRow="0" w:lastRow="0" w:firstColumn="0" w:lastColumn="0" w:oddVBand="0" w:evenVBand="0" w:oddHBand="1" w:evenHBand="0" w:firstRowFirstColumn="0" w:firstRowLastColumn="0" w:lastRowFirstColumn="0" w:lastRowLastColumn="0"/>
            </w:pPr>
            <w:r w:rsidRPr="00150220">
              <w:t>40</w:t>
            </w:r>
          </w:p>
        </w:tc>
        <w:tc>
          <w:tcPr>
            <w:tcW w:w="1412" w:type="dxa"/>
            <w:tcBorders>
              <w:right w:val="nil"/>
            </w:tcBorders>
          </w:tcPr>
          <w:p w14:paraId="52E73E03" w14:textId="77777777" w:rsidR="006F2BB8" w:rsidRPr="00150220" w:rsidRDefault="006F2BB8" w:rsidP="00D12D19">
            <w:pPr>
              <w:pStyle w:val="10Tabletext"/>
              <w:jc w:val="center"/>
              <w:cnfStyle w:val="000000100000" w:firstRow="0" w:lastRow="0" w:firstColumn="0" w:lastColumn="0" w:oddVBand="0" w:evenVBand="0" w:oddHBand="1" w:evenHBand="0" w:firstRowFirstColumn="0" w:firstRowLastColumn="0" w:lastRowFirstColumn="0" w:lastRowLastColumn="0"/>
            </w:pPr>
            <w:r w:rsidRPr="00150220">
              <w:t>6</w:t>
            </w:r>
          </w:p>
        </w:tc>
      </w:tr>
      <w:tr w:rsidR="006F2BB8" w:rsidRPr="006F2BB8" w14:paraId="34468D96" w14:textId="77777777" w:rsidTr="00D12D19">
        <w:trPr>
          <w:cantSplit/>
        </w:trPr>
        <w:tc>
          <w:tcPr>
            <w:cnfStyle w:val="001000000000" w:firstRow="0" w:lastRow="0" w:firstColumn="1" w:lastColumn="0" w:oddVBand="0" w:evenVBand="0" w:oddHBand="0" w:evenHBand="0" w:firstRowFirstColumn="0" w:firstRowLastColumn="0" w:lastRowFirstColumn="0" w:lastRowLastColumn="0"/>
            <w:tcW w:w="3399" w:type="dxa"/>
            <w:tcBorders>
              <w:left w:val="nil"/>
            </w:tcBorders>
          </w:tcPr>
          <w:p w14:paraId="7E0F7EAF" w14:textId="77777777" w:rsidR="006F2BB8" w:rsidRPr="00150220" w:rsidRDefault="006F2BB8" w:rsidP="00150220">
            <w:pPr>
              <w:pStyle w:val="10Tabletext"/>
            </w:pPr>
            <w:r w:rsidRPr="00150220">
              <w:t>6 months or less</w:t>
            </w:r>
          </w:p>
        </w:tc>
        <w:tc>
          <w:tcPr>
            <w:tcW w:w="2271" w:type="dxa"/>
          </w:tcPr>
          <w:p w14:paraId="337C0865" w14:textId="77777777" w:rsidR="006F2BB8" w:rsidRPr="00150220" w:rsidRDefault="006F2BB8" w:rsidP="00150220">
            <w:pPr>
              <w:pStyle w:val="10Tabletext"/>
              <w:cnfStyle w:val="000000000000" w:firstRow="0" w:lastRow="0" w:firstColumn="0" w:lastColumn="0" w:oddVBand="0" w:evenVBand="0" w:oddHBand="0" w:evenHBand="0" w:firstRowFirstColumn="0" w:firstRowLastColumn="0" w:lastRowFirstColumn="0" w:lastRowLastColumn="0"/>
            </w:pPr>
            <w:r w:rsidRPr="00150220">
              <w:t>Go to Table A.12</w:t>
            </w:r>
          </w:p>
        </w:tc>
        <w:tc>
          <w:tcPr>
            <w:tcW w:w="1412" w:type="dxa"/>
          </w:tcPr>
          <w:p w14:paraId="385AD83E" w14:textId="77777777" w:rsidR="006F2BB8" w:rsidRPr="00150220" w:rsidRDefault="006F2BB8" w:rsidP="00D12D19">
            <w:pPr>
              <w:pStyle w:val="10Tabletext"/>
              <w:jc w:val="center"/>
              <w:cnfStyle w:val="000000000000" w:firstRow="0" w:lastRow="0" w:firstColumn="0" w:lastColumn="0" w:oddVBand="0" w:evenVBand="0" w:oddHBand="0" w:evenHBand="0" w:firstRowFirstColumn="0" w:firstRowLastColumn="0" w:lastRowFirstColumn="0" w:lastRowLastColumn="0"/>
            </w:pPr>
            <w:r w:rsidRPr="00150220">
              <w:t>27</w:t>
            </w:r>
          </w:p>
        </w:tc>
        <w:tc>
          <w:tcPr>
            <w:tcW w:w="1412" w:type="dxa"/>
            <w:tcBorders>
              <w:right w:val="nil"/>
            </w:tcBorders>
          </w:tcPr>
          <w:p w14:paraId="10269C4A" w14:textId="77777777" w:rsidR="006F2BB8" w:rsidRPr="00150220" w:rsidRDefault="006F2BB8" w:rsidP="00D12D19">
            <w:pPr>
              <w:pStyle w:val="10Tabletext"/>
              <w:jc w:val="center"/>
              <w:cnfStyle w:val="000000000000" w:firstRow="0" w:lastRow="0" w:firstColumn="0" w:lastColumn="0" w:oddVBand="0" w:evenVBand="0" w:oddHBand="0" w:evenHBand="0" w:firstRowFirstColumn="0" w:firstRowLastColumn="0" w:lastRowFirstColumn="0" w:lastRowLastColumn="0"/>
            </w:pPr>
            <w:r w:rsidRPr="00150220">
              <w:t>4</w:t>
            </w:r>
          </w:p>
        </w:tc>
      </w:tr>
      <w:tr w:rsidR="006F2BB8" w:rsidRPr="006F2BB8" w14:paraId="47BEC032" w14:textId="77777777" w:rsidTr="00D12D1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70" w:type="dxa"/>
            <w:gridSpan w:val="2"/>
            <w:tcBorders>
              <w:left w:val="nil"/>
            </w:tcBorders>
          </w:tcPr>
          <w:p w14:paraId="11B29101" w14:textId="77777777" w:rsidR="006F2BB8" w:rsidRPr="00150220" w:rsidRDefault="006F2BB8" w:rsidP="00150220">
            <w:pPr>
              <w:pStyle w:val="10Tabletext"/>
            </w:pPr>
            <w:r w:rsidRPr="00150220">
              <w:t>Total</w:t>
            </w:r>
          </w:p>
        </w:tc>
        <w:tc>
          <w:tcPr>
            <w:tcW w:w="1412" w:type="dxa"/>
          </w:tcPr>
          <w:p w14:paraId="0A71A138" w14:textId="77777777" w:rsidR="006F2BB8" w:rsidRPr="00150220" w:rsidRDefault="006F2BB8" w:rsidP="00D12D19">
            <w:pPr>
              <w:pStyle w:val="10Tabletext"/>
              <w:jc w:val="center"/>
              <w:cnfStyle w:val="000000100000" w:firstRow="0" w:lastRow="0" w:firstColumn="0" w:lastColumn="0" w:oddVBand="0" w:evenVBand="0" w:oddHBand="1" w:evenHBand="0" w:firstRowFirstColumn="0" w:firstRowLastColumn="0" w:lastRowFirstColumn="0" w:lastRowLastColumn="0"/>
            </w:pPr>
            <w:r w:rsidRPr="00150220">
              <w:t>626</w:t>
            </w:r>
          </w:p>
        </w:tc>
        <w:tc>
          <w:tcPr>
            <w:tcW w:w="1412" w:type="dxa"/>
            <w:tcBorders>
              <w:right w:val="nil"/>
            </w:tcBorders>
          </w:tcPr>
          <w:p w14:paraId="44428A41" w14:textId="77777777" w:rsidR="006F2BB8" w:rsidRPr="00150220" w:rsidRDefault="006F2BB8" w:rsidP="00D12D19">
            <w:pPr>
              <w:pStyle w:val="10Tabletext"/>
              <w:jc w:val="center"/>
              <w:cnfStyle w:val="000000100000" w:firstRow="0" w:lastRow="0" w:firstColumn="0" w:lastColumn="0" w:oddVBand="0" w:evenVBand="0" w:oddHBand="1" w:evenHBand="0" w:firstRowFirstColumn="0" w:firstRowLastColumn="0" w:lastRowFirstColumn="0" w:lastRowLastColumn="0"/>
            </w:pPr>
          </w:p>
        </w:tc>
      </w:tr>
    </w:tbl>
    <w:p w14:paraId="7BE01D2B" w14:textId="55201EA7" w:rsidR="006F2BB8" w:rsidRPr="00150220" w:rsidRDefault="006F2BB8" w:rsidP="006A3A46">
      <w:pPr>
        <w:pStyle w:val="05Paragraph"/>
      </w:pPr>
      <w:r w:rsidRPr="00150220">
        <w:t xml:space="preserve">Of the 10 per cent that indicated they planned to leave the VPS executive workforce in 2024, nearly two thirds </w:t>
      </w:r>
      <w:r w:rsidR="00FC3617">
        <w:t>cited an inadequate</w:t>
      </w:r>
      <w:r w:rsidRPr="00150220">
        <w:t xml:space="preserve"> </w:t>
      </w:r>
      <w:r w:rsidR="00AC1DAE">
        <w:t>total remuneration package (</w:t>
      </w:r>
      <w:r w:rsidRPr="00150220">
        <w:t>TRP</w:t>
      </w:r>
      <w:r w:rsidR="00AC1DAE">
        <w:t>)</w:t>
      </w:r>
      <w:r w:rsidRPr="00150220">
        <w:t xml:space="preserve"> </w:t>
      </w:r>
      <w:r w:rsidR="00FC3617">
        <w:t>as</w:t>
      </w:r>
      <w:r w:rsidRPr="00150220">
        <w:t xml:space="preserve"> a factor (Table A.12).</w:t>
      </w:r>
    </w:p>
    <w:p w14:paraId="5FCC071C" w14:textId="77777777" w:rsidR="006F2BB8" w:rsidRPr="006F2BB8" w:rsidRDefault="006F2BB8" w:rsidP="00144BE8">
      <w:pPr>
        <w:pStyle w:val="08Figuretableboxheading"/>
      </w:pPr>
      <w:bookmarkStart w:id="190" w:name="_Toc170393592"/>
      <w:r w:rsidRPr="006F2BB8">
        <w:lastRenderedPageBreak/>
        <w:t>Table A.12: Which of the following most influences you to consider leaving the VPS at an executive level? Please select up to three.</w:t>
      </w:r>
      <w:bookmarkEnd w:id="190"/>
    </w:p>
    <w:tbl>
      <w:tblPr>
        <w:tblStyle w:val="ListTable3-Accent1"/>
        <w:tblW w:w="0" w:type="auto"/>
        <w:tblLayout w:type="fixed"/>
        <w:tblLook w:val="04A0" w:firstRow="1" w:lastRow="0" w:firstColumn="1" w:lastColumn="0" w:noHBand="0" w:noVBand="1"/>
      </w:tblPr>
      <w:tblGrid>
        <w:gridCol w:w="5387"/>
        <w:gridCol w:w="1553"/>
        <w:gridCol w:w="1554"/>
      </w:tblGrid>
      <w:tr w:rsidR="006F2BB8" w:rsidRPr="006F2BB8" w14:paraId="3C30C4DE" w14:textId="77777777" w:rsidTr="00D12D19">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5387" w:type="dxa"/>
            <w:tcBorders>
              <w:top w:val="single" w:sz="4" w:space="0" w:color="26664E"/>
              <w:left w:val="nil"/>
              <w:bottom w:val="single" w:sz="4" w:space="0" w:color="148A5D"/>
              <w:right w:val="single" w:sz="4" w:space="0" w:color="148A5D"/>
            </w:tcBorders>
            <w:shd w:val="clear" w:color="auto" w:fill="148A5D"/>
          </w:tcPr>
          <w:p w14:paraId="3139AD31" w14:textId="77777777" w:rsidR="006F2BB8" w:rsidRPr="00150220" w:rsidRDefault="006F2BB8" w:rsidP="00E26E39">
            <w:pPr>
              <w:pStyle w:val="10Tabletext"/>
              <w:keepNext/>
            </w:pPr>
            <w:r w:rsidRPr="00150220">
              <w:t>Answer choices</w:t>
            </w:r>
          </w:p>
        </w:tc>
        <w:tc>
          <w:tcPr>
            <w:tcW w:w="3107" w:type="dxa"/>
            <w:gridSpan w:val="2"/>
            <w:tcBorders>
              <w:top w:val="single" w:sz="4" w:space="0" w:color="26664E"/>
              <w:left w:val="single" w:sz="4" w:space="0" w:color="148A5D"/>
              <w:bottom w:val="single" w:sz="4" w:space="0" w:color="148A5D"/>
              <w:right w:val="nil"/>
            </w:tcBorders>
            <w:shd w:val="clear" w:color="auto" w:fill="148A5D"/>
          </w:tcPr>
          <w:p w14:paraId="0CB5F97C" w14:textId="77777777" w:rsidR="006F2BB8" w:rsidRPr="00150220" w:rsidRDefault="006F2BB8" w:rsidP="00D12D19">
            <w:pPr>
              <w:pStyle w:val="10Tabletext"/>
              <w:keepNext/>
              <w:jc w:val="center"/>
              <w:cnfStyle w:val="100000000000" w:firstRow="1" w:lastRow="0" w:firstColumn="0" w:lastColumn="0" w:oddVBand="0" w:evenVBand="0" w:oddHBand="0" w:evenHBand="0" w:firstRowFirstColumn="0" w:firstRowLastColumn="0" w:lastRowFirstColumn="0" w:lastRowLastColumn="0"/>
            </w:pPr>
            <w:r w:rsidRPr="00150220">
              <w:t>Responses</w:t>
            </w:r>
          </w:p>
        </w:tc>
      </w:tr>
      <w:tr w:rsidR="006F2BB8" w:rsidRPr="006F2BB8" w14:paraId="6DB26541" w14:textId="77777777" w:rsidTr="00D12D1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148A5D"/>
              <w:left w:val="nil"/>
              <w:right w:val="single" w:sz="4" w:space="0" w:color="148A5D"/>
            </w:tcBorders>
            <w:shd w:val="clear" w:color="auto" w:fill="148A5D"/>
          </w:tcPr>
          <w:p w14:paraId="35FD42AE" w14:textId="77777777" w:rsidR="006F2BB8" w:rsidRPr="002F58D4" w:rsidRDefault="006F2BB8" w:rsidP="00E26E39">
            <w:pPr>
              <w:pStyle w:val="10Tabletext"/>
              <w:keepNext/>
              <w:rPr>
                <w:color w:val="FFFFFF" w:themeColor="background1"/>
              </w:rPr>
            </w:pPr>
          </w:p>
        </w:tc>
        <w:tc>
          <w:tcPr>
            <w:tcW w:w="1553" w:type="dxa"/>
            <w:tcBorders>
              <w:top w:val="single" w:sz="4" w:space="0" w:color="148A5D"/>
              <w:left w:val="single" w:sz="4" w:space="0" w:color="148A5D"/>
              <w:right w:val="single" w:sz="4" w:space="0" w:color="148A5D"/>
            </w:tcBorders>
            <w:shd w:val="clear" w:color="auto" w:fill="148A5D"/>
          </w:tcPr>
          <w:p w14:paraId="4FF3D25E" w14:textId="77777777" w:rsidR="006F2BB8" w:rsidRPr="002F58D4" w:rsidRDefault="006F2BB8" w:rsidP="00D12D19">
            <w:pPr>
              <w:pStyle w:val="10Tabletext"/>
              <w:keepNext/>
              <w:jc w:val="center"/>
              <w:cnfStyle w:val="000000100000" w:firstRow="0" w:lastRow="0" w:firstColumn="0" w:lastColumn="0" w:oddVBand="0" w:evenVBand="0" w:oddHBand="1" w:evenHBand="0" w:firstRowFirstColumn="0" w:firstRowLastColumn="0" w:lastRowFirstColumn="0" w:lastRowLastColumn="0"/>
              <w:rPr>
                <w:b/>
                <w:bCs w:val="0"/>
                <w:color w:val="FFFFFF" w:themeColor="background1"/>
              </w:rPr>
            </w:pPr>
            <w:r w:rsidRPr="002F58D4">
              <w:rPr>
                <w:b/>
                <w:bCs w:val="0"/>
                <w:color w:val="FFFFFF" w:themeColor="background1"/>
              </w:rPr>
              <w:t>Number</w:t>
            </w:r>
          </w:p>
        </w:tc>
        <w:tc>
          <w:tcPr>
            <w:tcW w:w="1554" w:type="dxa"/>
            <w:tcBorders>
              <w:top w:val="single" w:sz="4" w:space="0" w:color="148A5D"/>
              <w:left w:val="single" w:sz="4" w:space="0" w:color="148A5D"/>
              <w:right w:val="nil"/>
            </w:tcBorders>
            <w:shd w:val="clear" w:color="auto" w:fill="148A5D"/>
          </w:tcPr>
          <w:p w14:paraId="57DA5316" w14:textId="77777777" w:rsidR="006F2BB8" w:rsidRPr="002F58D4" w:rsidRDefault="006F2BB8" w:rsidP="00D12D19">
            <w:pPr>
              <w:pStyle w:val="10Tabletext"/>
              <w:keepNext/>
              <w:jc w:val="center"/>
              <w:cnfStyle w:val="000000100000" w:firstRow="0" w:lastRow="0" w:firstColumn="0" w:lastColumn="0" w:oddVBand="0" w:evenVBand="0" w:oddHBand="1" w:evenHBand="0" w:firstRowFirstColumn="0" w:firstRowLastColumn="0" w:lastRowFirstColumn="0" w:lastRowLastColumn="0"/>
              <w:rPr>
                <w:b/>
                <w:bCs w:val="0"/>
                <w:color w:val="FFFFFF" w:themeColor="background1"/>
              </w:rPr>
            </w:pPr>
            <w:r w:rsidRPr="002F58D4">
              <w:rPr>
                <w:b/>
                <w:bCs w:val="0"/>
                <w:color w:val="FFFFFF" w:themeColor="background1"/>
              </w:rPr>
              <w:t>%</w:t>
            </w:r>
          </w:p>
        </w:tc>
      </w:tr>
      <w:tr w:rsidR="006F2BB8" w:rsidRPr="006F2BB8" w14:paraId="59C3DDC2" w14:textId="77777777" w:rsidTr="00D12D19">
        <w:trPr>
          <w:cantSplit/>
        </w:trPr>
        <w:tc>
          <w:tcPr>
            <w:cnfStyle w:val="001000000000" w:firstRow="0" w:lastRow="0" w:firstColumn="1" w:lastColumn="0" w:oddVBand="0" w:evenVBand="0" w:oddHBand="0" w:evenHBand="0" w:firstRowFirstColumn="0" w:firstRowLastColumn="0" w:lastRowFirstColumn="0" w:lastRowLastColumn="0"/>
            <w:tcW w:w="5387" w:type="dxa"/>
            <w:tcBorders>
              <w:left w:val="nil"/>
            </w:tcBorders>
          </w:tcPr>
          <w:p w14:paraId="6FE36EE3" w14:textId="77777777" w:rsidR="006F2BB8" w:rsidRPr="002F58D4" w:rsidRDefault="006F2BB8" w:rsidP="00E26E39">
            <w:pPr>
              <w:pStyle w:val="10Tabletext"/>
              <w:keepNext/>
            </w:pPr>
            <w:r w:rsidRPr="002F58D4">
              <w:t>Total remuneration package is too low</w:t>
            </w:r>
          </w:p>
        </w:tc>
        <w:tc>
          <w:tcPr>
            <w:tcW w:w="1553" w:type="dxa"/>
          </w:tcPr>
          <w:p w14:paraId="0321F979" w14:textId="77777777" w:rsidR="006F2BB8" w:rsidRPr="002F58D4" w:rsidRDefault="006F2BB8" w:rsidP="00D12D19">
            <w:pPr>
              <w:pStyle w:val="10Tabletext"/>
              <w:keepNext/>
              <w:jc w:val="center"/>
              <w:cnfStyle w:val="000000000000" w:firstRow="0" w:lastRow="0" w:firstColumn="0" w:lastColumn="0" w:oddVBand="0" w:evenVBand="0" w:oddHBand="0" w:evenHBand="0" w:firstRowFirstColumn="0" w:firstRowLastColumn="0" w:lastRowFirstColumn="0" w:lastRowLastColumn="0"/>
            </w:pPr>
            <w:r w:rsidRPr="002F58D4">
              <w:t>42</w:t>
            </w:r>
          </w:p>
        </w:tc>
        <w:tc>
          <w:tcPr>
            <w:tcW w:w="1554" w:type="dxa"/>
            <w:tcBorders>
              <w:right w:val="nil"/>
            </w:tcBorders>
          </w:tcPr>
          <w:p w14:paraId="496C45F0" w14:textId="77777777" w:rsidR="006F2BB8" w:rsidRPr="002F58D4" w:rsidRDefault="006F2BB8" w:rsidP="00D12D19">
            <w:pPr>
              <w:pStyle w:val="10Tabletext"/>
              <w:keepNext/>
              <w:jc w:val="center"/>
              <w:cnfStyle w:val="000000000000" w:firstRow="0" w:lastRow="0" w:firstColumn="0" w:lastColumn="0" w:oddVBand="0" w:evenVBand="0" w:oddHBand="0" w:evenHBand="0" w:firstRowFirstColumn="0" w:firstRowLastColumn="0" w:lastRowFirstColumn="0" w:lastRowLastColumn="0"/>
            </w:pPr>
            <w:r w:rsidRPr="002F58D4">
              <w:t>63</w:t>
            </w:r>
          </w:p>
        </w:tc>
      </w:tr>
      <w:tr w:rsidR="006F2BB8" w:rsidRPr="006F2BB8" w14:paraId="2044E1A2" w14:textId="77777777" w:rsidTr="00D12D1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387" w:type="dxa"/>
            <w:tcBorders>
              <w:left w:val="nil"/>
            </w:tcBorders>
          </w:tcPr>
          <w:p w14:paraId="4A1F3697" w14:textId="77777777" w:rsidR="006F2BB8" w:rsidRPr="002F58D4" w:rsidRDefault="006F2BB8" w:rsidP="00E26E39">
            <w:pPr>
              <w:pStyle w:val="10Tabletext"/>
              <w:keepNext/>
            </w:pPr>
            <w:r w:rsidRPr="002F58D4">
              <w:t>Workload is too high</w:t>
            </w:r>
          </w:p>
        </w:tc>
        <w:tc>
          <w:tcPr>
            <w:tcW w:w="1553" w:type="dxa"/>
          </w:tcPr>
          <w:p w14:paraId="2A7E13E7" w14:textId="77777777" w:rsidR="006F2BB8" w:rsidRPr="002F58D4" w:rsidRDefault="006F2BB8" w:rsidP="00D12D19">
            <w:pPr>
              <w:pStyle w:val="10Tabletext"/>
              <w:keepNext/>
              <w:jc w:val="center"/>
              <w:cnfStyle w:val="000000100000" w:firstRow="0" w:lastRow="0" w:firstColumn="0" w:lastColumn="0" w:oddVBand="0" w:evenVBand="0" w:oddHBand="1" w:evenHBand="0" w:firstRowFirstColumn="0" w:firstRowLastColumn="0" w:lastRowFirstColumn="0" w:lastRowLastColumn="0"/>
            </w:pPr>
            <w:r w:rsidRPr="002F58D4">
              <w:t>29</w:t>
            </w:r>
          </w:p>
        </w:tc>
        <w:tc>
          <w:tcPr>
            <w:tcW w:w="1554" w:type="dxa"/>
            <w:tcBorders>
              <w:right w:val="nil"/>
            </w:tcBorders>
          </w:tcPr>
          <w:p w14:paraId="41CE3E9D" w14:textId="77777777" w:rsidR="006F2BB8" w:rsidRPr="002F58D4" w:rsidRDefault="006F2BB8" w:rsidP="00D12D19">
            <w:pPr>
              <w:pStyle w:val="10Tabletext"/>
              <w:keepNext/>
              <w:jc w:val="center"/>
              <w:cnfStyle w:val="000000100000" w:firstRow="0" w:lastRow="0" w:firstColumn="0" w:lastColumn="0" w:oddVBand="0" w:evenVBand="0" w:oddHBand="1" w:evenHBand="0" w:firstRowFirstColumn="0" w:firstRowLastColumn="0" w:lastRowFirstColumn="0" w:lastRowLastColumn="0"/>
            </w:pPr>
            <w:r w:rsidRPr="002F58D4">
              <w:t>43</w:t>
            </w:r>
          </w:p>
        </w:tc>
      </w:tr>
      <w:tr w:rsidR="006F2BB8" w:rsidRPr="006F2BB8" w14:paraId="2D7E07BF" w14:textId="77777777" w:rsidTr="00D12D19">
        <w:trPr>
          <w:cantSplit/>
        </w:trPr>
        <w:tc>
          <w:tcPr>
            <w:cnfStyle w:val="001000000000" w:firstRow="0" w:lastRow="0" w:firstColumn="1" w:lastColumn="0" w:oddVBand="0" w:evenVBand="0" w:oddHBand="0" w:evenHBand="0" w:firstRowFirstColumn="0" w:firstRowLastColumn="0" w:lastRowFirstColumn="0" w:lastRowLastColumn="0"/>
            <w:tcW w:w="5387" w:type="dxa"/>
            <w:tcBorders>
              <w:left w:val="nil"/>
            </w:tcBorders>
          </w:tcPr>
          <w:p w14:paraId="0D90BA1A" w14:textId="77777777" w:rsidR="006F2BB8" w:rsidRPr="002F58D4" w:rsidRDefault="006F2BB8" w:rsidP="002F58D4">
            <w:pPr>
              <w:pStyle w:val="10Tabletext"/>
            </w:pPr>
            <w:r w:rsidRPr="002F58D4">
              <w:t>Insufficient career advancement opportunities</w:t>
            </w:r>
          </w:p>
        </w:tc>
        <w:tc>
          <w:tcPr>
            <w:tcW w:w="1553" w:type="dxa"/>
          </w:tcPr>
          <w:p w14:paraId="04403E68" w14:textId="77777777" w:rsidR="006F2BB8" w:rsidRPr="002F58D4" w:rsidRDefault="006F2BB8" w:rsidP="00D12D19">
            <w:pPr>
              <w:pStyle w:val="10Tabletext"/>
              <w:jc w:val="center"/>
              <w:cnfStyle w:val="000000000000" w:firstRow="0" w:lastRow="0" w:firstColumn="0" w:lastColumn="0" w:oddVBand="0" w:evenVBand="0" w:oddHBand="0" w:evenHBand="0" w:firstRowFirstColumn="0" w:firstRowLastColumn="0" w:lastRowFirstColumn="0" w:lastRowLastColumn="0"/>
            </w:pPr>
            <w:r w:rsidRPr="002F58D4">
              <w:t>24</w:t>
            </w:r>
          </w:p>
        </w:tc>
        <w:tc>
          <w:tcPr>
            <w:tcW w:w="1554" w:type="dxa"/>
            <w:tcBorders>
              <w:right w:val="nil"/>
            </w:tcBorders>
          </w:tcPr>
          <w:p w14:paraId="2FA6CFC8" w14:textId="77777777" w:rsidR="006F2BB8" w:rsidRPr="002F58D4" w:rsidRDefault="006F2BB8" w:rsidP="00D12D19">
            <w:pPr>
              <w:pStyle w:val="10Tabletext"/>
              <w:jc w:val="center"/>
              <w:cnfStyle w:val="000000000000" w:firstRow="0" w:lastRow="0" w:firstColumn="0" w:lastColumn="0" w:oddVBand="0" w:evenVBand="0" w:oddHBand="0" w:evenHBand="0" w:firstRowFirstColumn="0" w:firstRowLastColumn="0" w:lastRowFirstColumn="0" w:lastRowLastColumn="0"/>
            </w:pPr>
            <w:r w:rsidRPr="002F58D4">
              <w:t>36</w:t>
            </w:r>
          </w:p>
        </w:tc>
      </w:tr>
      <w:tr w:rsidR="006F2BB8" w:rsidRPr="006F2BB8" w14:paraId="16A62174" w14:textId="77777777" w:rsidTr="00D12D1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387" w:type="dxa"/>
            <w:tcBorders>
              <w:left w:val="nil"/>
            </w:tcBorders>
          </w:tcPr>
          <w:p w14:paraId="56FBE6ED" w14:textId="77777777" w:rsidR="006F2BB8" w:rsidRPr="002F58D4" w:rsidRDefault="006F2BB8" w:rsidP="002F58D4">
            <w:pPr>
              <w:pStyle w:val="10Tabletext"/>
            </w:pPr>
            <w:r w:rsidRPr="002F58D4">
              <w:t>Insufficient length of contract</w:t>
            </w:r>
          </w:p>
        </w:tc>
        <w:tc>
          <w:tcPr>
            <w:tcW w:w="1553" w:type="dxa"/>
          </w:tcPr>
          <w:p w14:paraId="18D70950" w14:textId="77777777" w:rsidR="006F2BB8" w:rsidRPr="002F58D4" w:rsidRDefault="006F2BB8" w:rsidP="00D12D19">
            <w:pPr>
              <w:pStyle w:val="10Tabletext"/>
              <w:jc w:val="center"/>
              <w:cnfStyle w:val="000000100000" w:firstRow="0" w:lastRow="0" w:firstColumn="0" w:lastColumn="0" w:oddVBand="0" w:evenVBand="0" w:oddHBand="1" w:evenHBand="0" w:firstRowFirstColumn="0" w:firstRowLastColumn="0" w:lastRowFirstColumn="0" w:lastRowLastColumn="0"/>
            </w:pPr>
            <w:r w:rsidRPr="002F58D4">
              <w:t>14</w:t>
            </w:r>
          </w:p>
        </w:tc>
        <w:tc>
          <w:tcPr>
            <w:tcW w:w="1554" w:type="dxa"/>
            <w:tcBorders>
              <w:right w:val="nil"/>
            </w:tcBorders>
          </w:tcPr>
          <w:p w14:paraId="0C8CF52B" w14:textId="77777777" w:rsidR="006F2BB8" w:rsidRPr="002F58D4" w:rsidRDefault="006F2BB8" w:rsidP="00D12D19">
            <w:pPr>
              <w:pStyle w:val="10Tabletext"/>
              <w:jc w:val="center"/>
              <w:cnfStyle w:val="000000100000" w:firstRow="0" w:lastRow="0" w:firstColumn="0" w:lastColumn="0" w:oddVBand="0" w:evenVBand="0" w:oddHBand="1" w:evenHBand="0" w:firstRowFirstColumn="0" w:firstRowLastColumn="0" w:lastRowFirstColumn="0" w:lastRowLastColumn="0"/>
            </w:pPr>
            <w:r w:rsidRPr="002F58D4">
              <w:t>21</w:t>
            </w:r>
          </w:p>
        </w:tc>
      </w:tr>
      <w:tr w:rsidR="006F2BB8" w:rsidRPr="006F2BB8" w14:paraId="03FC2F2E" w14:textId="77777777" w:rsidTr="00D12D19">
        <w:trPr>
          <w:cantSplit/>
        </w:trPr>
        <w:tc>
          <w:tcPr>
            <w:cnfStyle w:val="001000000000" w:firstRow="0" w:lastRow="0" w:firstColumn="1" w:lastColumn="0" w:oddVBand="0" w:evenVBand="0" w:oddHBand="0" w:evenHBand="0" w:firstRowFirstColumn="0" w:firstRowLastColumn="0" w:lastRowFirstColumn="0" w:lastRowLastColumn="0"/>
            <w:tcW w:w="5387" w:type="dxa"/>
            <w:tcBorders>
              <w:left w:val="nil"/>
            </w:tcBorders>
          </w:tcPr>
          <w:p w14:paraId="7E5E26C5" w14:textId="77777777" w:rsidR="006F2BB8" w:rsidRPr="002F58D4" w:rsidRDefault="006F2BB8" w:rsidP="002F58D4">
            <w:pPr>
              <w:pStyle w:val="10Tabletext"/>
            </w:pPr>
            <w:r w:rsidRPr="002F58D4">
              <w:t>Insufficient professional development opportunities</w:t>
            </w:r>
          </w:p>
        </w:tc>
        <w:tc>
          <w:tcPr>
            <w:tcW w:w="1553" w:type="dxa"/>
          </w:tcPr>
          <w:p w14:paraId="7D024647" w14:textId="77777777" w:rsidR="006F2BB8" w:rsidRPr="002F58D4" w:rsidRDefault="006F2BB8" w:rsidP="00D12D19">
            <w:pPr>
              <w:pStyle w:val="10Tabletext"/>
              <w:jc w:val="center"/>
              <w:cnfStyle w:val="000000000000" w:firstRow="0" w:lastRow="0" w:firstColumn="0" w:lastColumn="0" w:oddVBand="0" w:evenVBand="0" w:oddHBand="0" w:evenHBand="0" w:firstRowFirstColumn="0" w:firstRowLastColumn="0" w:lastRowFirstColumn="0" w:lastRowLastColumn="0"/>
            </w:pPr>
            <w:r w:rsidRPr="002F58D4">
              <w:t>13</w:t>
            </w:r>
          </w:p>
        </w:tc>
        <w:tc>
          <w:tcPr>
            <w:tcW w:w="1554" w:type="dxa"/>
            <w:tcBorders>
              <w:right w:val="nil"/>
            </w:tcBorders>
          </w:tcPr>
          <w:p w14:paraId="5B4F1597" w14:textId="77777777" w:rsidR="006F2BB8" w:rsidRPr="002F58D4" w:rsidRDefault="006F2BB8" w:rsidP="00D12D19">
            <w:pPr>
              <w:pStyle w:val="10Tabletext"/>
              <w:jc w:val="center"/>
              <w:cnfStyle w:val="000000000000" w:firstRow="0" w:lastRow="0" w:firstColumn="0" w:lastColumn="0" w:oddVBand="0" w:evenVBand="0" w:oddHBand="0" w:evenHBand="0" w:firstRowFirstColumn="0" w:firstRowLastColumn="0" w:lastRowFirstColumn="0" w:lastRowLastColumn="0"/>
            </w:pPr>
            <w:r w:rsidRPr="002F58D4">
              <w:t>19</w:t>
            </w:r>
          </w:p>
        </w:tc>
      </w:tr>
      <w:tr w:rsidR="006F2BB8" w:rsidRPr="006F2BB8" w14:paraId="0AE924D5" w14:textId="77777777" w:rsidTr="00D12D1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387" w:type="dxa"/>
            <w:tcBorders>
              <w:left w:val="nil"/>
            </w:tcBorders>
          </w:tcPr>
          <w:p w14:paraId="7CAAABB5" w14:textId="77777777" w:rsidR="006F2BB8" w:rsidRPr="002F58D4" w:rsidRDefault="006F2BB8" w:rsidP="002F58D4">
            <w:pPr>
              <w:pStyle w:val="10Tabletext"/>
            </w:pPr>
            <w:r w:rsidRPr="002F58D4">
              <w:t>Other financial components of my contract (if applicable)</w:t>
            </w:r>
          </w:p>
        </w:tc>
        <w:tc>
          <w:tcPr>
            <w:tcW w:w="1553" w:type="dxa"/>
          </w:tcPr>
          <w:p w14:paraId="3A8A4134" w14:textId="77777777" w:rsidR="006F2BB8" w:rsidRPr="002F58D4" w:rsidRDefault="006F2BB8" w:rsidP="00D12D19">
            <w:pPr>
              <w:pStyle w:val="10Tabletext"/>
              <w:jc w:val="center"/>
              <w:cnfStyle w:val="000000100000" w:firstRow="0" w:lastRow="0" w:firstColumn="0" w:lastColumn="0" w:oddVBand="0" w:evenVBand="0" w:oddHBand="1" w:evenHBand="0" w:firstRowFirstColumn="0" w:firstRowLastColumn="0" w:lastRowFirstColumn="0" w:lastRowLastColumn="0"/>
            </w:pPr>
            <w:r w:rsidRPr="002F58D4">
              <w:t>8</w:t>
            </w:r>
          </w:p>
        </w:tc>
        <w:tc>
          <w:tcPr>
            <w:tcW w:w="1554" w:type="dxa"/>
            <w:tcBorders>
              <w:right w:val="nil"/>
            </w:tcBorders>
          </w:tcPr>
          <w:p w14:paraId="64F44ADE" w14:textId="77777777" w:rsidR="006F2BB8" w:rsidRPr="002F58D4" w:rsidRDefault="006F2BB8" w:rsidP="00D12D19">
            <w:pPr>
              <w:pStyle w:val="10Tabletext"/>
              <w:jc w:val="center"/>
              <w:cnfStyle w:val="000000100000" w:firstRow="0" w:lastRow="0" w:firstColumn="0" w:lastColumn="0" w:oddVBand="0" w:evenVBand="0" w:oddHBand="1" w:evenHBand="0" w:firstRowFirstColumn="0" w:firstRowLastColumn="0" w:lastRowFirstColumn="0" w:lastRowLastColumn="0"/>
            </w:pPr>
            <w:r w:rsidRPr="002F58D4">
              <w:t>12</w:t>
            </w:r>
          </w:p>
        </w:tc>
      </w:tr>
      <w:tr w:rsidR="006F2BB8" w:rsidRPr="006F2BB8" w14:paraId="5C9805B6" w14:textId="77777777" w:rsidTr="00D12D19">
        <w:trPr>
          <w:cantSplit/>
        </w:trPr>
        <w:tc>
          <w:tcPr>
            <w:cnfStyle w:val="001000000000" w:firstRow="0" w:lastRow="0" w:firstColumn="1" w:lastColumn="0" w:oddVBand="0" w:evenVBand="0" w:oddHBand="0" w:evenHBand="0" w:firstRowFirstColumn="0" w:firstRowLastColumn="0" w:lastRowFirstColumn="0" w:lastRowLastColumn="0"/>
            <w:tcW w:w="5387" w:type="dxa"/>
            <w:tcBorders>
              <w:left w:val="nil"/>
            </w:tcBorders>
          </w:tcPr>
          <w:p w14:paraId="2D36AE5C" w14:textId="77777777" w:rsidR="006F2BB8" w:rsidRPr="002F58D4" w:rsidRDefault="006F2BB8" w:rsidP="002F58D4">
            <w:pPr>
              <w:pStyle w:val="10Tabletext"/>
            </w:pPr>
            <w:r w:rsidRPr="002F58D4">
              <w:t>Insufficient intellectual challenge</w:t>
            </w:r>
          </w:p>
        </w:tc>
        <w:tc>
          <w:tcPr>
            <w:tcW w:w="1553" w:type="dxa"/>
          </w:tcPr>
          <w:p w14:paraId="25CBD4FE" w14:textId="77777777" w:rsidR="006F2BB8" w:rsidRPr="002F58D4" w:rsidRDefault="006F2BB8" w:rsidP="00D12D19">
            <w:pPr>
              <w:pStyle w:val="10Tabletext"/>
              <w:jc w:val="center"/>
              <w:cnfStyle w:val="000000000000" w:firstRow="0" w:lastRow="0" w:firstColumn="0" w:lastColumn="0" w:oddVBand="0" w:evenVBand="0" w:oddHBand="0" w:evenHBand="0" w:firstRowFirstColumn="0" w:firstRowLastColumn="0" w:lastRowFirstColumn="0" w:lastRowLastColumn="0"/>
            </w:pPr>
            <w:r w:rsidRPr="002F58D4">
              <w:t>8</w:t>
            </w:r>
          </w:p>
        </w:tc>
        <w:tc>
          <w:tcPr>
            <w:tcW w:w="1554" w:type="dxa"/>
            <w:tcBorders>
              <w:right w:val="nil"/>
            </w:tcBorders>
          </w:tcPr>
          <w:p w14:paraId="17B6D863" w14:textId="77777777" w:rsidR="006F2BB8" w:rsidRPr="002F58D4" w:rsidRDefault="006F2BB8" w:rsidP="00D12D19">
            <w:pPr>
              <w:pStyle w:val="10Tabletext"/>
              <w:jc w:val="center"/>
              <w:cnfStyle w:val="000000000000" w:firstRow="0" w:lastRow="0" w:firstColumn="0" w:lastColumn="0" w:oddVBand="0" w:evenVBand="0" w:oddHBand="0" w:evenHBand="0" w:firstRowFirstColumn="0" w:firstRowLastColumn="0" w:lastRowFirstColumn="0" w:lastRowLastColumn="0"/>
            </w:pPr>
            <w:r w:rsidRPr="002F58D4">
              <w:t>12</w:t>
            </w:r>
          </w:p>
        </w:tc>
      </w:tr>
      <w:tr w:rsidR="006F2BB8" w:rsidRPr="006F2BB8" w14:paraId="5971E6FC" w14:textId="77777777" w:rsidTr="00D12D1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387" w:type="dxa"/>
            <w:tcBorders>
              <w:left w:val="nil"/>
            </w:tcBorders>
          </w:tcPr>
          <w:p w14:paraId="4F1FF65A" w14:textId="77777777" w:rsidR="006F2BB8" w:rsidRPr="002F58D4" w:rsidRDefault="006F2BB8" w:rsidP="002F58D4">
            <w:pPr>
              <w:pStyle w:val="10Tabletext"/>
            </w:pPr>
            <w:r w:rsidRPr="002F58D4">
              <w:t>My team or other colleagues</w:t>
            </w:r>
          </w:p>
        </w:tc>
        <w:tc>
          <w:tcPr>
            <w:tcW w:w="1553" w:type="dxa"/>
          </w:tcPr>
          <w:p w14:paraId="183AAF5E" w14:textId="77777777" w:rsidR="006F2BB8" w:rsidRPr="002F58D4" w:rsidRDefault="006F2BB8" w:rsidP="00D12D19">
            <w:pPr>
              <w:pStyle w:val="10Tabletext"/>
              <w:jc w:val="center"/>
              <w:cnfStyle w:val="000000100000" w:firstRow="0" w:lastRow="0" w:firstColumn="0" w:lastColumn="0" w:oddVBand="0" w:evenVBand="0" w:oddHBand="1" w:evenHBand="0" w:firstRowFirstColumn="0" w:firstRowLastColumn="0" w:lastRowFirstColumn="0" w:lastRowLastColumn="0"/>
            </w:pPr>
            <w:r w:rsidRPr="002F58D4">
              <w:t>7</w:t>
            </w:r>
          </w:p>
        </w:tc>
        <w:tc>
          <w:tcPr>
            <w:tcW w:w="1554" w:type="dxa"/>
            <w:tcBorders>
              <w:right w:val="nil"/>
            </w:tcBorders>
          </w:tcPr>
          <w:p w14:paraId="1E66665E" w14:textId="77777777" w:rsidR="006F2BB8" w:rsidRPr="002F58D4" w:rsidRDefault="006F2BB8" w:rsidP="00D12D19">
            <w:pPr>
              <w:pStyle w:val="10Tabletext"/>
              <w:jc w:val="center"/>
              <w:cnfStyle w:val="000000100000" w:firstRow="0" w:lastRow="0" w:firstColumn="0" w:lastColumn="0" w:oddVBand="0" w:evenVBand="0" w:oddHBand="1" w:evenHBand="0" w:firstRowFirstColumn="0" w:firstRowLastColumn="0" w:lastRowFirstColumn="0" w:lastRowLastColumn="0"/>
            </w:pPr>
            <w:r w:rsidRPr="002F58D4">
              <w:t>10</w:t>
            </w:r>
          </w:p>
        </w:tc>
      </w:tr>
      <w:tr w:rsidR="006F2BB8" w:rsidRPr="006F2BB8" w14:paraId="06D345F9" w14:textId="77777777" w:rsidTr="00D12D19">
        <w:trPr>
          <w:cantSplit/>
        </w:trPr>
        <w:tc>
          <w:tcPr>
            <w:cnfStyle w:val="001000000000" w:firstRow="0" w:lastRow="0" w:firstColumn="1" w:lastColumn="0" w:oddVBand="0" w:evenVBand="0" w:oddHBand="0" w:evenHBand="0" w:firstRowFirstColumn="0" w:firstRowLastColumn="0" w:lastRowFirstColumn="0" w:lastRowLastColumn="0"/>
            <w:tcW w:w="5387" w:type="dxa"/>
            <w:tcBorders>
              <w:left w:val="nil"/>
            </w:tcBorders>
          </w:tcPr>
          <w:p w14:paraId="01B72C4A" w14:textId="77777777" w:rsidR="006F2BB8" w:rsidRPr="002F58D4" w:rsidRDefault="006F2BB8" w:rsidP="002F58D4">
            <w:pPr>
              <w:pStyle w:val="10Tabletext"/>
            </w:pPr>
            <w:r w:rsidRPr="002F58D4">
              <w:t>Insufficient access to hybrid work</w:t>
            </w:r>
          </w:p>
        </w:tc>
        <w:tc>
          <w:tcPr>
            <w:tcW w:w="1553" w:type="dxa"/>
          </w:tcPr>
          <w:p w14:paraId="6B2AC515" w14:textId="77777777" w:rsidR="006F2BB8" w:rsidRPr="002F58D4" w:rsidRDefault="006F2BB8" w:rsidP="00D12D19">
            <w:pPr>
              <w:pStyle w:val="10Tabletext"/>
              <w:jc w:val="center"/>
              <w:cnfStyle w:val="000000000000" w:firstRow="0" w:lastRow="0" w:firstColumn="0" w:lastColumn="0" w:oddVBand="0" w:evenVBand="0" w:oddHBand="0" w:evenHBand="0" w:firstRowFirstColumn="0" w:firstRowLastColumn="0" w:lastRowFirstColumn="0" w:lastRowLastColumn="0"/>
            </w:pPr>
            <w:r w:rsidRPr="002F58D4">
              <w:t>5</w:t>
            </w:r>
          </w:p>
        </w:tc>
        <w:tc>
          <w:tcPr>
            <w:tcW w:w="1554" w:type="dxa"/>
            <w:tcBorders>
              <w:right w:val="nil"/>
            </w:tcBorders>
          </w:tcPr>
          <w:p w14:paraId="62D7AB4B" w14:textId="77777777" w:rsidR="006F2BB8" w:rsidRPr="002F58D4" w:rsidRDefault="006F2BB8" w:rsidP="00D12D19">
            <w:pPr>
              <w:pStyle w:val="10Tabletext"/>
              <w:jc w:val="center"/>
              <w:cnfStyle w:val="000000000000" w:firstRow="0" w:lastRow="0" w:firstColumn="0" w:lastColumn="0" w:oddVBand="0" w:evenVBand="0" w:oddHBand="0" w:evenHBand="0" w:firstRowFirstColumn="0" w:firstRowLastColumn="0" w:lastRowFirstColumn="0" w:lastRowLastColumn="0"/>
            </w:pPr>
            <w:r w:rsidRPr="002F58D4">
              <w:t>7</w:t>
            </w:r>
          </w:p>
        </w:tc>
      </w:tr>
      <w:tr w:rsidR="006F2BB8" w:rsidRPr="006F2BB8" w14:paraId="087B8AC3" w14:textId="77777777" w:rsidTr="00D12D1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387" w:type="dxa"/>
            <w:tcBorders>
              <w:left w:val="nil"/>
            </w:tcBorders>
          </w:tcPr>
          <w:p w14:paraId="7230203F" w14:textId="77777777" w:rsidR="006F2BB8" w:rsidRPr="002F58D4" w:rsidRDefault="006F2BB8" w:rsidP="002F58D4">
            <w:pPr>
              <w:pStyle w:val="10Tabletext"/>
            </w:pPr>
            <w:r w:rsidRPr="002F58D4">
              <w:t>Other</w:t>
            </w:r>
          </w:p>
        </w:tc>
        <w:tc>
          <w:tcPr>
            <w:tcW w:w="1553" w:type="dxa"/>
          </w:tcPr>
          <w:p w14:paraId="3B51F2F8" w14:textId="77777777" w:rsidR="006F2BB8" w:rsidRPr="002F58D4" w:rsidRDefault="006F2BB8" w:rsidP="00D12D19">
            <w:pPr>
              <w:pStyle w:val="10Tabletext"/>
              <w:jc w:val="center"/>
              <w:cnfStyle w:val="000000100000" w:firstRow="0" w:lastRow="0" w:firstColumn="0" w:lastColumn="0" w:oddVBand="0" w:evenVBand="0" w:oddHBand="1" w:evenHBand="0" w:firstRowFirstColumn="0" w:firstRowLastColumn="0" w:lastRowFirstColumn="0" w:lastRowLastColumn="0"/>
            </w:pPr>
            <w:r w:rsidRPr="002F58D4">
              <w:t>36</w:t>
            </w:r>
          </w:p>
        </w:tc>
        <w:tc>
          <w:tcPr>
            <w:tcW w:w="1554" w:type="dxa"/>
            <w:tcBorders>
              <w:right w:val="nil"/>
            </w:tcBorders>
          </w:tcPr>
          <w:p w14:paraId="51E2E517" w14:textId="77777777" w:rsidR="006F2BB8" w:rsidRPr="002F58D4" w:rsidRDefault="006F2BB8" w:rsidP="00D12D19">
            <w:pPr>
              <w:pStyle w:val="10Tabletext"/>
              <w:jc w:val="center"/>
              <w:cnfStyle w:val="000000100000" w:firstRow="0" w:lastRow="0" w:firstColumn="0" w:lastColumn="0" w:oddVBand="0" w:evenVBand="0" w:oddHBand="1" w:evenHBand="0" w:firstRowFirstColumn="0" w:firstRowLastColumn="0" w:lastRowFirstColumn="0" w:lastRowLastColumn="0"/>
            </w:pPr>
            <w:r w:rsidRPr="002F58D4">
              <w:t>54</w:t>
            </w:r>
          </w:p>
        </w:tc>
      </w:tr>
      <w:tr w:rsidR="006F2BB8" w:rsidRPr="006F2BB8" w14:paraId="5B7CE84E" w14:textId="77777777" w:rsidTr="00D12D19">
        <w:trPr>
          <w:cantSplit/>
        </w:trPr>
        <w:tc>
          <w:tcPr>
            <w:cnfStyle w:val="001000000000" w:firstRow="0" w:lastRow="0" w:firstColumn="1" w:lastColumn="0" w:oddVBand="0" w:evenVBand="0" w:oddHBand="0" w:evenHBand="0" w:firstRowFirstColumn="0" w:firstRowLastColumn="0" w:lastRowFirstColumn="0" w:lastRowLastColumn="0"/>
            <w:tcW w:w="5387" w:type="dxa"/>
            <w:tcBorders>
              <w:left w:val="nil"/>
            </w:tcBorders>
          </w:tcPr>
          <w:p w14:paraId="0687016F" w14:textId="0B388BCD" w:rsidR="006F2BB8" w:rsidRPr="00150220" w:rsidRDefault="006F2BB8" w:rsidP="00150220">
            <w:pPr>
              <w:pStyle w:val="10Tabletext"/>
            </w:pPr>
            <w:r w:rsidRPr="00150220">
              <w:t>Total</w:t>
            </w:r>
            <w:r w:rsidR="00B610B2" w:rsidRPr="00150220">
              <w:t xml:space="preserve"> respondents</w:t>
            </w:r>
          </w:p>
        </w:tc>
        <w:tc>
          <w:tcPr>
            <w:tcW w:w="1553" w:type="dxa"/>
          </w:tcPr>
          <w:p w14:paraId="044EA158" w14:textId="1440E569" w:rsidR="006F2BB8" w:rsidRPr="00150220" w:rsidRDefault="006F2BB8" w:rsidP="00D12D19">
            <w:pPr>
              <w:pStyle w:val="10Tabletext"/>
              <w:jc w:val="center"/>
              <w:cnfStyle w:val="000000000000" w:firstRow="0" w:lastRow="0" w:firstColumn="0" w:lastColumn="0" w:oddVBand="0" w:evenVBand="0" w:oddHBand="0" w:evenHBand="0" w:firstRowFirstColumn="0" w:firstRowLastColumn="0" w:lastRowFirstColumn="0" w:lastRowLastColumn="0"/>
            </w:pPr>
            <w:r w:rsidRPr="00150220">
              <w:t>67</w:t>
            </w:r>
          </w:p>
        </w:tc>
        <w:tc>
          <w:tcPr>
            <w:tcW w:w="1554" w:type="dxa"/>
            <w:tcBorders>
              <w:right w:val="nil"/>
            </w:tcBorders>
          </w:tcPr>
          <w:p w14:paraId="57907247" w14:textId="77777777" w:rsidR="006F2BB8" w:rsidRPr="00150220" w:rsidRDefault="006F2BB8" w:rsidP="00D12D19">
            <w:pPr>
              <w:pStyle w:val="10Tabletext"/>
              <w:jc w:val="center"/>
              <w:cnfStyle w:val="000000000000" w:firstRow="0" w:lastRow="0" w:firstColumn="0" w:lastColumn="0" w:oddVBand="0" w:evenVBand="0" w:oddHBand="0" w:evenHBand="0" w:firstRowFirstColumn="0" w:firstRowLastColumn="0" w:lastRowFirstColumn="0" w:lastRowLastColumn="0"/>
            </w:pPr>
          </w:p>
        </w:tc>
      </w:tr>
    </w:tbl>
    <w:p w14:paraId="61E8E25C" w14:textId="22F419A7" w:rsidR="006F2BB8" w:rsidRPr="00642222" w:rsidRDefault="006F2BB8" w:rsidP="00D31BB6">
      <w:pPr>
        <w:pStyle w:val="09Sourcesandnotesfortablesfiguresboxes"/>
        <w:rPr>
          <w:spacing w:val="-2"/>
        </w:rPr>
      </w:pPr>
      <w:r w:rsidRPr="00642222">
        <w:rPr>
          <w:spacing w:val="-2"/>
        </w:rPr>
        <w:t>Note</w:t>
      </w:r>
      <w:r w:rsidR="007C0875" w:rsidRPr="00642222">
        <w:rPr>
          <w:spacing w:val="-2"/>
        </w:rPr>
        <w:t>s</w:t>
      </w:r>
      <w:r w:rsidRPr="00642222">
        <w:rPr>
          <w:spacing w:val="-2"/>
        </w:rPr>
        <w:t>: This question was only asked to respondents who answered ‘6 months or less’ or ‘Over 6 months and up to 1 year’ in Table A.11</w:t>
      </w:r>
      <w:r w:rsidR="00150220" w:rsidRPr="00642222">
        <w:rPr>
          <w:spacing w:val="-2"/>
        </w:rPr>
        <w:t>.</w:t>
      </w:r>
      <w:r w:rsidR="007C0875" w:rsidRPr="00642222">
        <w:rPr>
          <w:spacing w:val="-2"/>
        </w:rPr>
        <w:t xml:space="preserve"> The percentages in this table exceed 100</w:t>
      </w:r>
      <w:r w:rsidR="00E1269B" w:rsidRPr="00642222">
        <w:rPr>
          <w:spacing w:val="-2"/>
        </w:rPr>
        <w:t xml:space="preserve"> per cent</w:t>
      </w:r>
      <w:r w:rsidR="007C0875" w:rsidRPr="00642222">
        <w:rPr>
          <w:spacing w:val="-2"/>
        </w:rPr>
        <w:t xml:space="preserve"> as respondents were asked to select multiple options.</w:t>
      </w:r>
      <w:r w:rsidR="003B4A64" w:rsidRPr="00642222">
        <w:rPr>
          <w:spacing w:val="-2"/>
        </w:rPr>
        <w:t xml:space="preserve"> </w:t>
      </w:r>
    </w:p>
    <w:p w14:paraId="3E40BE16" w14:textId="2BDD4354" w:rsidR="006F2BB8" w:rsidRPr="006F2BB8" w:rsidRDefault="006F2BB8" w:rsidP="006A3A46">
      <w:pPr>
        <w:pStyle w:val="05Paragraph"/>
      </w:pPr>
      <w:r w:rsidRPr="006F2BB8">
        <w:t>And of those who planned to leave the VPS executive workforce in 2024, over half said they would like to move to an executive position in the for-profit sector (Table</w:t>
      </w:r>
      <w:r w:rsidR="00E1269B">
        <w:t> </w:t>
      </w:r>
      <w:r w:rsidRPr="006F2BB8">
        <w:t>A.13).</w:t>
      </w:r>
    </w:p>
    <w:p w14:paraId="54C92397" w14:textId="77777777" w:rsidR="006F2BB8" w:rsidRPr="006F2BB8" w:rsidRDefault="006F2BB8" w:rsidP="006C2935">
      <w:pPr>
        <w:pStyle w:val="08Figuretableboxheading"/>
      </w:pPr>
      <w:bookmarkStart w:id="191" w:name="_Toc170393593"/>
      <w:r w:rsidRPr="006F2BB8">
        <w:t>Table A.13: If you were to leave the VPS at executive level, which of the following levels of employment (executive or non-executive), and sectors would be your preference? Please select all that apply.</w:t>
      </w:r>
      <w:bookmarkEnd w:id="191"/>
    </w:p>
    <w:tbl>
      <w:tblPr>
        <w:tblStyle w:val="ListTable3-Accent1"/>
        <w:tblW w:w="0" w:type="auto"/>
        <w:tblLayout w:type="fixed"/>
        <w:tblLook w:val="04A0" w:firstRow="1" w:lastRow="0" w:firstColumn="1" w:lastColumn="0" w:noHBand="0" w:noVBand="1"/>
      </w:tblPr>
      <w:tblGrid>
        <w:gridCol w:w="6096"/>
        <w:gridCol w:w="1269"/>
        <w:gridCol w:w="1129"/>
      </w:tblGrid>
      <w:tr w:rsidR="006F2BB8" w:rsidRPr="006F2BB8" w14:paraId="25DAFDEB" w14:textId="77777777" w:rsidTr="00D12D19">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6096" w:type="dxa"/>
            <w:tcBorders>
              <w:left w:val="nil"/>
              <w:bottom w:val="single" w:sz="4" w:space="0" w:color="148A5D"/>
              <w:right w:val="single" w:sz="4" w:space="0" w:color="148A5D"/>
            </w:tcBorders>
            <w:shd w:val="clear" w:color="auto" w:fill="148A5D"/>
          </w:tcPr>
          <w:p w14:paraId="5BAEC5A1" w14:textId="1442AF01" w:rsidR="006F2BB8" w:rsidRPr="00E1269B" w:rsidRDefault="006F2BB8" w:rsidP="006C2935">
            <w:pPr>
              <w:pStyle w:val="10Tabletext"/>
              <w:keepNext/>
            </w:pPr>
            <w:r w:rsidRPr="00E1269B">
              <w:t>Answer choices</w:t>
            </w:r>
          </w:p>
        </w:tc>
        <w:tc>
          <w:tcPr>
            <w:tcW w:w="2398" w:type="dxa"/>
            <w:gridSpan w:val="2"/>
            <w:tcBorders>
              <w:left w:val="single" w:sz="4" w:space="0" w:color="148A5D"/>
              <w:bottom w:val="single" w:sz="4" w:space="0" w:color="148A5D"/>
            </w:tcBorders>
            <w:shd w:val="clear" w:color="auto" w:fill="148A5D"/>
          </w:tcPr>
          <w:p w14:paraId="75F72889" w14:textId="543B0227" w:rsidR="006F2BB8" w:rsidRPr="00E1269B" w:rsidRDefault="006F2BB8" w:rsidP="00D12D19">
            <w:pPr>
              <w:pStyle w:val="10Tabletext"/>
              <w:keepNext/>
              <w:jc w:val="center"/>
              <w:cnfStyle w:val="100000000000" w:firstRow="1" w:lastRow="0" w:firstColumn="0" w:lastColumn="0" w:oddVBand="0" w:evenVBand="0" w:oddHBand="0" w:evenHBand="0" w:firstRowFirstColumn="0" w:firstRowLastColumn="0" w:lastRowFirstColumn="0" w:lastRowLastColumn="0"/>
            </w:pPr>
            <w:r w:rsidRPr="00E1269B">
              <w:t>Responses</w:t>
            </w:r>
          </w:p>
        </w:tc>
      </w:tr>
      <w:tr w:rsidR="006F2BB8" w:rsidRPr="006F2BB8" w14:paraId="29BB3357" w14:textId="77777777" w:rsidTr="00D12D1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148A5D"/>
              <w:left w:val="nil"/>
              <w:right w:val="single" w:sz="4" w:space="0" w:color="148A5D"/>
            </w:tcBorders>
            <w:shd w:val="clear" w:color="auto" w:fill="148A5D"/>
          </w:tcPr>
          <w:p w14:paraId="4D374001" w14:textId="77777777" w:rsidR="006F2BB8" w:rsidRPr="00E1269B" w:rsidRDefault="006F2BB8" w:rsidP="006C2935">
            <w:pPr>
              <w:pStyle w:val="10Tabletext"/>
              <w:keepNext/>
              <w:rPr>
                <w:color w:val="FFFFFF" w:themeColor="background1"/>
              </w:rPr>
            </w:pPr>
          </w:p>
        </w:tc>
        <w:tc>
          <w:tcPr>
            <w:tcW w:w="1269" w:type="dxa"/>
            <w:tcBorders>
              <w:top w:val="single" w:sz="4" w:space="0" w:color="148A5D"/>
              <w:left w:val="single" w:sz="4" w:space="0" w:color="148A5D"/>
              <w:right w:val="single" w:sz="4" w:space="0" w:color="148A5D"/>
            </w:tcBorders>
            <w:shd w:val="clear" w:color="auto" w:fill="148A5D"/>
          </w:tcPr>
          <w:p w14:paraId="5B9F357C" w14:textId="77777777" w:rsidR="006F2BB8" w:rsidRPr="00E1269B" w:rsidRDefault="006F2BB8" w:rsidP="00D12D19">
            <w:pPr>
              <w:pStyle w:val="10Tabletext"/>
              <w:keepNext/>
              <w:jc w:val="center"/>
              <w:cnfStyle w:val="000000100000" w:firstRow="0" w:lastRow="0" w:firstColumn="0" w:lastColumn="0" w:oddVBand="0" w:evenVBand="0" w:oddHBand="1" w:evenHBand="0" w:firstRowFirstColumn="0" w:firstRowLastColumn="0" w:lastRowFirstColumn="0" w:lastRowLastColumn="0"/>
              <w:rPr>
                <w:b/>
                <w:bCs w:val="0"/>
                <w:color w:val="FFFFFF" w:themeColor="background1"/>
              </w:rPr>
            </w:pPr>
            <w:r w:rsidRPr="00E1269B">
              <w:rPr>
                <w:b/>
                <w:bCs w:val="0"/>
                <w:color w:val="FFFFFF" w:themeColor="background1"/>
              </w:rPr>
              <w:t>Number</w:t>
            </w:r>
          </w:p>
        </w:tc>
        <w:tc>
          <w:tcPr>
            <w:tcW w:w="1129" w:type="dxa"/>
            <w:tcBorders>
              <w:top w:val="single" w:sz="4" w:space="0" w:color="148A5D"/>
              <w:left w:val="single" w:sz="4" w:space="0" w:color="148A5D"/>
              <w:right w:val="nil"/>
            </w:tcBorders>
            <w:shd w:val="clear" w:color="auto" w:fill="148A5D"/>
          </w:tcPr>
          <w:p w14:paraId="05D3CF0F" w14:textId="77777777" w:rsidR="006F2BB8" w:rsidRPr="00E1269B" w:rsidRDefault="006F2BB8" w:rsidP="00D12D19">
            <w:pPr>
              <w:pStyle w:val="10Tabletext"/>
              <w:keepNext/>
              <w:jc w:val="center"/>
              <w:cnfStyle w:val="000000100000" w:firstRow="0" w:lastRow="0" w:firstColumn="0" w:lastColumn="0" w:oddVBand="0" w:evenVBand="0" w:oddHBand="1" w:evenHBand="0" w:firstRowFirstColumn="0" w:firstRowLastColumn="0" w:lastRowFirstColumn="0" w:lastRowLastColumn="0"/>
              <w:rPr>
                <w:b/>
                <w:bCs w:val="0"/>
                <w:color w:val="FFFFFF" w:themeColor="background1"/>
              </w:rPr>
            </w:pPr>
            <w:r w:rsidRPr="00E1269B">
              <w:rPr>
                <w:b/>
                <w:bCs w:val="0"/>
                <w:color w:val="FFFFFF" w:themeColor="background1"/>
              </w:rPr>
              <w:t>%</w:t>
            </w:r>
          </w:p>
        </w:tc>
      </w:tr>
      <w:tr w:rsidR="006F2BB8" w:rsidRPr="006F2BB8" w14:paraId="0CF7373D" w14:textId="77777777" w:rsidTr="00D12D19">
        <w:trPr>
          <w:cantSplit/>
        </w:trPr>
        <w:tc>
          <w:tcPr>
            <w:cnfStyle w:val="001000000000" w:firstRow="0" w:lastRow="0" w:firstColumn="1" w:lastColumn="0" w:oddVBand="0" w:evenVBand="0" w:oddHBand="0" w:evenHBand="0" w:firstRowFirstColumn="0" w:firstRowLastColumn="0" w:lastRowFirstColumn="0" w:lastRowLastColumn="0"/>
            <w:tcW w:w="6096" w:type="dxa"/>
            <w:tcBorders>
              <w:left w:val="nil"/>
            </w:tcBorders>
          </w:tcPr>
          <w:p w14:paraId="0DAD4FA0" w14:textId="77777777" w:rsidR="006F2BB8" w:rsidRPr="00E1269B" w:rsidRDefault="006F2BB8" w:rsidP="006C2935">
            <w:pPr>
              <w:pStyle w:val="10Tabletext"/>
              <w:keepNext/>
            </w:pPr>
            <w:r w:rsidRPr="00E1269B">
              <w:t>Executive – Victorian for-profit sector</w:t>
            </w:r>
          </w:p>
        </w:tc>
        <w:tc>
          <w:tcPr>
            <w:tcW w:w="1269" w:type="dxa"/>
          </w:tcPr>
          <w:p w14:paraId="4CD45762" w14:textId="77777777" w:rsidR="006F2BB8" w:rsidRPr="00E1269B" w:rsidRDefault="006F2BB8" w:rsidP="00D12D19">
            <w:pPr>
              <w:pStyle w:val="10Tabletext"/>
              <w:keepNext/>
              <w:jc w:val="center"/>
              <w:cnfStyle w:val="000000000000" w:firstRow="0" w:lastRow="0" w:firstColumn="0" w:lastColumn="0" w:oddVBand="0" w:evenVBand="0" w:oddHBand="0" w:evenHBand="0" w:firstRowFirstColumn="0" w:firstRowLastColumn="0" w:lastRowFirstColumn="0" w:lastRowLastColumn="0"/>
            </w:pPr>
            <w:r w:rsidRPr="00E1269B">
              <w:t>34</w:t>
            </w:r>
          </w:p>
        </w:tc>
        <w:tc>
          <w:tcPr>
            <w:tcW w:w="1129" w:type="dxa"/>
            <w:tcBorders>
              <w:right w:val="nil"/>
            </w:tcBorders>
          </w:tcPr>
          <w:p w14:paraId="09293587" w14:textId="77777777" w:rsidR="006F2BB8" w:rsidRPr="00E1269B" w:rsidRDefault="006F2BB8" w:rsidP="00D12D19">
            <w:pPr>
              <w:pStyle w:val="10Tabletext"/>
              <w:keepNext/>
              <w:jc w:val="center"/>
              <w:cnfStyle w:val="000000000000" w:firstRow="0" w:lastRow="0" w:firstColumn="0" w:lastColumn="0" w:oddVBand="0" w:evenVBand="0" w:oddHBand="0" w:evenHBand="0" w:firstRowFirstColumn="0" w:firstRowLastColumn="0" w:lastRowFirstColumn="0" w:lastRowLastColumn="0"/>
            </w:pPr>
            <w:r w:rsidRPr="00E1269B">
              <w:t>52</w:t>
            </w:r>
          </w:p>
        </w:tc>
      </w:tr>
      <w:tr w:rsidR="006F2BB8" w:rsidRPr="006F2BB8" w14:paraId="00175B4B" w14:textId="77777777" w:rsidTr="00D12D1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096" w:type="dxa"/>
            <w:tcBorders>
              <w:left w:val="nil"/>
            </w:tcBorders>
          </w:tcPr>
          <w:p w14:paraId="030EE5AC" w14:textId="77777777" w:rsidR="006F2BB8" w:rsidRPr="00E1269B" w:rsidRDefault="006F2BB8" w:rsidP="006C2935">
            <w:pPr>
              <w:pStyle w:val="10Tabletext"/>
              <w:keepNext/>
            </w:pPr>
            <w:r w:rsidRPr="00E1269B">
              <w:t>Executive – Victorian not-for-profit sector</w:t>
            </w:r>
          </w:p>
        </w:tc>
        <w:tc>
          <w:tcPr>
            <w:tcW w:w="1269" w:type="dxa"/>
          </w:tcPr>
          <w:p w14:paraId="6D8DA809" w14:textId="77777777" w:rsidR="006F2BB8" w:rsidRPr="00E1269B" w:rsidRDefault="006F2BB8" w:rsidP="00D12D19">
            <w:pPr>
              <w:pStyle w:val="10Tabletext"/>
              <w:keepNext/>
              <w:jc w:val="center"/>
              <w:cnfStyle w:val="000000100000" w:firstRow="0" w:lastRow="0" w:firstColumn="0" w:lastColumn="0" w:oddVBand="0" w:evenVBand="0" w:oddHBand="1" w:evenHBand="0" w:firstRowFirstColumn="0" w:firstRowLastColumn="0" w:lastRowFirstColumn="0" w:lastRowLastColumn="0"/>
            </w:pPr>
            <w:r w:rsidRPr="00E1269B">
              <w:t>22</w:t>
            </w:r>
          </w:p>
        </w:tc>
        <w:tc>
          <w:tcPr>
            <w:tcW w:w="1129" w:type="dxa"/>
            <w:tcBorders>
              <w:right w:val="nil"/>
            </w:tcBorders>
          </w:tcPr>
          <w:p w14:paraId="6E745615" w14:textId="77777777" w:rsidR="006F2BB8" w:rsidRPr="00E1269B" w:rsidRDefault="006F2BB8" w:rsidP="00D12D19">
            <w:pPr>
              <w:pStyle w:val="10Tabletext"/>
              <w:keepNext/>
              <w:jc w:val="center"/>
              <w:cnfStyle w:val="000000100000" w:firstRow="0" w:lastRow="0" w:firstColumn="0" w:lastColumn="0" w:oddVBand="0" w:evenVBand="0" w:oddHBand="1" w:evenHBand="0" w:firstRowFirstColumn="0" w:firstRowLastColumn="0" w:lastRowFirstColumn="0" w:lastRowLastColumn="0"/>
            </w:pPr>
            <w:r w:rsidRPr="00E1269B">
              <w:t>34</w:t>
            </w:r>
          </w:p>
        </w:tc>
      </w:tr>
      <w:tr w:rsidR="006F2BB8" w:rsidRPr="006F2BB8" w14:paraId="0B6F1332" w14:textId="77777777" w:rsidTr="00D12D19">
        <w:trPr>
          <w:cantSplit/>
        </w:trPr>
        <w:tc>
          <w:tcPr>
            <w:cnfStyle w:val="001000000000" w:firstRow="0" w:lastRow="0" w:firstColumn="1" w:lastColumn="0" w:oddVBand="0" w:evenVBand="0" w:oddHBand="0" w:evenHBand="0" w:firstRowFirstColumn="0" w:firstRowLastColumn="0" w:lastRowFirstColumn="0" w:lastRowLastColumn="0"/>
            <w:tcW w:w="6096" w:type="dxa"/>
            <w:tcBorders>
              <w:left w:val="nil"/>
            </w:tcBorders>
          </w:tcPr>
          <w:p w14:paraId="1B1602DF" w14:textId="77777777" w:rsidR="006F2BB8" w:rsidRPr="00E1269B" w:rsidRDefault="006F2BB8" w:rsidP="006C2935">
            <w:pPr>
              <w:pStyle w:val="10Tabletext"/>
              <w:keepNext/>
            </w:pPr>
            <w:r w:rsidRPr="00E1269B">
              <w:t>Executive – public sector in another Australian jurisdiction</w:t>
            </w:r>
          </w:p>
        </w:tc>
        <w:tc>
          <w:tcPr>
            <w:tcW w:w="1269" w:type="dxa"/>
          </w:tcPr>
          <w:p w14:paraId="3678E873" w14:textId="77777777" w:rsidR="006F2BB8" w:rsidRPr="00E1269B" w:rsidRDefault="006F2BB8" w:rsidP="00D12D19">
            <w:pPr>
              <w:pStyle w:val="10Tabletext"/>
              <w:keepNext/>
              <w:jc w:val="center"/>
              <w:cnfStyle w:val="000000000000" w:firstRow="0" w:lastRow="0" w:firstColumn="0" w:lastColumn="0" w:oddVBand="0" w:evenVBand="0" w:oddHBand="0" w:evenHBand="0" w:firstRowFirstColumn="0" w:firstRowLastColumn="0" w:lastRowFirstColumn="0" w:lastRowLastColumn="0"/>
            </w:pPr>
            <w:r w:rsidRPr="00E1269B">
              <w:t>21</w:t>
            </w:r>
          </w:p>
        </w:tc>
        <w:tc>
          <w:tcPr>
            <w:tcW w:w="1129" w:type="dxa"/>
            <w:tcBorders>
              <w:right w:val="nil"/>
            </w:tcBorders>
          </w:tcPr>
          <w:p w14:paraId="577A572C" w14:textId="77777777" w:rsidR="006F2BB8" w:rsidRPr="00E1269B" w:rsidRDefault="006F2BB8" w:rsidP="00D12D19">
            <w:pPr>
              <w:pStyle w:val="10Tabletext"/>
              <w:keepNext/>
              <w:jc w:val="center"/>
              <w:cnfStyle w:val="000000000000" w:firstRow="0" w:lastRow="0" w:firstColumn="0" w:lastColumn="0" w:oddVBand="0" w:evenVBand="0" w:oddHBand="0" w:evenHBand="0" w:firstRowFirstColumn="0" w:firstRowLastColumn="0" w:lastRowFirstColumn="0" w:lastRowLastColumn="0"/>
            </w:pPr>
            <w:r w:rsidRPr="00E1269B">
              <w:t>32</w:t>
            </w:r>
          </w:p>
        </w:tc>
      </w:tr>
      <w:tr w:rsidR="006F2BB8" w:rsidRPr="006F2BB8" w14:paraId="236E2E54" w14:textId="77777777" w:rsidTr="00D12D1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096" w:type="dxa"/>
            <w:tcBorders>
              <w:left w:val="nil"/>
            </w:tcBorders>
          </w:tcPr>
          <w:p w14:paraId="3F402155" w14:textId="77777777" w:rsidR="006F2BB8" w:rsidRPr="00E1269B" w:rsidRDefault="006F2BB8" w:rsidP="006C2935">
            <w:pPr>
              <w:pStyle w:val="10Tabletext"/>
              <w:keepNext/>
            </w:pPr>
            <w:r w:rsidRPr="00E1269B">
              <w:t>Executive – Victorian public entity</w:t>
            </w:r>
          </w:p>
        </w:tc>
        <w:tc>
          <w:tcPr>
            <w:tcW w:w="1269" w:type="dxa"/>
          </w:tcPr>
          <w:p w14:paraId="1A4B8E40" w14:textId="77777777" w:rsidR="006F2BB8" w:rsidRPr="00E1269B" w:rsidRDefault="006F2BB8" w:rsidP="00D12D19">
            <w:pPr>
              <w:pStyle w:val="10Tabletext"/>
              <w:keepNext/>
              <w:jc w:val="center"/>
              <w:cnfStyle w:val="000000100000" w:firstRow="0" w:lastRow="0" w:firstColumn="0" w:lastColumn="0" w:oddVBand="0" w:evenVBand="0" w:oddHBand="1" w:evenHBand="0" w:firstRowFirstColumn="0" w:firstRowLastColumn="0" w:lastRowFirstColumn="0" w:lastRowLastColumn="0"/>
            </w:pPr>
            <w:r w:rsidRPr="00E1269B">
              <w:t>18</w:t>
            </w:r>
          </w:p>
        </w:tc>
        <w:tc>
          <w:tcPr>
            <w:tcW w:w="1129" w:type="dxa"/>
            <w:tcBorders>
              <w:right w:val="nil"/>
            </w:tcBorders>
          </w:tcPr>
          <w:p w14:paraId="5F9CF4F4" w14:textId="77777777" w:rsidR="006F2BB8" w:rsidRPr="00E1269B" w:rsidRDefault="006F2BB8" w:rsidP="00D12D19">
            <w:pPr>
              <w:pStyle w:val="10Tabletext"/>
              <w:keepNext/>
              <w:jc w:val="center"/>
              <w:cnfStyle w:val="000000100000" w:firstRow="0" w:lastRow="0" w:firstColumn="0" w:lastColumn="0" w:oddVBand="0" w:evenVBand="0" w:oddHBand="1" w:evenHBand="0" w:firstRowFirstColumn="0" w:firstRowLastColumn="0" w:lastRowFirstColumn="0" w:lastRowLastColumn="0"/>
            </w:pPr>
            <w:r w:rsidRPr="00E1269B">
              <w:t>28</w:t>
            </w:r>
          </w:p>
        </w:tc>
      </w:tr>
      <w:tr w:rsidR="006F2BB8" w:rsidRPr="006F2BB8" w14:paraId="6AE729F0" w14:textId="77777777" w:rsidTr="00D12D19">
        <w:trPr>
          <w:cantSplit/>
        </w:trPr>
        <w:tc>
          <w:tcPr>
            <w:cnfStyle w:val="001000000000" w:firstRow="0" w:lastRow="0" w:firstColumn="1" w:lastColumn="0" w:oddVBand="0" w:evenVBand="0" w:oddHBand="0" w:evenHBand="0" w:firstRowFirstColumn="0" w:firstRowLastColumn="0" w:lastRowFirstColumn="0" w:lastRowLastColumn="0"/>
            <w:tcW w:w="6096" w:type="dxa"/>
            <w:tcBorders>
              <w:left w:val="nil"/>
            </w:tcBorders>
          </w:tcPr>
          <w:p w14:paraId="54F3FF64" w14:textId="77777777" w:rsidR="006F2BB8" w:rsidRPr="00E1269B" w:rsidRDefault="006F2BB8" w:rsidP="006C2935">
            <w:pPr>
              <w:pStyle w:val="10Tabletext"/>
              <w:keepNext/>
            </w:pPr>
            <w:r w:rsidRPr="00E1269B">
              <w:t>Executive – Victorian local government</w:t>
            </w:r>
          </w:p>
        </w:tc>
        <w:tc>
          <w:tcPr>
            <w:tcW w:w="1269" w:type="dxa"/>
          </w:tcPr>
          <w:p w14:paraId="2F9985FB" w14:textId="77777777" w:rsidR="006F2BB8" w:rsidRPr="00E1269B" w:rsidRDefault="006F2BB8" w:rsidP="00D12D19">
            <w:pPr>
              <w:pStyle w:val="10Tabletext"/>
              <w:keepNext/>
              <w:jc w:val="center"/>
              <w:cnfStyle w:val="000000000000" w:firstRow="0" w:lastRow="0" w:firstColumn="0" w:lastColumn="0" w:oddVBand="0" w:evenVBand="0" w:oddHBand="0" w:evenHBand="0" w:firstRowFirstColumn="0" w:firstRowLastColumn="0" w:lastRowFirstColumn="0" w:lastRowLastColumn="0"/>
            </w:pPr>
            <w:r w:rsidRPr="00E1269B">
              <w:t>13</w:t>
            </w:r>
          </w:p>
        </w:tc>
        <w:tc>
          <w:tcPr>
            <w:tcW w:w="1129" w:type="dxa"/>
            <w:tcBorders>
              <w:right w:val="nil"/>
            </w:tcBorders>
          </w:tcPr>
          <w:p w14:paraId="2FB5C22E" w14:textId="77777777" w:rsidR="006F2BB8" w:rsidRPr="00E1269B" w:rsidRDefault="006F2BB8" w:rsidP="00D12D19">
            <w:pPr>
              <w:pStyle w:val="10Tabletext"/>
              <w:keepNext/>
              <w:jc w:val="center"/>
              <w:cnfStyle w:val="000000000000" w:firstRow="0" w:lastRow="0" w:firstColumn="0" w:lastColumn="0" w:oddVBand="0" w:evenVBand="0" w:oddHBand="0" w:evenHBand="0" w:firstRowFirstColumn="0" w:firstRowLastColumn="0" w:lastRowFirstColumn="0" w:lastRowLastColumn="0"/>
            </w:pPr>
            <w:r w:rsidRPr="00E1269B">
              <w:t>20</w:t>
            </w:r>
          </w:p>
        </w:tc>
      </w:tr>
      <w:tr w:rsidR="006F2BB8" w:rsidRPr="006F2BB8" w14:paraId="60BC91E5" w14:textId="77777777" w:rsidTr="00D12D1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096" w:type="dxa"/>
            <w:tcBorders>
              <w:left w:val="nil"/>
            </w:tcBorders>
          </w:tcPr>
          <w:p w14:paraId="4140C41D" w14:textId="77777777" w:rsidR="006F2BB8" w:rsidRPr="00E1269B" w:rsidRDefault="006F2BB8" w:rsidP="006C2935">
            <w:pPr>
              <w:pStyle w:val="10Tabletext"/>
              <w:keepNext/>
            </w:pPr>
            <w:r w:rsidRPr="00E1269B">
              <w:t>Executive – international for-profit sector</w:t>
            </w:r>
          </w:p>
        </w:tc>
        <w:tc>
          <w:tcPr>
            <w:tcW w:w="1269" w:type="dxa"/>
          </w:tcPr>
          <w:p w14:paraId="6CB063F9" w14:textId="77777777" w:rsidR="006F2BB8" w:rsidRPr="00E1269B" w:rsidRDefault="006F2BB8" w:rsidP="00D12D19">
            <w:pPr>
              <w:pStyle w:val="10Tabletext"/>
              <w:keepNext/>
              <w:jc w:val="center"/>
              <w:cnfStyle w:val="000000100000" w:firstRow="0" w:lastRow="0" w:firstColumn="0" w:lastColumn="0" w:oddVBand="0" w:evenVBand="0" w:oddHBand="1" w:evenHBand="0" w:firstRowFirstColumn="0" w:firstRowLastColumn="0" w:lastRowFirstColumn="0" w:lastRowLastColumn="0"/>
            </w:pPr>
            <w:r w:rsidRPr="00E1269B">
              <w:t>13</w:t>
            </w:r>
          </w:p>
        </w:tc>
        <w:tc>
          <w:tcPr>
            <w:tcW w:w="1129" w:type="dxa"/>
            <w:tcBorders>
              <w:right w:val="nil"/>
            </w:tcBorders>
          </w:tcPr>
          <w:p w14:paraId="45F846AF" w14:textId="77777777" w:rsidR="006F2BB8" w:rsidRPr="00E1269B" w:rsidRDefault="006F2BB8" w:rsidP="00D12D19">
            <w:pPr>
              <w:pStyle w:val="10Tabletext"/>
              <w:keepNext/>
              <w:jc w:val="center"/>
              <w:cnfStyle w:val="000000100000" w:firstRow="0" w:lastRow="0" w:firstColumn="0" w:lastColumn="0" w:oddVBand="0" w:evenVBand="0" w:oddHBand="1" w:evenHBand="0" w:firstRowFirstColumn="0" w:firstRowLastColumn="0" w:lastRowFirstColumn="0" w:lastRowLastColumn="0"/>
            </w:pPr>
            <w:r w:rsidRPr="00E1269B">
              <w:t>20</w:t>
            </w:r>
          </w:p>
        </w:tc>
      </w:tr>
      <w:tr w:rsidR="006F2BB8" w:rsidRPr="006F2BB8" w14:paraId="76C4B16A" w14:textId="77777777" w:rsidTr="00D12D19">
        <w:trPr>
          <w:cantSplit/>
        </w:trPr>
        <w:tc>
          <w:tcPr>
            <w:cnfStyle w:val="001000000000" w:firstRow="0" w:lastRow="0" w:firstColumn="1" w:lastColumn="0" w:oddVBand="0" w:evenVBand="0" w:oddHBand="0" w:evenHBand="0" w:firstRowFirstColumn="0" w:firstRowLastColumn="0" w:lastRowFirstColumn="0" w:lastRowLastColumn="0"/>
            <w:tcW w:w="6096" w:type="dxa"/>
            <w:tcBorders>
              <w:left w:val="nil"/>
            </w:tcBorders>
          </w:tcPr>
          <w:p w14:paraId="3D35F4BA" w14:textId="77777777" w:rsidR="006F2BB8" w:rsidRPr="00E1269B" w:rsidRDefault="006F2BB8" w:rsidP="006C2935">
            <w:pPr>
              <w:pStyle w:val="10Tabletext"/>
              <w:keepNext/>
            </w:pPr>
            <w:r w:rsidRPr="00E1269B">
              <w:t>Executive – international public sector</w:t>
            </w:r>
          </w:p>
        </w:tc>
        <w:tc>
          <w:tcPr>
            <w:tcW w:w="1269" w:type="dxa"/>
          </w:tcPr>
          <w:p w14:paraId="59FA6B0C" w14:textId="77777777" w:rsidR="006F2BB8" w:rsidRPr="00E1269B" w:rsidRDefault="006F2BB8" w:rsidP="00D12D19">
            <w:pPr>
              <w:pStyle w:val="10Tabletext"/>
              <w:keepNext/>
              <w:jc w:val="center"/>
              <w:cnfStyle w:val="000000000000" w:firstRow="0" w:lastRow="0" w:firstColumn="0" w:lastColumn="0" w:oddVBand="0" w:evenVBand="0" w:oddHBand="0" w:evenHBand="0" w:firstRowFirstColumn="0" w:firstRowLastColumn="0" w:lastRowFirstColumn="0" w:lastRowLastColumn="0"/>
            </w:pPr>
            <w:r w:rsidRPr="00E1269B">
              <w:t>8</w:t>
            </w:r>
          </w:p>
        </w:tc>
        <w:tc>
          <w:tcPr>
            <w:tcW w:w="1129" w:type="dxa"/>
            <w:tcBorders>
              <w:right w:val="nil"/>
            </w:tcBorders>
          </w:tcPr>
          <w:p w14:paraId="76E97F47" w14:textId="77777777" w:rsidR="006F2BB8" w:rsidRPr="00E1269B" w:rsidRDefault="006F2BB8" w:rsidP="00D12D19">
            <w:pPr>
              <w:pStyle w:val="10Tabletext"/>
              <w:keepNext/>
              <w:jc w:val="center"/>
              <w:cnfStyle w:val="000000000000" w:firstRow="0" w:lastRow="0" w:firstColumn="0" w:lastColumn="0" w:oddVBand="0" w:evenVBand="0" w:oddHBand="0" w:evenHBand="0" w:firstRowFirstColumn="0" w:firstRowLastColumn="0" w:lastRowFirstColumn="0" w:lastRowLastColumn="0"/>
            </w:pPr>
            <w:r w:rsidRPr="00E1269B">
              <w:t>12</w:t>
            </w:r>
          </w:p>
        </w:tc>
      </w:tr>
      <w:tr w:rsidR="006F2BB8" w:rsidRPr="006F2BB8" w14:paraId="070EAD94" w14:textId="77777777" w:rsidTr="00D12D1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096" w:type="dxa"/>
            <w:tcBorders>
              <w:left w:val="nil"/>
            </w:tcBorders>
          </w:tcPr>
          <w:p w14:paraId="72D71BA0" w14:textId="77777777" w:rsidR="006F2BB8" w:rsidRPr="00E1269B" w:rsidRDefault="006F2BB8" w:rsidP="006C2935">
            <w:pPr>
              <w:pStyle w:val="10Tabletext"/>
              <w:keepNext/>
            </w:pPr>
            <w:r w:rsidRPr="00E1269B">
              <w:t>Executive – for-profit sector in another Australian jurisdiction</w:t>
            </w:r>
          </w:p>
        </w:tc>
        <w:tc>
          <w:tcPr>
            <w:tcW w:w="1269" w:type="dxa"/>
          </w:tcPr>
          <w:p w14:paraId="414BCD86" w14:textId="77777777" w:rsidR="006F2BB8" w:rsidRPr="00E1269B" w:rsidRDefault="006F2BB8" w:rsidP="00D12D19">
            <w:pPr>
              <w:pStyle w:val="10Tabletext"/>
              <w:keepNext/>
              <w:jc w:val="center"/>
              <w:cnfStyle w:val="000000100000" w:firstRow="0" w:lastRow="0" w:firstColumn="0" w:lastColumn="0" w:oddVBand="0" w:evenVBand="0" w:oddHBand="1" w:evenHBand="0" w:firstRowFirstColumn="0" w:firstRowLastColumn="0" w:lastRowFirstColumn="0" w:lastRowLastColumn="0"/>
            </w:pPr>
            <w:r w:rsidRPr="00E1269B">
              <w:t>7</w:t>
            </w:r>
          </w:p>
        </w:tc>
        <w:tc>
          <w:tcPr>
            <w:tcW w:w="1129" w:type="dxa"/>
            <w:tcBorders>
              <w:right w:val="nil"/>
            </w:tcBorders>
          </w:tcPr>
          <w:p w14:paraId="14186606" w14:textId="77777777" w:rsidR="006F2BB8" w:rsidRPr="00E1269B" w:rsidRDefault="006F2BB8" w:rsidP="00D12D19">
            <w:pPr>
              <w:pStyle w:val="10Tabletext"/>
              <w:keepNext/>
              <w:jc w:val="center"/>
              <w:cnfStyle w:val="000000100000" w:firstRow="0" w:lastRow="0" w:firstColumn="0" w:lastColumn="0" w:oddVBand="0" w:evenVBand="0" w:oddHBand="1" w:evenHBand="0" w:firstRowFirstColumn="0" w:firstRowLastColumn="0" w:lastRowFirstColumn="0" w:lastRowLastColumn="0"/>
            </w:pPr>
            <w:r w:rsidRPr="00E1269B">
              <w:t>11</w:t>
            </w:r>
          </w:p>
        </w:tc>
      </w:tr>
      <w:tr w:rsidR="006F2BB8" w:rsidRPr="006F2BB8" w14:paraId="5D623D01" w14:textId="77777777" w:rsidTr="00D12D19">
        <w:trPr>
          <w:cantSplit/>
        </w:trPr>
        <w:tc>
          <w:tcPr>
            <w:cnfStyle w:val="001000000000" w:firstRow="0" w:lastRow="0" w:firstColumn="1" w:lastColumn="0" w:oddVBand="0" w:evenVBand="0" w:oddHBand="0" w:evenHBand="0" w:firstRowFirstColumn="0" w:firstRowLastColumn="0" w:lastRowFirstColumn="0" w:lastRowLastColumn="0"/>
            <w:tcW w:w="6096" w:type="dxa"/>
            <w:tcBorders>
              <w:left w:val="nil"/>
            </w:tcBorders>
          </w:tcPr>
          <w:p w14:paraId="5925BF7C" w14:textId="77777777" w:rsidR="006F2BB8" w:rsidRPr="00E1269B" w:rsidRDefault="006F2BB8" w:rsidP="006C2935">
            <w:pPr>
              <w:pStyle w:val="10Tabletext"/>
              <w:keepNext/>
            </w:pPr>
            <w:r w:rsidRPr="00E1269B">
              <w:t>Executive – not-for-profit sector in another Australian jurisdiction</w:t>
            </w:r>
          </w:p>
        </w:tc>
        <w:tc>
          <w:tcPr>
            <w:tcW w:w="1269" w:type="dxa"/>
          </w:tcPr>
          <w:p w14:paraId="182FE525" w14:textId="77777777" w:rsidR="006F2BB8" w:rsidRPr="00E1269B" w:rsidRDefault="006F2BB8" w:rsidP="00D12D19">
            <w:pPr>
              <w:pStyle w:val="10Tabletext"/>
              <w:keepNext/>
              <w:jc w:val="center"/>
              <w:cnfStyle w:val="000000000000" w:firstRow="0" w:lastRow="0" w:firstColumn="0" w:lastColumn="0" w:oddVBand="0" w:evenVBand="0" w:oddHBand="0" w:evenHBand="0" w:firstRowFirstColumn="0" w:firstRowLastColumn="0" w:lastRowFirstColumn="0" w:lastRowLastColumn="0"/>
            </w:pPr>
            <w:r w:rsidRPr="00E1269B">
              <w:t>7</w:t>
            </w:r>
          </w:p>
        </w:tc>
        <w:tc>
          <w:tcPr>
            <w:tcW w:w="1129" w:type="dxa"/>
            <w:tcBorders>
              <w:right w:val="nil"/>
            </w:tcBorders>
          </w:tcPr>
          <w:p w14:paraId="007681E7" w14:textId="77777777" w:rsidR="006F2BB8" w:rsidRPr="00E1269B" w:rsidRDefault="006F2BB8" w:rsidP="00D12D19">
            <w:pPr>
              <w:pStyle w:val="10Tabletext"/>
              <w:keepNext/>
              <w:jc w:val="center"/>
              <w:cnfStyle w:val="000000000000" w:firstRow="0" w:lastRow="0" w:firstColumn="0" w:lastColumn="0" w:oddVBand="0" w:evenVBand="0" w:oddHBand="0" w:evenHBand="0" w:firstRowFirstColumn="0" w:firstRowLastColumn="0" w:lastRowFirstColumn="0" w:lastRowLastColumn="0"/>
            </w:pPr>
            <w:r w:rsidRPr="00E1269B">
              <w:t>11</w:t>
            </w:r>
          </w:p>
        </w:tc>
      </w:tr>
      <w:tr w:rsidR="006F2BB8" w:rsidRPr="006F2BB8" w14:paraId="49E02861" w14:textId="77777777" w:rsidTr="00D12D1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096" w:type="dxa"/>
            <w:tcBorders>
              <w:left w:val="nil"/>
            </w:tcBorders>
          </w:tcPr>
          <w:p w14:paraId="1CCB3126" w14:textId="77777777" w:rsidR="006F2BB8" w:rsidRPr="00E1269B" w:rsidRDefault="006F2BB8" w:rsidP="006C2935">
            <w:pPr>
              <w:pStyle w:val="10Tabletext"/>
              <w:keepNext/>
            </w:pPr>
            <w:r w:rsidRPr="00E1269B">
              <w:t>Other</w:t>
            </w:r>
          </w:p>
        </w:tc>
        <w:tc>
          <w:tcPr>
            <w:tcW w:w="1269" w:type="dxa"/>
          </w:tcPr>
          <w:p w14:paraId="3A293F52" w14:textId="77777777" w:rsidR="006F2BB8" w:rsidRPr="00E1269B" w:rsidRDefault="006F2BB8" w:rsidP="00D12D19">
            <w:pPr>
              <w:pStyle w:val="10Tabletext"/>
              <w:keepNext/>
              <w:jc w:val="center"/>
              <w:cnfStyle w:val="000000100000" w:firstRow="0" w:lastRow="0" w:firstColumn="0" w:lastColumn="0" w:oddVBand="0" w:evenVBand="0" w:oddHBand="1" w:evenHBand="0" w:firstRowFirstColumn="0" w:firstRowLastColumn="0" w:lastRowFirstColumn="0" w:lastRowLastColumn="0"/>
            </w:pPr>
            <w:r w:rsidRPr="00E1269B">
              <w:t>37</w:t>
            </w:r>
          </w:p>
        </w:tc>
        <w:tc>
          <w:tcPr>
            <w:tcW w:w="1129" w:type="dxa"/>
            <w:tcBorders>
              <w:right w:val="nil"/>
            </w:tcBorders>
          </w:tcPr>
          <w:p w14:paraId="5B6EEF53" w14:textId="77777777" w:rsidR="006F2BB8" w:rsidRPr="00E1269B" w:rsidRDefault="006F2BB8" w:rsidP="00D12D19">
            <w:pPr>
              <w:pStyle w:val="10Tabletext"/>
              <w:keepNext/>
              <w:jc w:val="center"/>
              <w:cnfStyle w:val="000000100000" w:firstRow="0" w:lastRow="0" w:firstColumn="0" w:lastColumn="0" w:oddVBand="0" w:evenVBand="0" w:oddHBand="1" w:evenHBand="0" w:firstRowFirstColumn="0" w:firstRowLastColumn="0" w:lastRowFirstColumn="0" w:lastRowLastColumn="0"/>
            </w:pPr>
            <w:r w:rsidRPr="00E1269B">
              <w:t>57</w:t>
            </w:r>
          </w:p>
        </w:tc>
      </w:tr>
      <w:tr w:rsidR="006F2BB8" w:rsidRPr="006F2BB8" w14:paraId="7A360C26" w14:textId="77777777" w:rsidTr="00D12D19">
        <w:trPr>
          <w:cantSplit/>
        </w:trPr>
        <w:tc>
          <w:tcPr>
            <w:cnfStyle w:val="001000000000" w:firstRow="0" w:lastRow="0" w:firstColumn="1" w:lastColumn="0" w:oddVBand="0" w:evenVBand="0" w:oddHBand="0" w:evenHBand="0" w:firstRowFirstColumn="0" w:firstRowLastColumn="0" w:lastRowFirstColumn="0" w:lastRowLastColumn="0"/>
            <w:tcW w:w="6096" w:type="dxa"/>
            <w:tcBorders>
              <w:left w:val="nil"/>
            </w:tcBorders>
          </w:tcPr>
          <w:p w14:paraId="3779FA4A" w14:textId="54C9AF2D" w:rsidR="006F2BB8" w:rsidRPr="00E1269B" w:rsidRDefault="006F2BB8" w:rsidP="006C2935">
            <w:pPr>
              <w:pStyle w:val="10Tabletext"/>
              <w:keepNext/>
            </w:pPr>
            <w:r w:rsidRPr="00E1269B">
              <w:t>Total</w:t>
            </w:r>
            <w:r w:rsidR="007C0875" w:rsidRPr="00E1269B">
              <w:t xml:space="preserve"> respondents</w:t>
            </w:r>
          </w:p>
        </w:tc>
        <w:tc>
          <w:tcPr>
            <w:tcW w:w="1269" w:type="dxa"/>
          </w:tcPr>
          <w:p w14:paraId="5D83B5AF" w14:textId="77777777" w:rsidR="006F2BB8" w:rsidRPr="00E1269B" w:rsidRDefault="006F2BB8" w:rsidP="00D12D19">
            <w:pPr>
              <w:pStyle w:val="10Tabletext"/>
              <w:keepNext/>
              <w:jc w:val="center"/>
              <w:cnfStyle w:val="000000000000" w:firstRow="0" w:lastRow="0" w:firstColumn="0" w:lastColumn="0" w:oddVBand="0" w:evenVBand="0" w:oddHBand="0" w:evenHBand="0" w:firstRowFirstColumn="0" w:firstRowLastColumn="0" w:lastRowFirstColumn="0" w:lastRowLastColumn="0"/>
            </w:pPr>
            <w:r w:rsidRPr="00E1269B">
              <w:t>65</w:t>
            </w:r>
          </w:p>
        </w:tc>
        <w:tc>
          <w:tcPr>
            <w:tcW w:w="1129" w:type="dxa"/>
            <w:tcBorders>
              <w:right w:val="nil"/>
            </w:tcBorders>
          </w:tcPr>
          <w:p w14:paraId="20DDDB62" w14:textId="77777777" w:rsidR="006F2BB8" w:rsidRPr="00E1269B" w:rsidRDefault="006F2BB8" w:rsidP="00D12D19">
            <w:pPr>
              <w:pStyle w:val="10Tabletext"/>
              <w:keepNext/>
              <w:jc w:val="center"/>
              <w:cnfStyle w:val="000000000000" w:firstRow="0" w:lastRow="0" w:firstColumn="0" w:lastColumn="0" w:oddVBand="0" w:evenVBand="0" w:oddHBand="0" w:evenHBand="0" w:firstRowFirstColumn="0" w:firstRowLastColumn="0" w:lastRowFirstColumn="0" w:lastRowLastColumn="0"/>
            </w:pPr>
          </w:p>
        </w:tc>
      </w:tr>
      <w:tr w:rsidR="006F2BB8" w:rsidRPr="006F2BB8" w14:paraId="068C54AE" w14:textId="77777777" w:rsidTr="006F2BB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94" w:type="dxa"/>
            <w:gridSpan w:val="3"/>
            <w:tcBorders>
              <w:left w:val="nil"/>
            </w:tcBorders>
          </w:tcPr>
          <w:p w14:paraId="067D0DF0" w14:textId="77777777" w:rsidR="006F2BB8" w:rsidRPr="00E1269B" w:rsidRDefault="006F2BB8" w:rsidP="006C2935">
            <w:pPr>
              <w:pStyle w:val="10Tabletext"/>
              <w:keepNext/>
            </w:pPr>
            <w:r w:rsidRPr="00E1269B">
              <w:t>Branching logic – all responses go to Table A.15</w:t>
            </w:r>
          </w:p>
        </w:tc>
      </w:tr>
    </w:tbl>
    <w:p w14:paraId="50995C4B" w14:textId="63C88966" w:rsidR="006F2BB8" w:rsidRPr="006F2BB8" w:rsidRDefault="006F2BB8" w:rsidP="00D31BB6">
      <w:pPr>
        <w:pStyle w:val="09Sourcesandnotesfortablesfiguresboxes"/>
      </w:pPr>
      <w:r w:rsidRPr="006F2BB8">
        <w:t>Note</w:t>
      </w:r>
      <w:r w:rsidR="003B4A64">
        <w:t>s</w:t>
      </w:r>
      <w:r w:rsidRPr="006F2BB8">
        <w:t>: This question was only asked to respondents who answered ‘6 months or less’ or ‘Over 6 months and up to 1 year’ in Table A.11</w:t>
      </w:r>
      <w:r w:rsidR="00F4139A">
        <w:t>.</w:t>
      </w:r>
      <w:r w:rsidR="003B4A64">
        <w:t xml:space="preserve"> The percentages in this table exceed 100</w:t>
      </w:r>
      <w:r w:rsidR="00CA7A4B">
        <w:t xml:space="preserve"> per cent</w:t>
      </w:r>
      <w:r w:rsidR="003B4A64">
        <w:t xml:space="preserve"> as respondents were asked to select multiple options.</w:t>
      </w:r>
    </w:p>
    <w:p w14:paraId="26769538" w14:textId="30777931" w:rsidR="006F2BB8" w:rsidRPr="006F2BB8" w:rsidRDefault="006F2BB8" w:rsidP="006A3A46">
      <w:pPr>
        <w:pStyle w:val="05Paragraph"/>
      </w:pPr>
      <w:r w:rsidRPr="006F2BB8">
        <w:t xml:space="preserve">Of those that indicated they planned to stay in the VPS executive workforce for at least one year, 63 per cent said this was due to the intellectual challenge their role provides them (Table A.14). </w:t>
      </w:r>
      <w:r w:rsidR="000F6C35">
        <w:t>Around</w:t>
      </w:r>
      <w:r w:rsidRPr="006F2BB8">
        <w:t xml:space="preserve"> half indicated that their TRP was another factor influencing their decision to remain in the VPS.</w:t>
      </w:r>
    </w:p>
    <w:p w14:paraId="2E47555E" w14:textId="77777777" w:rsidR="006F2BB8" w:rsidRPr="006F2BB8" w:rsidRDefault="006F2BB8" w:rsidP="00C50C43">
      <w:pPr>
        <w:pStyle w:val="08Figuretableboxheading"/>
      </w:pPr>
      <w:bookmarkStart w:id="192" w:name="_Toc170393594"/>
      <w:r w:rsidRPr="006F2BB8">
        <w:lastRenderedPageBreak/>
        <w:t>Table A.14: Which of the following most influences your intention to stay with the VPS at executive level? Please select up to three.</w:t>
      </w:r>
      <w:bookmarkEnd w:id="192"/>
    </w:p>
    <w:tbl>
      <w:tblPr>
        <w:tblStyle w:val="ListTable3-Accent1"/>
        <w:tblW w:w="0" w:type="auto"/>
        <w:tblLayout w:type="fixed"/>
        <w:tblLook w:val="04A0" w:firstRow="1" w:lastRow="0" w:firstColumn="1" w:lastColumn="0" w:noHBand="0" w:noVBand="1"/>
      </w:tblPr>
      <w:tblGrid>
        <w:gridCol w:w="5103"/>
        <w:gridCol w:w="1695"/>
        <w:gridCol w:w="1696"/>
      </w:tblGrid>
      <w:tr w:rsidR="006F2BB8" w:rsidRPr="006F2BB8" w14:paraId="7DB73D58" w14:textId="77777777" w:rsidTr="00645D30">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5103" w:type="dxa"/>
            <w:tcBorders>
              <w:left w:val="nil"/>
              <w:bottom w:val="single" w:sz="4" w:space="0" w:color="148A5D"/>
              <w:right w:val="single" w:sz="4" w:space="0" w:color="148A5D"/>
            </w:tcBorders>
            <w:shd w:val="clear" w:color="auto" w:fill="148A5D"/>
          </w:tcPr>
          <w:p w14:paraId="5EA758B5" w14:textId="4F4D0AA2" w:rsidR="006F2BB8" w:rsidRPr="00353789" w:rsidRDefault="006F2BB8" w:rsidP="00C50C43">
            <w:pPr>
              <w:pStyle w:val="10Tabletext"/>
              <w:keepNext/>
              <w:rPr>
                <w:szCs w:val="24"/>
              </w:rPr>
            </w:pPr>
            <w:r w:rsidRPr="00353789">
              <w:t>Answer choices</w:t>
            </w:r>
          </w:p>
        </w:tc>
        <w:tc>
          <w:tcPr>
            <w:tcW w:w="3391" w:type="dxa"/>
            <w:gridSpan w:val="2"/>
            <w:tcBorders>
              <w:left w:val="single" w:sz="4" w:space="0" w:color="148A5D"/>
              <w:bottom w:val="single" w:sz="4" w:space="0" w:color="148A5D"/>
            </w:tcBorders>
            <w:shd w:val="clear" w:color="auto" w:fill="148A5D"/>
          </w:tcPr>
          <w:p w14:paraId="6DCA1C94" w14:textId="384943A5" w:rsidR="006F2BB8" w:rsidRPr="00353789" w:rsidRDefault="006F2BB8" w:rsidP="00645D30">
            <w:pPr>
              <w:pStyle w:val="10Tabletext"/>
              <w:keepNext/>
              <w:jc w:val="center"/>
              <w:cnfStyle w:val="100000000000" w:firstRow="1" w:lastRow="0" w:firstColumn="0" w:lastColumn="0" w:oddVBand="0" w:evenVBand="0" w:oddHBand="0" w:evenHBand="0" w:firstRowFirstColumn="0" w:firstRowLastColumn="0" w:lastRowFirstColumn="0" w:lastRowLastColumn="0"/>
              <w:rPr>
                <w:szCs w:val="24"/>
              </w:rPr>
            </w:pPr>
            <w:r w:rsidRPr="00353789">
              <w:t>Responses</w:t>
            </w:r>
          </w:p>
        </w:tc>
      </w:tr>
      <w:tr w:rsidR="006F2BB8" w:rsidRPr="006F2BB8" w14:paraId="48875940" w14:textId="77777777" w:rsidTr="00645D3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148A5D"/>
              <w:left w:val="nil"/>
              <w:right w:val="single" w:sz="4" w:space="0" w:color="148A5D"/>
            </w:tcBorders>
            <w:shd w:val="clear" w:color="auto" w:fill="148A5D"/>
          </w:tcPr>
          <w:p w14:paraId="20F6C332" w14:textId="77777777" w:rsidR="006F2BB8" w:rsidRPr="00353789" w:rsidRDefault="006F2BB8" w:rsidP="00C50C43">
            <w:pPr>
              <w:pStyle w:val="10Tabletext"/>
              <w:keepNext/>
              <w:rPr>
                <w:color w:val="FFFFFF" w:themeColor="background1"/>
                <w:szCs w:val="24"/>
              </w:rPr>
            </w:pPr>
          </w:p>
        </w:tc>
        <w:tc>
          <w:tcPr>
            <w:tcW w:w="1695" w:type="dxa"/>
            <w:tcBorders>
              <w:top w:val="single" w:sz="4" w:space="0" w:color="148A5D"/>
              <w:left w:val="single" w:sz="4" w:space="0" w:color="148A5D"/>
              <w:right w:val="single" w:sz="4" w:space="0" w:color="148A5D"/>
            </w:tcBorders>
            <w:shd w:val="clear" w:color="auto" w:fill="148A5D"/>
          </w:tcPr>
          <w:p w14:paraId="35AB2710" w14:textId="77777777" w:rsidR="006F2BB8" w:rsidRPr="00353789" w:rsidRDefault="006F2BB8" w:rsidP="00645D30">
            <w:pPr>
              <w:pStyle w:val="10Tabletext"/>
              <w:keepNext/>
              <w:jc w:val="center"/>
              <w:cnfStyle w:val="000000100000" w:firstRow="0" w:lastRow="0" w:firstColumn="0" w:lastColumn="0" w:oddVBand="0" w:evenVBand="0" w:oddHBand="1" w:evenHBand="0" w:firstRowFirstColumn="0" w:firstRowLastColumn="0" w:lastRowFirstColumn="0" w:lastRowLastColumn="0"/>
              <w:rPr>
                <w:b/>
                <w:bCs w:val="0"/>
                <w:color w:val="FFFFFF" w:themeColor="background1"/>
                <w:szCs w:val="24"/>
              </w:rPr>
            </w:pPr>
            <w:r w:rsidRPr="00353789">
              <w:rPr>
                <w:b/>
                <w:bCs w:val="0"/>
                <w:color w:val="FFFFFF" w:themeColor="background1"/>
                <w:szCs w:val="24"/>
              </w:rPr>
              <w:t>Number</w:t>
            </w:r>
          </w:p>
        </w:tc>
        <w:tc>
          <w:tcPr>
            <w:tcW w:w="1696" w:type="dxa"/>
            <w:tcBorders>
              <w:top w:val="single" w:sz="4" w:space="0" w:color="148A5D"/>
              <w:left w:val="single" w:sz="4" w:space="0" w:color="148A5D"/>
              <w:right w:val="nil"/>
            </w:tcBorders>
            <w:shd w:val="clear" w:color="auto" w:fill="148A5D"/>
          </w:tcPr>
          <w:p w14:paraId="020658BF" w14:textId="77777777" w:rsidR="006F2BB8" w:rsidRPr="00353789" w:rsidRDefault="006F2BB8" w:rsidP="00645D30">
            <w:pPr>
              <w:pStyle w:val="10Tabletext"/>
              <w:keepNext/>
              <w:jc w:val="center"/>
              <w:cnfStyle w:val="000000100000" w:firstRow="0" w:lastRow="0" w:firstColumn="0" w:lastColumn="0" w:oddVBand="0" w:evenVBand="0" w:oddHBand="1" w:evenHBand="0" w:firstRowFirstColumn="0" w:firstRowLastColumn="0" w:lastRowFirstColumn="0" w:lastRowLastColumn="0"/>
              <w:rPr>
                <w:b/>
                <w:bCs w:val="0"/>
                <w:color w:val="FFFFFF" w:themeColor="background1"/>
                <w:szCs w:val="24"/>
              </w:rPr>
            </w:pPr>
            <w:r w:rsidRPr="00353789">
              <w:rPr>
                <w:b/>
                <w:bCs w:val="0"/>
                <w:color w:val="FFFFFF" w:themeColor="background1"/>
                <w:szCs w:val="24"/>
              </w:rPr>
              <w:t>%</w:t>
            </w:r>
          </w:p>
        </w:tc>
      </w:tr>
      <w:tr w:rsidR="006F2BB8" w:rsidRPr="006F2BB8" w14:paraId="7F19DB67" w14:textId="77777777" w:rsidTr="00645D30">
        <w:trPr>
          <w:cantSplit/>
        </w:trPr>
        <w:tc>
          <w:tcPr>
            <w:cnfStyle w:val="001000000000" w:firstRow="0" w:lastRow="0" w:firstColumn="1" w:lastColumn="0" w:oddVBand="0" w:evenVBand="0" w:oddHBand="0" w:evenHBand="0" w:firstRowFirstColumn="0" w:firstRowLastColumn="0" w:lastRowFirstColumn="0" w:lastRowLastColumn="0"/>
            <w:tcW w:w="5103" w:type="dxa"/>
            <w:tcBorders>
              <w:left w:val="nil"/>
            </w:tcBorders>
          </w:tcPr>
          <w:p w14:paraId="0B77B922" w14:textId="77777777" w:rsidR="006F2BB8" w:rsidRPr="00353789" w:rsidRDefault="006F2BB8" w:rsidP="00C50C43">
            <w:pPr>
              <w:pStyle w:val="10Tabletext"/>
              <w:keepNext/>
            </w:pPr>
            <w:r w:rsidRPr="00353789">
              <w:t>The intellectual challenge my role provides</w:t>
            </w:r>
          </w:p>
        </w:tc>
        <w:tc>
          <w:tcPr>
            <w:tcW w:w="1695" w:type="dxa"/>
          </w:tcPr>
          <w:p w14:paraId="0B05FF68" w14:textId="77777777" w:rsidR="006F2BB8" w:rsidRPr="004B6A6C" w:rsidRDefault="006F2BB8" w:rsidP="004B6A6C">
            <w:pPr>
              <w:pStyle w:val="10Tabletext"/>
              <w:jc w:val="center"/>
              <w:cnfStyle w:val="000000000000" w:firstRow="0" w:lastRow="0" w:firstColumn="0" w:lastColumn="0" w:oddVBand="0" w:evenVBand="0" w:oddHBand="0" w:evenHBand="0" w:firstRowFirstColumn="0" w:firstRowLastColumn="0" w:lastRowFirstColumn="0" w:lastRowLastColumn="0"/>
            </w:pPr>
            <w:r w:rsidRPr="004B6A6C">
              <w:t>346</w:t>
            </w:r>
          </w:p>
        </w:tc>
        <w:tc>
          <w:tcPr>
            <w:tcW w:w="1696" w:type="dxa"/>
            <w:tcBorders>
              <w:right w:val="nil"/>
            </w:tcBorders>
          </w:tcPr>
          <w:p w14:paraId="0023F926" w14:textId="77777777" w:rsidR="006F2BB8" w:rsidRPr="004B6A6C" w:rsidRDefault="006F2BB8" w:rsidP="004B6A6C">
            <w:pPr>
              <w:pStyle w:val="10Tabletext"/>
              <w:jc w:val="center"/>
              <w:cnfStyle w:val="000000000000" w:firstRow="0" w:lastRow="0" w:firstColumn="0" w:lastColumn="0" w:oddVBand="0" w:evenVBand="0" w:oddHBand="0" w:evenHBand="0" w:firstRowFirstColumn="0" w:firstRowLastColumn="0" w:lastRowFirstColumn="0" w:lastRowLastColumn="0"/>
            </w:pPr>
            <w:r w:rsidRPr="004B6A6C">
              <w:t>63</w:t>
            </w:r>
          </w:p>
        </w:tc>
      </w:tr>
      <w:tr w:rsidR="006F2BB8" w:rsidRPr="006F2BB8" w14:paraId="7EC4EEE9" w14:textId="77777777" w:rsidTr="00645D3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103" w:type="dxa"/>
            <w:tcBorders>
              <w:left w:val="nil"/>
            </w:tcBorders>
          </w:tcPr>
          <w:p w14:paraId="1E02EBE4" w14:textId="77777777" w:rsidR="006F2BB8" w:rsidRPr="00353789" w:rsidRDefault="006F2BB8" w:rsidP="00C50C43">
            <w:pPr>
              <w:pStyle w:val="10Tabletext"/>
              <w:keepNext/>
            </w:pPr>
            <w:r w:rsidRPr="00353789">
              <w:t>Opportunity to contribute to the community</w:t>
            </w:r>
          </w:p>
        </w:tc>
        <w:tc>
          <w:tcPr>
            <w:tcW w:w="1695" w:type="dxa"/>
          </w:tcPr>
          <w:p w14:paraId="71205A39" w14:textId="77777777" w:rsidR="006F2BB8" w:rsidRPr="004B6A6C" w:rsidRDefault="006F2BB8" w:rsidP="004B6A6C">
            <w:pPr>
              <w:pStyle w:val="10Tabletext"/>
              <w:jc w:val="center"/>
              <w:cnfStyle w:val="000000100000" w:firstRow="0" w:lastRow="0" w:firstColumn="0" w:lastColumn="0" w:oddVBand="0" w:evenVBand="0" w:oddHBand="1" w:evenHBand="0" w:firstRowFirstColumn="0" w:firstRowLastColumn="0" w:lastRowFirstColumn="0" w:lastRowLastColumn="0"/>
            </w:pPr>
            <w:r w:rsidRPr="004B6A6C">
              <w:t>337</w:t>
            </w:r>
          </w:p>
        </w:tc>
        <w:tc>
          <w:tcPr>
            <w:tcW w:w="1696" w:type="dxa"/>
            <w:tcBorders>
              <w:right w:val="nil"/>
            </w:tcBorders>
          </w:tcPr>
          <w:p w14:paraId="01323918" w14:textId="77777777" w:rsidR="006F2BB8" w:rsidRPr="004B6A6C" w:rsidRDefault="006F2BB8" w:rsidP="004B6A6C">
            <w:pPr>
              <w:pStyle w:val="10Tabletext"/>
              <w:jc w:val="center"/>
              <w:cnfStyle w:val="000000100000" w:firstRow="0" w:lastRow="0" w:firstColumn="0" w:lastColumn="0" w:oddVBand="0" w:evenVBand="0" w:oddHBand="1" w:evenHBand="0" w:firstRowFirstColumn="0" w:firstRowLastColumn="0" w:lastRowFirstColumn="0" w:lastRowLastColumn="0"/>
            </w:pPr>
            <w:r w:rsidRPr="004B6A6C">
              <w:t>61</w:t>
            </w:r>
          </w:p>
        </w:tc>
      </w:tr>
      <w:tr w:rsidR="006F2BB8" w:rsidRPr="006F2BB8" w14:paraId="56F3D3A5" w14:textId="77777777" w:rsidTr="00645D30">
        <w:trPr>
          <w:cantSplit/>
        </w:trPr>
        <w:tc>
          <w:tcPr>
            <w:cnfStyle w:val="001000000000" w:firstRow="0" w:lastRow="0" w:firstColumn="1" w:lastColumn="0" w:oddVBand="0" w:evenVBand="0" w:oddHBand="0" w:evenHBand="0" w:firstRowFirstColumn="0" w:firstRowLastColumn="0" w:lastRowFirstColumn="0" w:lastRowLastColumn="0"/>
            <w:tcW w:w="5103" w:type="dxa"/>
            <w:tcBorders>
              <w:left w:val="nil"/>
            </w:tcBorders>
          </w:tcPr>
          <w:p w14:paraId="640E4C64" w14:textId="77777777" w:rsidR="006F2BB8" w:rsidRPr="00353789" w:rsidRDefault="006F2BB8" w:rsidP="00C50C43">
            <w:pPr>
              <w:pStyle w:val="10Tabletext"/>
              <w:keepNext/>
            </w:pPr>
            <w:r w:rsidRPr="00353789">
              <w:t>Total remuneration package</w:t>
            </w:r>
          </w:p>
        </w:tc>
        <w:tc>
          <w:tcPr>
            <w:tcW w:w="1695" w:type="dxa"/>
          </w:tcPr>
          <w:p w14:paraId="1395855A" w14:textId="77777777" w:rsidR="006F2BB8" w:rsidRPr="004B6A6C" w:rsidRDefault="006F2BB8" w:rsidP="004B6A6C">
            <w:pPr>
              <w:pStyle w:val="10Tabletext"/>
              <w:jc w:val="center"/>
              <w:cnfStyle w:val="000000000000" w:firstRow="0" w:lastRow="0" w:firstColumn="0" w:lastColumn="0" w:oddVBand="0" w:evenVBand="0" w:oddHBand="0" w:evenHBand="0" w:firstRowFirstColumn="0" w:firstRowLastColumn="0" w:lastRowFirstColumn="0" w:lastRowLastColumn="0"/>
            </w:pPr>
            <w:r w:rsidRPr="004B6A6C">
              <w:t>282</w:t>
            </w:r>
          </w:p>
        </w:tc>
        <w:tc>
          <w:tcPr>
            <w:tcW w:w="1696" w:type="dxa"/>
            <w:tcBorders>
              <w:right w:val="nil"/>
            </w:tcBorders>
          </w:tcPr>
          <w:p w14:paraId="6A298C2F" w14:textId="77777777" w:rsidR="006F2BB8" w:rsidRPr="004B6A6C" w:rsidRDefault="006F2BB8" w:rsidP="004B6A6C">
            <w:pPr>
              <w:pStyle w:val="10Tabletext"/>
              <w:jc w:val="center"/>
              <w:cnfStyle w:val="000000000000" w:firstRow="0" w:lastRow="0" w:firstColumn="0" w:lastColumn="0" w:oddVBand="0" w:evenVBand="0" w:oddHBand="0" w:evenHBand="0" w:firstRowFirstColumn="0" w:firstRowLastColumn="0" w:lastRowFirstColumn="0" w:lastRowLastColumn="0"/>
            </w:pPr>
            <w:r w:rsidRPr="004B6A6C">
              <w:t>51</w:t>
            </w:r>
          </w:p>
        </w:tc>
      </w:tr>
      <w:tr w:rsidR="006F2BB8" w:rsidRPr="006F2BB8" w14:paraId="2B4545FD" w14:textId="77777777" w:rsidTr="00645D3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103" w:type="dxa"/>
            <w:tcBorders>
              <w:left w:val="nil"/>
            </w:tcBorders>
          </w:tcPr>
          <w:p w14:paraId="630B4259" w14:textId="77777777" w:rsidR="006F2BB8" w:rsidRPr="00353789" w:rsidRDefault="006F2BB8" w:rsidP="00C50C43">
            <w:pPr>
              <w:pStyle w:val="10Tabletext"/>
              <w:keepNext/>
            </w:pPr>
            <w:r w:rsidRPr="00353789">
              <w:t>My team or other colleagues</w:t>
            </w:r>
          </w:p>
        </w:tc>
        <w:tc>
          <w:tcPr>
            <w:tcW w:w="1695" w:type="dxa"/>
          </w:tcPr>
          <w:p w14:paraId="41FD2F44" w14:textId="77777777" w:rsidR="006F2BB8" w:rsidRPr="004B6A6C" w:rsidRDefault="006F2BB8" w:rsidP="004B6A6C">
            <w:pPr>
              <w:pStyle w:val="10Tabletext"/>
              <w:jc w:val="center"/>
              <w:cnfStyle w:val="000000100000" w:firstRow="0" w:lastRow="0" w:firstColumn="0" w:lastColumn="0" w:oddVBand="0" w:evenVBand="0" w:oddHBand="1" w:evenHBand="0" w:firstRowFirstColumn="0" w:firstRowLastColumn="0" w:lastRowFirstColumn="0" w:lastRowLastColumn="0"/>
            </w:pPr>
            <w:r w:rsidRPr="004B6A6C">
              <w:t>245</w:t>
            </w:r>
          </w:p>
        </w:tc>
        <w:tc>
          <w:tcPr>
            <w:tcW w:w="1696" w:type="dxa"/>
            <w:tcBorders>
              <w:right w:val="nil"/>
            </w:tcBorders>
          </w:tcPr>
          <w:p w14:paraId="290B22DD" w14:textId="77777777" w:rsidR="006F2BB8" w:rsidRPr="004B6A6C" w:rsidRDefault="006F2BB8" w:rsidP="004B6A6C">
            <w:pPr>
              <w:pStyle w:val="10Tabletext"/>
              <w:jc w:val="center"/>
              <w:cnfStyle w:val="000000100000" w:firstRow="0" w:lastRow="0" w:firstColumn="0" w:lastColumn="0" w:oddVBand="0" w:evenVBand="0" w:oddHBand="1" w:evenHBand="0" w:firstRowFirstColumn="0" w:firstRowLastColumn="0" w:lastRowFirstColumn="0" w:lastRowLastColumn="0"/>
            </w:pPr>
            <w:r w:rsidRPr="004B6A6C">
              <w:t>44</w:t>
            </w:r>
          </w:p>
        </w:tc>
      </w:tr>
      <w:tr w:rsidR="006F2BB8" w:rsidRPr="006F2BB8" w14:paraId="7A2EF10B" w14:textId="77777777" w:rsidTr="00645D30">
        <w:trPr>
          <w:cantSplit/>
        </w:trPr>
        <w:tc>
          <w:tcPr>
            <w:cnfStyle w:val="001000000000" w:firstRow="0" w:lastRow="0" w:firstColumn="1" w:lastColumn="0" w:oddVBand="0" w:evenVBand="0" w:oddHBand="0" w:evenHBand="0" w:firstRowFirstColumn="0" w:firstRowLastColumn="0" w:lastRowFirstColumn="0" w:lastRowLastColumn="0"/>
            <w:tcW w:w="5103" w:type="dxa"/>
            <w:tcBorders>
              <w:left w:val="nil"/>
            </w:tcBorders>
          </w:tcPr>
          <w:p w14:paraId="1B9ABC40" w14:textId="77777777" w:rsidR="006F2BB8" w:rsidRPr="00353789" w:rsidRDefault="006F2BB8" w:rsidP="00C50C43">
            <w:pPr>
              <w:pStyle w:val="10Tabletext"/>
              <w:keepNext/>
            </w:pPr>
            <w:r w:rsidRPr="00353789">
              <w:t>Access to hybrid work</w:t>
            </w:r>
          </w:p>
        </w:tc>
        <w:tc>
          <w:tcPr>
            <w:tcW w:w="1695" w:type="dxa"/>
          </w:tcPr>
          <w:p w14:paraId="1A34A5B7" w14:textId="77777777" w:rsidR="006F2BB8" w:rsidRPr="004B6A6C" w:rsidRDefault="006F2BB8" w:rsidP="004B6A6C">
            <w:pPr>
              <w:pStyle w:val="10Tabletext"/>
              <w:jc w:val="center"/>
              <w:cnfStyle w:val="000000000000" w:firstRow="0" w:lastRow="0" w:firstColumn="0" w:lastColumn="0" w:oddVBand="0" w:evenVBand="0" w:oddHBand="0" w:evenHBand="0" w:firstRowFirstColumn="0" w:firstRowLastColumn="0" w:lastRowFirstColumn="0" w:lastRowLastColumn="0"/>
            </w:pPr>
            <w:r w:rsidRPr="004B6A6C">
              <w:t>134</w:t>
            </w:r>
          </w:p>
        </w:tc>
        <w:tc>
          <w:tcPr>
            <w:tcW w:w="1696" w:type="dxa"/>
            <w:tcBorders>
              <w:right w:val="nil"/>
            </w:tcBorders>
          </w:tcPr>
          <w:p w14:paraId="70C61560" w14:textId="77777777" w:rsidR="006F2BB8" w:rsidRPr="004B6A6C" w:rsidRDefault="006F2BB8" w:rsidP="004B6A6C">
            <w:pPr>
              <w:pStyle w:val="10Tabletext"/>
              <w:jc w:val="center"/>
              <w:cnfStyle w:val="000000000000" w:firstRow="0" w:lastRow="0" w:firstColumn="0" w:lastColumn="0" w:oddVBand="0" w:evenVBand="0" w:oddHBand="0" w:evenHBand="0" w:firstRowFirstColumn="0" w:firstRowLastColumn="0" w:lastRowFirstColumn="0" w:lastRowLastColumn="0"/>
            </w:pPr>
            <w:r w:rsidRPr="004B6A6C">
              <w:t>24</w:t>
            </w:r>
          </w:p>
        </w:tc>
      </w:tr>
      <w:tr w:rsidR="006F2BB8" w:rsidRPr="006F2BB8" w14:paraId="15DA9958" w14:textId="77777777" w:rsidTr="00645D3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103" w:type="dxa"/>
            <w:tcBorders>
              <w:left w:val="nil"/>
            </w:tcBorders>
          </w:tcPr>
          <w:p w14:paraId="75E225DC" w14:textId="77777777" w:rsidR="006F2BB8" w:rsidRPr="00353789" w:rsidRDefault="006F2BB8" w:rsidP="00C50C43">
            <w:pPr>
              <w:pStyle w:val="10Tabletext"/>
              <w:keepNext/>
            </w:pPr>
            <w:r w:rsidRPr="00353789">
              <w:t>Access to other flexible work arrangements</w:t>
            </w:r>
          </w:p>
        </w:tc>
        <w:tc>
          <w:tcPr>
            <w:tcW w:w="1695" w:type="dxa"/>
          </w:tcPr>
          <w:p w14:paraId="7FD3544A" w14:textId="77777777" w:rsidR="006F2BB8" w:rsidRPr="004B6A6C" w:rsidRDefault="006F2BB8" w:rsidP="004B6A6C">
            <w:pPr>
              <w:pStyle w:val="10Tabletext"/>
              <w:jc w:val="center"/>
              <w:cnfStyle w:val="000000100000" w:firstRow="0" w:lastRow="0" w:firstColumn="0" w:lastColumn="0" w:oddVBand="0" w:evenVBand="0" w:oddHBand="1" w:evenHBand="0" w:firstRowFirstColumn="0" w:firstRowLastColumn="0" w:lastRowFirstColumn="0" w:lastRowLastColumn="0"/>
            </w:pPr>
            <w:r w:rsidRPr="004B6A6C">
              <w:t>116</w:t>
            </w:r>
          </w:p>
        </w:tc>
        <w:tc>
          <w:tcPr>
            <w:tcW w:w="1696" w:type="dxa"/>
            <w:tcBorders>
              <w:right w:val="nil"/>
            </w:tcBorders>
          </w:tcPr>
          <w:p w14:paraId="6955A652" w14:textId="77777777" w:rsidR="006F2BB8" w:rsidRPr="004B6A6C" w:rsidRDefault="006F2BB8" w:rsidP="004B6A6C">
            <w:pPr>
              <w:pStyle w:val="10Tabletext"/>
              <w:jc w:val="center"/>
              <w:cnfStyle w:val="000000100000" w:firstRow="0" w:lastRow="0" w:firstColumn="0" w:lastColumn="0" w:oddVBand="0" w:evenVBand="0" w:oddHBand="1" w:evenHBand="0" w:firstRowFirstColumn="0" w:firstRowLastColumn="0" w:lastRowFirstColumn="0" w:lastRowLastColumn="0"/>
            </w:pPr>
            <w:r w:rsidRPr="004B6A6C">
              <w:t>21</w:t>
            </w:r>
          </w:p>
        </w:tc>
      </w:tr>
      <w:tr w:rsidR="006F2BB8" w:rsidRPr="006F2BB8" w14:paraId="31039BA7" w14:textId="77777777" w:rsidTr="00645D30">
        <w:trPr>
          <w:cantSplit/>
        </w:trPr>
        <w:tc>
          <w:tcPr>
            <w:cnfStyle w:val="001000000000" w:firstRow="0" w:lastRow="0" w:firstColumn="1" w:lastColumn="0" w:oddVBand="0" w:evenVBand="0" w:oddHBand="0" w:evenHBand="0" w:firstRowFirstColumn="0" w:firstRowLastColumn="0" w:lastRowFirstColumn="0" w:lastRowLastColumn="0"/>
            <w:tcW w:w="5103" w:type="dxa"/>
            <w:tcBorders>
              <w:left w:val="nil"/>
            </w:tcBorders>
          </w:tcPr>
          <w:p w14:paraId="7E397A9D" w14:textId="77777777" w:rsidR="006F2BB8" w:rsidRPr="00353789" w:rsidRDefault="006F2BB8" w:rsidP="00C50C43">
            <w:pPr>
              <w:pStyle w:val="10Tabletext"/>
              <w:keepNext/>
            </w:pPr>
            <w:r w:rsidRPr="00353789">
              <w:t>Career prestige or advancement</w:t>
            </w:r>
          </w:p>
        </w:tc>
        <w:tc>
          <w:tcPr>
            <w:tcW w:w="1695" w:type="dxa"/>
          </w:tcPr>
          <w:p w14:paraId="7E21DB55" w14:textId="77777777" w:rsidR="006F2BB8" w:rsidRPr="004B6A6C" w:rsidRDefault="006F2BB8" w:rsidP="004B6A6C">
            <w:pPr>
              <w:pStyle w:val="10Tabletext"/>
              <w:jc w:val="center"/>
              <w:cnfStyle w:val="000000000000" w:firstRow="0" w:lastRow="0" w:firstColumn="0" w:lastColumn="0" w:oddVBand="0" w:evenVBand="0" w:oddHBand="0" w:evenHBand="0" w:firstRowFirstColumn="0" w:firstRowLastColumn="0" w:lastRowFirstColumn="0" w:lastRowLastColumn="0"/>
            </w:pPr>
            <w:r w:rsidRPr="004B6A6C">
              <w:t>87</w:t>
            </w:r>
          </w:p>
        </w:tc>
        <w:tc>
          <w:tcPr>
            <w:tcW w:w="1696" w:type="dxa"/>
            <w:tcBorders>
              <w:right w:val="nil"/>
            </w:tcBorders>
          </w:tcPr>
          <w:p w14:paraId="73E84748" w14:textId="77777777" w:rsidR="006F2BB8" w:rsidRPr="004B6A6C" w:rsidRDefault="006F2BB8" w:rsidP="004B6A6C">
            <w:pPr>
              <w:pStyle w:val="10Tabletext"/>
              <w:jc w:val="center"/>
              <w:cnfStyle w:val="000000000000" w:firstRow="0" w:lastRow="0" w:firstColumn="0" w:lastColumn="0" w:oddVBand="0" w:evenVBand="0" w:oddHBand="0" w:evenHBand="0" w:firstRowFirstColumn="0" w:firstRowLastColumn="0" w:lastRowFirstColumn="0" w:lastRowLastColumn="0"/>
            </w:pPr>
            <w:r w:rsidRPr="004B6A6C">
              <w:t>16</w:t>
            </w:r>
          </w:p>
        </w:tc>
      </w:tr>
      <w:tr w:rsidR="006F2BB8" w:rsidRPr="006F2BB8" w14:paraId="3EF1FDBF" w14:textId="77777777" w:rsidTr="00645D3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103" w:type="dxa"/>
            <w:tcBorders>
              <w:left w:val="nil"/>
            </w:tcBorders>
          </w:tcPr>
          <w:p w14:paraId="7277314D" w14:textId="77777777" w:rsidR="006F2BB8" w:rsidRPr="00353789" w:rsidRDefault="006F2BB8" w:rsidP="00C50C43">
            <w:pPr>
              <w:pStyle w:val="10Tabletext"/>
              <w:keepNext/>
            </w:pPr>
            <w:r w:rsidRPr="00353789">
              <w:t>Contract length</w:t>
            </w:r>
          </w:p>
        </w:tc>
        <w:tc>
          <w:tcPr>
            <w:tcW w:w="1695" w:type="dxa"/>
          </w:tcPr>
          <w:p w14:paraId="61AB5CCB" w14:textId="77777777" w:rsidR="006F2BB8" w:rsidRPr="004B6A6C" w:rsidRDefault="006F2BB8" w:rsidP="004B6A6C">
            <w:pPr>
              <w:pStyle w:val="10Tabletext"/>
              <w:jc w:val="center"/>
              <w:cnfStyle w:val="000000100000" w:firstRow="0" w:lastRow="0" w:firstColumn="0" w:lastColumn="0" w:oddVBand="0" w:evenVBand="0" w:oddHBand="1" w:evenHBand="0" w:firstRowFirstColumn="0" w:firstRowLastColumn="0" w:lastRowFirstColumn="0" w:lastRowLastColumn="0"/>
            </w:pPr>
            <w:r w:rsidRPr="004B6A6C">
              <w:t>70</w:t>
            </w:r>
          </w:p>
        </w:tc>
        <w:tc>
          <w:tcPr>
            <w:tcW w:w="1696" w:type="dxa"/>
            <w:tcBorders>
              <w:right w:val="nil"/>
            </w:tcBorders>
          </w:tcPr>
          <w:p w14:paraId="0613C179" w14:textId="77777777" w:rsidR="006F2BB8" w:rsidRPr="004B6A6C" w:rsidRDefault="006F2BB8" w:rsidP="004B6A6C">
            <w:pPr>
              <w:pStyle w:val="10Tabletext"/>
              <w:jc w:val="center"/>
              <w:cnfStyle w:val="000000100000" w:firstRow="0" w:lastRow="0" w:firstColumn="0" w:lastColumn="0" w:oddVBand="0" w:evenVBand="0" w:oddHBand="1" w:evenHBand="0" w:firstRowFirstColumn="0" w:firstRowLastColumn="0" w:lastRowFirstColumn="0" w:lastRowLastColumn="0"/>
            </w:pPr>
            <w:r w:rsidRPr="004B6A6C">
              <w:t>13</w:t>
            </w:r>
          </w:p>
        </w:tc>
      </w:tr>
      <w:tr w:rsidR="006F2BB8" w:rsidRPr="006F2BB8" w14:paraId="32A4ED1D" w14:textId="77777777" w:rsidTr="00645D30">
        <w:trPr>
          <w:cantSplit/>
        </w:trPr>
        <w:tc>
          <w:tcPr>
            <w:cnfStyle w:val="001000000000" w:firstRow="0" w:lastRow="0" w:firstColumn="1" w:lastColumn="0" w:oddVBand="0" w:evenVBand="0" w:oddHBand="0" w:evenHBand="0" w:firstRowFirstColumn="0" w:firstRowLastColumn="0" w:lastRowFirstColumn="0" w:lastRowLastColumn="0"/>
            <w:tcW w:w="5103" w:type="dxa"/>
            <w:tcBorders>
              <w:left w:val="nil"/>
            </w:tcBorders>
          </w:tcPr>
          <w:p w14:paraId="64A06A77" w14:textId="77777777" w:rsidR="006F2BB8" w:rsidRPr="00353789" w:rsidRDefault="006F2BB8" w:rsidP="00C50C43">
            <w:pPr>
              <w:pStyle w:val="10Tabletext"/>
              <w:keepNext/>
            </w:pPr>
            <w:r w:rsidRPr="00353789">
              <w:t>Level of workload</w:t>
            </w:r>
          </w:p>
        </w:tc>
        <w:tc>
          <w:tcPr>
            <w:tcW w:w="1695" w:type="dxa"/>
          </w:tcPr>
          <w:p w14:paraId="79214E83" w14:textId="77777777" w:rsidR="006F2BB8" w:rsidRPr="004B6A6C" w:rsidRDefault="006F2BB8" w:rsidP="004B6A6C">
            <w:pPr>
              <w:pStyle w:val="10Tabletext"/>
              <w:jc w:val="center"/>
              <w:cnfStyle w:val="000000000000" w:firstRow="0" w:lastRow="0" w:firstColumn="0" w:lastColumn="0" w:oddVBand="0" w:evenVBand="0" w:oddHBand="0" w:evenHBand="0" w:firstRowFirstColumn="0" w:firstRowLastColumn="0" w:lastRowFirstColumn="0" w:lastRowLastColumn="0"/>
            </w:pPr>
            <w:r w:rsidRPr="004B6A6C">
              <w:t>59</w:t>
            </w:r>
          </w:p>
        </w:tc>
        <w:tc>
          <w:tcPr>
            <w:tcW w:w="1696" w:type="dxa"/>
            <w:tcBorders>
              <w:right w:val="nil"/>
            </w:tcBorders>
          </w:tcPr>
          <w:p w14:paraId="0DCDFE64" w14:textId="77777777" w:rsidR="006F2BB8" w:rsidRPr="004B6A6C" w:rsidRDefault="006F2BB8" w:rsidP="004B6A6C">
            <w:pPr>
              <w:pStyle w:val="10Tabletext"/>
              <w:jc w:val="center"/>
              <w:cnfStyle w:val="000000000000" w:firstRow="0" w:lastRow="0" w:firstColumn="0" w:lastColumn="0" w:oddVBand="0" w:evenVBand="0" w:oddHBand="0" w:evenHBand="0" w:firstRowFirstColumn="0" w:firstRowLastColumn="0" w:lastRowFirstColumn="0" w:lastRowLastColumn="0"/>
            </w:pPr>
            <w:r w:rsidRPr="004B6A6C">
              <w:t>11</w:t>
            </w:r>
          </w:p>
        </w:tc>
      </w:tr>
      <w:tr w:rsidR="006F2BB8" w:rsidRPr="006F2BB8" w14:paraId="47C826F2" w14:textId="77777777" w:rsidTr="00645D3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103" w:type="dxa"/>
            <w:tcBorders>
              <w:left w:val="nil"/>
            </w:tcBorders>
          </w:tcPr>
          <w:p w14:paraId="7C294082" w14:textId="77777777" w:rsidR="006F2BB8" w:rsidRPr="00353789" w:rsidRDefault="006F2BB8" w:rsidP="00C50C43">
            <w:pPr>
              <w:pStyle w:val="10Tabletext"/>
              <w:keepNext/>
            </w:pPr>
            <w:r w:rsidRPr="00353789">
              <w:t>Other</w:t>
            </w:r>
          </w:p>
        </w:tc>
        <w:tc>
          <w:tcPr>
            <w:tcW w:w="1695" w:type="dxa"/>
          </w:tcPr>
          <w:p w14:paraId="559CA64C" w14:textId="77777777" w:rsidR="006F2BB8" w:rsidRPr="004B6A6C" w:rsidRDefault="006F2BB8" w:rsidP="004B6A6C">
            <w:pPr>
              <w:pStyle w:val="10Tabletext"/>
              <w:jc w:val="center"/>
              <w:cnfStyle w:val="000000100000" w:firstRow="0" w:lastRow="0" w:firstColumn="0" w:lastColumn="0" w:oddVBand="0" w:evenVBand="0" w:oddHBand="1" w:evenHBand="0" w:firstRowFirstColumn="0" w:firstRowLastColumn="0" w:lastRowFirstColumn="0" w:lastRowLastColumn="0"/>
            </w:pPr>
            <w:r w:rsidRPr="004B6A6C">
              <w:t>201</w:t>
            </w:r>
          </w:p>
        </w:tc>
        <w:tc>
          <w:tcPr>
            <w:tcW w:w="1696" w:type="dxa"/>
            <w:tcBorders>
              <w:right w:val="nil"/>
            </w:tcBorders>
          </w:tcPr>
          <w:p w14:paraId="75A4A12D" w14:textId="77777777" w:rsidR="006F2BB8" w:rsidRPr="004B6A6C" w:rsidRDefault="006F2BB8" w:rsidP="004B6A6C">
            <w:pPr>
              <w:pStyle w:val="10Tabletext"/>
              <w:jc w:val="center"/>
              <w:cnfStyle w:val="000000100000" w:firstRow="0" w:lastRow="0" w:firstColumn="0" w:lastColumn="0" w:oddVBand="0" w:evenVBand="0" w:oddHBand="1" w:evenHBand="0" w:firstRowFirstColumn="0" w:firstRowLastColumn="0" w:lastRowFirstColumn="0" w:lastRowLastColumn="0"/>
            </w:pPr>
            <w:r w:rsidRPr="004B6A6C">
              <w:t>36</w:t>
            </w:r>
          </w:p>
        </w:tc>
      </w:tr>
      <w:tr w:rsidR="006F2BB8" w:rsidRPr="006F2BB8" w14:paraId="1C1B4D57" w14:textId="77777777" w:rsidTr="00645D30">
        <w:trPr>
          <w:cantSplit/>
        </w:trPr>
        <w:tc>
          <w:tcPr>
            <w:cnfStyle w:val="001000000000" w:firstRow="0" w:lastRow="0" w:firstColumn="1" w:lastColumn="0" w:oddVBand="0" w:evenVBand="0" w:oddHBand="0" w:evenHBand="0" w:firstRowFirstColumn="0" w:firstRowLastColumn="0" w:lastRowFirstColumn="0" w:lastRowLastColumn="0"/>
            <w:tcW w:w="5103" w:type="dxa"/>
            <w:tcBorders>
              <w:left w:val="nil"/>
            </w:tcBorders>
          </w:tcPr>
          <w:p w14:paraId="648AE575" w14:textId="0EDCD60D" w:rsidR="006F2BB8" w:rsidRPr="00353789" w:rsidRDefault="006F2BB8" w:rsidP="00353789">
            <w:pPr>
              <w:pStyle w:val="10Tabletext"/>
            </w:pPr>
            <w:r w:rsidRPr="00353789">
              <w:t>Total</w:t>
            </w:r>
            <w:r w:rsidR="00704D11" w:rsidRPr="00353789">
              <w:t xml:space="preserve"> respondents</w:t>
            </w:r>
          </w:p>
        </w:tc>
        <w:tc>
          <w:tcPr>
            <w:tcW w:w="1695" w:type="dxa"/>
          </w:tcPr>
          <w:p w14:paraId="3F91A7A6" w14:textId="77777777" w:rsidR="006F2BB8" w:rsidRPr="004B6A6C" w:rsidRDefault="006F2BB8" w:rsidP="004B6A6C">
            <w:pPr>
              <w:pStyle w:val="10Tabletext"/>
              <w:jc w:val="center"/>
              <w:cnfStyle w:val="000000000000" w:firstRow="0" w:lastRow="0" w:firstColumn="0" w:lastColumn="0" w:oddVBand="0" w:evenVBand="0" w:oddHBand="0" w:evenHBand="0" w:firstRowFirstColumn="0" w:firstRowLastColumn="0" w:lastRowFirstColumn="0" w:lastRowLastColumn="0"/>
            </w:pPr>
            <w:r w:rsidRPr="004B6A6C">
              <w:t>553</w:t>
            </w:r>
          </w:p>
        </w:tc>
        <w:tc>
          <w:tcPr>
            <w:tcW w:w="1696" w:type="dxa"/>
            <w:tcBorders>
              <w:right w:val="nil"/>
            </w:tcBorders>
          </w:tcPr>
          <w:p w14:paraId="51D96598" w14:textId="77777777" w:rsidR="006F2BB8" w:rsidRPr="004B6A6C" w:rsidRDefault="006F2BB8" w:rsidP="004B6A6C">
            <w:pPr>
              <w:pStyle w:val="10Tabletext"/>
              <w:jc w:val="center"/>
              <w:cnfStyle w:val="000000000000" w:firstRow="0" w:lastRow="0" w:firstColumn="0" w:lastColumn="0" w:oddVBand="0" w:evenVBand="0" w:oddHBand="0" w:evenHBand="0" w:firstRowFirstColumn="0" w:firstRowLastColumn="0" w:lastRowFirstColumn="0" w:lastRowLastColumn="0"/>
            </w:pPr>
          </w:p>
        </w:tc>
      </w:tr>
    </w:tbl>
    <w:p w14:paraId="5E72C344" w14:textId="4A3CBC5F" w:rsidR="006F2BB8" w:rsidRPr="006F2BB8" w:rsidRDefault="006F2BB8" w:rsidP="00E41257">
      <w:pPr>
        <w:pStyle w:val="09Sourcesandnotesfortablesfiguresboxes"/>
        <w:spacing w:after="180"/>
        <w:ind w:right="-147"/>
      </w:pPr>
      <w:r w:rsidRPr="006F2BB8">
        <w:t>Note</w:t>
      </w:r>
      <w:r w:rsidR="00704D11">
        <w:t>s</w:t>
      </w:r>
      <w:r w:rsidRPr="006F2BB8">
        <w:t>: This question was only asked to respondents who answered ‘Over 1 year and up to 3 years’, ‘Over 3 years and up to 5 years’ or ‘Over 5 years’ in Table A.11</w:t>
      </w:r>
      <w:r w:rsidR="00A47EE9">
        <w:t>.</w:t>
      </w:r>
      <w:r w:rsidR="00704D11">
        <w:t xml:space="preserve"> The percentages in this table exceed 100</w:t>
      </w:r>
      <w:r w:rsidR="00A47EE9">
        <w:t xml:space="preserve"> per cent</w:t>
      </w:r>
      <w:r w:rsidR="00704D11">
        <w:t xml:space="preserve"> as respondents were asked to select multiple options.</w:t>
      </w:r>
    </w:p>
    <w:p w14:paraId="73B9FE89" w14:textId="77777777" w:rsidR="006F2BB8" w:rsidRPr="006F2BB8" w:rsidRDefault="006F2BB8" w:rsidP="00F845CE">
      <w:pPr>
        <w:pStyle w:val="03VIRTHeading3"/>
        <w:spacing w:before="180" w:after="180"/>
      </w:pPr>
      <w:r w:rsidRPr="006F2BB8">
        <w:t>Attracting and retaining VPS executives</w:t>
      </w:r>
    </w:p>
    <w:p w14:paraId="4166D11E" w14:textId="6ECAC8F9" w:rsidR="006F2BB8" w:rsidRPr="006F2BB8" w:rsidRDefault="006F2BB8" w:rsidP="006A3A46">
      <w:pPr>
        <w:pStyle w:val="05Paragraph"/>
      </w:pPr>
      <w:r w:rsidRPr="006F2BB8">
        <w:t xml:space="preserve">Respondents were asked if they were involved specifically in recruiting VPS executives (Table A.15). Those that answered ‘no’ skipped the seven questions in </w:t>
      </w:r>
      <w:r w:rsidR="00F52F51">
        <w:t>T</w:t>
      </w:r>
      <w:r w:rsidRPr="006F2BB8">
        <w:t>ables A.16 to A.22.</w:t>
      </w:r>
    </w:p>
    <w:p w14:paraId="207155C6" w14:textId="77777777" w:rsidR="006F2BB8" w:rsidRPr="006F2BB8" w:rsidRDefault="006F2BB8" w:rsidP="00F845CE">
      <w:pPr>
        <w:pStyle w:val="08Figuretableboxheading"/>
        <w:spacing w:before="120"/>
      </w:pPr>
      <w:bookmarkStart w:id="193" w:name="_Toc170393595"/>
      <w:r w:rsidRPr="006F2BB8">
        <w:t>Table A.15: Are you involved in recruiting VPS executives?</w:t>
      </w:r>
      <w:bookmarkEnd w:id="193"/>
    </w:p>
    <w:tbl>
      <w:tblPr>
        <w:tblStyle w:val="ListTable3-Accent1"/>
        <w:tblW w:w="0" w:type="auto"/>
        <w:tblLayout w:type="fixed"/>
        <w:tblLook w:val="04A0" w:firstRow="1" w:lastRow="0" w:firstColumn="1" w:lastColumn="0" w:noHBand="0" w:noVBand="1"/>
      </w:tblPr>
      <w:tblGrid>
        <w:gridCol w:w="2694"/>
        <w:gridCol w:w="2551"/>
        <w:gridCol w:w="1624"/>
        <w:gridCol w:w="1625"/>
      </w:tblGrid>
      <w:tr w:rsidR="006F2BB8" w:rsidRPr="006F2BB8" w14:paraId="087151F8" w14:textId="77777777" w:rsidTr="004B6A6C">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2694" w:type="dxa"/>
            <w:tcBorders>
              <w:top w:val="single" w:sz="4" w:space="0" w:color="26664E"/>
              <w:left w:val="nil"/>
              <w:bottom w:val="single" w:sz="4" w:space="0" w:color="148A5D"/>
              <w:right w:val="single" w:sz="4" w:space="0" w:color="148A5D"/>
            </w:tcBorders>
            <w:shd w:val="clear" w:color="auto" w:fill="148A5D"/>
          </w:tcPr>
          <w:p w14:paraId="36F459A8" w14:textId="77777777" w:rsidR="006F2BB8" w:rsidRPr="00326809" w:rsidRDefault="006F2BB8" w:rsidP="00326809">
            <w:pPr>
              <w:pStyle w:val="10Tabletext"/>
            </w:pPr>
            <w:r w:rsidRPr="00326809">
              <w:t>Answer choices</w:t>
            </w:r>
          </w:p>
        </w:tc>
        <w:tc>
          <w:tcPr>
            <w:tcW w:w="2551" w:type="dxa"/>
            <w:tcBorders>
              <w:top w:val="single" w:sz="4" w:space="0" w:color="26664E"/>
              <w:left w:val="single" w:sz="4" w:space="0" w:color="148A5D"/>
              <w:bottom w:val="single" w:sz="4" w:space="0" w:color="148A5D"/>
              <w:right w:val="single" w:sz="4" w:space="0" w:color="148A5D"/>
            </w:tcBorders>
            <w:shd w:val="clear" w:color="auto" w:fill="148A5D"/>
          </w:tcPr>
          <w:p w14:paraId="57205BDF" w14:textId="77777777" w:rsidR="006F2BB8" w:rsidRPr="00326809" w:rsidRDefault="006F2BB8" w:rsidP="00326809">
            <w:pPr>
              <w:pStyle w:val="10Tabletext"/>
              <w:cnfStyle w:val="100000000000" w:firstRow="1" w:lastRow="0" w:firstColumn="0" w:lastColumn="0" w:oddVBand="0" w:evenVBand="0" w:oddHBand="0" w:evenHBand="0" w:firstRowFirstColumn="0" w:firstRowLastColumn="0" w:lastRowFirstColumn="0" w:lastRowLastColumn="0"/>
            </w:pPr>
            <w:r w:rsidRPr="00326809">
              <w:t>Branching logic</w:t>
            </w:r>
          </w:p>
        </w:tc>
        <w:tc>
          <w:tcPr>
            <w:tcW w:w="3249" w:type="dxa"/>
            <w:gridSpan w:val="2"/>
            <w:tcBorders>
              <w:top w:val="single" w:sz="4" w:space="0" w:color="26664E"/>
              <w:left w:val="single" w:sz="4" w:space="0" w:color="148A5D"/>
              <w:right w:val="nil"/>
            </w:tcBorders>
            <w:shd w:val="clear" w:color="auto" w:fill="148A5D"/>
          </w:tcPr>
          <w:p w14:paraId="0F714BB0" w14:textId="77777777" w:rsidR="006F2BB8" w:rsidRPr="00326809" w:rsidRDefault="006F2BB8" w:rsidP="00636BFA">
            <w:pPr>
              <w:pStyle w:val="10Tabletext"/>
              <w:jc w:val="center"/>
              <w:cnfStyle w:val="100000000000" w:firstRow="1" w:lastRow="0" w:firstColumn="0" w:lastColumn="0" w:oddVBand="0" w:evenVBand="0" w:oddHBand="0" w:evenHBand="0" w:firstRowFirstColumn="0" w:firstRowLastColumn="0" w:lastRowFirstColumn="0" w:lastRowLastColumn="0"/>
            </w:pPr>
            <w:r w:rsidRPr="00326809">
              <w:t>Responses</w:t>
            </w:r>
          </w:p>
        </w:tc>
      </w:tr>
      <w:tr w:rsidR="006F2BB8" w:rsidRPr="006F2BB8" w14:paraId="10B7F198" w14:textId="77777777" w:rsidTr="004B6A6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148A5D"/>
              <w:left w:val="nil"/>
              <w:right w:val="single" w:sz="4" w:space="0" w:color="148A5D"/>
            </w:tcBorders>
            <w:shd w:val="clear" w:color="auto" w:fill="148A5D"/>
          </w:tcPr>
          <w:p w14:paraId="7E623EF4" w14:textId="77777777" w:rsidR="006F2BB8" w:rsidRPr="00326809" w:rsidRDefault="006F2BB8" w:rsidP="00326809">
            <w:pPr>
              <w:pStyle w:val="10Tabletext"/>
              <w:rPr>
                <w:color w:val="FFFFFF" w:themeColor="background1"/>
              </w:rPr>
            </w:pPr>
          </w:p>
        </w:tc>
        <w:tc>
          <w:tcPr>
            <w:tcW w:w="2551" w:type="dxa"/>
            <w:tcBorders>
              <w:top w:val="single" w:sz="4" w:space="0" w:color="148A5D"/>
              <w:left w:val="single" w:sz="4" w:space="0" w:color="148A5D"/>
              <w:right w:val="single" w:sz="4" w:space="0" w:color="148A5D"/>
            </w:tcBorders>
            <w:shd w:val="clear" w:color="auto" w:fill="148A5D"/>
          </w:tcPr>
          <w:p w14:paraId="1A1608C2" w14:textId="77777777" w:rsidR="006F2BB8" w:rsidRPr="00326809" w:rsidRDefault="006F2BB8" w:rsidP="00326809">
            <w:pPr>
              <w:pStyle w:val="10Tabletext"/>
              <w:cnfStyle w:val="000000100000" w:firstRow="0" w:lastRow="0" w:firstColumn="0" w:lastColumn="0" w:oddVBand="0" w:evenVBand="0" w:oddHBand="1" w:evenHBand="0" w:firstRowFirstColumn="0" w:firstRowLastColumn="0" w:lastRowFirstColumn="0" w:lastRowLastColumn="0"/>
              <w:rPr>
                <w:b/>
                <w:bCs w:val="0"/>
                <w:color w:val="FFFFFF" w:themeColor="background1"/>
              </w:rPr>
            </w:pPr>
          </w:p>
        </w:tc>
        <w:tc>
          <w:tcPr>
            <w:tcW w:w="1624" w:type="dxa"/>
            <w:tcBorders>
              <w:top w:val="single" w:sz="4" w:space="0" w:color="148A5D"/>
              <w:left w:val="single" w:sz="4" w:space="0" w:color="148A5D"/>
              <w:right w:val="single" w:sz="4" w:space="0" w:color="148A5D"/>
            </w:tcBorders>
            <w:shd w:val="clear" w:color="auto" w:fill="148A5D"/>
          </w:tcPr>
          <w:p w14:paraId="5A5AC687" w14:textId="77777777" w:rsidR="006F2BB8" w:rsidRPr="00326809" w:rsidRDefault="006F2BB8" w:rsidP="00636BFA">
            <w:pPr>
              <w:pStyle w:val="10Tabletext"/>
              <w:jc w:val="center"/>
              <w:cnfStyle w:val="000000100000" w:firstRow="0" w:lastRow="0" w:firstColumn="0" w:lastColumn="0" w:oddVBand="0" w:evenVBand="0" w:oddHBand="1" w:evenHBand="0" w:firstRowFirstColumn="0" w:firstRowLastColumn="0" w:lastRowFirstColumn="0" w:lastRowLastColumn="0"/>
              <w:rPr>
                <w:b/>
                <w:bCs w:val="0"/>
                <w:color w:val="FFFFFF" w:themeColor="background1"/>
              </w:rPr>
            </w:pPr>
            <w:r w:rsidRPr="00326809">
              <w:rPr>
                <w:b/>
                <w:bCs w:val="0"/>
                <w:color w:val="FFFFFF" w:themeColor="background1"/>
              </w:rPr>
              <w:t>Number</w:t>
            </w:r>
          </w:p>
        </w:tc>
        <w:tc>
          <w:tcPr>
            <w:tcW w:w="1625" w:type="dxa"/>
            <w:tcBorders>
              <w:top w:val="single" w:sz="4" w:space="0" w:color="148A5D"/>
              <w:left w:val="single" w:sz="4" w:space="0" w:color="148A5D"/>
              <w:right w:val="nil"/>
            </w:tcBorders>
            <w:shd w:val="clear" w:color="auto" w:fill="148A5D"/>
          </w:tcPr>
          <w:p w14:paraId="677F10E4" w14:textId="77777777" w:rsidR="006F2BB8" w:rsidRPr="00326809" w:rsidRDefault="006F2BB8" w:rsidP="00636BFA">
            <w:pPr>
              <w:pStyle w:val="10Tabletext"/>
              <w:jc w:val="center"/>
              <w:cnfStyle w:val="000000100000" w:firstRow="0" w:lastRow="0" w:firstColumn="0" w:lastColumn="0" w:oddVBand="0" w:evenVBand="0" w:oddHBand="1" w:evenHBand="0" w:firstRowFirstColumn="0" w:firstRowLastColumn="0" w:lastRowFirstColumn="0" w:lastRowLastColumn="0"/>
              <w:rPr>
                <w:b/>
                <w:bCs w:val="0"/>
                <w:color w:val="FFFFFF" w:themeColor="background1"/>
              </w:rPr>
            </w:pPr>
            <w:r w:rsidRPr="00326809">
              <w:rPr>
                <w:b/>
                <w:bCs w:val="0"/>
                <w:color w:val="FFFFFF" w:themeColor="background1"/>
              </w:rPr>
              <w:t>%</w:t>
            </w:r>
          </w:p>
        </w:tc>
      </w:tr>
      <w:tr w:rsidR="006F2BB8" w:rsidRPr="006F2BB8" w14:paraId="676D96F5" w14:textId="77777777" w:rsidTr="004B6A6C">
        <w:trPr>
          <w:cantSplit/>
        </w:trPr>
        <w:tc>
          <w:tcPr>
            <w:cnfStyle w:val="001000000000" w:firstRow="0" w:lastRow="0" w:firstColumn="1" w:lastColumn="0" w:oddVBand="0" w:evenVBand="0" w:oddHBand="0" w:evenHBand="0" w:firstRowFirstColumn="0" w:firstRowLastColumn="0" w:lastRowFirstColumn="0" w:lastRowLastColumn="0"/>
            <w:tcW w:w="2694" w:type="dxa"/>
            <w:tcBorders>
              <w:left w:val="nil"/>
            </w:tcBorders>
          </w:tcPr>
          <w:p w14:paraId="7BBC03DF" w14:textId="77777777" w:rsidR="006F2BB8" w:rsidRPr="00326809" w:rsidRDefault="006F2BB8" w:rsidP="00326809">
            <w:pPr>
              <w:pStyle w:val="10Tabletext"/>
            </w:pPr>
            <w:r w:rsidRPr="00326809">
              <w:t>Yes</w:t>
            </w:r>
          </w:p>
        </w:tc>
        <w:tc>
          <w:tcPr>
            <w:tcW w:w="2551" w:type="dxa"/>
          </w:tcPr>
          <w:p w14:paraId="76ED6FEE" w14:textId="77777777" w:rsidR="006F2BB8" w:rsidRPr="00326809" w:rsidRDefault="006F2BB8" w:rsidP="00326809">
            <w:pPr>
              <w:pStyle w:val="10Tabletext"/>
              <w:cnfStyle w:val="000000000000" w:firstRow="0" w:lastRow="0" w:firstColumn="0" w:lastColumn="0" w:oddVBand="0" w:evenVBand="0" w:oddHBand="0" w:evenHBand="0" w:firstRowFirstColumn="0" w:firstRowLastColumn="0" w:lastRowFirstColumn="0" w:lastRowLastColumn="0"/>
            </w:pPr>
            <w:r w:rsidRPr="00326809">
              <w:t>Go to Table A.16</w:t>
            </w:r>
          </w:p>
        </w:tc>
        <w:tc>
          <w:tcPr>
            <w:tcW w:w="1624" w:type="dxa"/>
          </w:tcPr>
          <w:p w14:paraId="0DEBE949" w14:textId="77777777" w:rsidR="006F2BB8" w:rsidRPr="00326809" w:rsidRDefault="006F2BB8" w:rsidP="00636BFA">
            <w:pPr>
              <w:pStyle w:val="10Tabletext"/>
              <w:jc w:val="center"/>
              <w:cnfStyle w:val="000000000000" w:firstRow="0" w:lastRow="0" w:firstColumn="0" w:lastColumn="0" w:oddVBand="0" w:evenVBand="0" w:oddHBand="0" w:evenHBand="0" w:firstRowFirstColumn="0" w:firstRowLastColumn="0" w:lastRowFirstColumn="0" w:lastRowLastColumn="0"/>
            </w:pPr>
            <w:r w:rsidRPr="00326809">
              <w:t>331</w:t>
            </w:r>
          </w:p>
        </w:tc>
        <w:tc>
          <w:tcPr>
            <w:tcW w:w="1625" w:type="dxa"/>
            <w:tcBorders>
              <w:right w:val="nil"/>
            </w:tcBorders>
          </w:tcPr>
          <w:p w14:paraId="2E6157AF" w14:textId="77777777" w:rsidR="006F2BB8" w:rsidRPr="00326809" w:rsidRDefault="006F2BB8" w:rsidP="00636BFA">
            <w:pPr>
              <w:pStyle w:val="10Tabletext"/>
              <w:jc w:val="center"/>
              <w:cnfStyle w:val="000000000000" w:firstRow="0" w:lastRow="0" w:firstColumn="0" w:lastColumn="0" w:oddVBand="0" w:evenVBand="0" w:oddHBand="0" w:evenHBand="0" w:firstRowFirstColumn="0" w:firstRowLastColumn="0" w:lastRowFirstColumn="0" w:lastRowLastColumn="0"/>
            </w:pPr>
            <w:r w:rsidRPr="00326809">
              <w:t>54</w:t>
            </w:r>
          </w:p>
        </w:tc>
      </w:tr>
      <w:tr w:rsidR="006F2BB8" w:rsidRPr="006F2BB8" w14:paraId="1B00776D" w14:textId="77777777" w:rsidTr="004B6A6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94" w:type="dxa"/>
            <w:tcBorders>
              <w:left w:val="nil"/>
            </w:tcBorders>
          </w:tcPr>
          <w:p w14:paraId="724532A8" w14:textId="77777777" w:rsidR="006F2BB8" w:rsidRPr="00326809" w:rsidRDefault="006F2BB8" w:rsidP="00326809">
            <w:pPr>
              <w:pStyle w:val="10Tabletext"/>
            </w:pPr>
            <w:r w:rsidRPr="00326809">
              <w:t>No</w:t>
            </w:r>
          </w:p>
        </w:tc>
        <w:tc>
          <w:tcPr>
            <w:tcW w:w="2551" w:type="dxa"/>
          </w:tcPr>
          <w:p w14:paraId="63B54852" w14:textId="77777777" w:rsidR="006F2BB8" w:rsidRPr="00326809" w:rsidRDefault="006F2BB8" w:rsidP="00326809">
            <w:pPr>
              <w:pStyle w:val="10Tabletext"/>
              <w:cnfStyle w:val="000000100000" w:firstRow="0" w:lastRow="0" w:firstColumn="0" w:lastColumn="0" w:oddVBand="0" w:evenVBand="0" w:oddHBand="1" w:evenHBand="0" w:firstRowFirstColumn="0" w:firstRowLastColumn="0" w:lastRowFirstColumn="0" w:lastRowLastColumn="0"/>
            </w:pPr>
            <w:r w:rsidRPr="00326809">
              <w:t>Go to Table A.23</w:t>
            </w:r>
          </w:p>
        </w:tc>
        <w:tc>
          <w:tcPr>
            <w:tcW w:w="1624" w:type="dxa"/>
          </w:tcPr>
          <w:p w14:paraId="3CA46435" w14:textId="77777777" w:rsidR="006F2BB8" w:rsidRPr="00326809" w:rsidRDefault="006F2BB8" w:rsidP="00636BFA">
            <w:pPr>
              <w:pStyle w:val="10Tabletext"/>
              <w:jc w:val="center"/>
              <w:cnfStyle w:val="000000100000" w:firstRow="0" w:lastRow="0" w:firstColumn="0" w:lastColumn="0" w:oddVBand="0" w:evenVBand="0" w:oddHBand="1" w:evenHBand="0" w:firstRowFirstColumn="0" w:firstRowLastColumn="0" w:lastRowFirstColumn="0" w:lastRowLastColumn="0"/>
            </w:pPr>
            <w:r w:rsidRPr="00326809">
              <w:t>284</w:t>
            </w:r>
          </w:p>
        </w:tc>
        <w:tc>
          <w:tcPr>
            <w:tcW w:w="1625" w:type="dxa"/>
            <w:tcBorders>
              <w:right w:val="nil"/>
            </w:tcBorders>
          </w:tcPr>
          <w:p w14:paraId="09A506BF" w14:textId="77777777" w:rsidR="006F2BB8" w:rsidRPr="00326809" w:rsidRDefault="006F2BB8" w:rsidP="00636BFA">
            <w:pPr>
              <w:pStyle w:val="10Tabletext"/>
              <w:jc w:val="center"/>
              <w:cnfStyle w:val="000000100000" w:firstRow="0" w:lastRow="0" w:firstColumn="0" w:lastColumn="0" w:oddVBand="0" w:evenVBand="0" w:oddHBand="1" w:evenHBand="0" w:firstRowFirstColumn="0" w:firstRowLastColumn="0" w:lastRowFirstColumn="0" w:lastRowLastColumn="0"/>
            </w:pPr>
            <w:r w:rsidRPr="00326809">
              <w:t>46</w:t>
            </w:r>
          </w:p>
        </w:tc>
      </w:tr>
      <w:tr w:rsidR="006F2BB8" w:rsidRPr="006F2BB8" w14:paraId="3A9D0948" w14:textId="77777777" w:rsidTr="004B6A6C">
        <w:trPr>
          <w:cantSplit/>
        </w:trPr>
        <w:tc>
          <w:tcPr>
            <w:cnfStyle w:val="001000000000" w:firstRow="0" w:lastRow="0" w:firstColumn="1" w:lastColumn="0" w:oddVBand="0" w:evenVBand="0" w:oddHBand="0" w:evenHBand="0" w:firstRowFirstColumn="0" w:firstRowLastColumn="0" w:lastRowFirstColumn="0" w:lastRowLastColumn="0"/>
            <w:tcW w:w="2694" w:type="dxa"/>
            <w:tcBorders>
              <w:left w:val="nil"/>
            </w:tcBorders>
          </w:tcPr>
          <w:p w14:paraId="7BF24040" w14:textId="77777777" w:rsidR="006F2BB8" w:rsidRPr="00326809" w:rsidRDefault="006F2BB8" w:rsidP="00326809">
            <w:pPr>
              <w:pStyle w:val="10Tabletext"/>
            </w:pPr>
            <w:r w:rsidRPr="00326809">
              <w:t>Total</w:t>
            </w:r>
          </w:p>
        </w:tc>
        <w:tc>
          <w:tcPr>
            <w:tcW w:w="2551" w:type="dxa"/>
          </w:tcPr>
          <w:p w14:paraId="1797C52C" w14:textId="77777777" w:rsidR="006F2BB8" w:rsidRPr="00326809" w:rsidRDefault="006F2BB8" w:rsidP="00326809">
            <w:pPr>
              <w:pStyle w:val="10Tabletext"/>
              <w:cnfStyle w:val="000000000000" w:firstRow="0" w:lastRow="0" w:firstColumn="0" w:lastColumn="0" w:oddVBand="0" w:evenVBand="0" w:oddHBand="0" w:evenHBand="0" w:firstRowFirstColumn="0" w:firstRowLastColumn="0" w:lastRowFirstColumn="0" w:lastRowLastColumn="0"/>
            </w:pPr>
          </w:p>
        </w:tc>
        <w:tc>
          <w:tcPr>
            <w:tcW w:w="1624" w:type="dxa"/>
          </w:tcPr>
          <w:p w14:paraId="3473EE72" w14:textId="77777777" w:rsidR="006F2BB8" w:rsidRPr="00326809" w:rsidRDefault="006F2BB8" w:rsidP="00636BFA">
            <w:pPr>
              <w:pStyle w:val="10Tabletext"/>
              <w:jc w:val="center"/>
              <w:cnfStyle w:val="000000000000" w:firstRow="0" w:lastRow="0" w:firstColumn="0" w:lastColumn="0" w:oddVBand="0" w:evenVBand="0" w:oddHBand="0" w:evenHBand="0" w:firstRowFirstColumn="0" w:firstRowLastColumn="0" w:lastRowFirstColumn="0" w:lastRowLastColumn="0"/>
            </w:pPr>
            <w:r w:rsidRPr="00326809">
              <w:t>615</w:t>
            </w:r>
          </w:p>
        </w:tc>
        <w:tc>
          <w:tcPr>
            <w:tcW w:w="1625" w:type="dxa"/>
            <w:tcBorders>
              <w:right w:val="nil"/>
            </w:tcBorders>
          </w:tcPr>
          <w:p w14:paraId="5E8F4D80" w14:textId="77777777" w:rsidR="006F2BB8" w:rsidRPr="00326809" w:rsidRDefault="006F2BB8" w:rsidP="00636BFA">
            <w:pPr>
              <w:pStyle w:val="10Tabletext"/>
              <w:jc w:val="center"/>
              <w:cnfStyle w:val="000000000000" w:firstRow="0" w:lastRow="0" w:firstColumn="0" w:lastColumn="0" w:oddVBand="0" w:evenVBand="0" w:oddHBand="0" w:evenHBand="0" w:firstRowFirstColumn="0" w:firstRowLastColumn="0" w:lastRowFirstColumn="0" w:lastRowLastColumn="0"/>
            </w:pPr>
          </w:p>
        </w:tc>
      </w:tr>
    </w:tbl>
    <w:p w14:paraId="3579EA92" w14:textId="77777777" w:rsidR="006F2BB8" w:rsidRPr="006F2BB8" w:rsidRDefault="006F2BB8" w:rsidP="00E41257">
      <w:pPr>
        <w:pStyle w:val="05Paragraph"/>
        <w:spacing w:before="120"/>
      </w:pPr>
      <w:r w:rsidRPr="006F2BB8">
        <w:t>Of those respondents involved in executive recruitment, two thirds indicated they were experiencing significant challenges attracting candidates within the VPS executive remuneration bands (Table A.16).</w:t>
      </w:r>
    </w:p>
    <w:p w14:paraId="2128AD98" w14:textId="77777777" w:rsidR="006F2BB8" w:rsidRPr="006F2BB8" w:rsidRDefault="006F2BB8" w:rsidP="00F845CE">
      <w:pPr>
        <w:pStyle w:val="08Figuretableboxheading"/>
        <w:spacing w:before="120"/>
      </w:pPr>
      <w:bookmarkStart w:id="194" w:name="_Toc170393596"/>
      <w:r w:rsidRPr="006F2BB8">
        <w:t>Table A.16: Are you experiencing any significant challenges attracting executives within the VPS executive remuneration bands?</w:t>
      </w:r>
      <w:bookmarkEnd w:id="194"/>
    </w:p>
    <w:tbl>
      <w:tblPr>
        <w:tblStyle w:val="ListTable3-Accent1"/>
        <w:tblW w:w="0" w:type="auto"/>
        <w:tblLayout w:type="fixed"/>
        <w:tblLook w:val="04A0" w:firstRow="1" w:lastRow="0" w:firstColumn="1" w:lastColumn="0" w:noHBand="0" w:noVBand="1"/>
      </w:tblPr>
      <w:tblGrid>
        <w:gridCol w:w="2694"/>
        <w:gridCol w:w="2551"/>
        <w:gridCol w:w="1624"/>
        <w:gridCol w:w="1625"/>
      </w:tblGrid>
      <w:tr w:rsidR="006F2BB8" w:rsidRPr="006F2BB8" w14:paraId="73096A1C" w14:textId="77777777" w:rsidTr="004B6A6C">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2694" w:type="dxa"/>
            <w:tcBorders>
              <w:top w:val="single" w:sz="4" w:space="0" w:color="26664E"/>
              <w:left w:val="nil"/>
              <w:bottom w:val="single" w:sz="4" w:space="0" w:color="148A5D"/>
              <w:right w:val="single" w:sz="4" w:space="0" w:color="148A5D"/>
            </w:tcBorders>
            <w:shd w:val="clear" w:color="auto" w:fill="148A5D"/>
          </w:tcPr>
          <w:p w14:paraId="30986FCB" w14:textId="77777777" w:rsidR="006F2BB8" w:rsidRPr="00326809" w:rsidRDefault="006F2BB8" w:rsidP="00326809">
            <w:pPr>
              <w:pStyle w:val="10Tabletext"/>
            </w:pPr>
            <w:r w:rsidRPr="00326809">
              <w:t>Answer choices</w:t>
            </w:r>
          </w:p>
        </w:tc>
        <w:tc>
          <w:tcPr>
            <w:tcW w:w="2551" w:type="dxa"/>
            <w:tcBorders>
              <w:top w:val="single" w:sz="4" w:space="0" w:color="26664E"/>
              <w:left w:val="single" w:sz="4" w:space="0" w:color="148A5D"/>
              <w:bottom w:val="single" w:sz="4" w:space="0" w:color="148A5D"/>
              <w:right w:val="single" w:sz="4" w:space="0" w:color="148A5D"/>
            </w:tcBorders>
            <w:shd w:val="clear" w:color="auto" w:fill="148A5D"/>
          </w:tcPr>
          <w:p w14:paraId="630594D6" w14:textId="77777777" w:rsidR="006F2BB8" w:rsidRPr="00326809" w:rsidRDefault="006F2BB8" w:rsidP="00326809">
            <w:pPr>
              <w:pStyle w:val="10Tabletext"/>
              <w:cnfStyle w:val="100000000000" w:firstRow="1" w:lastRow="0" w:firstColumn="0" w:lastColumn="0" w:oddVBand="0" w:evenVBand="0" w:oddHBand="0" w:evenHBand="0" w:firstRowFirstColumn="0" w:firstRowLastColumn="0" w:lastRowFirstColumn="0" w:lastRowLastColumn="0"/>
            </w:pPr>
            <w:r w:rsidRPr="00326809">
              <w:t>Branching logic</w:t>
            </w:r>
          </w:p>
        </w:tc>
        <w:tc>
          <w:tcPr>
            <w:tcW w:w="3249" w:type="dxa"/>
            <w:gridSpan w:val="2"/>
            <w:tcBorders>
              <w:top w:val="single" w:sz="4" w:space="0" w:color="26664E"/>
              <w:left w:val="single" w:sz="4" w:space="0" w:color="148A5D"/>
              <w:bottom w:val="single" w:sz="4" w:space="0" w:color="148A5D"/>
              <w:right w:val="nil"/>
            </w:tcBorders>
            <w:shd w:val="clear" w:color="auto" w:fill="148A5D"/>
          </w:tcPr>
          <w:p w14:paraId="682BCAA1" w14:textId="77777777" w:rsidR="006F2BB8" w:rsidRPr="00326809" w:rsidRDefault="006F2BB8" w:rsidP="004B6A6C">
            <w:pPr>
              <w:pStyle w:val="10Tabletext"/>
              <w:jc w:val="center"/>
              <w:cnfStyle w:val="100000000000" w:firstRow="1" w:lastRow="0" w:firstColumn="0" w:lastColumn="0" w:oddVBand="0" w:evenVBand="0" w:oddHBand="0" w:evenHBand="0" w:firstRowFirstColumn="0" w:firstRowLastColumn="0" w:lastRowFirstColumn="0" w:lastRowLastColumn="0"/>
            </w:pPr>
            <w:r w:rsidRPr="00326809">
              <w:t>Responses</w:t>
            </w:r>
          </w:p>
        </w:tc>
      </w:tr>
      <w:tr w:rsidR="006F2BB8" w:rsidRPr="006F2BB8" w14:paraId="6204D5F6" w14:textId="77777777" w:rsidTr="004B6A6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148A5D"/>
              <w:left w:val="nil"/>
              <w:right w:val="single" w:sz="4" w:space="0" w:color="148A5D"/>
            </w:tcBorders>
            <w:shd w:val="clear" w:color="auto" w:fill="148A5D"/>
          </w:tcPr>
          <w:p w14:paraId="4B38BC64" w14:textId="77777777" w:rsidR="006F2BB8" w:rsidRPr="00326809" w:rsidRDefault="006F2BB8" w:rsidP="00326809">
            <w:pPr>
              <w:pStyle w:val="10Tabletext"/>
              <w:rPr>
                <w:color w:val="FFFFFF" w:themeColor="background1"/>
                <w:szCs w:val="24"/>
              </w:rPr>
            </w:pPr>
          </w:p>
        </w:tc>
        <w:tc>
          <w:tcPr>
            <w:tcW w:w="2551" w:type="dxa"/>
            <w:tcBorders>
              <w:top w:val="single" w:sz="4" w:space="0" w:color="148A5D"/>
              <w:left w:val="single" w:sz="4" w:space="0" w:color="148A5D"/>
              <w:right w:val="single" w:sz="4" w:space="0" w:color="148A5D"/>
            </w:tcBorders>
            <w:shd w:val="clear" w:color="auto" w:fill="148A5D"/>
          </w:tcPr>
          <w:p w14:paraId="5AA02ADC" w14:textId="77777777" w:rsidR="006F2BB8" w:rsidRPr="00326809" w:rsidRDefault="006F2BB8" w:rsidP="00326809">
            <w:pPr>
              <w:pStyle w:val="10Tabletext"/>
              <w:cnfStyle w:val="000000100000" w:firstRow="0" w:lastRow="0" w:firstColumn="0" w:lastColumn="0" w:oddVBand="0" w:evenVBand="0" w:oddHBand="1" w:evenHBand="0" w:firstRowFirstColumn="0" w:firstRowLastColumn="0" w:lastRowFirstColumn="0" w:lastRowLastColumn="0"/>
              <w:rPr>
                <w:b/>
                <w:bCs w:val="0"/>
                <w:color w:val="FFFFFF" w:themeColor="background1"/>
                <w:szCs w:val="24"/>
              </w:rPr>
            </w:pPr>
          </w:p>
        </w:tc>
        <w:tc>
          <w:tcPr>
            <w:tcW w:w="1624" w:type="dxa"/>
            <w:tcBorders>
              <w:top w:val="single" w:sz="4" w:space="0" w:color="148A5D"/>
              <w:left w:val="single" w:sz="4" w:space="0" w:color="148A5D"/>
              <w:right w:val="single" w:sz="4" w:space="0" w:color="148A5D"/>
            </w:tcBorders>
            <w:shd w:val="clear" w:color="auto" w:fill="148A5D"/>
          </w:tcPr>
          <w:p w14:paraId="4D990E4A" w14:textId="77777777" w:rsidR="006F2BB8" w:rsidRPr="00326809" w:rsidRDefault="006F2BB8" w:rsidP="004B6A6C">
            <w:pPr>
              <w:pStyle w:val="10Tabletext"/>
              <w:jc w:val="center"/>
              <w:cnfStyle w:val="000000100000" w:firstRow="0" w:lastRow="0" w:firstColumn="0" w:lastColumn="0" w:oddVBand="0" w:evenVBand="0" w:oddHBand="1" w:evenHBand="0" w:firstRowFirstColumn="0" w:firstRowLastColumn="0" w:lastRowFirstColumn="0" w:lastRowLastColumn="0"/>
              <w:rPr>
                <w:b/>
                <w:bCs w:val="0"/>
                <w:color w:val="FFFFFF" w:themeColor="background1"/>
                <w:szCs w:val="24"/>
              </w:rPr>
            </w:pPr>
            <w:r w:rsidRPr="00326809">
              <w:rPr>
                <w:b/>
                <w:bCs w:val="0"/>
                <w:color w:val="FFFFFF" w:themeColor="background1"/>
                <w:szCs w:val="24"/>
              </w:rPr>
              <w:t>Number</w:t>
            </w:r>
          </w:p>
        </w:tc>
        <w:tc>
          <w:tcPr>
            <w:tcW w:w="1625" w:type="dxa"/>
            <w:tcBorders>
              <w:top w:val="single" w:sz="4" w:space="0" w:color="148A5D"/>
              <w:left w:val="single" w:sz="4" w:space="0" w:color="148A5D"/>
              <w:right w:val="nil"/>
            </w:tcBorders>
            <w:shd w:val="clear" w:color="auto" w:fill="148A5D"/>
          </w:tcPr>
          <w:p w14:paraId="03C61AF5" w14:textId="77777777" w:rsidR="006F2BB8" w:rsidRPr="00326809" w:rsidRDefault="006F2BB8" w:rsidP="004B6A6C">
            <w:pPr>
              <w:pStyle w:val="10Tabletext"/>
              <w:jc w:val="center"/>
              <w:cnfStyle w:val="000000100000" w:firstRow="0" w:lastRow="0" w:firstColumn="0" w:lastColumn="0" w:oddVBand="0" w:evenVBand="0" w:oddHBand="1" w:evenHBand="0" w:firstRowFirstColumn="0" w:firstRowLastColumn="0" w:lastRowFirstColumn="0" w:lastRowLastColumn="0"/>
              <w:rPr>
                <w:b/>
                <w:bCs w:val="0"/>
                <w:color w:val="FFFFFF" w:themeColor="background1"/>
                <w:szCs w:val="24"/>
              </w:rPr>
            </w:pPr>
            <w:r w:rsidRPr="00326809">
              <w:rPr>
                <w:b/>
                <w:bCs w:val="0"/>
                <w:color w:val="FFFFFF" w:themeColor="background1"/>
                <w:szCs w:val="24"/>
              </w:rPr>
              <w:t>%</w:t>
            </w:r>
          </w:p>
        </w:tc>
      </w:tr>
      <w:tr w:rsidR="006F2BB8" w:rsidRPr="006F2BB8" w14:paraId="062C7DF3" w14:textId="77777777" w:rsidTr="004B6A6C">
        <w:trPr>
          <w:cantSplit/>
        </w:trPr>
        <w:tc>
          <w:tcPr>
            <w:cnfStyle w:val="001000000000" w:firstRow="0" w:lastRow="0" w:firstColumn="1" w:lastColumn="0" w:oddVBand="0" w:evenVBand="0" w:oddHBand="0" w:evenHBand="0" w:firstRowFirstColumn="0" w:firstRowLastColumn="0" w:lastRowFirstColumn="0" w:lastRowLastColumn="0"/>
            <w:tcW w:w="2694" w:type="dxa"/>
            <w:tcBorders>
              <w:left w:val="nil"/>
            </w:tcBorders>
          </w:tcPr>
          <w:p w14:paraId="6E91179B" w14:textId="77777777" w:rsidR="006F2BB8" w:rsidRPr="00326809" w:rsidRDefault="006F2BB8" w:rsidP="00326809">
            <w:pPr>
              <w:pStyle w:val="10Tabletext"/>
            </w:pPr>
            <w:r w:rsidRPr="00326809">
              <w:t>Yes</w:t>
            </w:r>
          </w:p>
        </w:tc>
        <w:tc>
          <w:tcPr>
            <w:tcW w:w="2551" w:type="dxa"/>
          </w:tcPr>
          <w:p w14:paraId="4F437BF6" w14:textId="77777777" w:rsidR="006F2BB8" w:rsidRPr="00326809" w:rsidRDefault="006F2BB8" w:rsidP="00326809">
            <w:pPr>
              <w:pStyle w:val="10Tabletext"/>
              <w:cnfStyle w:val="000000000000" w:firstRow="0" w:lastRow="0" w:firstColumn="0" w:lastColumn="0" w:oddVBand="0" w:evenVBand="0" w:oddHBand="0" w:evenHBand="0" w:firstRowFirstColumn="0" w:firstRowLastColumn="0" w:lastRowFirstColumn="0" w:lastRowLastColumn="0"/>
            </w:pPr>
            <w:r w:rsidRPr="00326809">
              <w:t>Go to Table A.17</w:t>
            </w:r>
          </w:p>
        </w:tc>
        <w:tc>
          <w:tcPr>
            <w:tcW w:w="1624" w:type="dxa"/>
          </w:tcPr>
          <w:p w14:paraId="6AF76082" w14:textId="77777777" w:rsidR="006F2BB8" w:rsidRPr="00083D09" w:rsidRDefault="006F2BB8" w:rsidP="00083D09">
            <w:pPr>
              <w:pStyle w:val="10Tabletext"/>
              <w:jc w:val="center"/>
              <w:cnfStyle w:val="000000000000" w:firstRow="0" w:lastRow="0" w:firstColumn="0" w:lastColumn="0" w:oddVBand="0" w:evenVBand="0" w:oddHBand="0" w:evenHBand="0" w:firstRowFirstColumn="0" w:firstRowLastColumn="0" w:lastRowFirstColumn="0" w:lastRowLastColumn="0"/>
            </w:pPr>
            <w:r w:rsidRPr="00083D09">
              <w:t>220</w:t>
            </w:r>
          </w:p>
        </w:tc>
        <w:tc>
          <w:tcPr>
            <w:tcW w:w="1625" w:type="dxa"/>
            <w:tcBorders>
              <w:right w:val="nil"/>
            </w:tcBorders>
          </w:tcPr>
          <w:p w14:paraId="2F3E5AC2" w14:textId="77777777" w:rsidR="006F2BB8" w:rsidRPr="00083D09" w:rsidRDefault="006F2BB8" w:rsidP="00083D09">
            <w:pPr>
              <w:pStyle w:val="10Tabletext"/>
              <w:jc w:val="center"/>
              <w:cnfStyle w:val="000000000000" w:firstRow="0" w:lastRow="0" w:firstColumn="0" w:lastColumn="0" w:oddVBand="0" w:evenVBand="0" w:oddHBand="0" w:evenHBand="0" w:firstRowFirstColumn="0" w:firstRowLastColumn="0" w:lastRowFirstColumn="0" w:lastRowLastColumn="0"/>
            </w:pPr>
            <w:r w:rsidRPr="00083D09">
              <w:t>66</w:t>
            </w:r>
          </w:p>
        </w:tc>
      </w:tr>
      <w:tr w:rsidR="006F2BB8" w:rsidRPr="006F2BB8" w14:paraId="46B1844D" w14:textId="77777777" w:rsidTr="004B6A6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94" w:type="dxa"/>
            <w:tcBorders>
              <w:left w:val="nil"/>
            </w:tcBorders>
          </w:tcPr>
          <w:p w14:paraId="73E892F7" w14:textId="77777777" w:rsidR="006F2BB8" w:rsidRPr="00326809" w:rsidRDefault="006F2BB8" w:rsidP="00326809">
            <w:pPr>
              <w:pStyle w:val="10Tabletext"/>
            </w:pPr>
            <w:r w:rsidRPr="00326809">
              <w:t>No</w:t>
            </w:r>
          </w:p>
        </w:tc>
        <w:tc>
          <w:tcPr>
            <w:tcW w:w="2551" w:type="dxa"/>
          </w:tcPr>
          <w:p w14:paraId="3C5AF6B5" w14:textId="77777777" w:rsidR="006F2BB8" w:rsidRPr="00326809" w:rsidRDefault="006F2BB8" w:rsidP="00326809">
            <w:pPr>
              <w:pStyle w:val="10Tabletext"/>
              <w:cnfStyle w:val="000000100000" w:firstRow="0" w:lastRow="0" w:firstColumn="0" w:lastColumn="0" w:oddVBand="0" w:evenVBand="0" w:oddHBand="1" w:evenHBand="0" w:firstRowFirstColumn="0" w:firstRowLastColumn="0" w:lastRowFirstColumn="0" w:lastRowLastColumn="0"/>
            </w:pPr>
            <w:r w:rsidRPr="00326809">
              <w:t>Go to Table A.19</w:t>
            </w:r>
          </w:p>
        </w:tc>
        <w:tc>
          <w:tcPr>
            <w:tcW w:w="1624" w:type="dxa"/>
          </w:tcPr>
          <w:p w14:paraId="08B743AA" w14:textId="77777777" w:rsidR="006F2BB8" w:rsidRPr="00083D09" w:rsidRDefault="006F2BB8" w:rsidP="00083D09">
            <w:pPr>
              <w:pStyle w:val="10Tabletext"/>
              <w:jc w:val="center"/>
              <w:cnfStyle w:val="000000100000" w:firstRow="0" w:lastRow="0" w:firstColumn="0" w:lastColumn="0" w:oddVBand="0" w:evenVBand="0" w:oddHBand="1" w:evenHBand="0" w:firstRowFirstColumn="0" w:firstRowLastColumn="0" w:lastRowFirstColumn="0" w:lastRowLastColumn="0"/>
            </w:pPr>
            <w:r w:rsidRPr="00083D09">
              <w:t>89</w:t>
            </w:r>
          </w:p>
        </w:tc>
        <w:tc>
          <w:tcPr>
            <w:tcW w:w="1625" w:type="dxa"/>
            <w:tcBorders>
              <w:right w:val="nil"/>
            </w:tcBorders>
          </w:tcPr>
          <w:p w14:paraId="79AB964A" w14:textId="77777777" w:rsidR="006F2BB8" w:rsidRPr="00083D09" w:rsidRDefault="006F2BB8" w:rsidP="00083D09">
            <w:pPr>
              <w:pStyle w:val="10Tabletext"/>
              <w:jc w:val="center"/>
              <w:cnfStyle w:val="000000100000" w:firstRow="0" w:lastRow="0" w:firstColumn="0" w:lastColumn="0" w:oddVBand="0" w:evenVBand="0" w:oddHBand="1" w:evenHBand="0" w:firstRowFirstColumn="0" w:firstRowLastColumn="0" w:lastRowFirstColumn="0" w:lastRowLastColumn="0"/>
            </w:pPr>
            <w:r w:rsidRPr="00083D09">
              <w:t>27</w:t>
            </w:r>
          </w:p>
        </w:tc>
      </w:tr>
      <w:tr w:rsidR="006F2BB8" w:rsidRPr="006F2BB8" w14:paraId="51596EB3" w14:textId="77777777" w:rsidTr="004B6A6C">
        <w:trPr>
          <w:cantSplit/>
        </w:trPr>
        <w:tc>
          <w:tcPr>
            <w:cnfStyle w:val="001000000000" w:firstRow="0" w:lastRow="0" w:firstColumn="1" w:lastColumn="0" w:oddVBand="0" w:evenVBand="0" w:oddHBand="0" w:evenHBand="0" w:firstRowFirstColumn="0" w:firstRowLastColumn="0" w:lastRowFirstColumn="0" w:lastRowLastColumn="0"/>
            <w:tcW w:w="2694" w:type="dxa"/>
            <w:tcBorders>
              <w:left w:val="nil"/>
            </w:tcBorders>
          </w:tcPr>
          <w:p w14:paraId="232D5BB6" w14:textId="77777777" w:rsidR="006F2BB8" w:rsidRPr="00326809" w:rsidRDefault="006F2BB8" w:rsidP="00326809">
            <w:pPr>
              <w:pStyle w:val="10Tabletext"/>
            </w:pPr>
            <w:r w:rsidRPr="00326809">
              <w:t>I don’t know</w:t>
            </w:r>
          </w:p>
        </w:tc>
        <w:tc>
          <w:tcPr>
            <w:tcW w:w="2551" w:type="dxa"/>
          </w:tcPr>
          <w:p w14:paraId="1E241183" w14:textId="77777777" w:rsidR="006F2BB8" w:rsidRPr="00326809" w:rsidRDefault="006F2BB8" w:rsidP="00326809">
            <w:pPr>
              <w:pStyle w:val="10Tabletext"/>
              <w:cnfStyle w:val="000000000000" w:firstRow="0" w:lastRow="0" w:firstColumn="0" w:lastColumn="0" w:oddVBand="0" w:evenVBand="0" w:oddHBand="0" w:evenHBand="0" w:firstRowFirstColumn="0" w:firstRowLastColumn="0" w:lastRowFirstColumn="0" w:lastRowLastColumn="0"/>
            </w:pPr>
            <w:r w:rsidRPr="00326809">
              <w:t>Go to Table A.19</w:t>
            </w:r>
          </w:p>
        </w:tc>
        <w:tc>
          <w:tcPr>
            <w:tcW w:w="1624" w:type="dxa"/>
          </w:tcPr>
          <w:p w14:paraId="68C09180" w14:textId="77777777" w:rsidR="006F2BB8" w:rsidRPr="00083D09" w:rsidRDefault="006F2BB8" w:rsidP="00083D09">
            <w:pPr>
              <w:pStyle w:val="10Tabletext"/>
              <w:jc w:val="center"/>
              <w:cnfStyle w:val="000000000000" w:firstRow="0" w:lastRow="0" w:firstColumn="0" w:lastColumn="0" w:oddVBand="0" w:evenVBand="0" w:oddHBand="0" w:evenHBand="0" w:firstRowFirstColumn="0" w:firstRowLastColumn="0" w:lastRowFirstColumn="0" w:lastRowLastColumn="0"/>
            </w:pPr>
            <w:r w:rsidRPr="00083D09">
              <w:t>23</w:t>
            </w:r>
          </w:p>
        </w:tc>
        <w:tc>
          <w:tcPr>
            <w:tcW w:w="1625" w:type="dxa"/>
            <w:tcBorders>
              <w:right w:val="nil"/>
            </w:tcBorders>
          </w:tcPr>
          <w:p w14:paraId="3E9ABD35" w14:textId="77777777" w:rsidR="006F2BB8" w:rsidRPr="00083D09" w:rsidRDefault="006F2BB8" w:rsidP="00083D09">
            <w:pPr>
              <w:pStyle w:val="10Tabletext"/>
              <w:jc w:val="center"/>
              <w:cnfStyle w:val="000000000000" w:firstRow="0" w:lastRow="0" w:firstColumn="0" w:lastColumn="0" w:oddVBand="0" w:evenVBand="0" w:oddHBand="0" w:evenHBand="0" w:firstRowFirstColumn="0" w:firstRowLastColumn="0" w:lastRowFirstColumn="0" w:lastRowLastColumn="0"/>
            </w:pPr>
            <w:r w:rsidRPr="00083D09">
              <w:t>7</w:t>
            </w:r>
          </w:p>
        </w:tc>
      </w:tr>
      <w:tr w:rsidR="006F2BB8" w:rsidRPr="006F2BB8" w14:paraId="79D80B97" w14:textId="77777777" w:rsidTr="004B6A6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245" w:type="dxa"/>
            <w:gridSpan w:val="2"/>
            <w:tcBorders>
              <w:left w:val="nil"/>
            </w:tcBorders>
          </w:tcPr>
          <w:p w14:paraId="6EF897B3" w14:textId="77777777" w:rsidR="006F2BB8" w:rsidRPr="00326809" w:rsidRDefault="006F2BB8" w:rsidP="00326809">
            <w:pPr>
              <w:pStyle w:val="10Tabletext"/>
            </w:pPr>
            <w:r w:rsidRPr="00326809">
              <w:t>Total</w:t>
            </w:r>
          </w:p>
        </w:tc>
        <w:tc>
          <w:tcPr>
            <w:tcW w:w="1624" w:type="dxa"/>
          </w:tcPr>
          <w:p w14:paraId="51E0A397" w14:textId="77777777" w:rsidR="006F2BB8" w:rsidRPr="00083D09" w:rsidRDefault="006F2BB8" w:rsidP="00083D09">
            <w:pPr>
              <w:pStyle w:val="10Tabletext"/>
              <w:jc w:val="center"/>
              <w:cnfStyle w:val="000000100000" w:firstRow="0" w:lastRow="0" w:firstColumn="0" w:lastColumn="0" w:oddVBand="0" w:evenVBand="0" w:oddHBand="1" w:evenHBand="0" w:firstRowFirstColumn="0" w:firstRowLastColumn="0" w:lastRowFirstColumn="0" w:lastRowLastColumn="0"/>
            </w:pPr>
            <w:r w:rsidRPr="00083D09">
              <w:t>332</w:t>
            </w:r>
          </w:p>
        </w:tc>
        <w:tc>
          <w:tcPr>
            <w:tcW w:w="1625" w:type="dxa"/>
            <w:tcBorders>
              <w:right w:val="nil"/>
            </w:tcBorders>
          </w:tcPr>
          <w:p w14:paraId="31F0B18C" w14:textId="77777777" w:rsidR="006F2BB8" w:rsidRPr="00083D09" w:rsidRDefault="006F2BB8" w:rsidP="00083D09">
            <w:pPr>
              <w:pStyle w:val="10Tabletext"/>
              <w:jc w:val="center"/>
              <w:cnfStyle w:val="000000100000" w:firstRow="0" w:lastRow="0" w:firstColumn="0" w:lastColumn="0" w:oddVBand="0" w:evenVBand="0" w:oddHBand="1" w:evenHBand="0" w:firstRowFirstColumn="0" w:firstRowLastColumn="0" w:lastRowFirstColumn="0" w:lastRowLastColumn="0"/>
            </w:pPr>
          </w:p>
        </w:tc>
      </w:tr>
    </w:tbl>
    <w:p w14:paraId="7041A7D9" w14:textId="77777777" w:rsidR="006F2BB8" w:rsidRPr="006F2BB8" w:rsidRDefault="006F2BB8" w:rsidP="00D827CB">
      <w:pPr>
        <w:pStyle w:val="09Sourcesandnotesfortablesfiguresboxes"/>
      </w:pPr>
      <w:r w:rsidRPr="006F2BB8">
        <w:t>Note: This question was only asked to respondents who answered ‘Yes’ in Table A.15.</w:t>
      </w:r>
    </w:p>
    <w:p w14:paraId="21D123C0" w14:textId="69F9D483" w:rsidR="006F2BB8" w:rsidRPr="006F2BB8" w:rsidRDefault="006F2BB8" w:rsidP="006A3A46">
      <w:pPr>
        <w:pStyle w:val="05Paragraph"/>
      </w:pPr>
      <w:r w:rsidRPr="006F2BB8">
        <w:t>A follow up question found that this group</w:t>
      </w:r>
      <w:r w:rsidRPr="006F2BB8" w:rsidDel="007D6FA1">
        <w:t xml:space="preserve"> </w:t>
      </w:r>
      <w:r w:rsidR="00F52F51">
        <w:t>was</w:t>
      </w:r>
      <w:r w:rsidRPr="006F2BB8">
        <w:t xml:space="preserve"> mostly experiencing significant challenges in attracting VPS executives to project and program management roles (Table A.17). </w:t>
      </w:r>
    </w:p>
    <w:p w14:paraId="6F553039" w14:textId="77777777" w:rsidR="006F2BB8" w:rsidRPr="006F2BB8" w:rsidRDefault="006F2BB8" w:rsidP="006C2935">
      <w:pPr>
        <w:pStyle w:val="08Figuretableboxheading"/>
      </w:pPr>
      <w:bookmarkStart w:id="195" w:name="_Toc170393597"/>
      <w:r w:rsidRPr="006F2BB8">
        <w:lastRenderedPageBreak/>
        <w:t>Table A.17: What are the functional areas in which you are experiencing significant challenges in attracting VPS executives? Select all that apply.</w:t>
      </w:r>
      <w:bookmarkEnd w:id="195"/>
    </w:p>
    <w:tbl>
      <w:tblPr>
        <w:tblStyle w:val="ListTable3-Accent1"/>
        <w:tblW w:w="0" w:type="auto"/>
        <w:tblLayout w:type="fixed"/>
        <w:tblLook w:val="04A0" w:firstRow="1" w:lastRow="0" w:firstColumn="1" w:lastColumn="0" w:noHBand="0" w:noVBand="1"/>
      </w:tblPr>
      <w:tblGrid>
        <w:gridCol w:w="4962"/>
        <w:gridCol w:w="1766"/>
        <w:gridCol w:w="1766"/>
      </w:tblGrid>
      <w:tr w:rsidR="006F2BB8" w:rsidRPr="006F2BB8" w14:paraId="08583C7A" w14:textId="77777777" w:rsidTr="00083D09">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4962" w:type="dxa"/>
            <w:tcBorders>
              <w:top w:val="single" w:sz="4" w:space="0" w:color="26664E"/>
              <w:left w:val="nil"/>
              <w:bottom w:val="single" w:sz="4" w:space="0" w:color="148A5D"/>
              <w:right w:val="single" w:sz="4" w:space="0" w:color="148A5D"/>
            </w:tcBorders>
            <w:shd w:val="clear" w:color="auto" w:fill="148A5D"/>
          </w:tcPr>
          <w:p w14:paraId="3227F2BE" w14:textId="77777777" w:rsidR="006F2BB8" w:rsidRPr="00326809" w:rsidRDefault="006F2BB8" w:rsidP="006C2935">
            <w:pPr>
              <w:pStyle w:val="10Tabletext"/>
              <w:keepNext/>
            </w:pPr>
            <w:r w:rsidRPr="00326809">
              <w:t>Answer choices</w:t>
            </w:r>
          </w:p>
        </w:tc>
        <w:tc>
          <w:tcPr>
            <w:tcW w:w="3532" w:type="dxa"/>
            <w:gridSpan w:val="2"/>
            <w:tcBorders>
              <w:top w:val="single" w:sz="4" w:space="0" w:color="26664E"/>
              <w:left w:val="single" w:sz="4" w:space="0" w:color="148A5D"/>
              <w:bottom w:val="single" w:sz="4" w:space="0" w:color="148A5D"/>
              <w:right w:val="nil"/>
            </w:tcBorders>
            <w:shd w:val="clear" w:color="auto" w:fill="148A5D"/>
          </w:tcPr>
          <w:p w14:paraId="41983C90" w14:textId="77777777" w:rsidR="006F2BB8" w:rsidRPr="00326809" w:rsidRDefault="006F2BB8" w:rsidP="00083D09">
            <w:pPr>
              <w:pStyle w:val="10Tabletext"/>
              <w:keepNext/>
              <w:jc w:val="center"/>
              <w:cnfStyle w:val="100000000000" w:firstRow="1" w:lastRow="0" w:firstColumn="0" w:lastColumn="0" w:oddVBand="0" w:evenVBand="0" w:oddHBand="0" w:evenHBand="0" w:firstRowFirstColumn="0" w:firstRowLastColumn="0" w:lastRowFirstColumn="0" w:lastRowLastColumn="0"/>
            </w:pPr>
            <w:r w:rsidRPr="00326809">
              <w:t>Responses</w:t>
            </w:r>
          </w:p>
        </w:tc>
      </w:tr>
      <w:tr w:rsidR="006F2BB8" w:rsidRPr="006F2BB8" w14:paraId="3D9B8DFA" w14:textId="77777777" w:rsidTr="00083D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148A5D"/>
              <w:left w:val="nil"/>
              <w:right w:val="single" w:sz="4" w:space="0" w:color="148A5D"/>
            </w:tcBorders>
            <w:shd w:val="clear" w:color="auto" w:fill="148A5D"/>
          </w:tcPr>
          <w:p w14:paraId="3C14D7D5" w14:textId="77777777" w:rsidR="006F2BB8" w:rsidRPr="00326809" w:rsidRDefault="006F2BB8" w:rsidP="006C2935">
            <w:pPr>
              <w:pStyle w:val="10Tabletext"/>
              <w:keepNext/>
              <w:rPr>
                <w:color w:val="FFFFFF" w:themeColor="background1"/>
                <w:szCs w:val="24"/>
              </w:rPr>
            </w:pPr>
          </w:p>
        </w:tc>
        <w:tc>
          <w:tcPr>
            <w:tcW w:w="1766" w:type="dxa"/>
            <w:tcBorders>
              <w:top w:val="single" w:sz="4" w:space="0" w:color="148A5D"/>
              <w:left w:val="single" w:sz="4" w:space="0" w:color="148A5D"/>
              <w:right w:val="single" w:sz="4" w:space="0" w:color="148A5D"/>
            </w:tcBorders>
            <w:shd w:val="clear" w:color="auto" w:fill="148A5D"/>
          </w:tcPr>
          <w:p w14:paraId="06A8D31C" w14:textId="77777777" w:rsidR="006F2BB8" w:rsidRPr="00326809" w:rsidRDefault="006F2BB8" w:rsidP="00083D09">
            <w:pPr>
              <w:pStyle w:val="10Tabletext"/>
              <w:keepNext/>
              <w:jc w:val="center"/>
              <w:cnfStyle w:val="000000100000" w:firstRow="0" w:lastRow="0" w:firstColumn="0" w:lastColumn="0" w:oddVBand="0" w:evenVBand="0" w:oddHBand="1" w:evenHBand="0" w:firstRowFirstColumn="0" w:firstRowLastColumn="0" w:lastRowFirstColumn="0" w:lastRowLastColumn="0"/>
              <w:rPr>
                <w:b/>
                <w:bCs w:val="0"/>
                <w:color w:val="FFFFFF" w:themeColor="background1"/>
                <w:szCs w:val="24"/>
              </w:rPr>
            </w:pPr>
            <w:r w:rsidRPr="00326809">
              <w:rPr>
                <w:b/>
                <w:bCs w:val="0"/>
                <w:color w:val="FFFFFF" w:themeColor="background1"/>
                <w:szCs w:val="24"/>
              </w:rPr>
              <w:t>Number</w:t>
            </w:r>
          </w:p>
        </w:tc>
        <w:tc>
          <w:tcPr>
            <w:tcW w:w="1766" w:type="dxa"/>
            <w:tcBorders>
              <w:top w:val="single" w:sz="4" w:space="0" w:color="148A5D"/>
              <w:left w:val="single" w:sz="4" w:space="0" w:color="148A5D"/>
              <w:right w:val="nil"/>
            </w:tcBorders>
            <w:shd w:val="clear" w:color="auto" w:fill="148A5D"/>
          </w:tcPr>
          <w:p w14:paraId="15B78CA7" w14:textId="77777777" w:rsidR="006F2BB8" w:rsidRPr="00326809" w:rsidRDefault="006F2BB8" w:rsidP="00083D09">
            <w:pPr>
              <w:pStyle w:val="10Tabletext"/>
              <w:keepNext/>
              <w:jc w:val="center"/>
              <w:cnfStyle w:val="000000100000" w:firstRow="0" w:lastRow="0" w:firstColumn="0" w:lastColumn="0" w:oddVBand="0" w:evenVBand="0" w:oddHBand="1" w:evenHBand="0" w:firstRowFirstColumn="0" w:firstRowLastColumn="0" w:lastRowFirstColumn="0" w:lastRowLastColumn="0"/>
              <w:rPr>
                <w:b/>
                <w:bCs w:val="0"/>
                <w:color w:val="FFFFFF" w:themeColor="background1"/>
                <w:szCs w:val="24"/>
              </w:rPr>
            </w:pPr>
            <w:r w:rsidRPr="00326809">
              <w:rPr>
                <w:b/>
                <w:bCs w:val="0"/>
                <w:color w:val="FFFFFF" w:themeColor="background1"/>
                <w:szCs w:val="24"/>
              </w:rPr>
              <w:t>%</w:t>
            </w:r>
          </w:p>
        </w:tc>
      </w:tr>
      <w:tr w:rsidR="006F2BB8" w:rsidRPr="006F2BB8" w14:paraId="026712B0" w14:textId="77777777" w:rsidTr="00083D09">
        <w:trPr>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13A28936" w14:textId="77777777" w:rsidR="006F2BB8" w:rsidRPr="00326809" w:rsidRDefault="006F2BB8" w:rsidP="006C2935">
            <w:pPr>
              <w:pStyle w:val="10Tabletext"/>
              <w:keepNext/>
            </w:pPr>
            <w:r w:rsidRPr="00326809">
              <w:t>Project and program management</w:t>
            </w:r>
          </w:p>
        </w:tc>
        <w:tc>
          <w:tcPr>
            <w:tcW w:w="1766" w:type="dxa"/>
          </w:tcPr>
          <w:p w14:paraId="5D76AAD7" w14:textId="77777777" w:rsidR="006F2BB8" w:rsidRPr="00083D09" w:rsidRDefault="006F2BB8" w:rsidP="00083D09">
            <w:pPr>
              <w:pStyle w:val="10Tabletext"/>
              <w:jc w:val="center"/>
              <w:cnfStyle w:val="000000000000" w:firstRow="0" w:lastRow="0" w:firstColumn="0" w:lastColumn="0" w:oddVBand="0" w:evenVBand="0" w:oddHBand="0" w:evenHBand="0" w:firstRowFirstColumn="0" w:firstRowLastColumn="0" w:lastRowFirstColumn="0" w:lastRowLastColumn="0"/>
            </w:pPr>
            <w:r w:rsidRPr="00083D09">
              <w:t>97</w:t>
            </w:r>
          </w:p>
        </w:tc>
        <w:tc>
          <w:tcPr>
            <w:tcW w:w="1766" w:type="dxa"/>
            <w:tcBorders>
              <w:right w:val="nil"/>
            </w:tcBorders>
          </w:tcPr>
          <w:p w14:paraId="2C84EC39" w14:textId="77777777" w:rsidR="006F2BB8" w:rsidRPr="00083D09" w:rsidRDefault="006F2BB8" w:rsidP="00083D09">
            <w:pPr>
              <w:pStyle w:val="10Tabletext"/>
              <w:jc w:val="center"/>
              <w:cnfStyle w:val="000000000000" w:firstRow="0" w:lastRow="0" w:firstColumn="0" w:lastColumn="0" w:oddVBand="0" w:evenVBand="0" w:oddHBand="0" w:evenHBand="0" w:firstRowFirstColumn="0" w:firstRowLastColumn="0" w:lastRowFirstColumn="0" w:lastRowLastColumn="0"/>
            </w:pPr>
            <w:r w:rsidRPr="00083D09">
              <w:t>45</w:t>
            </w:r>
          </w:p>
        </w:tc>
      </w:tr>
      <w:tr w:rsidR="006F2BB8" w:rsidRPr="006F2BB8" w14:paraId="45550A07" w14:textId="77777777" w:rsidTr="00083D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4744A475" w14:textId="77777777" w:rsidR="006F2BB8" w:rsidRPr="00326809" w:rsidRDefault="006F2BB8" w:rsidP="006C2935">
            <w:pPr>
              <w:pStyle w:val="10Tabletext"/>
              <w:keepNext/>
            </w:pPr>
            <w:r w:rsidRPr="00326809">
              <w:t>Policy and strategy</w:t>
            </w:r>
          </w:p>
        </w:tc>
        <w:tc>
          <w:tcPr>
            <w:tcW w:w="1766" w:type="dxa"/>
          </w:tcPr>
          <w:p w14:paraId="2F65F107" w14:textId="77777777" w:rsidR="006F2BB8" w:rsidRPr="00083D09" w:rsidRDefault="006F2BB8" w:rsidP="00083D09">
            <w:pPr>
              <w:pStyle w:val="10Tabletext"/>
              <w:jc w:val="center"/>
              <w:cnfStyle w:val="000000100000" w:firstRow="0" w:lastRow="0" w:firstColumn="0" w:lastColumn="0" w:oddVBand="0" w:evenVBand="0" w:oddHBand="1" w:evenHBand="0" w:firstRowFirstColumn="0" w:firstRowLastColumn="0" w:lastRowFirstColumn="0" w:lastRowLastColumn="0"/>
            </w:pPr>
            <w:r w:rsidRPr="00083D09">
              <w:t>62</w:t>
            </w:r>
          </w:p>
        </w:tc>
        <w:tc>
          <w:tcPr>
            <w:tcW w:w="1766" w:type="dxa"/>
            <w:tcBorders>
              <w:right w:val="nil"/>
            </w:tcBorders>
          </w:tcPr>
          <w:p w14:paraId="74DC5FD3" w14:textId="77777777" w:rsidR="006F2BB8" w:rsidRPr="00083D09" w:rsidRDefault="006F2BB8" w:rsidP="00083D09">
            <w:pPr>
              <w:pStyle w:val="10Tabletext"/>
              <w:jc w:val="center"/>
              <w:cnfStyle w:val="000000100000" w:firstRow="0" w:lastRow="0" w:firstColumn="0" w:lastColumn="0" w:oddVBand="0" w:evenVBand="0" w:oddHBand="1" w:evenHBand="0" w:firstRowFirstColumn="0" w:firstRowLastColumn="0" w:lastRowFirstColumn="0" w:lastRowLastColumn="0"/>
            </w:pPr>
            <w:r w:rsidRPr="00083D09">
              <w:t>29</w:t>
            </w:r>
          </w:p>
        </w:tc>
      </w:tr>
      <w:tr w:rsidR="006F2BB8" w:rsidRPr="006F2BB8" w14:paraId="73D4D85A" w14:textId="77777777" w:rsidTr="00083D09">
        <w:trPr>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6A6E896E" w14:textId="77777777" w:rsidR="006F2BB8" w:rsidRPr="00326809" w:rsidRDefault="006F2BB8" w:rsidP="006C2935">
            <w:pPr>
              <w:pStyle w:val="10Tabletext"/>
              <w:keepNext/>
            </w:pPr>
            <w:r w:rsidRPr="00326809">
              <w:t>Engineering</w:t>
            </w:r>
          </w:p>
        </w:tc>
        <w:tc>
          <w:tcPr>
            <w:tcW w:w="1766" w:type="dxa"/>
          </w:tcPr>
          <w:p w14:paraId="2D9B2777" w14:textId="77777777" w:rsidR="006F2BB8" w:rsidRPr="00083D09" w:rsidRDefault="006F2BB8" w:rsidP="00083D09">
            <w:pPr>
              <w:pStyle w:val="10Tabletext"/>
              <w:jc w:val="center"/>
              <w:cnfStyle w:val="000000000000" w:firstRow="0" w:lastRow="0" w:firstColumn="0" w:lastColumn="0" w:oddVBand="0" w:evenVBand="0" w:oddHBand="0" w:evenHBand="0" w:firstRowFirstColumn="0" w:firstRowLastColumn="0" w:lastRowFirstColumn="0" w:lastRowLastColumn="0"/>
            </w:pPr>
            <w:r w:rsidRPr="00083D09">
              <w:t>38</w:t>
            </w:r>
          </w:p>
        </w:tc>
        <w:tc>
          <w:tcPr>
            <w:tcW w:w="1766" w:type="dxa"/>
            <w:tcBorders>
              <w:right w:val="nil"/>
            </w:tcBorders>
          </w:tcPr>
          <w:p w14:paraId="3445C64A" w14:textId="77777777" w:rsidR="006F2BB8" w:rsidRPr="00083D09" w:rsidRDefault="006F2BB8" w:rsidP="00083D09">
            <w:pPr>
              <w:pStyle w:val="10Tabletext"/>
              <w:jc w:val="center"/>
              <w:cnfStyle w:val="000000000000" w:firstRow="0" w:lastRow="0" w:firstColumn="0" w:lastColumn="0" w:oddVBand="0" w:evenVBand="0" w:oddHBand="0" w:evenHBand="0" w:firstRowFirstColumn="0" w:firstRowLastColumn="0" w:lastRowFirstColumn="0" w:lastRowLastColumn="0"/>
            </w:pPr>
            <w:r w:rsidRPr="00083D09">
              <w:t>18</w:t>
            </w:r>
          </w:p>
        </w:tc>
      </w:tr>
      <w:tr w:rsidR="006F2BB8" w:rsidRPr="006F2BB8" w14:paraId="1D397A43" w14:textId="77777777" w:rsidTr="00083D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477CDBDF" w14:textId="77777777" w:rsidR="006F2BB8" w:rsidRPr="00326809" w:rsidRDefault="006F2BB8" w:rsidP="006C2935">
            <w:pPr>
              <w:pStyle w:val="10Tabletext"/>
              <w:keepNext/>
            </w:pPr>
            <w:r w:rsidRPr="00326809">
              <w:t>Digital and technology</w:t>
            </w:r>
          </w:p>
        </w:tc>
        <w:tc>
          <w:tcPr>
            <w:tcW w:w="1766" w:type="dxa"/>
          </w:tcPr>
          <w:p w14:paraId="1C0BD880" w14:textId="77777777" w:rsidR="006F2BB8" w:rsidRPr="00083D09" w:rsidRDefault="006F2BB8" w:rsidP="00083D09">
            <w:pPr>
              <w:pStyle w:val="10Tabletext"/>
              <w:jc w:val="center"/>
              <w:cnfStyle w:val="000000100000" w:firstRow="0" w:lastRow="0" w:firstColumn="0" w:lastColumn="0" w:oddVBand="0" w:evenVBand="0" w:oddHBand="1" w:evenHBand="0" w:firstRowFirstColumn="0" w:firstRowLastColumn="0" w:lastRowFirstColumn="0" w:lastRowLastColumn="0"/>
            </w:pPr>
            <w:r w:rsidRPr="00083D09">
              <w:t>36</w:t>
            </w:r>
          </w:p>
        </w:tc>
        <w:tc>
          <w:tcPr>
            <w:tcW w:w="1766" w:type="dxa"/>
            <w:tcBorders>
              <w:right w:val="nil"/>
            </w:tcBorders>
          </w:tcPr>
          <w:p w14:paraId="0D7D5BDA" w14:textId="77777777" w:rsidR="006F2BB8" w:rsidRPr="00083D09" w:rsidRDefault="006F2BB8" w:rsidP="00083D09">
            <w:pPr>
              <w:pStyle w:val="10Tabletext"/>
              <w:jc w:val="center"/>
              <w:cnfStyle w:val="000000100000" w:firstRow="0" w:lastRow="0" w:firstColumn="0" w:lastColumn="0" w:oddVBand="0" w:evenVBand="0" w:oddHBand="1" w:evenHBand="0" w:firstRowFirstColumn="0" w:firstRowLastColumn="0" w:lastRowFirstColumn="0" w:lastRowLastColumn="0"/>
            </w:pPr>
            <w:r w:rsidRPr="00083D09">
              <w:t>17</w:t>
            </w:r>
          </w:p>
        </w:tc>
      </w:tr>
      <w:tr w:rsidR="006F2BB8" w:rsidRPr="006F2BB8" w14:paraId="1C64621D" w14:textId="77777777" w:rsidTr="00083D09">
        <w:trPr>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41141B6E" w14:textId="77777777" w:rsidR="006F2BB8" w:rsidRPr="00326809" w:rsidRDefault="006F2BB8" w:rsidP="006C2935">
            <w:pPr>
              <w:pStyle w:val="10Tabletext"/>
              <w:keepNext/>
            </w:pPr>
            <w:r w:rsidRPr="00326809">
              <w:t>Regulation, governance and risk</w:t>
            </w:r>
          </w:p>
        </w:tc>
        <w:tc>
          <w:tcPr>
            <w:tcW w:w="1766" w:type="dxa"/>
          </w:tcPr>
          <w:p w14:paraId="3B6D228D" w14:textId="77777777" w:rsidR="006F2BB8" w:rsidRPr="00083D09" w:rsidRDefault="006F2BB8" w:rsidP="00083D09">
            <w:pPr>
              <w:pStyle w:val="10Tabletext"/>
              <w:jc w:val="center"/>
              <w:cnfStyle w:val="000000000000" w:firstRow="0" w:lastRow="0" w:firstColumn="0" w:lastColumn="0" w:oddVBand="0" w:evenVBand="0" w:oddHBand="0" w:evenHBand="0" w:firstRowFirstColumn="0" w:firstRowLastColumn="0" w:lastRowFirstColumn="0" w:lastRowLastColumn="0"/>
            </w:pPr>
            <w:r w:rsidRPr="00083D09">
              <w:t>34</w:t>
            </w:r>
          </w:p>
        </w:tc>
        <w:tc>
          <w:tcPr>
            <w:tcW w:w="1766" w:type="dxa"/>
            <w:tcBorders>
              <w:right w:val="nil"/>
            </w:tcBorders>
          </w:tcPr>
          <w:p w14:paraId="64D36206" w14:textId="77777777" w:rsidR="006F2BB8" w:rsidRPr="00083D09" w:rsidRDefault="006F2BB8" w:rsidP="00083D09">
            <w:pPr>
              <w:pStyle w:val="10Tabletext"/>
              <w:jc w:val="center"/>
              <w:cnfStyle w:val="000000000000" w:firstRow="0" w:lastRow="0" w:firstColumn="0" w:lastColumn="0" w:oddVBand="0" w:evenVBand="0" w:oddHBand="0" w:evenHBand="0" w:firstRowFirstColumn="0" w:firstRowLastColumn="0" w:lastRowFirstColumn="0" w:lastRowLastColumn="0"/>
            </w:pPr>
            <w:r w:rsidRPr="00083D09">
              <w:t>16</w:t>
            </w:r>
          </w:p>
        </w:tc>
      </w:tr>
      <w:tr w:rsidR="006F2BB8" w:rsidRPr="006F2BB8" w14:paraId="3574ABA2" w14:textId="77777777" w:rsidTr="00083D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5214B585" w14:textId="77777777" w:rsidR="006F2BB8" w:rsidRPr="00326809" w:rsidRDefault="006F2BB8" w:rsidP="006C2935">
            <w:pPr>
              <w:pStyle w:val="10Tabletext"/>
              <w:keepNext/>
            </w:pPr>
            <w:r w:rsidRPr="00326809">
              <w:t>Legal</w:t>
            </w:r>
          </w:p>
        </w:tc>
        <w:tc>
          <w:tcPr>
            <w:tcW w:w="1766" w:type="dxa"/>
          </w:tcPr>
          <w:p w14:paraId="7F8497FD" w14:textId="77777777" w:rsidR="006F2BB8" w:rsidRPr="00083D09" w:rsidRDefault="006F2BB8" w:rsidP="00083D09">
            <w:pPr>
              <w:pStyle w:val="10Tabletext"/>
              <w:jc w:val="center"/>
              <w:cnfStyle w:val="000000100000" w:firstRow="0" w:lastRow="0" w:firstColumn="0" w:lastColumn="0" w:oddVBand="0" w:evenVBand="0" w:oddHBand="1" w:evenHBand="0" w:firstRowFirstColumn="0" w:firstRowLastColumn="0" w:lastRowFirstColumn="0" w:lastRowLastColumn="0"/>
            </w:pPr>
            <w:r w:rsidRPr="00083D09">
              <w:t>32</w:t>
            </w:r>
          </w:p>
        </w:tc>
        <w:tc>
          <w:tcPr>
            <w:tcW w:w="1766" w:type="dxa"/>
            <w:tcBorders>
              <w:right w:val="nil"/>
            </w:tcBorders>
          </w:tcPr>
          <w:p w14:paraId="1CC7BB99" w14:textId="77777777" w:rsidR="006F2BB8" w:rsidRPr="00083D09" w:rsidRDefault="006F2BB8" w:rsidP="00083D09">
            <w:pPr>
              <w:pStyle w:val="10Tabletext"/>
              <w:jc w:val="center"/>
              <w:cnfStyle w:val="000000100000" w:firstRow="0" w:lastRow="0" w:firstColumn="0" w:lastColumn="0" w:oddVBand="0" w:evenVBand="0" w:oddHBand="1" w:evenHBand="0" w:firstRowFirstColumn="0" w:firstRowLastColumn="0" w:lastRowFirstColumn="0" w:lastRowLastColumn="0"/>
            </w:pPr>
            <w:r w:rsidRPr="00083D09">
              <w:t>15</w:t>
            </w:r>
          </w:p>
        </w:tc>
      </w:tr>
      <w:tr w:rsidR="006F2BB8" w:rsidRPr="006F2BB8" w14:paraId="23098BBD" w14:textId="77777777" w:rsidTr="00083D09">
        <w:trPr>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57E93187" w14:textId="77777777" w:rsidR="006F2BB8" w:rsidRPr="00326809" w:rsidRDefault="006F2BB8" w:rsidP="006C2935">
            <w:pPr>
              <w:pStyle w:val="10Tabletext"/>
              <w:keepNext/>
            </w:pPr>
            <w:r w:rsidRPr="00326809">
              <w:t>Accounting and finance</w:t>
            </w:r>
          </w:p>
        </w:tc>
        <w:tc>
          <w:tcPr>
            <w:tcW w:w="1766" w:type="dxa"/>
          </w:tcPr>
          <w:p w14:paraId="281DF36B" w14:textId="77777777" w:rsidR="006F2BB8" w:rsidRPr="00083D09" w:rsidRDefault="006F2BB8" w:rsidP="00083D09">
            <w:pPr>
              <w:pStyle w:val="10Tabletext"/>
              <w:jc w:val="center"/>
              <w:cnfStyle w:val="000000000000" w:firstRow="0" w:lastRow="0" w:firstColumn="0" w:lastColumn="0" w:oddVBand="0" w:evenVBand="0" w:oddHBand="0" w:evenHBand="0" w:firstRowFirstColumn="0" w:firstRowLastColumn="0" w:lastRowFirstColumn="0" w:lastRowLastColumn="0"/>
            </w:pPr>
            <w:r w:rsidRPr="00083D09">
              <w:t>29</w:t>
            </w:r>
          </w:p>
        </w:tc>
        <w:tc>
          <w:tcPr>
            <w:tcW w:w="1766" w:type="dxa"/>
            <w:tcBorders>
              <w:right w:val="nil"/>
            </w:tcBorders>
          </w:tcPr>
          <w:p w14:paraId="20100E83" w14:textId="77777777" w:rsidR="006F2BB8" w:rsidRPr="00083D09" w:rsidRDefault="006F2BB8" w:rsidP="00083D09">
            <w:pPr>
              <w:pStyle w:val="10Tabletext"/>
              <w:jc w:val="center"/>
              <w:cnfStyle w:val="000000000000" w:firstRow="0" w:lastRow="0" w:firstColumn="0" w:lastColumn="0" w:oddVBand="0" w:evenVBand="0" w:oddHBand="0" w:evenHBand="0" w:firstRowFirstColumn="0" w:firstRowLastColumn="0" w:lastRowFirstColumn="0" w:lastRowLastColumn="0"/>
            </w:pPr>
            <w:r w:rsidRPr="00083D09">
              <w:t>13</w:t>
            </w:r>
          </w:p>
        </w:tc>
      </w:tr>
      <w:tr w:rsidR="006F2BB8" w:rsidRPr="006F2BB8" w14:paraId="51A75B75" w14:textId="77777777" w:rsidTr="00083D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40428476" w14:textId="77777777" w:rsidR="006F2BB8" w:rsidRPr="00326809" w:rsidRDefault="006F2BB8" w:rsidP="006C2935">
            <w:pPr>
              <w:pStyle w:val="10Tabletext"/>
              <w:keepNext/>
            </w:pPr>
            <w:r w:rsidRPr="00326809">
              <w:t>Data analytics and research</w:t>
            </w:r>
          </w:p>
        </w:tc>
        <w:tc>
          <w:tcPr>
            <w:tcW w:w="1766" w:type="dxa"/>
          </w:tcPr>
          <w:p w14:paraId="52E0828D" w14:textId="77777777" w:rsidR="006F2BB8" w:rsidRPr="00083D09" w:rsidRDefault="006F2BB8" w:rsidP="00083D09">
            <w:pPr>
              <w:pStyle w:val="10Tabletext"/>
              <w:jc w:val="center"/>
              <w:cnfStyle w:val="000000100000" w:firstRow="0" w:lastRow="0" w:firstColumn="0" w:lastColumn="0" w:oddVBand="0" w:evenVBand="0" w:oddHBand="1" w:evenHBand="0" w:firstRowFirstColumn="0" w:firstRowLastColumn="0" w:lastRowFirstColumn="0" w:lastRowLastColumn="0"/>
            </w:pPr>
            <w:r w:rsidRPr="00083D09">
              <w:t>25</w:t>
            </w:r>
          </w:p>
        </w:tc>
        <w:tc>
          <w:tcPr>
            <w:tcW w:w="1766" w:type="dxa"/>
            <w:tcBorders>
              <w:right w:val="nil"/>
            </w:tcBorders>
          </w:tcPr>
          <w:p w14:paraId="09FD3358" w14:textId="77777777" w:rsidR="006F2BB8" w:rsidRPr="00083D09" w:rsidRDefault="006F2BB8" w:rsidP="00083D09">
            <w:pPr>
              <w:pStyle w:val="10Tabletext"/>
              <w:jc w:val="center"/>
              <w:cnfStyle w:val="000000100000" w:firstRow="0" w:lastRow="0" w:firstColumn="0" w:lastColumn="0" w:oddVBand="0" w:evenVBand="0" w:oddHBand="1" w:evenHBand="0" w:firstRowFirstColumn="0" w:firstRowLastColumn="0" w:lastRowFirstColumn="0" w:lastRowLastColumn="0"/>
            </w:pPr>
            <w:r w:rsidRPr="00083D09">
              <w:t>12</w:t>
            </w:r>
          </w:p>
        </w:tc>
      </w:tr>
      <w:tr w:rsidR="006F2BB8" w:rsidRPr="006F2BB8" w14:paraId="2F6DD1F8" w14:textId="77777777" w:rsidTr="00083D09">
        <w:trPr>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1C6C82F4" w14:textId="77777777" w:rsidR="006F2BB8" w:rsidRPr="00326809" w:rsidRDefault="006F2BB8" w:rsidP="006C2935">
            <w:pPr>
              <w:pStyle w:val="10Tabletext"/>
              <w:keepNext/>
            </w:pPr>
            <w:r w:rsidRPr="00326809">
              <w:t>Communications and community engagement</w:t>
            </w:r>
          </w:p>
        </w:tc>
        <w:tc>
          <w:tcPr>
            <w:tcW w:w="1766" w:type="dxa"/>
          </w:tcPr>
          <w:p w14:paraId="09E89041" w14:textId="77777777" w:rsidR="006F2BB8" w:rsidRPr="00083D09" w:rsidRDefault="006F2BB8" w:rsidP="00083D09">
            <w:pPr>
              <w:pStyle w:val="10Tabletext"/>
              <w:jc w:val="center"/>
              <w:cnfStyle w:val="000000000000" w:firstRow="0" w:lastRow="0" w:firstColumn="0" w:lastColumn="0" w:oddVBand="0" w:evenVBand="0" w:oddHBand="0" w:evenHBand="0" w:firstRowFirstColumn="0" w:firstRowLastColumn="0" w:lastRowFirstColumn="0" w:lastRowLastColumn="0"/>
            </w:pPr>
            <w:r w:rsidRPr="00083D09">
              <w:t>20</w:t>
            </w:r>
          </w:p>
        </w:tc>
        <w:tc>
          <w:tcPr>
            <w:tcW w:w="1766" w:type="dxa"/>
            <w:tcBorders>
              <w:right w:val="nil"/>
            </w:tcBorders>
          </w:tcPr>
          <w:p w14:paraId="39F2B746" w14:textId="77777777" w:rsidR="006F2BB8" w:rsidRPr="00083D09" w:rsidRDefault="006F2BB8" w:rsidP="00083D09">
            <w:pPr>
              <w:pStyle w:val="10Tabletext"/>
              <w:jc w:val="center"/>
              <w:cnfStyle w:val="000000000000" w:firstRow="0" w:lastRow="0" w:firstColumn="0" w:lastColumn="0" w:oddVBand="0" w:evenVBand="0" w:oddHBand="0" w:evenHBand="0" w:firstRowFirstColumn="0" w:firstRowLastColumn="0" w:lastRowFirstColumn="0" w:lastRowLastColumn="0"/>
            </w:pPr>
            <w:r w:rsidRPr="00083D09">
              <w:t>9</w:t>
            </w:r>
          </w:p>
        </w:tc>
      </w:tr>
      <w:tr w:rsidR="006F2BB8" w:rsidRPr="006F2BB8" w14:paraId="51335E8E" w14:textId="77777777" w:rsidTr="00083D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231CF342" w14:textId="77777777" w:rsidR="006F2BB8" w:rsidRPr="00326809" w:rsidRDefault="006F2BB8" w:rsidP="006C2935">
            <w:pPr>
              <w:pStyle w:val="10Tabletext"/>
              <w:keepNext/>
            </w:pPr>
            <w:r w:rsidRPr="00326809">
              <w:t>Other</w:t>
            </w:r>
          </w:p>
        </w:tc>
        <w:tc>
          <w:tcPr>
            <w:tcW w:w="1766" w:type="dxa"/>
          </w:tcPr>
          <w:p w14:paraId="28ACEE7D" w14:textId="77777777" w:rsidR="006F2BB8" w:rsidRPr="00083D09" w:rsidRDefault="006F2BB8" w:rsidP="00083D09">
            <w:pPr>
              <w:pStyle w:val="10Tabletext"/>
              <w:jc w:val="center"/>
              <w:cnfStyle w:val="000000100000" w:firstRow="0" w:lastRow="0" w:firstColumn="0" w:lastColumn="0" w:oddVBand="0" w:evenVBand="0" w:oddHBand="1" w:evenHBand="0" w:firstRowFirstColumn="0" w:firstRowLastColumn="0" w:lastRowFirstColumn="0" w:lastRowLastColumn="0"/>
            </w:pPr>
            <w:r w:rsidRPr="00083D09">
              <w:t>121</w:t>
            </w:r>
          </w:p>
        </w:tc>
        <w:tc>
          <w:tcPr>
            <w:tcW w:w="1766" w:type="dxa"/>
            <w:tcBorders>
              <w:right w:val="nil"/>
            </w:tcBorders>
          </w:tcPr>
          <w:p w14:paraId="0D45FE24" w14:textId="77777777" w:rsidR="006F2BB8" w:rsidRPr="00083D09" w:rsidRDefault="006F2BB8" w:rsidP="00083D09">
            <w:pPr>
              <w:pStyle w:val="10Tabletext"/>
              <w:jc w:val="center"/>
              <w:cnfStyle w:val="000000100000" w:firstRow="0" w:lastRow="0" w:firstColumn="0" w:lastColumn="0" w:oddVBand="0" w:evenVBand="0" w:oddHBand="1" w:evenHBand="0" w:firstRowFirstColumn="0" w:firstRowLastColumn="0" w:lastRowFirstColumn="0" w:lastRowLastColumn="0"/>
            </w:pPr>
            <w:r w:rsidRPr="00083D09">
              <w:t>56</w:t>
            </w:r>
          </w:p>
        </w:tc>
      </w:tr>
      <w:tr w:rsidR="006F2BB8" w:rsidRPr="006F2BB8" w14:paraId="7F0FA2A0" w14:textId="77777777" w:rsidTr="00083D09">
        <w:trPr>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3ABF3F42" w14:textId="71EF647C" w:rsidR="006F2BB8" w:rsidRPr="00326809" w:rsidRDefault="006F2BB8" w:rsidP="006C2935">
            <w:pPr>
              <w:pStyle w:val="10Tabletext"/>
              <w:keepNext/>
            </w:pPr>
            <w:r w:rsidRPr="00326809">
              <w:t>Total</w:t>
            </w:r>
            <w:r w:rsidR="00790248" w:rsidRPr="00326809">
              <w:t xml:space="preserve"> respondents</w:t>
            </w:r>
          </w:p>
        </w:tc>
        <w:tc>
          <w:tcPr>
            <w:tcW w:w="1766" w:type="dxa"/>
          </w:tcPr>
          <w:p w14:paraId="55EAA05D" w14:textId="77777777" w:rsidR="006F2BB8" w:rsidRPr="00083D09" w:rsidRDefault="006F2BB8" w:rsidP="00083D09">
            <w:pPr>
              <w:pStyle w:val="10Tabletext"/>
              <w:jc w:val="center"/>
              <w:cnfStyle w:val="000000000000" w:firstRow="0" w:lastRow="0" w:firstColumn="0" w:lastColumn="0" w:oddVBand="0" w:evenVBand="0" w:oddHBand="0" w:evenHBand="0" w:firstRowFirstColumn="0" w:firstRowLastColumn="0" w:lastRowFirstColumn="0" w:lastRowLastColumn="0"/>
            </w:pPr>
            <w:r w:rsidRPr="00083D09">
              <w:t>215</w:t>
            </w:r>
          </w:p>
        </w:tc>
        <w:tc>
          <w:tcPr>
            <w:tcW w:w="1766" w:type="dxa"/>
            <w:tcBorders>
              <w:right w:val="nil"/>
            </w:tcBorders>
          </w:tcPr>
          <w:p w14:paraId="25170460" w14:textId="77777777" w:rsidR="006F2BB8" w:rsidRPr="00083D09" w:rsidRDefault="006F2BB8" w:rsidP="00083D09">
            <w:pPr>
              <w:pStyle w:val="10Tabletext"/>
              <w:jc w:val="center"/>
              <w:cnfStyle w:val="000000000000" w:firstRow="0" w:lastRow="0" w:firstColumn="0" w:lastColumn="0" w:oddVBand="0" w:evenVBand="0" w:oddHBand="0" w:evenHBand="0" w:firstRowFirstColumn="0" w:firstRowLastColumn="0" w:lastRowFirstColumn="0" w:lastRowLastColumn="0"/>
            </w:pPr>
          </w:p>
        </w:tc>
      </w:tr>
    </w:tbl>
    <w:p w14:paraId="15DEC678" w14:textId="5A68E514" w:rsidR="006F2BB8" w:rsidRPr="006F2BB8" w:rsidRDefault="006F2BB8" w:rsidP="00D827CB">
      <w:pPr>
        <w:pStyle w:val="09Sourcesandnotesfortablesfiguresboxes"/>
      </w:pPr>
      <w:r w:rsidRPr="006F2BB8">
        <w:t>Note</w:t>
      </w:r>
      <w:r w:rsidR="008358AA">
        <w:t>s</w:t>
      </w:r>
      <w:r w:rsidRPr="006F2BB8">
        <w:t>: This question was only asked to respondents who answered ‘Yes’ in Table A.15 and ‘Yes’ in Table A.16. The answer choices were copied from the People Matter Survey questionnaire</w:t>
      </w:r>
      <w:r w:rsidR="00536DEC">
        <w:t>.</w:t>
      </w:r>
      <w:r w:rsidR="008358AA" w:rsidRPr="008358AA">
        <w:t xml:space="preserve"> </w:t>
      </w:r>
      <w:r w:rsidR="008358AA">
        <w:t>The percentages in this table exceed 100</w:t>
      </w:r>
      <w:r w:rsidR="001C38B3">
        <w:t xml:space="preserve"> per cent</w:t>
      </w:r>
      <w:r w:rsidR="008358AA">
        <w:t xml:space="preserve"> as respondents were asked to select multiple options.</w:t>
      </w:r>
    </w:p>
    <w:p w14:paraId="1E70A444" w14:textId="77777777" w:rsidR="006F2BB8" w:rsidRPr="006F2BB8" w:rsidRDefault="006F2BB8" w:rsidP="006A3A46">
      <w:pPr>
        <w:pStyle w:val="05Paragraph"/>
      </w:pPr>
      <w:r w:rsidRPr="006F2BB8">
        <w:t>Respondents expressed that the primary disincentives for potential candidates were the TRP for the position and the contract length (Table A.18).</w:t>
      </w:r>
    </w:p>
    <w:p w14:paraId="625A80CB" w14:textId="77777777" w:rsidR="006F2BB8" w:rsidRPr="006F2BB8" w:rsidRDefault="006F2BB8" w:rsidP="00144BE8">
      <w:pPr>
        <w:pStyle w:val="08Figuretableboxheading"/>
      </w:pPr>
      <w:bookmarkStart w:id="196" w:name="_Toc170393598"/>
      <w:r w:rsidRPr="006F2BB8">
        <w:t>Table A.18: What factors do you think are affecting potential candidates’ interest in applying for, or accepting employment offers? Please select all that apply.</w:t>
      </w:r>
      <w:bookmarkEnd w:id="196"/>
    </w:p>
    <w:tbl>
      <w:tblPr>
        <w:tblStyle w:val="ListTable3-Accent1"/>
        <w:tblW w:w="0" w:type="auto"/>
        <w:tblLayout w:type="fixed"/>
        <w:tblLook w:val="04A0" w:firstRow="1" w:lastRow="0" w:firstColumn="1" w:lastColumn="0" w:noHBand="0" w:noVBand="1"/>
      </w:tblPr>
      <w:tblGrid>
        <w:gridCol w:w="6237"/>
        <w:gridCol w:w="1199"/>
        <w:gridCol w:w="1058"/>
      </w:tblGrid>
      <w:tr w:rsidR="006F2BB8" w:rsidRPr="00353789" w14:paraId="21078BD2" w14:textId="77777777" w:rsidTr="00F37F39">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6237" w:type="dxa"/>
            <w:tcBorders>
              <w:top w:val="single" w:sz="4" w:space="0" w:color="26664E"/>
              <w:left w:val="nil"/>
              <w:bottom w:val="single" w:sz="4" w:space="0" w:color="148A5D"/>
              <w:right w:val="single" w:sz="4" w:space="0" w:color="148A5D"/>
            </w:tcBorders>
            <w:shd w:val="clear" w:color="auto" w:fill="148A5D"/>
          </w:tcPr>
          <w:p w14:paraId="450BDF83" w14:textId="77777777" w:rsidR="006F2BB8" w:rsidRPr="00803DE9" w:rsidRDefault="006F2BB8" w:rsidP="00326809">
            <w:pPr>
              <w:pStyle w:val="10Tabletext"/>
            </w:pPr>
            <w:r w:rsidRPr="00803DE9">
              <w:t>Answer choices</w:t>
            </w:r>
          </w:p>
        </w:tc>
        <w:tc>
          <w:tcPr>
            <w:tcW w:w="2257" w:type="dxa"/>
            <w:gridSpan w:val="2"/>
            <w:tcBorders>
              <w:top w:val="single" w:sz="4" w:space="0" w:color="26664E"/>
              <w:left w:val="single" w:sz="4" w:space="0" w:color="148A5D"/>
              <w:bottom w:val="single" w:sz="4" w:space="0" w:color="148A5D"/>
              <w:right w:val="nil"/>
            </w:tcBorders>
            <w:shd w:val="clear" w:color="auto" w:fill="148A5D"/>
          </w:tcPr>
          <w:p w14:paraId="738A706A" w14:textId="77777777" w:rsidR="006F2BB8" w:rsidRPr="00803DE9" w:rsidRDefault="006F2BB8" w:rsidP="00F37F39">
            <w:pPr>
              <w:pStyle w:val="10Tabletext"/>
              <w:jc w:val="center"/>
              <w:cnfStyle w:val="100000000000" w:firstRow="1" w:lastRow="0" w:firstColumn="0" w:lastColumn="0" w:oddVBand="0" w:evenVBand="0" w:oddHBand="0" w:evenHBand="0" w:firstRowFirstColumn="0" w:firstRowLastColumn="0" w:lastRowFirstColumn="0" w:lastRowLastColumn="0"/>
            </w:pPr>
            <w:r w:rsidRPr="00803DE9">
              <w:t>Responses</w:t>
            </w:r>
          </w:p>
        </w:tc>
      </w:tr>
      <w:tr w:rsidR="006F2BB8" w:rsidRPr="00353789" w14:paraId="06C9398B" w14:textId="77777777" w:rsidTr="00F37F3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148A5D"/>
              <w:left w:val="nil"/>
              <w:right w:val="single" w:sz="4" w:space="0" w:color="148A5D"/>
            </w:tcBorders>
            <w:shd w:val="clear" w:color="auto" w:fill="148A5D"/>
          </w:tcPr>
          <w:p w14:paraId="398BADC3" w14:textId="77777777" w:rsidR="006F2BB8" w:rsidRPr="00803DE9" w:rsidRDefault="006F2BB8" w:rsidP="00803DE9">
            <w:pPr>
              <w:pStyle w:val="10Tabletext"/>
              <w:rPr>
                <w:color w:val="FFFFFF" w:themeColor="background1"/>
              </w:rPr>
            </w:pPr>
          </w:p>
        </w:tc>
        <w:tc>
          <w:tcPr>
            <w:tcW w:w="1199" w:type="dxa"/>
            <w:tcBorders>
              <w:top w:val="single" w:sz="4" w:space="0" w:color="148A5D"/>
              <w:left w:val="single" w:sz="4" w:space="0" w:color="148A5D"/>
              <w:right w:val="single" w:sz="4" w:space="0" w:color="148A5D"/>
            </w:tcBorders>
            <w:shd w:val="clear" w:color="auto" w:fill="148A5D"/>
          </w:tcPr>
          <w:p w14:paraId="3E95EDB4" w14:textId="77777777" w:rsidR="006F2BB8" w:rsidRPr="00803DE9" w:rsidRDefault="006F2BB8" w:rsidP="00F37F39">
            <w:pPr>
              <w:pStyle w:val="10Tabletext"/>
              <w:jc w:val="center"/>
              <w:cnfStyle w:val="000000100000" w:firstRow="0" w:lastRow="0" w:firstColumn="0" w:lastColumn="0" w:oddVBand="0" w:evenVBand="0" w:oddHBand="1" w:evenHBand="0" w:firstRowFirstColumn="0" w:firstRowLastColumn="0" w:lastRowFirstColumn="0" w:lastRowLastColumn="0"/>
              <w:rPr>
                <w:b/>
                <w:bCs w:val="0"/>
                <w:color w:val="FFFFFF" w:themeColor="background1"/>
              </w:rPr>
            </w:pPr>
            <w:r w:rsidRPr="00803DE9">
              <w:rPr>
                <w:b/>
                <w:bCs w:val="0"/>
                <w:color w:val="FFFFFF" w:themeColor="background1"/>
              </w:rPr>
              <w:t>Number</w:t>
            </w:r>
          </w:p>
        </w:tc>
        <w:tc>
          <w:tcPr>
            <w:tcW w:w="1058" w:type="dxa"/>
            <w:tcBorders>
              <w:top w:val="single" w:sz="4" w:space="0" w:color="148A5D"/>
              <w:left w:val="single" w:sz="4" w:space="0" w:color="148A5D"/>
              <w:right w:val="nil"/>
            </w:tcBorders>
            <w:shd w:val="clear" w:color="auto" w:fill="148A5D"/>
          </w:tcPr>
          <w:p w14:paraId="18CCE065" w14:textId="77777777" w:rsidR="006F2BB8" w:rsidRPr="00803DE9" w:rsidRDefault="006F2BB8" w:rsidP="00F37F39">
            <w:pPr>
              <w:pStyle w:val="10Tabletext"/>
              <w:jc w:val="center"/>
              <w:cnfStyle w:val="000000100000" w:firstRow="0" w:lastRow="0" w:firstColumn="0" w:lastColumn="0" w:oddVBand="0" w:evenVBand="0" w:oddHBand="1" w:evenHBand="0" w:firstRowFirstColumn="0" w:firstRowLastColumn="0" w:lastRowFirstColumn="0" w:lastRowLastColumn="0"/>
              <w:rPr>
                <w:b/>
                <w:bCs w:val="0"/>
                <w:color w:val="FFFFFF" w:themeColor="background1"/>
              </w:rPr>
            </w:pPr>
            <w:r w:rsidRPr="00803DE9">
              <w:rPr>
                <w:b/>
                <w:bCs w:val="0"/>
                <w:color w:val="FFFFFF" w:themeColor="background1"/>
              </w:rPr>
              <w:t>%</w:t>
            </w:r>
          </w:p>
        </w:tc>
      </w:tr>
      <w:tr w:rsidR="006F2BB8" w:rsidRPr="00353789" w14:paraId="2C907027" w14:textId="77777777" w:rsidTr="00F37F39">
        <w:trPr>
          <w:cantSplit/>
        </w:trPr>
        <w:tc>
          <w:tcPr>
            <w:cnfStyle w:val="001000000000" w:firstRow="0" w:lastRow="0" w:firstColumn="1" w:lastColumn="0" w:oddVBand="0" w:evenVBand="0" w:oddHBand="0" w:evenHBand="0" w:firstRowFirstColumn="0" w:firstRowLastColumn="0" w:lastRowFirstColumn="0" w:lastRowLastColumn="0"/>
            <w:tcW w:w="6237" w:type="dxa"/>
            <w:tcBorders>
              <w:left w:val="nil"/>
            </w:tcBorders>
          </w:tcPr>
          <w:p w14:paraId="70B13B78" w14:textId="77777777" w:rsidR="006F2BB8" w:rsidRPr="00803DE9" w:rsidRDefault="006F2BB8" w:rsidP="00803DE9">
            <w:pPr>
              <w:pStyle w:val="10Tabletext"/>
            </w:pPr>
            <w:r w:rsidRPr="00803DE9">
              <w:t>Total remuneration package is too low</w:t>
            </w:r>
          </w:p>
        </w:tc>
        <w:tc>
          <w:tcPr>
            <w:tcW w:w="1199" w:type="dxa"/>
          </w:tcPr>
          <w:p w14:paraId="5A4370B7" w14:textId="77777777" w:rsidR="006F2BB8" w:rsidRPr="00F37F39" w:rsidRDefault="006F2BB8" w:rsidP="00F37F39">
            <w:pPr>
              <w:pStyle w:val="10Tabletext"/>
              <w:jc w:val="center"/>
              <w:cnfStyle w:val="000000000000" w:firstRow="0" w:lastRow="0" w:firstColumn="0" w:lastColumn="0" w:oddVBand="0" w:evenVBand="0" w:oddHBand="0" w:evenHBand="0" w:firstRowFirstColumn="0" w:firstRowLastColumn="0" w:lastRowFirstColumn="0" w:lastRowLastColumn="0"/>
            </w:pPr>
            <w:r w:rsidRPr="00F37F39">
              <w:t>193</w:t>
            </w:r>
          </w:p>
        </w:tc>
        <w:tc>
          <w:tcPr>
            <w:tcW w:w="1058" w:type="dxa"/>
            <w:tcBorders>
              <w:right w:val="nil"/>
            </w:tcBorders>
          </w:tcPr>
          <w:p w14:paraId="6847FBB6" w14:textId="77777777" w:rsidR="006F2BB8" w:rsidRPr="00F37F39" w:rsidRDefault="006F2BB8" w:rsidP="00F37F39">
            <w:pPr>
              <w:pStyle w:val="10Tabletext"/>
              <w:jc w:val="center"/>
              <w:cnfStyle w:val="000000000000" w:firstRow="0" w:lastRow="0" w:firstColumn="0" w:lastColumn="0" w:oddVBand="0" w:evenVBand="0" w:oddHBand="0" w:evenHBand="0" w:firstRowFirstColumn="0" w:firstRowLastColumn="0" w:lastRowFirstColumn="0" w:lastRowLastColumn="0"/>
            </w:pPr>
            <w:r w:rsidRPr="00F37F39">
              <w:t>89</w:t>
            </w:r>
          </w:p>
        </w:tc>
      </w:tr>
      <w:tr w:rsidR="006F2BB8" w:rsidRPr="00353789" w14:paraId="5B5E082E" w14:textId="77777777" w:rsidTr="00F37F3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37" w:type="dxa"/>
            <w:tcBorders>
              <w:left w:val="nil"/>
            </w:tcBorders>
          </w:tcPr>
          <w:p w14:paraId="3C2B4563" w14:textId="77777777" w:rsidR="006F2BB8" w:rsidRPr="00803DE9" w:rsidRDefault="006F2BB8" w:rsidP="00803DE9">
            <w:pPr>
              <w:pStyle w:val="10Tabletext"/>
            </w:pPr>
            <w:r w:rsidRPr="00803DE9">
              <w:t>Insufficient contract length</w:t>
            </w:r>
          </w:p>
        </w:tc>
        <w:tc>
          <w:tcPr>
            <w:tcW w:w="1199" w:type="dxa"/>
          </w:tcPr>
          <w:p w14:paraId="6311A9CD" w14:textId="77777777" w:rsidR="006F2BB8" w:rsidRPr="00F37F39" w:rsidRDefault="006F2BB8" w:rsidP="00F37F39">
            <w:pPr>
              <w:pStyle w:val="10Tabletext"/>
              <w:jc w:val="center"/>
              <w:cnfStyle w:val="000000100000" w:firstRow="0" w:lastRow="0" w:firstColumn="0" w:lastColumn="0" w:oddVBand="0" w:evenVBand="0" w:oddHBand="1" w:evenHBand="0" w:firstRowFirstColumn="0" w:firstRowLastColumn="0" w:lastRowFirstColumn="0" w:lastRowLastColumn="0"/>
            </w:pPr>
            <w:r w:rsidRPr="00F37F39">
              <w:t>59</w:t>
            </w:r>
          </w:p>
        </w:tc>
        <w:tc>
          <w:tcPr>
            <w:tcW w:w="1058" w:type="dxa"/>
            <w:tcBorders>
              <w:right w:val="nil"/>
            </w:tcBorders>
          </w:tcPr>
          <w:p w14:paraId="37ABF836" w14:textId="77777777" w:rsidR="006F2BB8" w:rsidRPr="00F37F39" w:rsidRDefault="006F2BB8" w:rsidP="00F37F39">
            <w:pPr>
              <w:pStyle w:val="10Tabletext"/>
              <w:jc w:val="center"/>
              <w:cnfStyle w:val="000000100000" w:firstRow="0" w:lastRow="0" w:firstColumn="0" w:lastColumn="0" w:oddVBand="0" w:evenVBand="0" w:oddHBand="1" w:evenHBand="0" w:firstRowFirstColumn="0" w:firstRowLastColumn="0" w:lastRowFirstColumn="0" w:lastRowLastColumn="0"/>
            </w:pPr>
            <w:r w:rsidRPr="00F37F39">
              <w:t>27</w:t>
            </w:r>
          </w:p>
        </w:tc>
      </w:tr>
      <w:tr w:rsidR="006F2BB8" w:rsidRPr="00353789" w14:paraId="7E59CCF1" w14:textId="77777777" w:rsidTr="00F37F39">
        <w:trPr>
          <w:cantSplit/>
        </w:trPr>
        <w:tc>
          <w:tcPr>
            <w:cnfStyle w:val="001000000000" w:firstRow="0" w:lastRow="0" w:firstColumn="1" w:lastColumn="0" w:oddVBand="0" w:evenVBand="0" w:oddHBand="0" w:evenHBand="0" w:firstRowFirstColumn="0" w:firstRowLastColumn="0" w:lastRowFirstColumn="0" w:lastRowLastColumn="0"/>
            <w:tcW w:w="6237" w:type="dxa"/>
            <w:tcBorders>
              <w:left w:val="nil"/>
            </w:tcBorders>
          </w:tcPr>
          <w:p w14:paraId="416CC160" w14:textId="77777777" w:rsidR="006F2BB8" w:rsidRPr="00803DE9" w:rsidRDefault="006F2BB8" w:rsidP="00803DE9">
            <w:pPr>
              <w:pStyle w:val="10Tabletext"/>
            </w:pPr>
            <w:r w:rsidRPr="00803DE9">
              <w:t>Other</w:t>
            </w:r>
          </w:p>
        </w:tc>
        <w:tc>
          <w:tcPr>
            <w:tcW w:w="1199" w:type="dxa"/>
          </w:tcPr>
          <w:p w14:paraId="0443529A" w14:textId="77777777" w:rsidR="006F2BB8" w:rsidRPr="00F37F39" w:rsidRDefault="006F2BB8" w:rsidP="00F37F39">
            <w:pPr>
              <w:pStyle w:val="10Tabletext"/>
              <w:jc w:val="center"/>
              <w:cnfStyle w:val="000000000000" w:firstRow="0" w:lastRow="0" w:firstColumn="0" w:lastColumn="0" w:oddVBand="0" w:evenVBand="0" w:oddHBand="0" w:evenHBand="0" w:firstRowFirstColumn="0" w:firstRowLastColumn="0" w:lastRowFirstColumn="0" w:lastRowLastColumn="0"/>
            </w:pPr>
            <w:r w:rsidRPr="00F37F39">
              <w:t>57</w:t>
            </w:r>
          </w:p>
        </w:tc>
        <w:tc>
          <w:tcPr>
            <w:tcW w:w="1058" w:type="dxa"/>
            <w:tcBorders>
              <w:right w:val="nil"/>
            </w:tcBorders>
          </w:tcPr>
          <w:p w14:paraId="25C47F71" w14:textId="77777777" w:rsidR="006F2BB8" w:rsidRPr="00F37F39" w:rsidRDefault="006F2BB8" w:rsidP="00F37F39">
            <w:pPr>
              <w:pStyle w:val="10Tabletext"/>
              <w:jc w:val="center"/>
              <w:cnfStyle w:val="000000000000" w:firstRow="0" w:lastRow="0" w:firstColumn="0" w:lastColumn="0" w:oddVBand="0" w:evenVBand="0" w:oddHBand="0" w:evenHBand="0" w:firstRowFirstColumn="0" w:firstRowLastColumn="0" w:lastRowFirstColumn="0" w:lastRowLastColumn="0"/>
            </w:pPr>
            <w:r w:rsidRPr="00F37F39">
              <w:t>26</w:t>
            </w:r>
          </w:p>
        </w:tc>
      </w:tr>
      <w:tr w:rsidR="006F2BB8" w:rsidRPr="00353789" w14:paraId="00F19657" w14:textId="77777777" w:rsidTr="00F37F3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37" w:type="dxa"/>
            <w:tcBorders>
              <w:left w:val="nil"/>
            </w:tcBorders>
          </w:tcPr>
          <w:p w14:paraId="561830E9" w14:textId="77777777" w:rsidR="006F2BB8" w:rsidRPr="00803DE9" w:rsidRDefault="006F2BB8" w:rsidP="00803DE9">
            <w:pPr>
              <w:pStyle w:val="10Tabletext"/>
            </w:pPr>
            <w:r w:rsidRPr="00803DE9">
              <w:t>Insufficient termination notice period</w:t>
            </w:r>
          </w:p>
        </w:tc>
        <w:tc>
          <w:tcPr>
            <w:tcW w:w="1199" w:type="dxa"/>
          </w:tcPr>
          <w:p w14:paraId="7919421E" w14:textId="77777777" w:rsidR="006F2BB8" w:rsidRPr="00F37F39" w:rsidRDefault="006F2BB8" w:rsidP="00F37F39">
            <w:pPr>
              <w:pStyle w:val="10Tabletext"/>
              <w:jc w:val="center"/>
              <w:cnfStyle w:val="000000100000" w:firstRow="0" w:lastRow="0" w:firstColumn="0" w:lastColumn="0" w:oddVBand="0" w:evenVBand="0" w:oddHBand="1" w:evenHBand="0" w:firstRowFirstColumn="0" w:firstRowLastColumn="0" w:lastRowFirstColumn="0" w:lastRowLastColumn="0"/>
            </w:pPr>
            <w:r w:rsidRPr="00F37F39">
              <w:t>28</w:t>
            </w:r>
          </w:p>
        </w:tc>
        <w:tc>
          <w:tcPr>
            <w:tcW w:w="1058" w:type="dxa"/>
            <w:tcBorders>
              <w:right w:val="nil"/>
            </w:tcBorders>
          </w:tcPr>
          <w:p w14:paraId="590A732E" w14:textId="77777777" w:rsidR="006F2BB8" w:rsidRPr="00F37F39" w:rsidRDefault="006F2BB8" w:rsidP="00F37F39">
            <w:pPr>
              <w:pStyle w:val="10Tabletext"/>
              <w:jc w:val="center"/>
              <w:cnfStyle w:val="000000100000" w:firstRow="0" w:lastRow="0" w:firstColumn="0" w:lastColumn="0" w:oddVBand="0" w:evenVBand="0" w:oddHBand="1" w:evenHBand="0" w:firstRowFirstColumn="0" w:firstRowLastColumn="0" w:lastRowFirstColumn="0" w:lastRowLastColumn="0"/>
            </w:pPr>
            <w:r w:rsidRPr="00F37F39">
              <w:t>13</w:t>
            </w:r>
          </w:p>
        </w:tc>
      </w:tr>
      <w:tr w:rsidR="006F2BB8" w:rsidRPr="00353789" w14:paraId="10D250AF" w14:textId="77777777" w:rsidTr="00F37F39">
        <w:trPr>
          <w:cantSplit/>
        </w:trPr>
        <w:tc>
          <w:tcPr>
            <w:cnfStyle w:val="001000000000" w:firstRow="0" w:lastRow="0" w:firstColumn="1" w:lastColumn="0" w:oddVBand="0" w:evenVBand="0" w:oddHBand="0" w:evenHBand="0" w:firstRowFirstColumn="0" w:firstRowLastColumn="0" w:lastRowFirstColumn="0" w:lastRowLastColumn="0"/>
            <w:tcW w:w="6237" w:type="dxa"/>
            <w:tcBorders>
              <w:left w:val="nil"/>
            </w:tcBorders>
          </w:tcPr>
          <w:p w14:paraId="4F2126ED" w14:textId="77777777" w:rsidR="006F2BB8" w:rsidRPr="00803DE9" w:rsidRDefault="006F2BB8" w:rsidP="00803DE9">
            <w:pPr>
              <w:pStyle w:val="10Tabletext"/>
            </w:pPr>
            <w:r w:rsidRPr="00803DE9">
              <w:t>Other financial component of the contract too low or not available</w:t>
            </w:r>
          </w:p>
        </w:tc>
        <w:tc>
          <w:tcPr>
            <w:tcW w:w="1199" w:type="dxa"/>
          </w:tcPr>
          <w:p w14:paraId="45DF2917" w14:textId="77777777" w:rsidR="006F2BB8" w:rsidRPr="00F37F39" w:rsidRDefault="006F2BB8" w:rsidP="00F37F39">
            <w:pPr>
              <w:pStyle w:val="10Tabletext"/>
              <w:jc w:val="center"/>
              <w:cnfStyle w:val="000000000000" w:firstRow="0" w:lastRow="0" w:firstColumn="0" w:lastColumn="0" w:oddVBand="0" w:evenVBand="0" w:oddHBand="0" w:evenHBand="0" w:firstRowFirstColumn="0" w:firstRowLastColumn="0" w:lastRowFirstColumn="0" w:lastRowLastColumn="0"/>
            </w:pPr>
            <w:r w:rsidRPr="00F37F39">
              <w:t>25</w:t>
            </w:r>
          </w:p>
        </w:tc>
        <w:tc>
          <w:tcPr>
            <w:tcW w:w="1058" w:type="dxa"/>
            <w:tcBorders>
              <w:right w:val="nil"/>
            </w:tcBorders>
          </w:tcPr>
          <w:p w14:paraId="1D38383D" w14:textId="77777777" w:rsidR="006F2BB8" w:rsidRPr="00F37F39" w:rsidRDefault="006F2BB8" w:rsidP="00F37F39">
            <w:pPr>
              <w:pStyle w:val="10Tabletext"/>
              <w:jc w:val="center"/>
              <w:cnfStyle w:val="000000000000" w:firstRow="0" w:lastRow="0" w:firstColumn="0" w:lastColumn="0" w:oddVBand="0" w:evenVBand="0" w:oddHBand="0" w:evenHBand="0" w:firstRowFirstColumn="0" w:firstRowLastColumn="0" w:lastRowFirstColumn="0" w:lastRowLastColumn="0"/>
            </w:pPr>
            <w:r w:rsidRPr="00F37F39">
              <w:t>12</w:t>
            </w:r>
          </w:p>
        </w:tc>
      </w:tr>
      <w:tr w:rsidR="006F2BB8" w:rsidRPr="00353789" w14:paraId="6610893D" w14:textId="77777777" w:rsidTr="00F37F3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37" w:type="dxa"/>
            <w:tcBorders>
              <w:left w:val="nil"/>
            </w:tcBorders>
          </w:tcPr>
          <w:p w14:paraId="6F6DF8DA" w14:textId="77777777" w:rsidR="006F2BB8" w:rsidRPr="00803DE9" w:rsidRDefault="006F2BB8" w:rsidP="00803DE9">
            <w:pPr>
              <w:pStyle w:val="10Tabletext"/>
            </w:pPr>
            <w:r w:rsidRPr="00803DE9">
              <w:t>Insufficient leave entitlements</w:t>
            </w:r>
          </w:p>
        </w:tc>
        <w:tc>
          <w:tcPr>
            <w:tcW w:w="1199" w:type="dxa"/>
          </w:tcPr>
          <w:p w14:paraId="68F0B4A2" w14:textId="77777777" w:rsidR="006F2BB8" w:rsidRPr="00F37F39" w:rsidRDefault="006F2BB8" w:rsidP="00F37F39">
            <w:pPr>
              <w:pStyle w:val="10Tabletext"/>
              <w:jc w:val="center"/>
              <w:cnfStyle w:val="000000100000" w:firstRow="0" w:lastRow="0" w:firstColumn="0" w:lastColumn="0" w:oddVBand="0" w:evenVBand="0" w:oddHBand="1" w:evenHBand="0" w:firstRowFirstColumn="0" w:firstRowLastColumn="0" w:lastRowFirstColumn="0" w:lastRowLastColumn="0"/>
            </w:pPr>
            <w:r w:rsidRPr="00F37F39">
              <w:t>17</w:t>
            </w:r>
          </w:p>
        </w:tc>
        <w:tc>
          <w:tcPr>
            <w:tcW w:w="1058" w:type="dxa"/>
            <w:tcBorders>
              <w:right w:val="nil"/>
            </w:tcBorders>
          </w:tcPr>
          <w:p w14:paraId="754EAB5A" w14:textId="77777777" w:rsidR="006F2BB8" w:rsidRPr="00F37F39" w:rsidRDefault="006F2BB8" w:rsidP="00F37F39">
            <w:pPr>
              <w:pStyle w:val="10Tabletext"/>
              <w:jc w:val="center"/>
              <w:cnfStyle w:val="000000100000" w:firstRow="0" w:lastRow="0" w:firstColumn="0" w:lastColumn="0" w:oddVBand="0" w:evenVBand="0" w:oddHBand="1" w:evenHBand="0" w:firstRowFirstColumn="0" w:firstRowLastColumn="0" w:lastRowFirstColumn="0" w:lastRowLastColumn="0"/>
            </w:pPr>
            <w:r w:rsidRPr="00F37F39">
              <w:t>8</w:t>
            </w:r>
          </w:p>
        </w:tc>
      </w:tr>
      <w:tr w:rsidR="006F2BB8" w:rsidRPr="00353789" w14:paraId="368444FF" w14:textId="77777777" w:rsidTr="00F37F39">
        <w:trPr>
          <w:cantSplit/>
        </w:trPr>
        <w:tc>
          <w:tcPr>
            <w:cnfStyle w:val="001000000000" w:firstRow="0" w:lastRow="0" w:firstColumn="1" w:lastColumn="0" w:oddVBand="0" w:evenVBand="0" w:oddHBand="0" w:evenHBand="0" w:firstRowFirstColumn="0" w:firstRowLastColumn="0" w:lastRowFirstColumn="0" w:lastRowLastColumn="0"/>
            <w:tcW w:w="6237" w:type="dxa"/>
            <w:tcBorders>
              <w:left w:val="nil"/>
            </w:tcBorders>
          </w:tcPr>
          <w:p w14:paraId="236DD895" w14:textId="77777777" w:rsidR="006F2BB8" w:rsidRPr="00803DE9" w:rsidRDefault="006F2BB8" w:rsidP="00803DE9">
            <w:pPr>
              <w:pStyle w:val="10Tabletext"/>
            </w:pPr>
            <w:r w:rsidRPr="00803DE9">
              <w:t>Insufficient access to other flexible work arrangements</w:t>
            </w:r>
          </w:p>
        </w:tc>
        <w:tc>
          <w:tcPr>
            <w:tcW w:w="1199" w:type="dxa"/>
          </w:tcPr>
          <w:p w14:paraId="481A836D" w14:textId="77777777" w:rsidR="006F2BB8" w:rsidRPr="00F37F39" w:rsidRDefault="006F2BB8" w:rsidP="00F37F39">
            <w:pPr>
              <w:pStyle w:val="10Tabletext"/>
              <w:jc w:val="center"/>
              <w:cnfStyle w:val="000000000000" w:firstRow="0" w:lastRow="0" w:firstColumn="0" w:lastColumn="0" w:oddVBand="0" w:evenVBand="0" w:oddHBand="0" w:evenHBand="0" w:firstRowFirstColumn="0" w:firstRowLastColumn="0" w:lastRowFirstColumn="0" w:lastRowLastColumn="0"/>
            </w:pPr>
            <w:r w:rsidRPr="00F37F39">
              <w:t>15</w:t>
            </w:r>
          </w:p>
        </w:tc>
        <w:tc>
          <w:tcPr>
            <w:tcW w:w="1058" w:type="dxa"/>
            <w:tcBorders>
              <w:right w:val="nil"/>
            </w:tcBorders>
          </w:tcPr>
          <w:p w14:paraId="3C30C863" w14:textId="77777777" w:rsidR="006F2BB8" w:rsidRPr="00F37F39" w:rsidRDefault="006F2BB8" w:rsidP="00F37F39">
            <w:pPr>
              <w:pStyle w:val="10Tabletext"/>
              <w:jc w:val="center"/>
              <w:cnfStyle w:val="000000000000" w:firstRow="0" w:lastRow="0" w:firstColumn="0" w:lastColumn="0" w:oddVBand="0" w:evenVBand="0" w:oddHBand="0" w:evenHBand="0" w:firstRowFirstColumn="0" w:firstRowLastColumn="0" w:lastRowFirstColumn="0" w:lastRowLastColumn="0"/>
            </w:pPr>
            <w:r w:rsidRPr="00F37F39">
              <w:t>7</w:t>
            </w:r>
          </w:p>
        </w:tc>
      </w:tr>
      <w:tr w:rsidR="006F2BB8" w:rsidRPr="00353789" w14:paraId="12C0B643" w14:textId="77777777" w:rsidTr="00F37F3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37" w:type="dxa"/>
            <w:tcBorders>
              <w:left w:val="nil"/>
            </w:tcBorders>
          </w:tcPr>
          <w:p w14:paraId="0B57CBF9" w14:textId="77777777" w:rsidR="006F2BB8" w:rsidRPr="00803DE9" w:rsidRDefault="006F2BB8" w:rsidP="00803DE9">
            <w:pPr>
              <w:pStyle w:val="10Tabletext"/>
            </w:pPr>
            <w:r w:rsidRPr="00803DE9">
              <w:t>Insufficient access to hybrid work</w:t>
            </w:r>
          </w:p>
        </w:tc>
        <w:tc>
          <w:tcPr>
            <w:tcW w:w="1199" w:type="dxa"/>
          </w:tcPr>
          <w:p w14:paraId="4238C10F" w14:textId="77777777" w:rsidR="006F2BB8" w:rsidRPr="00F37F39" w:rsidRDefault="006F2BB8" w:rsidP="00F37F39">
            <w:pPr>
              <w:pStyle w:val="10Tabletext"/>
              <w:jc w:val="center"/>
              <w:cnfStyle w:val="000000100000" w:firstRow="0" w:lastRow="0" w:firstColumn="0" w:lastColumn="0" w:oddVBand="0" w:evenVBand="0" w:oddHBand="1" w:evenHBand="0" w:firstRowFirstColumn="0" w:firstRowLastColumn="0" w:lastRowFirstColumn="0" w:lastRowLastColumn="0"/>
            </w:pPr>
            <w:r w:rsidRPr="00F37F39">
              <w:t>10</w:t>
            </w:r>
          </w:p>
        </w:tc>
        <w:tc>
          <w:tcPr>
            <w:tcW w:w="1058" w:type="dxa"/>
            <w:tcBorders>
              <w:right w:val="nil"/>
            </w:tcBorders>
          </w:tcPr>
          <w:p w14:paraId="16533FBB" w14:textId="77777777" w:rsidR="006F2BB8" w:rsidRPr="00F37F39" w:rsidRDefault="006F2BB8" w:rsidP="00F37F39">
            <w:pPr>
              <w:pStyle w:val="10Tabletext"/>
              <w:jc w:val="center"/>
              <w:cnfStyle w:val="000000100000" w:firstRow="0" w:lastRow="0" w:firstColumn="0" w:lastColumn="0" w:oddVBand="0" w:evenVBand="0" w:oddHBand="1" w:evenHBand="0" w:firstRowFirstColumn="0" w:firstRowLastColumn="0" w:lastRowFirstColumn="0" w:lastRowLastColumn="0"/>
            </w:pPr>
            <w:r w:rsidRPr="00F37F39">
              <w:t>5</w:t>
            </w:r>
          </w:p>
        </w:tc>
      </w:tr>
      <w:tr w:rsidR="006F2BB8" w:rsidRPr="00353789" w14:paraId="76E47DB9" w14:textId="77777777" w:rsidTr="00F37F39">
        <w:trPr>
          <w:cantSplit/>
        </w:trPr>
        <w:tc>
          <w:tcPr>
            <w:cnfStyle w:val="001000000000" w:firstRow="0" w:lastRow="0" w:firstColumn="1" w:lastColumn="0" w:oddVBand="0" w:evenVBand="0" w:oddHBand="0" w:evenHBand="0" w:firstRowFirstColumn="0" w:firstRowLastColumn="0" w:lastRowFirstColumn="0" w:lastRowLastColumn="0"/>
            <w:tcW w:w="6237" w:type="dxa"/>
            <w:tcBorders>
              <w:left w:val="nil"/>
            </w:tcBorders>
          </w:tcPr>
          <w:p w14:paraId="061CED34" w14:textId="77777777" w:rsidR="006F2BB8" w:rsidRPr="00803DE9" w:rsidRDefault="006F2BB8" w:rsidP="00803DE9">
            <w:pPr>
              <w:pStyle w:val="10Tabletext"/>
            </w:pPr>
            <w:r w:rsidRPr="00803DE9">
              <w:t>Office location</w:t>
            </w:r>
          </w:p>
        </w:tc>
        <w:tc>
          <w:tcPr>
            <w:tcW w:w="1199" w:type="dxa"/>
          </w:tcPr>
          <w:p w14:paraId="1EC49499" w14:textId="77777777" w:rsidR="006F2BB8" w:rsidRPr="00F37F39" w:rsidRDefault="006F2BB8" w:rsidP="00F37F39">
            <w:pPr>
              <w:pStyle w:val="10Tabletext"/>
              <w:jc w:val="center"/>
              <w:cnfStyle w:val="000000000000" w:firstRow="0" w:lastRow="0" w:firstColumn="0" w:lastColumn="0" w:oddVBand="0" w:evenVBand="0" w:oddHBand="0" w:evenHBand="0" w:firstRowFirstColumn="0" w:firstRowLastColumn="0" w:lastRowFirstColumn="0" w:lastRowLastColumn="0"/>
            </w:pPr>
            <w:r w:rsidRPr="00F37F39">
              <w:t>6</w:t>
            </w:r>
          </w:p>
        </w:tc>
        <w:tc>
          <w:tcPr>
            <w:tcW w:w="1058" w:type="dxa"/>
            <w:tcBorders>
              <w:right w:val="nil"/>
            </w:tcBorders>
          </w:tcPr>
          <w:p w14:paraId="7685679A" w14:textId="77777777" w:rsidR="006F2BB8" w:rsidRPr="00F37F39" w:rsidRDefault="006F2BB8" w:rsidP="00F37F39">
            <w:pPr>
              <w:pStyle w:val="10Tabletext"/>
              <w:jc w:val="center"/>
              <w:cnfStyle w:val="000000000000" w:firstRow="0" w:lastRow="0" w:firstColumn="0" w:lastColumn="0" w:oddVBand="0" w:evenVBand="0" w:oddHBand="0" w:evenHBand="0" w:firstRowFirstColumn="0" w:firstRowLastColumn="0" w:lastRowFirstColumn="0" w:lastRowLastColumn="0"/>
            </w:pPr>
            <w:r w:rsidRPr="00F37F39">
              <w:t>3</w:t>
            </w:r>
          </w:p>
        </w:tc>
      </w:tr>
      <w:tr w:rsidR="006F2BB8" w:rsidRPr="00353789" w14:paraId="181ED49B" w14:textId="77777777" w:rsidTr="00F37F3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37" w:type="dxa"/>
            <w:tcBorders>
              <w:left w:val="nil"/>
            </w:tcBorders>
          </w:tcPr>
          <w:p w14:paraId="36B808EF" w14:textId="4739BCB4" w:rsidR="006F2BB8" w:rsidRPr="00326809" w:rsidRDefault="006F2BB8" w:rsidP="00803DE9">
            <w:pPr>
              <w:pStyle w:val="10Tabletext"/>
            </w:pPr>
            <w:r w:rsidRPr="00326809">
              <w:t>Total</w:t>
            </w:r>
            <w:r w:rsidR="00910F28" w:rsidRPr="00326809">
              <w:t xml:space="preserve"> respondents</w:t>
            </w:r>
          </w:p>
        </w:tc>
        <w:tc>
          <w:tcPr>
            <w:tcW w:w="1199" w:type="dxa"/>
          </w:tcPr>
          <w:p w14:paraId="4D3B93DD" w14:textId="77777777" w:rsidR="006F2BB8" w:rsidRPr="00F37F39" w:rsidRDefault="006F2BB8" w:rsidP="00F37F39">
            <w:pPr>
              <w:pStyle w:val="10Tabletext"/>
              <w:jc w:val="center"/>
              <w:cnfStyle w:val="000000100000" w:firstRow="0" w:lastRow="0" w:firstColumn="0" w:lastColumn="0" w:oddVBand="0" w:evenVBand="0" w:oddHBand="1" w:evenHBand="0" w:firstRowFirstColumn="0" w:firstRowLastColumn="0" w:lastRowFirstColumn="0" w:lastRowLastColumn="0"/>
            </w:pPr>
            <w:r w:rsidRPr="00F37F39">
              <w:t>216</w:t>
            </w:r>
          </w:p>
        </w:tc>
        <w:tc>
          <w:tcPr>
            <w:tcW w:w="1058" w:type="dxa"/>
            <w:tcBorders>
              <w:right w:val="nil"/>
            </w:tcBorders>
          </w:tcPr>
          <w:p w14:paraId="01A4535D" w14:textId="77777777" w:rsidR="006F2BB8" w:rsidRPr="00F37F39" w:rsidRDefault="006F2BB8" w:rsidP="00F37F39">
            <w:pPr>
              <w:pStyle w:val="10Tabletext"/>
              <w:jc w:val="center"/>
              <w:cnfStyle w:val="000000100000" w:firstRow="0" w:lastRow="0" w:firstColumn="0" w:lastColumn="0" w:oddVBand="0" w:evenVBand="0" w:oddHBand="1" w:evenHBand="0" w:firstRowFirstColumn="0" w:firstRowLastColumn="0" w:lastRowFirstColumn="0" w:lastRowLastColumn="0"/>
            </w:pPr>
          </w:p>
        </w:tc>
      </w:tr>
    </w:tbl>
    <w:p w14:paraId="71CEEC2A" w14:textId="72F40BF9" w:rsidR="006F2BB8" w:rsidRPr="006F2BB8" w:rsidRDefault="006F2BB8" w:rsidP="00D827CB">
      <w:pPr>
        <w:pStyle w:val="09Sourcesandnotesfortablesfiguresboxes"/>
      </w:pPr>
      <w:r w:rsidRPr="006F2BB8">
        <w:t>Note</w:t>
      </w:r>
      <w:r w:rsidR="00910F28">
        <w:t>s</w:t>
      </w:r>
      <w:r w:rsidRPr="006F2BB8">
        <w:t>: This question was only asked to respondents who answered ‘Yes’ in Table A.15 and ‘Yes’ in Table A.16</w:t>
      </w:r>
      <w:r w:rsidR="00803DE9">
        <w:t>.</w:t>
      </w:r>
      <w:r w:rsidR="00910F28">
        <w:t xml:space="preserve"> The percentages in this table exceed 100</w:t>
      </w:r>
      <w:r w:rsidR="001C38B3">
        <w:t xml:space="preserve"> per cent</w:t>
      </w:r>
      <w:r w:rsidR="00910F28">
        <w:t xml:space="preserve"> as respondents were asked to select multiple options.</w:t>
      </w:r>
    </w:p>
    <w:p w14:paraId="2A46F2E5" w14:textId="2D988E2E" w:rsidR="006F2BB8" w:rsidRPr="006F2BB8" w:rsidRDefault="006F2BB8" w:rsidP="006A3A46">
      <w:pPr>
        <w:pStyle w:val="05Paragraph"/>
      </w:pPr>
      <w:r w:rsidRPr="006F2BB8">
        <w:t xml:space="preserve">Respondents involved in executive recruitment were also asked if they have noticed an increase in the rate of executives voluntarily leaving </w:t>
      </w:r>
      <w:r w:rsidR="009F327E">
        <w:t xml:space="preserve">their organisation </w:t>
      </w:r>
      <w:r w:rsidRPr="006F2BB8">
        <w:t>(Table A.19). They were asked to disregard redundancies, voluntary or otherwise.</w:t>
      </w:r>
    </w:p>
    <w:p w14:paraId="7EE0FF26" w14:textId="77777777" w:rsidR="006F2BB8" w:rsidRPr="006F2BB8" w:rsidRDefault="006F2BB8" w:rsidP="006C2935">
      <w:pPr>
        <w:pStyle w:val="08Figuretableboxheading"/>
      </w:pPr>
      <w:bookmarkStart w:id="197" w:name="_Toc170393599"/>
      <w:r w:rsidRPr="006F2BB8">
        <w:lastRenderedPageBreak/>
        <w:t>Table A.19: Are you experiencing an increase in the rate of executives voluntarily leaving your organisation?</w:t>
      </w:r>
      <w:bookmarkEnd w:id="197"/>
    </w:p>
    <w:tbl>
      <w:tblPr>
        <w:tblStyle w:val="ListTable3-Accent1"/>
        <w:tblW w:w="0" w:type="auto"/>
        <w:tblLayout w:type="fixed"/>
        <w:tblLook w:val="04A0" w:firstRow="1" w:lastRow="0" w:firstColumn="1" w:lastColumn="0" w:noHBand="0" w:noVBand="1"/>
      </w:tblPr>
      <w:tblGrid>
        <w:gridCol w:w="3261"/>
        <w:gridCol w:w="2268"/>
        <w:gridCol w:w="1482"/>
        <w:gridCol w:w="1483"/>
      </w:tblGrid>
      <w:tr w:rsidR="006F2BB8" w:rsidRPr="00F90100" w14:paraId="77A3DE43" w14:textId="77777777" w:rsidTr="00883ABD">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3261" w:type="dxa"/>
            <w:tcBorders>
              <w:top w:val="single" w:sz="4" w:space="0" w:color="26664E"/>
              <w:left w:val="nil"/>
              <w:bottom w:val="single" w:sz="4" w:space="0" w:color="148A5D"/>
              <w:right w:val="single" w:sz="4" w:space="0" w:color="148A5D"/>
            </w:tcBorders>
            <w:shd w:val="clear" w:color="auto" w:fill="148A5D"/>
          </w:tcPr>
          <w:p w14:paraId="18A94B58" w14:textId="77777777" w:rsidR="006F2BB8" w:rsidRPr="00C31278" w:rsidRDefault="006F2BB8" w:rsidP="006C2935">
            <w:pPr>
              <w:pStyle w:val="10Tabletext"/>
              <w:keepNext/>
            </w:pPr>
            <w:r w:rsidRPr="00C31278">
              <w:t>Answer choices</w:t>
            </w:r>
          </w:p>
        </w:tc>
        <w:tc>
          <w:tcPr>
            <w:tcW w:w="2268" w:type="dxa"/>
            <w:tcBorders>
              <w:top w:val="single" w:sz="4" w:space="0" w:color="26664E"/>
              <w:left w:val="single" w:sz="4" w:space="0" w:color="148A5D"/>
              <w:bottom w:val="single" w:sz="4" w:space="0" w:color="148A5D"/>
              <w:right w:val="single" w:sz="4" w:space="0" w:color="148A5D"/>
            </w:tcBorders>
            <w:shd w:val="clear" w:color="auto" w:fill="148A5D"/>
          </w:tcPr>
          <w:p w14:paraId="31BC303C" w14:textId="77777777" w:rsidR="006F2BB8" w:rsidRPr="00C31278" w:rsidRDefault="006F2BB8" w:rsidP="006C2935">
            <w:pPr>
              <w:pStyle w:val="10Tabletext"/>
              <w:keepNext/>
              <w:cnfStyle w:val="100000000000" w:firstRow="1" w:lastRow="0" w:firstColumn="0" w:lastColumn="0" w:oddVBand="0" w:evenVBand="0" w:oddHBand="0" w:evenHBand="0" w:firstRowFirstColumn="0" w:firstRowLastColumn="0" w:lastRowFirstColumn="0" w:lastRowLastColumn="0"/>
            </w:pPr>
            <w:r w:rsidRPr="00C31278">
              <w:t>Branching logic</w:t>
            </w:r>
          </w:p>
        </w:tc>
        <w:tc>
          <w:tcPr>
            <w:tcW w:w="2965" w:type="dxa"/>
            <w:gridSpan w:val="2"/>
            <w:tcBorders>
              <w:top w:val="single" w:sz="4" w:space="0" w:color="26664E"/>
              <w:left w:val="single" w:sz="4" w:space="0" w:color="148A5D"/>
              <w:bottom w:val="single" w:sz="4" w:space="0" w:color="148A5D"/>
              <w:right w:val="nil"/>
            </w:tcBorders>
            <w:shd w:val="clear" w:color="auto" w:fill="148A5D"/>
          </w:tcPr>
          <w:p w14:paraId="1B93294B" w14:textId="77777777" w:rsidR="006F2BB8" w:rsidRPr="00C31278" w:rsidRDefault="006F2BB8" w:rsidP="00883ABD">
            <w:pPr>
              <w:pStyle w:val="10Tabletext"/>
              <w:keepNext/>
              <w:jc w:val="center"/>
              <w:cnfStyle w:val="100000000000" w:firstRow="1" w:lastRow="0" w:firstColumn="0" w:lastColumn="0" w:oddVBand="0" w:evenVBand="0" w:oddHBand="0" w:evenHBand="0" w:firstRowFirstColumn="0" w:firstRowLastColumn="0" w:lastRowFirstColumn="0" w:lastRowLastColumn="0"/>
            </w:pPr>
            <w:r w:rsidRPr="00C31278">
              <w:t>Responses</w:t>
            </w:r>
          </w:p>
        </w:tc>
      </w:tr>
      <w:tr w:rsidR="006F2BB8" w:rsidRPr="00F90100" w14:paraId="6B4478AE" w14:textId="77777777" w:rsidTr="00883AB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148A5D"/>
              <w:left w:val="nil"/>
              <w:right w:val="single" w:sz="4" w:space="0" w:color="148A5D"/>
            </w:tcBorders>
            <w:shd w:val="clear" w:color="auto" w:fill="148A5D"/>
          </w:tcPr>
          <w:p w14:paraId="64929D22" w14:textId="77777777" w:rsidR="006F2BB8" w:rsidRPr="00C31278" w:rsidRDefault="006F2BB8" w:rsidP="006C2935">
            <w:pPr>
              <w:pStyle w:val="10Tabletext"/>
              <w:keepNext/>
              <w:rPr>
                <w:color w:val="FFFFFF" w:themeColor="background1"/>
              </w:rPr>
            </w:pPr>
          </w:p>
        </w:tc>
        <w:tc>
          <w:tcPr>
            <w:tcW w:w="2268" w:type="dxa"/>
            <w:tcBorders>
              <w:top w:val="single" w:sz="4" w:space="0" w:color="148A5D"/>
              <w:left w:val="single" w:sz="4" w:space="0" w:color="148A5D"/>
              <w:right w:val="single" w:sz="4" w:space="0" w:color="148A5D"/>
            </w:tcBorders>
            <w:shd w:val="clear" w:color="auto" w:fill="148A5D"/>
          </w:tcPr>
          <w:p w14:paraId="67A317A9" w14:textId="77777777" w:rsidR="006F2BB8" w:rsidRPr="00C31278" w:rsidRDefault="006F2BB8" w:rsidP="006C2935">
            <w:pPr>
              <w:pStyle w:val="10Tabletext"/>
              <w:keepNext/>
              <w:cnfStyle w:val="000000100000" w:firstRow="0" w:lastRow="0" w:firstColumn="0" w:lastColumn="0" w:oddVBand="0" w:evenVBand="0" w:oddHBand="1" w:evenHBand="0" w:firstRowFirstColumn="0" w:firstRowLastColumn="0" w:lastRowFirstColumn="0" w:lastRowLastColumn="0"/>
              <w:rPr>
                <w:b/>
                <w:bCs w:val="0"/>
                <w:color w:val="FFFFFF" w:themeColor="background1"/>
              </w:rPr>
            </w:pPr>
          </w:p>
        </w:tc>
        <w:tc>
          <w:tcPr>
            <w:tcW w:w="1482" w:type="dxa"/>
            <w:tcBorders>
              <w:top w:val="single" w:sz="4" w:space="0" w:color="148A5D"/>
              <w:left w:val="single" w:sz="4" w:space="0" w:color="148A5D"/>
              <w:right w:val="single" w:sz="4" w:space="0" w:color="148A5D"/>
            </w:tcBorders>
            <w:shd w:val="clear" w:color="auto" w:fill="148A5D"/>
          </w:tcPr>
          <w:p w14:paraId="76CFA753" w14:textId="77777777" w:rsidR="006F2BB8" w:rsidRPr="00C31278" w:rsidRDefault="006F2BB8" w:rsidP="00883ABD">
            <w:pPr>
              <w:pStyle w:val="10Tabletext"/>
              <w:keepNext/>
              <w:jc w:val="center"/>
              <w:cnfStyle w:val="000000100000" w:firstRow="0" w:lastRow="0" w:firstColumn="0" w:lastColumn="0" w:oddVBand="0" w:evenVBand="0" w:oddHBand="1" w:evenHBand="0" w:firstRowFirstColumn="0" w:firstRowLastColumn="0" w:lastRowFirstColumn="0" w:lastRowLastColumn="0"/>
              <w:rPr>
                <w:b/>
                <w:bCs w:val="0"/>
                <w:color w:val="FFFFFF" w:themeColor="background1"/>
              </w:rPr>
            </w:pPr>
            <w:r w:rsidRPr="00C31278">
              <w:rPr>
                <w:b/>
                <w:bCs w:val="0"/>
                <w:color w:val="FFFFFF" w:themeColor="background1"/>
              </w:rPr>
              <w:t>Number</w:t>
            </w:r>
          </w:p>
        </w:tc>
        <w:tc>
          <w:tcPr>
            <w:tcW w:w="1483" w:type="dxa"/>
            <w:tcBorders>
              <w:top w:val="single" w:sz="4" w:space="0" w:color="148A5D"/>
              <w:left w:val="single" w:sz="4" w:space="0" w:color="148A5D"/>
              <w:right w:val="nil"/>
            </w:tcBorders>
            <w:shd w:val="clear" w:color="auto" w:fill="148A5D"/>
          </w:tcPr>
          <w:p w14:paraId="175321CD" w14:textId="77777777" w:rsidR="006F2BB8" w:rsidRPr="00C31278" w:rsidRDefault="006F2BB8" w:rsidP="00883ABD">
            <w:pPr>
              <w:pStyle w:val="10Tabletext"/>
              <w:keepNext/>
              <w:jc w:val="center"/>
              <w:cnfStyle w:val="000000100000" w:firstRow="0" w:lastRow="0" w:firstColumn="0" w:lastColumn="0" w:oddVBand="0" w:evenVBand="0" w:oddHBand="1" w:evenHBand="0" w:firstRowFirstColumn="0" w:firstRowLastColumn="0" w:lastRowFirstColumn="0" w:lastRowLastColumn="0"/>
              <w:rPr>
                <w:b/>
                <w:bCs w:val="0"/>
                <w:color w:val="FFFFFF" w:themeColor="background1"/>
              </w:rPr>
            </w:pPr>
            <w:r w:rsidRPr="00C31278">
              <w:rPr>
                <w:b/>
                <w:bCs w:val="0"/>
                <w:color w:val="FFFFFF" w:themeColor="background1"/>
              </w:rPr>
              <w:t>%</w:t>
            </w:r>
          </w:p>
        </w:tc>
      </w:tr>
      <w:tr w:rsidR="006F2BB8" w:rsidRPr="00F90100" w14:paraId="54D07465" w14:textId="77777777" w:rsidTr="00883ABD">
        <w:trPr>
          <w:cantSplit/>
        </w:trPr>
        <w:tc>
          <w:tcPr>
            <w:cnfStyle w:val="001000000000" w:firstRow="0" w:lastRow="0" w:firstColumn="1" w:lastColumn="0" w:oddVBand="0" w:evenVBand="0" w:oddHBand="0" w:evenHBand="0" w:firstRowFirstColumn="0" w:firstRowLastColumn="0" w:lastRowFirstColumn="0" w:lastRowLastColumn="0"/>
            <w:tcW w:w="3261" w:type="dxa"/>
            <w:tcBorders>
              <w:left w:val="nil"/>
            </w:tcBorders>
          </w:tcPr>
          <w:p w14:paraId="3CD6A8CB" w14:textId="77777777" w:rsidR="006F2BB8" w:rsidRPr="00C31278" w:rsidRDefault="006F2BB8" w:rsidP="006C2935">
            <w:pPr>
              <w:pStyle w:val="10Tabletext"/>
              <w:keepNext/>
            </w:pPr>
            <w:r w:rsidRPr="00C31278">
              <w:t>Yes</w:t>
            </w:r>
          </w:p>
        </w:tc>
        <w:tc>
          <w:tcPr>
            <w:tcW w:w="2268" w:type="dxa"/>
          </w:tcPr>
          <w:p w14:paraId="121637B6" w14:textId="77777777" w:rsidR="006F2BB8" w:rsidRPr="00C31278" w:rsidRDefault="006F2BB8" w:rsidP="006C2935">
            <w:pPr>
              <w:pStyle w:val="10Tabletext"/>
              <w:keepNext/>
              <w:cnfStyle w:val="000000000000" w:firstRow="0" w:lastRow="0" w:firstColumn="0" w:lastColumn="0" w:oddVBand="0" w:evenVBand="0" w:oddHBand="0" w:evenHBand="0" w:firstRowFirstColumn="0" w:firstRowLastColumn="0" w:lastRowFirstColumn="0" w:lastRowLastColumn="0"/>
            </w:pPr>
            <w:r w:rsidRPr="00C31278">
              <w:t>Go to Table A.20</w:t>
            </w:r>
          </w:p>
        </w:tc>
        <w:tc>
          <w:tcPr>
            <w:tcW w:w="1482" w:type="dxa"/>
          </w:tcPr>
          <w:p w14:paraId="7963EAED" w14:textId="77777777" w:rsidR="006F2BB8" w:rsidRPr="00C31278" w:rsidRDefault="006F2BB8" w:rsidP="00883ABD">
            <w:pPr>
              <w:pStyle w:val="10Tabletext"/>
              <w:keepNext/>
              <w:jc w:val="center"/>
              <w:cnfStyle w:val="000000000000" w:firstRow="0" w:lastRow="0" w:firstColumn="0" w:lastColumn="0" w:oddVBand="0" w:evenVBand="0" w:oddHBand="0" w:evenHBand="0" w:firstRowFirstColumn="0" w:firstRowLastColumn="0" w:lastRowFirstColumn="0" w:lastRowLastColumn="0"/>
            </w:pPr>
            <w:r w:rsidRPr="00C31278">
              <w:t>152</w:t>
            </w:r>
          </w:p>
        </w:tc>
        <w:tc>
          <w:tcPr>
            <w:tcW w:w="1483" w:type="dxa"/>
            <w:tcBorders>
              <w:right w:val="nil"/>
            </w:tcBorders>
          </w:tcPr>
          <w:p w14:paraId="09386D94" w14:textId="77777777" w:rsidR="006F2BB8" w:rsidRPr="00C31278" w:rsidRDefault="006F2BB8" w:rsidP="00883ABD">
            <w:pPr>
              <w:pStyle w:val="10Tabletext"/>
              <w:keepNext/>
              <w:jc w:val="center"/>
              <w:cnfStyle w:val="000000000000" w:firstRow="0" w:lastRow="0" w:firstColumn="0" w:lastColumn="0" w:oddVBand="0" w:evenVBand="0" w:oddHBand="0" w:evenHBand="0" w:firstRowFirstColumn="0" w:firstRowLastColumn="0" w:lastRowFirstColumn="0" w:lastRowLastColumn="0"/>
            </w:pPr>
            <w:r w:rsidRPr="00C31278">
              <w:t>47</w:t>
            </w:r>
          </w:p>
        </w:tc>
      </w:tr>
      <w:tr w:rsidR="006F2BB8" w:rsidRPr="00F90100" w14:paraId="411E45B3" w14:textId="77777777" w:rsidTr="00883AB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61" w:type="dxa"/>
            <w:tcBorders>
              <w:left w:val="nil"/>
            </w:tcBorders>
          </w:tcPr>
          <w:p w14:paraId="5C0E3848" w14:textId="77777777" w:rsidR="006F2BB8" w:rsidRPr="00C31278" w:rsidRDefault="006F2BB8" w:rsidP="006C2935">
            <w:pPr>
              <w:pStyle w:val="10Tabletext"/>
              <w:keepNext/>
            </w:pPr>
            <w:r w:rsidRPr="00C31278">
              <w:t>No</w:t>
            </w:r>
          </w:p>
        </w:tc>
        <w:tc>
          <w:tcPr>
            <w:tcW w:w="2268" w:type="dxa"/>
          </w:tcPr>
          <w:p w14:paraId="28920A15" w14:textId="77777777" w:rsidR="006F2BB8" w:rsidRPr="00C31278" w:rsidRDefault="006F2BB8" w:rsidP="006C2935">
            <w:pPr>
              <w:pStyle w:val="10Tabletext"/>
              <w:keepNext/>
              <w:cnfStyle w:val="000000100000" w:firstRow="0" w:lastRow="0" w:firstColumn="0" w:lastColumn="0" w:oddVBand="0" w:evenVBand="0" w:oddHBand="1" w:evenHBand="0" w:firstRowFirstColumn="0" w:firstRowLastColumn="0" w:lastRowFirstColumn="0" w:lastRowLastColumn="0"/>
            </w:pPr>
            <w:r w:rsidRPr="00C31278">
              <w:t>Go to Table A.23</w:t>
            </w:r>
          </w:p>
        </w:tc>
        <w:tc>
          <w:tcPr>
            <w:tcW w:w="1482" w:type="dxa"/>
          </w:tcPr>
          <w:p w14:paraId="05999F00" w14:textId="77777777" w:rsidR="006F2BB8" w:rsidRPr="00C31278" w:rsidRDefault="006F2BB8" w:rsidP="00883ABD">
            <w:pPr>
              <w:pStyle w:val="10Tabletext"/>
              <w:keepNext/>
              <w:jc w:val="center"/>
              <w:cnfStyle w:val="000000100000" w:firstRow="0" w:lastRow="0" w:firstColumn="0" w:lastColumn="0" w:oddVBand="0" w:evenVBand="0" w:oddHBand="1" w:evenHBand="0" w:firstRowFirstColumn="0" w:firstRowLastColumn="0" w:lastRowFirstColumn="0" w:lastRowLastColumn="0"/>
            </w:pPr>
            <w:r w:rsidRPr="00C31278">
              <w:t>115</w:t>
            </w:r>
          </w:p>
        </w:tc>
        <w:tc>
          <w:tcPr>
            <w:tcW w:w="1483" w:type="dxa"/>
            <w:tcBorders>
              <w:right w:val="nil"/>
            </w:tcBorders>
          </w:tcPr>
          <w:p w14:paraId="71756E88" w14:textId="77777777" w:rsidR="006F2BB8" w:rsidRPr="00C31278" w:rsidRDefault="006F2BB8" w:rsidP="00883ABD">
            <w:pPr>
              <w:pStyle w:val="10Tabletext"/>
              <w:keepNext/>
              <w:jc w:val="center"/>
              <w:cnfStyle w:val="000000100000" w:firstRow="0" w:lastRow="0" w:firstColumn="0" w:lastColumn="0" w:oddVBand="0" w:evenVBand="0" w:oddHBand="1" w:evenHBand="0" w:firstRowFirstColumn="0" w:firstRowLastColumn="0" w:lastRowFirstColumn="0" w:lastRowLastColumn="0"/>
            </w:pPr>
            <w:r w:rsidRPr="00C31278">
              <w:t>35</w:t>
            </w:r>
          </w:p>
        </w:tc>
      </w:tr>
      <w:tr w:rsidR="006F2BB8" w:rsidRPr="00F90100" w14:paraId="7F5929C9" w14:textId="77777777" w:rsidTr="00883ABD">
        <w:trPr>
          <w:cantSplit/>
        </w:trPr>
        <w:tc>
          <w:tcPr>
            <w:cnfStyle w:val="001000000000" w:firstRow="0" w:lastRow="0" w:firstColumn="1" w:lastColumn="0" w:oddVBand="0" w:evenVBand="0" w:oddHBand="0" w:evenHBand="0" w:firstRowFirstColumn="0" w:firstRowLastColumn="0" w:lastRowFirstColumn="0" w:lastRowLastColumn="0"/>
            <w:tcW w:w="3261" w:type="dxa"/>
            <w:tcBorders>
              <w:left w:val="nil"/>
            </w:tcBorders>
          </w:tcPr>
          <w:p w14:paraId="4164CC41" w14:textId="77777777" w:rsidR="006F2BB8" w:rsidRPr="00C31278" w:rsidRDefault="006F2BB8" w:rsidP="006C2935">
            <w:pPr>
              <w:pStyle w:val="10Tabletext"/>
              <w:keepNext/>
            </w:pPr>
            <w:r w:rsidRPr="00C31278">
              <w:t>I don’t know</w:t>
            </w:r>
          </w:p>
        </w:tc>
        <w:tc>
          <w:tcPr>
            <w:tcW w:w="2268" w:type="dxa"/>
          </w:tcPr>
          <w:p w14:paraId="52FCA67D" w14:textId="77777777" w:rsidR="006F2BB8" w:rsidRPr="00C31278" w:rsidRDefault="006F2BB8" w:rsidP="006C2935">
            <w:pPr>
              <w:pStyle w:val="10Tabletext"/>
              <w:keepNext/>
              <w:cnfStyle w:val="000000000000" w:firstRow="0" w:lastRow="0" w:firstColumn="0" w:lastColumn="0" w:oddVBand="0" w:evenVBand="0" w:oddHBand="0" w:evenHBand="0" w:firstRowFirstColumn="0" w:firstRowLastColumn="0" w:lastRowFirstColumn="0" w:lastRowLastColumn="0"/>
            </w:pPr>
            <w:r w:rsidRPr="00C31278">
              <w:t>Go to Table A.23</w:t>
            </w:r>
          </w:p>
        </w:tc>
        <w:tc>
          <w:tcPr>
            <w:tcW w:w="1482" w:type="dxa"/>
          </w:tcPr>
          <w:p w14:paraId="418BF130" w14:textId="77777777" w:rsidR="006F2BB8" w:rsidRPr="00C31278" w:rsidRDefault="006F2BB8" w:rsidP="00883ABD">
            <w:pPr>
              <w:pStyle w:val="10Tabletext"/>
              <w:keepNext/>
              <w:jc w:val="center"/>
              <w:cnfStyle w:val="000000000000" w:firstRow="0" w:lastRow="0" w:firstColumn="0" w:lastColumn="0" w:oddVBand="0" w:evenVBand="0" w:oddHBand="0" w:evenHBand="0" w:firstRowFirstColumn="0" w:firstRowLastColumn="0" w:lastRowFirstColumn="0" w:lastRowLastColumn="0"/>
            </w:pPr>
            <w:r w:rsidRPr="00C31278">
              <w:t>60</w:t>
            </w:r>
          </w:p>
        </w:tc>
        <w:tc>
          <w:tcPr>
            <w:tcW w:w="1483" w:type="dxa"/>
            <w:tcBorders>
              <w:right w:val="nil"/>
            </w:tcBorders>
          </w:tcPr>
          <w:p w14:paraId="30B087DE" w14:textId="77777777" w:rsidR="006F2BB8" w:rsidRPr="00C31278" w:rsidRDefault="006F2BB8" w:rsidP="00883ABD">
            <w:pPr>
              <w:pStyle w:val="10Tabletext"/>
              <w:keepNext/>
              <w:jc w:val="center"/>
              <w:cnfStyle w:val="000000000000" w:firstRow="0" w:lastRow="0" w:firstColumn="0" w:lastColumn="0" w:oddVBand="0" w:evenVBand="0" w:oddHBand="0" w:evenHBand="0" w:firstRowFirstColumn="0" w:firstRowLastColumn="0" w:lastRowFirstColumn="0" w:lastRowLastColumn="0"/>
            </w:pPr>
            <w:r w:rsidRPr="00C31278">
              <w:t>18</w:t>
            </w:r>
          </w:p>
        </w:tc>
      </w:tr>
      <w:tr w:rsidR="006F2BB8" w:rsidRPr="00F90100" w14:paraId="1500AA02" w14:textId="77777777" w:rsidTr="00883AB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29" w:type="dxa"/>
            <w:gridSpan w:val="2"/>
            <w:tcBorders>
              <w:left w:val="nil"/>
            </w:tcBorders>
          </w:tcPr>
          <w:p w14:paraId="1AA4F191" w14:textId="77777777" w:rsidR="006F2BB8" w:rsidRPr="00C31278" w:rsidRDefault="006F2BB8" w:rsidP="006C2935">
            <w:pPr>
              <w:pStyle w:val="10Tabletext"/>
              <w:keepNext/>
            </w:pPr>
            <w:r w:rsidRPr="00C31278">
              <w:t>Total</w:t>
            </w:r>
          </w:p>
        </w:tc>
        <w:tc>
          <w:tcPr>
            <w:tcW w:w="1482" w:type="dxa"/>
          </w:tcPr>
          <w:p w14:paraId="44D410BB" w14:textId="77777777" w:rsidR="006F2BB8" w:rsidRPr="00C31278" w:rsidRDefault="006F2BB8" w:rsidP="00883ABD">
            <w:pPr>
              <w:pStyle w:val="10Tabletext"/>
              <w:keepNext/>
              <w:jc w:val="center"/>
              <w:cnfStyle w:val="000000100000" w:firstRow="0" w:lastRow="0" w:firstColumn="0" w:lastColumn="0" w:oddVBand="0" w:evenVBand="0" w:oddHBand="1" w:evenHBand="0" w:firstRowFirstColumn="0" w:firstRowLastColumn="0" w:lastRowFirstColumn="0" w:lastRowLastColumn="0"/>
            </w:pPr>
            <w:r w:rsidRPr="00C31278">
              <w:t>327</w:t>
            </w:r>
          </w:p>
        </w:tc>
        <w:tc>
          <w:tcPr>
            <w:tcW w:w="1483" w:type="dxa"/>
            <w:tcBorders>
              <w:right w:val="nil"/>
            </w:tcBorders>
          </w:tcPr>
          <w:p w14:paraId="1692B399" w14:textId="77777777" w:rsidR="006F2BB8" w:rsidRPr="00C31278" w:rsidRDefault="006F2BB8" w:rsidP="00883ABD">
            <w:pPr>
              <w:pStyle w:val="10Tabletext"/>
              <w:keepNext/>
              <w:jc w:val="center"/>
              <w:cnfStyle w:val="000000100000" w:firstRow="0" w:lastRow="0" w:firstColumn="0" w:lastColumn="0" w:oddVBand="0" w:evenVBand="0" w:oddHBand="1" w:evenHBand="0" w:firstRowFirstColumn="0" w:firstRowLastColumn="0" w:lastRowFirstColumn="0" w:lastRowLastColumn="0"/>
            </w:pPr>
          </w:p>
        </w:tc>
      </w:tr>
    </w:tbl>
    <w:p w14:paraId="5586D5C2" w14:textId="77777777" w:rsidR="006F2BB8" w:rsidRPr="006F2BB8" w:rsidRDefault="006F2BB8" w:rsidP="00D827CB">
      <w:pPr>
        <w:pStyle w:val="09Sourcesandnotesfortablesfiguresboxes"/>
      </w:pPr>
      <w:r w:rsidRPr="006F2BB8">
        <w:t>Note: This question was only asked to respondents who answered ‘Yes’ in Table A.15.</w:t>
      </w:r>
    </w:p>
    <w:p w14:paraId="30C354CF" w14:textId="0DFAC3E1" w:rsidR="006F2BB8" w:rsidRPr="006F2BB8" w:rsidRDefault="006F2BB8" w:rsidP="006A3A46">
      <w:pPr>
        <w:pStyle w:val="05Paragraph"/>
      </w:pPr>
      <w:r w:rsidRPr="006F2BB8">
        <w:t>A follow up question asked those respondents who have experienced an increase in executives leaving their organisation what factors are at play (Table A.20). Nearly two thirds agreed TRPs being too low was a factor.</w:t>
      </w:r>
    </w:p>
    <w:p w14:paraId="5099612A" w14:textId="77777777" w:rsidR="006F2BB8" w:rsidRPr="006F2BB8" w:rsidRDefault="006F2BB8" w:rsidP="00144BE8">
      <w:pPr>
        <w:pStyle w:val="08Figuretableboxheading"/>
      </w:pPr>
      <w:bookmarkStart w:id="198" w:name="_Toc170393600"/>
      <w:r w:rsidRPr="006F2BB8">
        <w:t>Table A.20: What factors do you think are influencing these executives to voluntarily leave? Please select up to three.</w:t>
      </w:r>
      <w:bookmarkEnd w:id="198"/>
    </w:p>
    <w:tbl>
      <w:tblPr>
        <w:tblStyle w:val="ListTable3-Accent1"/>
        <w:tblW w:w="0" w:type="auto"/>
        <w:tblLayout w:type="fixed"/>
        <w:tblLook w:val="04A0" w:firstRow="1" w:lastRow="0" w:firstColumn="1" w:lastColumn="0" w:noHBand="0" w:noVBand="1"/>
      </w:tblPr>
      <w:tblGrid>
        <w:gridCol w:w="6379"/>
        <w:gridCol w:w="1057"/>
        <w:gridCol w:w="1058"/>
      </w:tblGrid>
      <w:tr w:rsidR="006F2BB8" w:rsidRPr="006F2BB8" w14:paraId="055625BB" w14:textId="77777777" w:rsidTr="00883ABD">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6379" w:type="dxa"/>
            <w:tcBorders>
              <w:top w:val="single" w:sz="4" w:space="0" w:color="26664E"/>
              <w:left w:val="nil"/>
              <w:bottom w:val="single" w:sz="4" w:space="0" w:color="148A5D"/>
              <w:right w:val="single" w:sz="4" w:space="0" w:color="148A5D"/>
            </w:tcBorders>
            <w:shd w:val="clear" w:color="auto" w:fill="148A5D"/>
          </w:tcPr>
          <w:p w14:paraId="27316B8A" w14:textId="77777777" w:rsidR="006F2BB8" w:rsidRPr="00C31278" w:rsidRDefault="006F2BB8" w:rsidP="00C31278">
            <w:pPr>
              <w:pStyle w:val="10Tabletext"/>
            </w:pPr>
            <w:r w:rsidRPr="00C31278">
              <w:t>Answer choices</w:t>
            </w:r>
          </w:p>
        </w:tc>
        <w:tc>
          <w:tcPr>
            <w:tcW w:w="2115" w:type="dxa"/>
            <w:gridSpan w:val="2"/>
            <w:tcBorders>
              <w:top w:val="single" w:sz="4" w:space="0" w:color="26664E"/>
              <w:left w:val="single" w:sz="4" w:space="0" w:color="148A5D"/>
              <w:bottom w:val="single" w:sz="4" w:space="0" w:color="148A5D"/>
              <w:right w:val="nil"/>
            </w:tcBorders>
            <w:shd w:val="clear" w:color="auto" w:fill="148A5D"/>
          </w:tcPr>
          <w:p w14:paraId="2DF75A76" w14:textId="77777777" w:rsidR="006F2BB8" w:rsidRPr="00C31278" w:rsidRDefault="006F2BB8" w:rsidP="00883ABD">
            <w:pPr>
              <w:pStyle w:val="10Tabletext"/>
              <w:jc w:val="center"/>
              <w:cnfStyle w:val="100000000000" w:firstRow="1" w:lastRow="0" w:firstColumn="0" w:lastColumn="0" w:oddVBand="0" w:evenVBand="0" w:oddHBand="0" w:evenHBand="0" w:firstRowFirstColumn="0" w:firstRowLastColumn="0" w:lastRowFirstColumn="0" w:lastRowLastColumn="0"/>
            </w:pPr>
            <w:r w:rsidRPr="00C31278">
              <w:t>Responses</w:t>
            </w:r>
          </w:p>
        </w:tc>
      </w:tr>
      <w:tr w:rsidR="006F2BB8" w:rsidRPr="006F2BB8" w14:paraId="168D8027" w14:textId="77777777" w:rsidTr="00883AB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379" w:type="dxa"/>
            <w:tcBorders>
              <w:top w:val="single" w:sz="4" w:space="0" w:color="148A5D"/>
              <w:left w:val="nil"/>
              <w:right w:val="single" w:sz="4" w:space="0" w:color="148A5D"/>
            </w:tcBorders>
            <w:shd w:val="clear" w:color="auto" w:fill="148A5D"/>
          </w:tcPr>
          <w:p w14:paraId="54F227A3" w14:textId="77777777" w:rsidR="006F2BB8" w:rsidRPr="00C31278" w:rsidRDefault="006F2BB8" w:rsidP="00C31278">
            <w:pPr>
              <w:pStyle w:val="10Tabletext"/>
              <w:rPr>
                <w:color w:val="FFFFFF" w:themeColor="background1"/>
              </w:rPr>
            </w:pPr>
          </w:p>
        </w:tc>
        <w:tc>
          <w:tcPr>
            <w:tcW w:w="1057" w:type="dxa"/>
            <w:tcBorders>
              <w:top w:val="single" w:sz="4" w:space="0" w:color="148A5D"/>
              <w:left w:val="single" w:sz="4" w:space="0" w:color="148A5D"/>
              <w:right w:val="single" w:sz="4" w:space="0" w:color="148A5D"/>
            </w:tcBorders>
            <w:shd w:val="clear" w:color="auto" w:fill="148A5D"/>
          </w:tcPr>
          <w:p w14:paraId="68E77499" w14:textId="77777777" w:rsidR="006F2BB8" w:rsidRPr="00C31278" w:rsidRDefault="006F2BB8" w:rsidP="00883ABD">
            <w:pPr>
              <w:pStyle w:val="10Tabletext"/>
              <w:jc w:val="center"/>
              <w:cnfStyle w:val="000000100000" w:firstRow="0" w:lastRow="0" w:firstColumn="0" w:lastColumn="0" w:oddVBand="0" w:evenVBand="0" w:oddHBand="1" w:evenHBand="0" w:firstRowFirstColumn="0" w:firstRowLastColumn="0" w:lastRowFirstColumn="0" w:lastRowLastColumn="0"/>
              <w:rPr>
                <w:b/>
                <w:bCs w:val="0"/>
                <w:color w:val="FFFFFF" w:themeColor="background1"/>
              </w:rPr>
            </w:pPr>
            <w:r w:rsidRPr="00C31278">
              <w:rPr>
                <w:b/>
                <w:bCs w:val="0"/>
                <w:color w:val="FFFFFF" w:themeColor="background1"/>
              </w:rPr>
              <w:t>Number</w:t>
            </w:r>
          </w:p>
        </w:tc>
        <w:tc>
          <w:tcPr>
            <w:tcW w:w="1058" w:type="dxa"/>
            <w:tcBorders>
              <w:top w:val="single" w:sz="4" w:space="0" w:color="148A5D"/>
              <w:left w:val="single" w:sz="4" w:space="0" w:color="148A5D"/>
              <w:right w:val="nil"/>
            </w:tcBorders>
            <w:shd w:val="clear" w:color="auto" w:fill="148A5D"/>
          </w:tcPr>
          <w:p w14:paraId="1271105D" w14:textId="77777777" w:rsidR="006F2BB8" w:rsidRPr="00C31278" w:rsidRDefault="006F2BB8" w:rsidP="00883ABD">
            <w:pPr>
              <w:pStyle w:val="10Tabletext"/>
              <w:jc w:val="center"/>
              <w:cnfStyle w:val="000000100000" w:firstRow="0" w:lastRow="0" w:firstColumn="0" w:lastColumn="0" w:oddVBand="0" w:evenVBand="0" w:oddHBand="1" w:evenHBand="0" w:firstRowFirstColumn="0" w:firstRowLastColumn="0" w:lastRowFirstColumn="0" w:lastRowLastColumn="0"/>
              <w:rPr>
                <w:b/>
                <w:bCs w:val="0"/>
                <w:color w:val="FFFFFF" w:themeColor="background1"/>
              </w:rPr>
            </w:pPr>
            <w:r w:rsidRPr="00C31278">
              <w:rPr>
                <w:b/>
                <w:bCs w:val="0"/>
                <w:color w:val="FFFFFF" w:themeColor="background1"/>
              </w:rPr>
              <w:t>%</w:t>
            </w:r>
          </w:p>
        </w:tc>
      </w:tr>
      <w:tr w:rsidR="006F2BB8" w:rsidRPr="006F2BB8" w14:paraId="392010DD" w14:textId="77777777" w:rsidTr="00883ABD">
        <w:trPr>
          <w:cantSplit/>
        </w:trPr>
        <w:tc>
          <w:tcPr>
            <w:cnfStyle w:val="001000000000" w:firstRow="0" w:lastRow="0" w:firstColumn="1" w:lastColumn="0" w:oddVBand="0" w:evenVBand="0" w:oddHBand="0" w:evenHBand="0" w:firstRowFirstColumn="0" w:firstRowLastColumn="0" w:lastRowFirstColumn="0" w:lastRowLastColumn="0"/>
            <w:tcW w:w="6379" w:type="dxa"/>
            <w:tcBorders>
              <w:left w:val="nil"/>
            </w:tcBorders>
          </w:tcPr>
          <w:p w14:paraId="4D7A0CC4" w14:textId="77777777" w:rsidR="006F2BB8" w:rsidRPr="00C31278" w:rsidRDefault="006F2BB8" w:rsidP="00C31278">
            <w:pPr>
              <w:pStyle w:val="10Tabletext"/>
            </w:pPr>
            <w:r w:rsidRPr="00C31278">
              <w:t>Total remuneration package is too low</w:t>
            </w:r>
          </w:p>
        </w:tc>
        <w:tc>
          <w:tcPr>
            <w:tcW w:w="1057" w:type="dxa"/>
          </w:tcPr>
          <w:p w14:paraId="5E48A8AC" w14:textId="77777777" w:rsidR="006F2BB8" w:rsidRPr="00C31278" w:rsidRDefault="006F2BB8" w:rsidP="00883ABD">
            <w:pPr>
              <w:pStyle w:val="10Tabletext"/>
              <w:jc w:val="center"/>
              <w:cnfStyle w:val="000000000000" w:firstRow="0" w:lastRow="0" w:firstColumn="0" w:lastColumn="0" w:oddVBand="0" w:evenVBand="0" w:oddHBand="0" w:evenHBand="0" w:firstRowFirstColumn="0" w:firstRowLastColumn="0" w:lastRowFirstColumn="0" w:lastRowLastColumn="0"/>
            </w:pPr>
            <w:r w:rsidRPr="00C31278">
              <w:t>98</w:t>
            </w:r>
          </w:p>
        </w:tc>
        <w:tc>
          <w:tcPr>
            <w:tcW w:w="1058" w:type="dxa"/>
            <w:tcBorders>
              <w:right w:val="nil"/>
            </w:tcBorders>
          </w:tcPr>
          <w:p w14:paraId="247BB6C9" w14:textId="77777777" w:rsidR="006F2BB8" w:rsidRPr="00C31278" w:rsidRDefault="006F2BB8" w:rsidP="00883ABD">
            <w:pPr>
              <w:pStyle w:val="10Tabletext"/>
              <w:jc w:val="center"/>
              <w:cnfStyle w:val="000000000000" w:firstRow="0" w:lastRow="0" w:firstColumn="0" w:lastColumn="0" w:oddVBand="0" w:evenVBand="0" w:oddHBand="0" w:evenHBand="0" w:firstRowFirstColumn="0" w:firstRowLastColumn="0" w:lastRowFirstColumn="0" w:lastRowLastColumn="0"/>
            </w:pPr>
            <w:r w:rsidRPr="00C31278">
              <w:t>65</w:t>
            </w:r>
          </w:p>
        </w:tc>
      </w:tr>
      <w:tr w:rsidR="006F2BB8" w:rsidRPr="006F2BB8" w14:paraId="03F62ECB" w14:textId="77777777" w:rsidTr="00883AB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379" w:type="dxa"/>
            <w:tcBorders>
              <w:left w:val="nil"/>
            </w:tcBorders>
          </w:tcPr>
          <w:p w14:paraId="1E33D1F1" w14:textId="77777777" w:rsidR="006F2BB8" w:rsidRPr="00C31278" w:rsidRDefault="006F2BB8" w:rsidP="00C31278">
            <w:pPr>
              <w:pStyle w:val="10Tabletext"/>
            </w:pPr>
            <w:r w:rsidRPr="00C31278">
              <w:t>Workload is too high</w:t>
            </w:r>
          </w:p>
        </w:tc>
        <w:tc>
          <w:tcPr>
            <w:tcW w:w="1057" w:type="dxa"/>
          </w:tcPr>
          <w:p w14:paraId="4509D45B" w14:textId="77777777" w:rsidR="006F2BB8" w:rsidRPr="00C31278" w:rsidRDefault="006F2BB8" w:rsidP="00883ABD">
            <w:pPr>
              <w:pStyle w:val="10Tabletext"/>
              <w:jc w:val="center"/>
              <w:cnfStyle w:val="000000100000" w:firstRow="0" w:lastRow="0" w:firstColumn="0" w:lastColumn="0" w:oddVBand="0" w:evenVBand="0" w:oddHBand="1" w:evenHBand="0" w:firstRowFirstColumn="0" w:firstRowLastColumn="0" w:lastRowFirstColumn="0" w:lastRowLastColumn="0"/>
            </w:pPr>
            <w:r w:rsidRPr="00C31278">
              <w:t>87</w:t>
            </w:r>
          </w:p>
        </w:tc>
        <w:tc>
          <w:tcPr>
            <w:tcW w:w="1058" w:type="dxa"/>
            <w:tcBorders>
              <w:right w:val="nil"/>
            </w:tcBorders>
          </w:tcPr>
          <w:p w14:paraId="25247DAD" w14:textId="77777777" w:rsidR="006F2BB8" w:rsidRPr="00C31278" w:rsidRDefault="006F2BB8" w:rsidP="00883ABD">
            <w:pPr>
              <w:pStyle w:val="10Tabletext"/>
              <w:jc w:val="center"/>
              <w:cnfStyle w:val="000000100000" w:firstRow="0" w:lastRow="0" w:firstColumn="0" w:lastColumn="0" w:oddVBand="0" w:evenVBand="0" w:oddHBand="1" w:evenHBand="0" w:firstRowFirstColumn="0" w:firstRowLastColumn="0" w:lastRowFirstColumn="0" w:lastRowLastColumn="0"/>
            </w:pPr>
            <w:r w:rsidRPr="00C31278">
              <w:t>58</w:t>
            </w:r>
          </w:p>
        </w:tc>
      </w:tr>
      <w:tr w:rsidR="006F2BB8" w:rsidRPr="006F2BB8" w14:paraId="67F6F4F5" w14:textId="77777777" w:rsidTr="00883ABD">
        <w:trPr>
          <w:cantSplit/>
        </w:trPr>
        <w:tc>
          <w:tcPr>
            <w:cnfStyle w:val="001000000000" w:firstRow="0" w:lastRow="0" w:firstColumn="1" w:lastColumn="0" w:oddVBand="0" w:evenVBand="0" w:oddHBand="0" w:evenHBand="0" w:firstRowFirstColumn="0" w:firstRowLastColumn="0" w:lastRowFirstColumn="0" w:lastRowLastColumn="0"/>
            <w:tcW w:w="6379" w:type="dxa"/>
            <w:tcBorders>
              <w:left w:val="nil"/>
            </w:tcBorders>
          </w:tcPr>
          <w:p w14:paraId="166DC62A" w14:textId="77777777" w:rsidR="006F2BB8" w:rsidRPr="00C31278" w:rsidRDefault="006F2BB8" w:rsidP="00C31278">
            <w:pPr>
              <w:pStyle w:val="10Tabletext"/>
            </w:pPr>
            <w:r w:rsidRPr="00C31278">
              <w:t>Insufficient career advancement opportunities</w:t>
            </w:r>
          </w:p>
        </w:tc>
        <w:tc>
          <w:tcPr>
            <w:tcW w:w="1057" w:type="dxa"/>
          </w:tcPr>
          <w:p w14:paraId="0C57F760" w14:textId="77777777" w:rsidR="006F2BB8" w:rsidRPr="00C31278" w:rsidRDefault="006F2BB8" w:rsidP="00883ABD">
            <w:pPr>
              <w:pStyle w:val="10Tabletext"/>
              <w:jc w:val="center"/>
              <w:cnfStyle w:val="000000000000" w:firstRow="0" w:lastRow="0" w:firstColumn="0" w:lastColumn="0" w:oddVBand="0" w:evenVBand="0" w:oddHBand="0" w:evenHBand="0" w:firstRowFirstColumn="0" w:firstRowLastColumn="0" w:lastRowFirstColumn="0" w:lastRowLastColumn="0"/>
            </w:pPr>
            <w:r w:rsidRPr="00C31278">
              <w:t>42</w:t>
            </w:r>
          </w:p>
        </w:tc>
        <w:tc>
          <w:tcPr>
            <w:tcW w:w="1058" w:type="dxa"/>
            <w:tcBorders>
              <w:right w:val="nil"/>
            </w:tcBorders>
          </w:tcPr>
          <w:p w14:paraId="25B9E79B" w14:textId="01F963DE" w:rsidR="006F2BB8" w:rsidRPr="00C31278" w:rsidRDefault="00E0600A" w:rsidP="00883ABD">
            <w:pPr>
              <w:pStyle w:val="10Tabletext"/>
              <w:jc w:val="center"/>
              <w:cnfStyle w:val="000000000000" w:firstRow="0" w:lastRow="0" w:firstColumn="0" w:lastColumn="0" w:oddVBand="0" w:evenVBand="0" w:oddHBand="0" w:evenHBand="0" w:firstRowFirstColumn="0" w:firstRowLastColumn="0" w:lastRowFirstColumn="0" w:lastRowLastColumn="0"/>
            </w:pPr>
            <w:r w:rsidRPr="00C31278">
              <w:t>28</w:t>
            </w:r>
          </w:p>
        </w:tc>
      </w:tr>
      <w:tr w:rsidR="006F2BB8" w:rsidRPr="006F2BB8" w14:paraId="63F07C89" w14:textId="77777777" w:rsidTr="00883AB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379" w:type="dxa"/>
            <w:tcBorders>
              <w:left w:val="nil"/>
            </w:tcBorders>
          </w:tcPr>
          <w:p w14:paraId="08203812" w14:textId="77777777" w:rsidR="006F2BB8" w:rsidRPr="00C31278" w:rsidRDefault="006F2BB8" w:rsidP="00C31278">
            <w:pPr>
              <w:pStyle w:val="10Tabletext"/>
            </w:pPr>
            <w:r w:rsidRPr="00C31278">
              <w:t>Insufficient contract length</w:t>
            </w:r>
          </w:p>
        </w:tc>
        <w:tc>
          <w:tcPr>
            <w:tcW w:w="1057" w:type="dxa"/>
          </w:tcPr>
          <w:p w14:paraId="5713AE94" w14:textId="77777777" w:rsidR="006F2BB8" w:rsidRPr="00C31278" w:rsidRDefault="006F2BB8" w:rsidP="00883ABD">
            <w:pPr>
              <w:pStyle w:val="10Tabletext"/>
              <w:jc w:val="center"/>
              <w:cnfStyle w:val="000000100000" w:firstRow="0" w:lastRow="0" w:firstColumn="0" w:lastColumn="0" w:oddVBand="0" w:evenVBand="0" w:oddHBand="1" w:evenHBand="0" w:firstRowFirstColumn="0" w:firstRowLastColumn="0" w:lastRowFirstColumn="0" w:lastRowLastColumn="0"/>
            </w:pPr>
            <w:r w:rsidRPr="00C31278">
              <w:t>35</w:t>
            </w:r>
          </w:p>
        </w:tc>
        <w:tc>
          <w:tcPr>
            <w:tcW w:w="1058" w:type="dxa"/>
            <w:tcBorders>
              <w:right w:val="nil"/>
            </w:tcBorders>
          </w:tcPr>
          <w:p w14:paraId="291D4BC5" w14:textId="77777777" w:rsidR="006F2BB8" w:rsidRPr="00C31278" w:rsidRDefault="006F2BB8" w:rsidP="00883ABD">
            <w:pPr>
              <w:pStyle w:val="10Tabletext"/>
              <w:jc w:val="center"/>
              <w:cnfStyle w:val="000000100000" w:firstRow="0" w:lastRow="0" w:firstColumn="0" w:lastColumn="0" w:oddVBand="0" w:evenVBand="0" w:oddHBand="1" w:evenHBand="0" w:firstRowFirstColumn="0" w:firstRowLastColumn="0" w:lastRowFirstColumn="0" w:lastRowLastColumn="0"/>
            </w:pPr>
            <w:r w:rsidRPr="00C31278">
              <w:t>23</w:t>
            </w:r>
          </w:p>
        </w:tc>
      </w:tr>
      <w:tr w:rsidR="006F2BB8" w:rsidRPr="006F2BB8" w14:paraId="148536D2" w14:textId="77777777" w:rsidTr="00883ABD">
        <w:trPr>
          <w:cantSplit/>
        </w:trPr>
        <w:tc>
          <w:tcPr>
            <w:cnfStyle w:val="001000000000" w:firstRow="0" w:lastRow="0" w:firstColumn="1" w:lastColumn="0" w:oddVBand="0" w:evenVBand="0" w:oddHBand="0" w:evenHBand="0" w:firstRowFirstColumn="0" w:firstRowLastColumn="0" w:lastRowFirstColumn="0" w:lastRowLastColumn="0"/>
            <w:tcW w:w="6379" w:type="dxa"/>
            <w:tcBorders>
              <w:left w:val="nil"/>
            </w:tcBorders>
          </w:tcPr>
          <w:p w14:paraId="1BE687E9" w14:textId="1DCCBB70" w:rsidR="006F2BB8" w:rsidRPr="00C31278" w:rsidRDefault="006F2BB8" w:rsidP="00C31278">
            <w:pPr>
              <w:pStyle w:val="10Tabletext"/>
            </w:pPr>
            <w:r w:rsidRPr="00C31278">
              <w:t>Other financial components of their contract too low or not available</w:t>
            </w:r>
          </w:p>
        </w:tc>
        <w:tc>
          <w:tcPr>
            <w:tcW w:w="1057" w:type="dxa"/>
          </w:tcPr>
          <w:p w14:paraId="75F8BDF3" w14:textId="77777777" w:rsidR="006F2BB8" w:rsidRPr="00C31278" w:rsidRDefault="006F2BB8" w:rsidP="00883ABD">
            <w:pPr>
              <w:pStyle w:val="10Tabletext"/>
              <w:jc w:val="center"/>
              <w:cnfStyle w:val="000000000000" w:firstRow="0" w:lastRow="0" w:firstColumn="0" w:lastColumn="0" w:oddVBand="0" w:evenVBand="0" w:oddHBand="0" w:evenHBand="0" w:firstRowFirstColumn="0" w:firstRowLastColumn="0" w:lastRowFirstColumn="0" w:lastRowLastColumn="0"/>
            </w:pPr>
            <w:r w:rsidRPr="00C31278">
              <w:t>24</w:t>
            </w:r>
          </w:p>
        </w:tc>
        <w:tc>
          <w:tcPr>
            <w:tcW w:w="1058" w:type="dxa"/>
            <w:tcBorders>
              <w:right w:val="nil"/>
            </w:tcBorders>
          </w:tcPr>
          <w:p w14:paraId="629BF7FB" w14:textId="77777777" w:rsidR="006F2BB8" w:rsidRPr="00C31278" w:rsidRDefault="006F2BB8" w:rsidP="00883ABD">
            <w:pPr>
              <w:pStyle w:val="10Tabletext"/>
              <w:jc w:val="center"/>
              <w:cnfStyle w:val="000000000000" w:firstRow="0" w:lastRow="0" w:firstColumn="0" w:lastColumn="0" w:oddVBand="0" w:evenVBand="0" w:oddHBand="0" w:evenHBand="0" w:firstRowFirstColumn="0" w:firstRowLastColumn="0" w:lastRowFirstColumn="0" w:lastRowLastColumn="0"/>
            </w:pPr>
            <w:r w:rsidRPr="00C31278">
              <w:t>16</w:t>
            </w:r>
          </w:p>
        </w:tc>
      </w:tr>
      <w:tr w:rsidR="006F2BB8" w:rsidRPr="006F2BB8" w14:paraId="74286736" w14:textId="77777777" w:rsidTr="00883AB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379" w:type="dxa"/>
            <w:tcBorders>
              <w:left w:val="nil"/>
            </w:tcBorders>
          </w:tcPr>
          <w:p w14:paraId="5594D993" w14:textId="77777777" w:rsidR="006F2BB8" w:rsidRPr="00C31278" w:rsidRDefault="006F2BB8" w:rsidP="00C31278">
            <w:pPr>
              <w:pStyle w:val="10Tabletext"/>
            </w:pPr>
            <w:r w:rsidRPr="00C31278">
              <w:t>Insufficient professional development opportunities</w:t>
            </w:r>
          </w:p>
        </w:tc>
        <w:tc>
          <w:tcPr>
            <w:tcW w:w="1057" w:type="dxa"/>
          </w:tcPr>
          <w:p w14:paraId="4A6BBA96" w14:textId="77777777" w:rsidR="006F2BB8" w:rsidRPr="00C31278" w:rsidRDefault="006F2BB8" w:rsidP="00883ABD">
            <w:pPr>
              <w:pStyle w:val="10Tabletext"/>
              <w:jc w:val="center"/>
              <w:cnfStyle w:val="000000100000" w:firstRow="0" w:lastRow="0" w:firstColumn="0" w:lastColumn="0" w:oddVBand="0" w:evenVBand="0" w:oddHBand="1" w:evenHBand="0" w:firstRowFirstColumn="0" w:firstRowLastColumn="0" w:lastRowFirstColumn="0" w:lastRowLastColumn="0"/>
            </w:pPr>
            <w:r w:rsidRPr="00C31278">
              <w:t>17</w:t>
            </w:r>
          </w:p>
        </w:tc>
        <w:tc>
          <w:tcPr>
            <w:tcW w:w="1058" w:type="dxa"/>
            <w:tcBorders>
              <w:right w:val="nil"/>
            </w:tcBorders>
          </w:tcPr>
          <w:p w14:paraId="21E1F2B2" w14:textId="77777777" w:rsidR="006F2BB8" w:rsidRPr="00C31278" w:rsidRDefault="006F2BB8" w:rsidP="00883ABD">
            <w:pPr>
              <w:pStyle w:val="10Tabletext"/>
              <w:jc w:val="center"/>
              <w:cnfStyle w:val="000000100000" w:firstRow="0" w:lastRow="0" w:firstColumn="0" w:lastColumn="0" w:oddVBand="0" w:evenVBand="0" w:oddHBand="1" w:evenHBand="0" w:firstRowFirstColumn="0" w:firstRowLastColumn="0" w:lastRowFirstColumn="0" w:lastRowLastColumn="0"/>
            </w:pPr>
            <w:r w:rsidRPr="00C31278">
              <w:t>11</w:t>
            </w:r>
          </w:p>
        </w:tc>
      </w:tr>
      <w:tr w:rsidR="006F2BB8" w:rsidRPr="006F2BB8" w14:paraId="49E09131" w14:textId="77777777" w:rsidTr="00883ABD">
        <w:trPr>
          <w:cantSplit/>
        </w:trPr>
        <w:tc>
          <w:tcPr>
            <w:cnfStyle w:val="001000000000" w:firstRow="0" w:lastRow="0" w:firstColumn="1" w:lastColumn="0" w:oddVBand="0" w:evenVBand="0" w:oddHBand="0" w:evenHBand="0" w:firstRowFirstColumn="0" w:firstRowLastColumn="0" w:lastRowFirstColumn="0" w:lastRowLastColumn="0"/>
            <w:tcW w:w="6379" w:type="dxa"/>
            <w:tcBorders>
              <w:left w:val="nil"/>
            </w:tcBorders>
          </w:tcPr>
          <w:p w14:paraId="4D0C6692" w14:textId="77777777" w:rsidR="006F2BB8" w:rsidRPr="00C31278" w:rsidRDefault="006F2BB8" w:rsidP="00C31278">
            <w:pPr>
              <w:pStyle w:val="10Tabletext"/>
            </w:pPr>
            <w:r w:rsidRPr="00C31278">
              <w:t>Their team or other colleagues</w:t>
            </w:r>
          </w:p>
        </w:tc>
        <w:tc>
          <w:tcPr>
            <w:tcW w:w="1057" w:type="dxa"/>
          </w:tcPr>
          <w:p w14:paraId="6FC7D4DD" w14:textId="77777777" w:rsidR="006F2BB8" w:rsidRPr="00C31278" w:rsidRDefault="006F2BB8" w:rsidP="00883ABD">
            <w:pPr>
              <w:pStyle w:val="10Tabletext"/>
              <w:jc w:val="center"/>
              <w:cnfStyle w:val="000000000000" w:firstRow="0" w:lastRow="0" w:firstColumn="0" w:lastColumn="0" w:oddVBand="0" w:evenVBand="0" w:oddHBand="0" w:evenHBand="0" w:firstRowFirstColumn="0" w:firstRowLastColumn="0" w:lastRowFirstColumn="0" w:lastRowLastColumn="0"/>
            </w:pPr>
            <w:r w:rsidRPr="00C31278">
              <w:t>14</w:t>
            </w:r>
          </w:p>
        </w:tc>
        <w:tc>
          <w:tcPr>
            <w:tcW w:w="1058" w:type="dxa"/>
            <w:tcBorders>
              <w:right w:val="nil"/>
            </w:tcBorders>
          </w:tcPr>
          <w:p w14:paraId="603E1CB7" w14:textId="77777777" w:rsidR="006F2BB8" w:rsidRPr="00C31278" w:rsidRDefault="006F2BB8" w:rsidP="00883ABD">
            <w:pPr>
              <w:pStyle w:val="10Tabletext"/>
              <w:jc w:val="center"/>
              <w:cnfStyle w:val="000000000000" w:firstRow="0" w:lastRow="0" w:firstColumn="0" w:lastColumn="0" w:oddVBand="0" w:evenVBand="0" w:oddHBand="0" w:evenHBand="0" w:firstRowFirstColumn="0" w:firstRowLastColumn="0" w:lastRowFirstColumn="0" w:lastRowLastColumn="0"/>
            </w:pPr>
            <w:r w:rsidRPr="00C31278">
              <w:t>9</w:t>
            </w:r>
          </w:p>
        </w:tc>
      </w:tr>
      <w:tr w:rsidR="006F2BB8" w:rsidRPr="006F2BB8" w14:paraId="0CAB3DAC" w14:textId="77777777" w:rsidTr="00883AB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379" w:type="dxa"/>
            <w:tcBorders>
              <w:left w:val="nil"/>
            </w:tcBorders>
          </w:tcPr>
          <w:p w14:paraId="472ED02E" w14:textId="77777777" w:rsidR="006F2BB8" w:rsidRPr="00C31278" w:rsidRDefault="006F2BB8" w:rsidP="00C31278">
            <w:pPr>
              <w:pStyle w:val="10Tabletext"/>
            </w:pPr>
            <w:r w:rsidRPr="00C31278">
              <w:t>Retirement</w:t>
            </w:r>
          </w:p>
        </w:tc>
        <w:tc>
          <w:tcPr>
            <w:tcW w:w="1057" w:type="dxa"/>
          </w:tcPr>
          <w:p w14:paraId="69F54435" w14:textId="77777777" w:rsidR="006F2BB8" w:rsidRPr="00C31278" w:rsidRDefault="006F2BB8" w:rsidP="00883ABD">
            <w:pPr>
              <w:pStyle w:val="10Tabletext"/>
              <w:jc w:val="center"/>
              <w:cnfStyle w:val="000000100000" w:firstRow="0" w:lastRow="0" w:firstColumn="0" w:lastColumn="0" w:oddVBand="0" w:evenVBand="0" w:oddHBand="1" w:evenHBand="0" w:firstRowFirstColumn="0" w:firstRowLastColumn="0" w:lastRowFirstColumn="0" w:lastRowLastColumn="0"/>
            </w:pPr>
            <w:r w:rsidRPr="00C31278">
              <w:t>9</w:t>
            </w:r>
          </w:p>
        </w:tc>
        <w:tc>
          <w:tcPr>
            <w:tcW w:w="1058" w:type="dxa"/>
            <w:tcBorders>
              <w:right w:val="nil"/>
            </w:tcBorders>
          </w:tcPr>
          <w:p w14:paraId="01469ABF" w14:textId="77777777" w:rsidR="006F2BB8" w:rsidRPr="00C31278" w:rsidRDefault="006F2BB8" w:rsidP="00883ABD">
            <w:pPr>
              <w:pStyle w:val="10Tabletext"/>
              <w:jc w:val="center"/>
              <w:cnfStyle w:val="000000100000" w:firstRow="0" w:lastRow="0" w:firstColumn="0" w:lastColumn="0" w:oddVBand="0" w:evenVBand="0" w:oddHBand="1" w:evenHBand="0" w:firstRowFirstColumn="0" w:firstRowLastColumn="0" w:lastRowFirstColumn="0" w:lastRowLastColumn="0"/>
            </w:pPr>
            <w:r w:rsidRPr="00C31278">
              <w:t>6</w:t>
            </w:r>
          </w:p>
        </w:tc>
      </w:tr>
      <w:tr w:rsidR="006F2BB8" w:rsidRPr="006F2BB8" w14:paraId="45E42CEB" w14:textId="77777777" w:rsidTr="00883ABD">
        <w:trPr>
          <w:cantSplit/>
        </w:trPr>
        <w:tc>
          <w:tcPr>
            <w:cnfStyle w:val="001000000000" w:firstRow="0" w:lastRow="0" w:firstColumn="1" w:lastColumn="0" w:oddVBand="0" w:evenVBand="0" w:oddHBand="0" w:evenHBand="0" w:firstRowFirstColumn="0" w:firstRowLastColumn="0" w:lastRowFirstColumn="0" w:lastRowLastColumn="0"/>
            <w:tcW w:w="6379" w:type="dxa"/>
            <w:tcBorders>
              <w:left w:val="nil"/>
            </w:tcBorders>
          </w:tcPr>
          <w:p w14:paraId="2069B060" w14:textId="77777777" w:rsidR="006F2BB8" w:rsidRPr="00C31278" w:rsidRDefault="006F2BB8" w:rsidP="00C31278">
            <w:pPr>
              <w:pStyle w:val="10Tabletext"/>
            </w:pPr>
            <w:r w:rsidRPr="00C31278">
              <w:t>Insufficient opportunity to contribute to the community</w:t>
            </w:r>
          </w:p>
        </w:tc>
        <w:tc>
          <w:tcPr>
            <w:tcW w:w="1057" w:type="dxa"/>
          </w:tcPr>
          <w:p w14:paraId="11A01D65" w14:textId="77777777" w:rsidR="006F2BB8" w:rsidRPr="00C31278" w:rsidRDefault="006F2BB8" w:rsidP="00883ABD">
            <w:pPr>
              <w:pStyle w:val="10Tabletext"/>
              <w:jc w:val="center"/>
              <w:cnfStyle w:val="000000000000" w:firstRow="0" w:lastRow="0" w:firstColumn="0" w:lastColumn="0" w:oddVBand="0" w:evenVBand="0" w:oddHBand="0" w:evenHBand="0" w:firstRowFirstColumn="0" w:firstRowLastColumn="0" w:lastRowFirstColumn="0" w:lastRowLastColumn="0"/>
            </w:pPr>
            <w:r w:rsidRPr="00C31278">
              <w:t>7</w:t>
            </w:r>
          </w:p>
        </w:tc>
        <w:tc>
          <w:tcPr>
            <w:tcW w:w="1058" w:type="dxa"/>
            <w:tcBorders>
              <w:right w:val="nil"/>
            </w:tcBorders>
          </w:tcPr>
          <w:p w14:paraId="46946499" w14:textId="77777777" w:rsidR="006F2BB8" w:rsidRPr="00C31278" w:rsidRDefault="006F2BB8" w:rsidP="00883ABD">
            <w:pPr>
              <w:pStyle w:val="10Tabletext"/>
              <w:jc w:val="center"/>
              <w:cnfStyle w:val="000000000000" w:firstRow="0" w:lastRow="0" w:firstColumn="0" w:lastColumn="0" w:oddVBand="0" w:evenVBand="0" w:oddHBand="0" w:evenHBand="0" w:firstRowFirstColumn="0" w:firstRowLastColumn="0" w:lastRowFirstColumn="0" w:lastRowLastColumn="0"/>
            </w:pPr>
            <w:r w:rsidRPr="00C31278">
              <w:t>5</w:t>
            </w:r>
          </w:p>
        </w:tc>
      </w:tr>
      <w:tr w:rsidR="006F2BB8" w:rsidRPr="006F2BB8" w14:paraId="0771BEA3" w14:textId="77777777" w:rsidTr="00883AB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379" w:type="dxa"/>
            <w:tcBorders>
              <w:left w:val="nil"/>
            </w:tcBorders>
          </w:tcPr>
          <w:p w14:paraId="5D9C01BF" w14:textId="77777777" w:rsidR="006F2BB8" w:rsidRPr="00C31278" w:rsidRDefault="006F2BB8" w:rsidP="00C31278">
            <w:pPr>
              <w:pStyle w:val="10Tabletext"/>
            </w:pPr>
            <w:r w:rsidRPr="00C31278">
              <w:t>Other (please specify)</w:t>
            </w:r>
          </w:p>
        </w:tc>
        <w:tc>
          <w:tcPr>
            <w:tcW w:w="1057" w:type="dxa"/>
          </w:tcPr>
          <w:p w14:paraId="44FBD613" w14:textId="77777777" w:rsidR="006F2BB8" w:rsidRPr="00C31278" w:rsidRDefault="006F2BB8" w:rsidP="00883ABD">
            <w:pPr>
              <w:pStyle w:val="10Tabletext"/>
              <w:jc w:val="center"/>
              <w:cnfStyle w:val="000000100000" w:firstRow="0" w:lastRow="0" w:firstColumn="0" w:lastColumn="0" w:oddVBand="0" w:evenVBand="0" w:oddHBand="1" w:evenHBand="0" w:firstRowFirstColumn="0" w:firstRowLastColumn="0" w:lastRowFirstColumn="0" w:lastRowLastColumn="0"/>
            </w:pPr>
            <w:r w:rsidRPr="00C31278">
              <w:t>53</w:t>
            </w:r>
          </w:p>
        </w:tc>
        <w:tc>
          <w:tcPr>
            <w:tcW w:w="1058" w:type="dxa"/>
            <w:tcBorders>
              <w:right w:val="nil"/>
            </w:tcBorders>
          </w:tcPr>
          <w:p w14:paraId="0C508101" w14:textId="77777777" w:rsidR="006F2BB8" w:rsidRPr="00C31278" w:rsidRDefault="006F2BB8" w:rsidP="00883ABD">
            <w:pPr>
              <w:pStyle w:val="10Tabletext"/>
              <w:jc w:val="center"/>
              <w:cnfStyle w:val="000000100000" w:firstRow="0" w:lastRow="0" w:firstColumn="0" w:lastColumn="0" w:oddVBand="0" w:evenVBand="0" w:oddHBand="1" w:evenHBand="0" w:firstRowFirstColumn="0" w:firstRowLastColumn="0" w:lastRowFirstColumn="0" w:lastRowLastColumn="0"/>
            </w:pPr>
            <w:r w:rsidRPr="00C31278">
              <w:t>35</w:t>
            </w:r>
          </w:p>
        </w:tc>
      </w:tr>
      <w:tr w:rsidR="006F2BB8" w:rsidRPr="006F2BB8" w14:paraId="1472939B" w14:textId="77777777" w:rsidTr="00883ABD">
        <w:trPr>
          <w:cantSplit/>
        </w:trPr>
        <w:tc>
          <w:tcPr>
            <w:cnfStyle w:val="001000000000" w:firstRow="0" w:lastRow="0" w:firstColumn="1" w:lastColumn="0" w:oddVBand="0" w:evenVBand="0" w:oddHBand="0" w:evenHBand="0" w:firstRowFirstColumn="0" w:firstRowLastColumn="0" w:lastRowFirstColumn="0" w:lastRowLastColumn="0"/>
            <w:tcW w:w="6379" w:type="dxa"/>
            <w:tcBorders>
              <w:left w:val="nil"/>
            </w:tcBorders>
          </w:tcPr>
          <w:p w14:paraId="31AB1A54" w14:textId="40FBA00D" w:rsidR="006F2BB8" w:rsidRPr="00C31278" w:rsidRDefault="006F2BB8" w:rsidP="00C31278">
            <w:pPr>
              <w:pStyle w:val="10Tabletext"/>
            </w:pPr>
            <w:r w:rsidRPr="00C31278">
              <w:t>Total</w:t>
            </w:r>
            <w:r w:rsidR="009014C8" w:rsidRPr="00C31278">
              <w:t xml:space="preserve"> respondents</w:t>
            </w:r>
          </w:p>
        </w:tc>
        <w:tc>
          <w:tcPr>
            <w:tcW w:w="1057" w:type="dxa"/>
          </w:tcPr>
          <w:p w14:paraId="0C1DDB51" w14:textId="77777777" w:rsidR="006F2BB8" w:rsidRPr="00C31278" w:rsidRDefault="006F2BB8" w:rsidP="00883ABD">
            <w:pPr>
              <w:pStyle w:val="10Tabletext"/>
              <w:jc w:val="center"/>
              <w:cnfStyle w:val="000000000000" w:firstRow="0" w:lastRow="0" w:firstColumn="0" w:lastColumn="0" w:oddVBand="0" w:evenVBand="0" w:oddHBand="0" w:evenHBand="0" w:firstRowFirstColumn="0" w:firstRowLastColumn="0" w:lastRowFirstColumn="0" w:lastRowLastColumn="0"/>
            </w:pPr>
            <w:r w:rsidRPr="00C31278">
              <w:t>150</w:t>
            </w:r>
          </w:p>
        </w:tc>
        <w:tc>
          <w:tcPr>
            <w:tcW w:w="1058" w:type="dxa"/>
            <w:tcBorders>
              <w:right w:val="nil"/>
            </w:tcBorders>
          </w:tcPr>
          <w:p w14:paraId="70735AE2" w14:textId="77777777" w:rsidR="006F2BB8" w:rsidRPr="00C31278" w:rsidRDefault="006F2BB8" w:rsidP="00883ABD">
            <w:pPr>
              <w:pStyle w:val="10Tabletext"/>
              <w:jc w:val="center"/>
              <w:cnfStyle w:val="000000000000" w:firstRow="0" w:lastRow="0" w:firstColumn="0" w:lastColumn="0" w:oddVBand="0" w:evenVBand="0" w:oddHBand="0" w:evenHBand="0" w:firstRowFirstColumn="0" w:firstRowLastColumn="0" w:lastRowFirstColumn="0" w:lastRowLastColumn="0"/>
            </w:pPr>
          </w:p>
        </w:tc>
      </w:tr>
    </w:tbl>
    <w:p w14:paraId="0A954C65" w14:textId="3A4EC4BC" w:rsidR="006F2BB8" w:rsidRPr="006F2BB8" w:rsidRDefault="006F2BB8" w:rsidP="00D827CB">
      <w:pPr>
        <w:pStyle w:val="09Sourcesandnotesfortablesfiguresboxes"/>
      </w:pPr>
      <w:r w:rsidRPr="006F2BB8">
        <w:t>Note</w:t>
      </w:r>
      <w:r w:rsidR="00802FB5">
        <w:t>s</w:t>
      </w:r>
      <w:r w:rsidRPr="006F2BB8">
        <w:t>: This question was only asked to respondents who answered ‘Yes’ in Table A.15 and ‘Yes’ in Table A.19</w:t>
      </w:r>
      <w:r w:rsidR="00F90100">
        <w:t>.</w:t>
      </w:r>
      <w:r w:rsidR="00802FB5" w:rsidRPr="00802FB5">
        <w:t xml:space="preserve"> </w:t>
      </w:r>
      <w:r w:rsidR="00802FB5">
        <w:t>The percentages in this table exceed 100</w:t>
      </w:r>
      <w:r w:rsidR="00F90100">
        <w:t xml:space="preserve"> per cent</w:t>
      </w:r>
      <w:r w:rsidR="00802FB5">
        <w:t xml:space="preserve"> as respondents were asked to select multiple options.</w:t>
      </w:r>
    </w:p>
    <w:p w14:paraId="1CA0832E" w14:textId="77777777" w:rsidR="006F2BB8" w:rsidRPr="006F2BB8" w:rsidRDefault="006F2BB8" w:rsidP="006A3A46">
      <w:pPr>
        <w:pStyle w:val="05Paragraph"/>
      </w:pPr>
      <w:r w:rsidRPr="006F2BB8">
        <w:t>Another follow up question highlighted how retaining executives in project and program management roles is perceived to be a challenge (Table A.21).</w:t>
      </w:r>
    </w:p>
    <w:p w14:paraId="54D52FEF" w14:textId="77777777" w:rsidR="006F2BB8" w:rsidRPr="006F2BB8" w:rsidRDefault="006F2BB8" w:rsidP="006C2935">
      <w:pPr>
        <w:pStyle w:val="08Figuretableboxheading"/>
      </w:pPr>
      <w:bookmarkStart w:id="199" w:name="_Toc170393601"/>
      <w:r w:rsidRPr="006F2BB8">
        <w:lastRenderedPageBreak/>
        <w:t>Table A.21: What are the functional areas in which you are experiencing significant challenges in retaining executives? Select all that apply.</w:t>
      </w:r>
      <w:bookmarkEnd w:id="199"/>
    </w:p>
    <w:tbl>
      <w:tblPr>
        <w:tblStyle w:val="ListTable3-Accent1"/>
        <w:tblW w:w="0" w:type="auto"/>
        <w:tblLayout w:type="fixed"/>
        <w:tblLook w:val="04A0" w:firstRow="1" w:lastRow="0" w:firstColumn="1" w:lastColumn="0" w:noHBand="0" w:noVBand="1"/>
      </w:tblPr>
      <w:tblGrid>
        <w:gridCol w:w="4962"/>
        <w:gridCol w:w="1766"/>
        <w:gridCol w:w="1766"/>
      </w:tblGrid>
      <w:tr w:rsidR="006F2BB8" w:rsidRPr="006F2BB8" w14:paraId="50BFC991" w14:textId="77777777" w:rsidTr="00C73902">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4962" w:type="dxa"/>
            <w:tcBorders>
              <w:top w:val="single" w:sz="4" w:space="0" w:color="26664E"/>
              <w:left w:val="nil"/>
              <w:bottom w:val="single" w:sz="4" w:space="0" w:color="148A5D"/>
              <w:right w:val="single" w:sz="4" w:space="0" w:color="148A5D"/>
            </w:tcBorders>
            <w:shd w:val="clear" w:color="auto" w:fill="148A5D"/>
          </w:tcPr>
          <w:p w14:paraId="119CD4D2" w14:textId="77777777" w:rsidR="006F2BB8" w:rsidRPr="00C31278" w:rsidRDefault="006F2BB8" w:rsidP="006C2935">
            <w:pPr>
              <w:pStyle w:val="10Tabletext"/>
              <w:keepNext/>
            </w:pPr>
            <w:r w:rsidRPr="00C31278">
              <w:t>Answer choices</w:t>
            </w:r>
          </w:p>
        </w:tc>
        <w:tc>
          <w:tcPr>
            <w:tcW w:w="3532" w:type="dxa"/>
            <w:gridSpan w:val="2"/>
            <w:tcBorders>
              <w:top w:val="single" w:sz="4" w:space="0" w:color="26664E"/>
              <w:left w:val="single" w:sz="4" w:space="0" w:color="148A5D"/>
              <w:bottom w:val="single" w:sz="4" w:space="0" w:color="148A5D"/>
              <w:right w:val="nil"/>
            </w:tcBorders>
            <w:shd w:val="clear" w:color="auto" w:fill="148A5D"/>
          </w:tcPr>
          <w:p w14:paraId="489D2C78" w14:textId="77777777" w:rsidR="006F2BB8" w:rsidRPr="00C31278" w:rsidRDefault="006F2BB8" w:rsidP="00C73902">
            <w:pPr>
              <w:pStyle w:val="10Tabletext"/>
              <w:keepNext/>
              <w:jc w:val="center"/>
              <w:cnfStyle w:val="100000000000" w:firstRow="1" w:lastRow="0" w:firstColumn="0" w:lastColumn="0" w:oddVBand="0" w:evenVBand="0" w:oddHBand="0" w:evenHBand="0" w:firstRowFirstColumn="0" w:firstRowLastColumn="0" w:lastRowFirstColumn="0" w:lastRowLastColumn="0"/>
            </w:pPr>
            <w:r w:rsidRPr="00C31278">
              <w:t>Responses</w:t>
            </w:r>
          </w:p>
        </w:tc>
      </w:tr>
      <w:tr w:rsidR="006F2BB8" w:rsidRPr="006F2BB8" w14:paraId="4F999D93" w14:textId="77777777" w:rsidTr="00C7390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148A5D"/>
              <w:left w:val="nil"/>
              <w:right w:val="single" w:sz="4" w:space="0" w:color="148A5D"/>
            </w:tcBorders>
            <w:shd w:val="clear" w:color="auto" w:fill="148A5D"/>
          </w:tcPr>
          <w:p w14:paraId="68A48E93" w14:textId="77777777" w:rsidR="006F2BB8" w:rsidRPr="00C31278" w:rsidRDefault="006F2BB8" w:rsidP="006C2935">
            <w:pPr>
              <w:pStyle w:val="10Tabletext"/>
              <w:keepNext/>
              <w:rPr>
                <w:color w:val="FFFFFF" w:themeColor="background1"/>
                <w:szCs w:val="24"/>
              </w:rPr>
            </w:pPr>
          </w:p>
        </w:tc>
        <w:tc>
          <w:tcPr>
            <w:tcW w:w="1766" w:type="dxa"/>
            <w:tcBorders>
              <w:top w:val="single" w:sz="4" w:space="0" w:color="148A5D"/>
              <w:left w:val="single" w:sz="4" w:space="0" w:color="148A5D"/>
              <w:right w:val="single" w:sz="4" w:space="0" w:color="148A5D"/>
            </w:tcBorders>
            <w:shd w:val="clear" w:color="auto" w:fill="148A5D"/>
          </w:tcPr>
          <w:p w14:paraId="0BFE8183" w14:textId="77777777" w:rsidR="006F2BB8" w:rsidRPr="00C31278" w:rsidRDefault="006F2BB8" w:rsidP="00C73902">
            <w:pPr>
              <w:pStyle w:val="10Tabletext"/>
              <w:keepNext/>
              <w:jc w:val="center"/>
              <w:cnfStyle w:val="000000100000" w:firstRow="0" w:lastRow="0" w:firstColumn="0" w:lastColumn="0" w:oddVBand="0" w:evenVBand="0" w:oddHBand="1" w:evenHBand="0" w:firstRowFirstColumn="0" w:firstRowLastColumn="0" w:lastRowFirstColumn="0" w:lastRowLastColumn="0"/>
              <w:rPr>
                <w:b/>
                <w:bCs w:val="0"/>
                <w:color w:val="FFFFFF" w:themeColor="background1"/>
                <w:szCs w:val="24"/>
              </w:rPr>
            </w:pPr>
            <w:r w:rsidRPr="00C31278">
              <w:rPr>
                <w:b/>
                <w:bCs w:val="0"/>
                <w:color w:val="FFFFFF" w:themeColor="background1"/>
                <w:szCs w:val="24"/>
              </w:rPr>
              <w:t>Number</w:t>
            </w:r>
          </w:p>
        </w:tc>
        <w:tc>
          <w:tcPr>
            <w:tcW w:w="1766" w:type="dxa"/>
            <w:tcBorders>
              <w:top w:val="single" w:sz="4" w:space="0" w:color="148A5D"/>
              <w:left w:val="single" w:sz="4" w:space="0" w:color="148A5D"/>
              <w:right w:val="nil"/>
            </w:tcBorders>
            <w:shd w:val="clear" w:color="auto" w:fill="148A5D"/>
          </w:tcPr>
          <w:p w14:paraId="3DBB257A" w14:textId="77777777" w:rsidR="006F2BB8" w:rsidRPr="00C31278" w:rsidRDefault="006F2BB8" w:rsidP="00C73902">
            <w:pPr>
              <w:pStyle w:val="10Tabletext"/>
              <w:keepNext/>
              <w:jc w:val="center"/>
              <w:cnfStyle w:val="000000100000" w:firstRow="0" w:lastRow="0" w:firstColumn="0" w:lastColumn="0" w:oddVBand="0" w:evenVBand="0" w:oddHBand="1" w:evenHBand="0" w:firstRowFirstColumn="0" w:firstRowLastColumn="0" w:lastRowFirstColumn="0" w:lastRowLastColumn="0"/>
              <w:rPr>
                <w:b/>
                <w:bCs w:val="0"/>
                <w:color w:val="FFFFFF" w:themeColor="background1"/>
                <w:szCs w:val="24"/>
              </w:rPr>
            </w:pPr>
            <w:r w:rsidRPr="00C31278">
              <w:rPr>
                <w:b/>
                <w:bCs w:val="0"/>
                <w:color w:val="FFFFFF" w:themeColor="background1"/>
                <w:szCs w:val="24"/>
              </w:rPr>
              <w:t>%</w:t>
            </w:r>
          </w:p>
        </w:tc>
      </w:tr>
      <w:tr w:rsidR="006F2BB8" w:rsidRPr="006F2BB8" w14:paraId="51DFE276" w14:textId="77777777" w:rsidTr="00C73902">
        <w:trPr>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533EEB97" w14:textId="77777777" w:rsidR="006F2BB8" w:rsidRPr="00C31278" w:rsidRDefault="006F2BB8" w:rsidP="006C2935">
            <w:pPr>
              <w:pStyle w:val="10Tabletext"/>
              <w:keepNext/>
            </w:pPr>
            <w:r w:rsidRPr="00C31278">
              <w:t>Project and program management</w:t>
            </w:r>
          </w:p>
        </w:tc>
        <w:tc>
          <w:tcPr>
            <w:tcW w:w="1766" w:type="dxa"/>
          </w:tcPr>
          <w:p w14:paraId="2FE0DBDE" w14:textId="77777777" w:rsidR="006F2BB8" w:rsidRPr="00C73902" w:rsidRDefault="006F2BB8" w:rsidP="00C73902">
            <w:pPr>
              <w:pStyle w:val="10Tabletext"/>
              <w:jc w:val="center"/>
              <w:cnfStyle w:val="000000000000" w:firstRow="0" w:lastRow="0" w:firstColumn="0" w:lastColumn="0" w:oddVBand="0" w:evenVBand="0" w:oddHBand="0" w:evenHBand="0" w:firstRowFirstColumn="0" w:firstRowLastColumn="0" w:lastRowFirstColumn="0" w:lastRowLastColumn="0"/>
            </w:pPr>
            <w:r w:rsidRPr="00C73902">
              <w:t>68</w:t>
            </w:r>
          </w:p>
        </w:tc>
        <w:tc>
          <w:tcPr>
            <w:tcW w:w="1766" w:type="dxa"/>
            <w:tcBorders>
              <w:right w:val="nil"/>
            </w:tcBorders>
          </w:tcPr>
          <w:p w14:paraId="605FAF95" w14:textId="77777777" w:rsidR="006F2BB8" w:rsidRPr="00C73902" w:rsidRDefault="006F2BB8" w:rsidP="00C73902">
            <w:pPr>
              <w:pStyle w:val="10Tabletext"/>
              <w:jc w:val="center"/>
              <w:cnfStyle w:val="000000000000" w:firstRow="0" w:lastRow="0" w:firstColumn="0" w:lastColumn="0" w:oddVBand="0" w:evenVBand="0" w:oddHBand="0" w:evenHBand="0" w:firstRowFirstColumn="0" w:firstRowLastColumn="0" w:lastRowFirstColumn="0" w:lastRowLastColumn="0"/>
            </w:pPr>
            <w:r w:rsidRPr="00C73902">
              <w:t>47</w:t>
            </w:r>
          </w:p>
        </w:tc>
      </w:tr>
      <w:tr w:rsidR="006F2BB8" w:rsidRPr="006F2BB8" w14:paraId="6C7CAF1B" w14:textId="77777777" w:rsidTr="00C7390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14FFA1F6" w14:textId="77777777" w:rsidR="006F2BB8" w:rsidRPr="00C31278" w:rsidRDefault="006F2BB8" w:rsidP="006C2935">
            <w:pPr>
              <w:pStyle w:val="10Tabletext"/>
              <w:keepNext/>
            </w:pPr>
            <w:r w:rsidRPr="00C31278">
              <w:t>Policy and strategy</w:t>
            </w:r>
          </w:p>
        </w:tc>
        <w:tc>
          <w:tcPr>
            <w:tcW w:w="1766" w:type="dxa"/>
          </w:tcPr>
          <w:p w14:paraId="2DF50CB8" w14:textId="77777777" w:rsidR="006F2BB8" w:rsidRPr="00C73902" w:rsidRDefault="006F2BB8" w:rsidP="00C73902">
            <w:pPr>
              <w:pStyle w:val="10Tabletext"/>
              <w:jc w:val="center"/>
              <w:cnfStyle w:val="000000100000" w:firstRow="0" w:lastRow="0" w:firstColumn="0" w:lastColumn="0" w:oddVBand="0" w:evenVBand="0" w:oddHBand="1" w:evenHBand="0" w:firstRowFirstColumn="0" w:firstRowLastColumn="0" w:lastRowFirstColumn="0" w:lastRowLastColumn="0"/>
            </w:pPr>
            <w:r w:rsidRPr="00C73902">
              <w:t>61</w:t>
            </w:r>
          </w:p>
        </w:tc>
        <w:tc>
          <w:tcPr>
            <w:tcW w:w="1766" w:type="dxa"/>
            <w:tcBorders>
              <w:right w:val="nil"/>
            </w:tcBorders>
          </w:tcPr>
          <w:p w14:paraId="2CF5CB15" w14:textId="77777777" w:rsidR="006F2BB8" w:rsidRPr="00C73902" w:rsidRDefault="006F2BB8" w:rsidP="00C73902">
            <w:pPr>
              <w:pStyle w:val="10Tabletext"/>
              <w:jc w:val="center"/>
              <w:cnfStyle w:val="000000100000" w:firstRow="0" w:lastRow="0" w:firstColumn="0" w:lastColumn="0" w:oddVBand="0" w:evenVBand="0" w:oddHBand="1" w:evenHBand="0" w:firstRowFirstColumn="0" w:firstRowLastColumn="0" w:lastRowFirstColumn="0" w:lastRowLastColumn="0"/>
            </w:pPr>
            <w:r w:rsidRPr="00C73902">
              <w:t>42</w:t>
            </w:r>
          </w:p>
        </w:tc>
      </w:tr>
      <w:tr w:rsidR="006F2BB8" w:rsidRPr="006F2BB8" w14:paraId="4D4809EA" w14:textId="77777777" w:rsidTr="00C73902">
        <w:trPr>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06568DC8" w14:textId="77777777" w:rsidR="006F2BB8" w:rsidRPr="00C31278" w:rsidRDefault="006F2BB8" w:rsidP="006C2935">
            <w:pPr>
              <w:pStyle w:val="10Tabletext"/>
              <w:keepNext/>
            </w:pPr>
            <w:r w:rsidRPr="00C31278">
              <w:t>Engineering</w:t>
            </w:r>
          </w:p>
        </w:tc>
        <w:tc>
          <w:tcPr>
            <w:tcW w:w="1766" w:type="dxa"/>
          </w:tcPr>
          <w:p w14:paraId="4189E595" w14:textId="77777777" w:rsidR="006F2BB8" w:rsidRPr="00C73902" w:rsidRDefault="006F2BB8" w:rsidP="00C73902">
            <w:pPr>
              <w:pStyle w:val="10Tabletext"/>
              <w:jc w:val="center"/>
              <w:cnfStyle w:val="000000000000" w:firstRow="0" w:lastRow="0" w:firstColumn="0" w:lastColumn="0" w:oddVBand="0" w:evenVBand="0" w:oddHBand="0" w:evenHBand="0" w:firstRowFirstColumn="0" w:firstRowLastColumn="0" w:lastRowFirstColumn="0" w:lastRowLastColumn="0"/>
            </w:pPr>
            <w:r w:rsidRPr="00C73902">
              <w:t>24</w:t>
            </w:r>
          </w:p>
        </w:tc>
        <w:tc>
          <w:tcPr>
            <w:tcW w:w="1766" w:type="dxa"/>
            <w:tcBorders>
              <w:right w:val="nil"/>
            </w:tcBorders>
          </w:tcPr>
          <w:p w14:paraId="62395A3F" w14:textId="77777777" w:rsidR="006F2BB8" w:rsidRPr="00C73902" w:rsidRDefault="006F2BB8" w:rsidP="00C73902">
            <w:pPr>
              <w:pStyle w:val="10Tabletext"/>
              <w:jc w:val="center"/>
              <w:cnfStyle w:val="000000000000" w:firstRow="0" w:lastRow="0" w:firstColumn="0" w:lastColumn="0" w:oddVBand="0" w:evenVBand="0" w:oddHBand="0" w:evenHBand="0" w:firstRowFirstColumn="0" w:firstRowLastColumn="0" w:lastRowFirstColumn="0" w:lastRowLastColumn="0"/>
            </w:pPr>
            <w:r w:rsidRPr="00C73902">
              <w:t>17</w:t>
            </w:r>
          </w:p>
        </w:tc>
      </w:tr>
      <w:tr w:rsidR="006F2BB8" w:rsidRPr="006F2BB8" w14:paraId="219C897F" w14:textId="77777777" w:rsidTr="00C7390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5FB1267B" w14:textId="77777777" w:rsidR="006F2BB8" w:rsidRPr="00C31278" w:rsidRDefault="006F2BB8" w:rsidP="006C2935">
            <w:pPr>
              <w:pStyle w:val="10Tabletext"/>
              <w:keepNext/>
            </w:pPr>
            <w:r w:rsidRPr="00C31278">
              <w:t>Digital and technology</w:t>
            </w:r>
          </w:p>
        </w:tc>
        <w:tc>
          <w:tcPr>
            <w:tcW w:w="1766" w:type="dxa"/>
          </w:tcPr>
          <w:p w14:paraId="2A1E19AC" w14:textId="77777777" w:rsidR="006F2BB8" w:rsidRPr="00C73902" w:rsidRDefault="006F2BB8" w:rsidP="00C73902">
            <w:pPr>
              <w:pStyle w:val="10Tabletext"/>
              <w:jc w:val="center"/>
              <w:cnfStyle w:val="000000100000" w:firstRow="0" w:lastRow="0" w:firstColumn="0" w:lastColumn="0" w:oddVBand="0" w:evenVBand="0" w:oddHBand="1" w:evenHBand="0" w:firstRowFirstColumn="0" w:firstRowLastColumn="0" w:lastRowFirstColumn="0" w:lastRowLastColumn="0"/>
            </w:pPr>
            <w:r w:rsidRPr="00C73902">
              <w:t>23</w:t>
            </w:r>
          </w:p>
        </w:tc>
        <w:tc>
          <w:tcPr>
            <w:tcW w:w="1766" w:type="dxa"/>
            <w:tcBorders>
              <w:right w:val="nil"/>
            </w:tcBorders>
          </w:tcPr>
          <w:p w14:paraId="5FCB9EEB" w14:textId="77777777" w:rsidR="006F2BB8" w:rsidRPr="00C73902" w:rsidRDefault="006F2BB8" w:rsidP="00C73902">
            <w:pPr>
              <w:pStyle w:val="10Tabletext"/>
              <w:jc w:val="center"/>
              <w:cnfStyle w:val="000000100000" w:firstRow="0" w:lastRow="0" w:firstColumn="0" w:lastColumn="0" w:oddVBand="0" w:evenVBand="0" w:oddHBand="1" w:evenHBand="0" w:firstRowFirstColumn="0" w:firstRowLastColumn="0" w:lastRowFirstColumn="0" w:lastRowLastColumn="0"/>
            </w:pPr>
            <w:r w:rsidRPr="00C73902">
              <w:t>16</w:t>
            </w:r>
          </w:p>
        </w:tc>
      </w:tr>
      <w:tr w:rsidR="006F2BB8" w:rsidRPr="006F2BB8" w14:paraId="6815A1D1" w14:textId="77777777" w:rsidTr="00C73902">
        <w:trPr>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0D5384BD" w14:textId="77777777" w:rsidR="006F2BB8" w:rsidRPr="00C31278" w:rsidRDefault="006F2BB8" w:rsidP="006C2935">
            <w:pPr>
              <w:pStyle w:val="10Tabletext"/>
              <w:keepNext/>
            </w:pPr>
            <w:r w:rsidRPr="00C31278">
              <w:t>Accounting and finance</w:t>
            </w:r>
          </w:p>
        </w:tc>
        <w:tc>
          <w:tcPr>
            <w:tcW w:w="1766" w:type="dxa"/>
          </w:tcPr>
          <w:p w14:paraId="5817F198" w14:textId="77777777" w:rsidR="006F2BB8" w:rsidRPr="00C73902" w:rsidRDefault="006F2BB8" w:rsidP="00C73902">
            <w:pPr>
              <w:pStyle w:val="10Tabletext"/>
              <w:jc w:val="center"/>
              <w:cnfStyle w:val="000000000000" w:firstRow="0" w:lastRow="0" w:firstColumn="0" w:lastColumn="0" w:oddVBand="0" w:evenVBand="0" w:oddHBand="0" w:evenHBand="0" w:firstRowFirstColumn="0" w:firstRowLastColumn="0" w:lastRowFirstColumn="0" w:lastRowLastColumn="0"/>
            </w:pPr>
            <w:r w:rsidRPr="00C73902">
              <w:t>21</w:t>
            </w:r>
          </w:p>
        </w:tc>
        <w:tc>
          <w:tcPr>
            <w:tcW w:w="1766" w:type="dxa"/>
            <w:tcBorders>
              <w:right w:val="nil"/>
            </w:tcBorders>
          </w:tcPr>
          <w:p w14:paraId="299C3122" w14:textId="77777777" w:rsidR="006F2BB8" w:rsidRPr="00C73902" w:rsidRDefault="006F2BB8" w:rsidP="00C73902">
            <w:pPr>
              <w:pStyle w:val="10Tabletext"/>
              <w:jc w:val="center"/>
              <w:cnfStyle w:val="000000000000" w:firstRow="0" w:lastRow="0" w:firstColumn="0" w:lastColumn="0" w:oddVBand="0" w:evenVBand="0" w:oddHBand="0" w:evenHBand="0" w:firstRowFirstColumn="0" w:firstRowLastColumn="0" w:lastRowFirstColumn="0" w:lastRowLastColumn="0"/>
            </w:pPr>
            <w:r w:rsidRPr="00C73902">
              <w:t>15</w:t>
            </w:r>
          </w:p>
        </w:tc>
      </w:tr>
      <w:tr w:rsidR="006F2BB8" w:rsidRPr="006F2BB8" w14:paraId="4A58540E" w14:textId="77777777" w:rsidTr="00C7390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20EDBF2C" w14:textId="77777777" w:rsidR="006F2BB8" w:rsidRPr="00C31278" w:rsidRDefault="006F2BB8" w:rsidP="006C2935">
            <w:pPr>
              <w:pStyle w:val="10Tabletext"/>
              <w:keepNext/>
            </w:pPr>
            <w:r w:rsidRPr="00C31278">
              <w:t>Regulation, governance and risk</w:t>
            </w:r>
          </w:p>
        </w:tc>
        <w:tc>
          <w:tcPr>
            <w:tcW w:w="1766" w:type="dxa"/>
          </w:tcPr>
          <w:p w14:paraId="5BCBB235" w14:textId="77777777" w:rsidR="006F2BB8" w:rsidRPr="00C73902" w:rsidRDefault="006F2BB8" w:rsidP="00C73902">
            <w:pPr>
              <w:pStyle w:val="10Tabletext"/>
              <w:jc w:val="center"/>
              <w:cnfStyle w:val="000000100000" w:firstRow="0" w:lastRow="0" w:firstColumn="0" w:lastColumn="0" w:oddVBand="0" w:evenVBand="0" w:oddHBand="1" w:evenHBand="0" w:firstRowFirstColumn="0" w:firstRowLastColumn="0" w:lastRowFirstColumn="0" w:lastRowLastColumn="0"/>
            </w:pPr>
            <w:r w:rsidRPr="00C73902">
              <w:t>17</w:t>
            </w:r>
          </w:p>
        </w:tc>
        <w:tc>
          <w:tcPr>
            <w:tcW w:w="1766" w:type="dxa"/>
            <w:tcBorders>
              <w:right w:val="nil"/>
            </w:tcBorders>
          </w:tcPr>
          <w:p w14:paraId="30807013" w14:textId="77777777" w:rsidR="006F2BB8" w:rsidRPr="00C73902" w:rsidRDefault="006F2BB8" w:rsidP="00C73902">
            <w:pPr>
              <w:pStyle w:val="10Tabletext"/>
              <w:jc w:val="center"/>
              <w:cnfStyle w:val="000000100000" w:firstRow="0" w:lastRow="0" w:firstColumn="0" w:lastColumn="0" w:oddVBand="0" w:evenVBand="0" w:oddHBand="1" w:evenHBand="0" w:firstRowFirstColumn="0" w:firstRowLastColumn="0" w:lastRowFirstColumn="0" w:lastRowLastColumn="0"/>
            </w:pPr>
            <w:r w:rsidRPr="00C73902">
              <w:t>12</w:t>
            </w:r>
          </w:p>
        </w:tc>
      </w:tr>
      <w:tr w:rsidR="006F2BB8" w:rsidRPr="006F2BB8" w14:paraId="55D2797E" w14:textId="77777777" w:rsidTr="00C73902">
        <w:trPr>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399D7E0B" w14:textId="77777777" w:rsidR="006F2BB8" w:rsidRPr="00C31278" w:rsidRDefault="006F2BB8" w:rsidP="006C2935">
            <w:pPr>
              <w:pStyle w:val="10Tabletext"/>
              <w:keepNext/>
            </w:pPr>
            <w:r w:rsidRPr="00C31278">
              <w:t>Business services</w:t>
            </w:r>
          </w:p>
        </w:tc>
        <w:tc>
          <w:tcPr>
            <w:tcW w:w="1766" w:type="dxa"/>
          </w:tcPr>
          <w:p w14:paraId="69F9477B" w14:textId="77777777" w:rsidR="006F2BB8" w:rsidRPr="00C73902" w:rsidRDefault="006F2BB8" w:rsidP="00C73902">
            <w:pPr>
              <w:pStyle w:val="10Tabletext"/>
              <w:jc w:val="center"/>
              <w:cnfStyle w:val="000000000000" w:firstRow="0" w:lastRow="0" w:firstColumn="0" w:lastColumn="0" w:oddVBand="0" w:evenVBand="0" w:oddHBand="0" w:evenHBand="0" w:firstRowFirstColumn="0" w:firstRowLastColumn="0" w:lastRowFirstColumn="0" w:lastRowLastColumn="0"/>
            </w:pPr>
            <w:r w:rsidRPr="00C73902">
              <w:t>16</w:t>
            </w:r>
          </w:p>
        </w:tc>
        <w:tc>
          <w:tcPr>
            <w:tcW w:w="1766" w:type="dxa"/>
            <w:tcBorders>
              <w:right w:val="nil"/>
            </w:tcBorders>
          </w:tcPr>
          <w:p w14:paraId="1B383192" w14:textId="77777777" w:rsidR="006F2BB8" w:rsidRPr="00C73902" w:rsidRDefault="006F2BB8" w:rsidP="00C73902">
            <w:pPr>
              <w:pStyle w:val="10Tabletext"/>
              <w:jc w:val="center"/>
              <w:cnfStyle w:val="000000000000" w:firstRow="0" w:lastRow="0" w:firstColumn="0" w:lastColumn="0" w:oddVBand="0" w:evenVBand="0" w:oddHBand="0" w:evenHBand="0" w:firstRowFirstColumn="0" w:firstRowLastColumn="0" w:lastRowFirstColumn="0" w:lastRowLastColumn="0"/>
            </w:pPr>
            <w:r w:rsidRPr="00C73902">
              <w:t>11</w:t>
            </w:r>
          </w:p>
        </w:tc>
      </w:tr>
      <w:tr w:rsidR="006F2BB8" w:rsidRPr="006F2BB8" w14:paraId="71DF3D8A" w14:textId="77777777" w:rsidTr="00C7390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068BAD3F" w14:textId="77777777" w:rsidR="006F2BB8" w:rsidRPr="00C31278" w:rsidRDefault="006F2BB8" w:rsidP="006C2935">
            <w:pPr>
              <w:pStyle w:val="10Tabletext"/>
              <w:keepNext/>
            </w:pPr>
            <w:r w:rsidRPr="00C31278">
              <w:t>Communications and community engagement</w:t>
            </w:r>
          </w:p>
        </w:tc>
        <w:tc>
          <w:tcPr>
            <w:tcW w:w="1766" w:type="dxa"/>
          </w:tcPr>
          <w:p w14:paraId="3781EE87" w14:textId="77777777" w:rsidR="006F2BB8" w:rsidRPr="00C73902" w:rsidRDefault="006F2BB8" w:rsidP="00C73902">
            <w:pPr>
              <w:pStyle w:val="10Tabletext"/>
              <w:jc w:val="center"/>
              <w:cnfStyle w:val="000000100000" w:firstRow="0" w:lastRow="0" w:firstColumn="0" w:lastColumn="0" w:oddVBand="0" w:evenVBand="0" w:oddHBand="1" w:evenHBand="0" w:firstRowFirstColumn="0" w:firstRowLastColumn="0" w:lastRowFirstColumn="0" w:lastRowLastColumn="0"/>
            </w:pPr>
            <w:r w:rsidRPr="00C73902">
              <w:t>15</w:t>
            </w:r>
          </w:p>
        </w:tc>
        <w:tc>
          <w:tcPr>
            <w:tcW w:w="1766" w:type="dxa"/>
            <w:tcBorders>
              <w:right w:val="nil"/>
            </w:tcBorders>
          </w:tcPr>
          <w:p w14:paraId="0EA88411" w14:textId="77777777" w:rsidR="006F2BB8" w:rsidRPr="00C73902" w:rsidRDefault="006F2BB8" w:rsidP="00C73902">
            <w:pPr>
              <w:pStyle w:val="10Tabletext"/>
              <w:jc w:val="center"/>
              <w:cnfStyle w:val="000000100000" w:firstRow="0" w:lastRow="0" w:firstColumn="0" w:lastColumn="0" w:oddVBand="0" w:evenVBand="0" w:oddHBand="1" w:evenHBand="0" w:firstRowFirstColumn="0" w:firstRowLastColumn="0" w:lastRowFirstColumn="0" w:lastRowLastColumn="0"/>
            </w:pPr>
            <w:r w:rsidRPr="00C73902">
              <w:t>10</w:t>
            </w:r>
          </w:p>
        </w:tc>
      </w:tr>
      <w:tr w:rsidR="006F2BB8" w:rsidRPr="006F2BB8" w14:paraId="1D318B87" w14:textId="77777777" w:rsidTr="00C73902">
        <w:trPr>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1C48CE45" w14:textId="77777777" w:rsidR="006F2BB8" w:rsidRPr="00C31278" w:rsidRDefault="006F2BB8" w:rsidP="006C2935">
            <w:pPr>
              <w:pStyle w:val="10Tabletext"/>
              <w:keepNext/>
            </w:pPr>
            <w:r w:rsidRPr="00C31278">
              <w:t>Legal</w:t>
            </w:r>
          </w:p>
        </w:tc>
        <w:tc>
          <w:tcPr>
            <w:tcW w:w="1766" w:type="dxa"/>
          </w:tcPr>
          <w:p w14:paraId="301DFFB7" w14:textId="77777777" w:rsidR="006F2BB8" w:rsidRPr="00C73902" w:rsidRDefault="006F2BB8" w:rsidP="00C73902">
            <w:pPr>
              <w:pStyle w:val="10Tabletext"/>
              <w:jc w:val="center"/>
              <w:cnfStyle w:val="000000000000" w:firstRow="0" w:lastRow="0" w:firstColumn="0" w:lastColumn="0" w:oddVBand="0" w:evenVBand="0" w:oddHBand="0" w:evenHBand="0" w:firstRowFirstColumn="0" w:firstRowLastColumn="0" w:lastRowFirstColumn="0" w:lastRowLastColumn="0"/>
            </w:pPr>
            <w:r w:rsidRPr="00C73902">
              <w:t>15</w:t>
            </w:r>
          </w:p>
        </w:tc>
        <w:tc>
          <w:tcPr>
            <w:tcW w:w="1766" w:type="dxa"/>
            <w:tcBorders>
              <w:right w:val="nil"/>
            </w:tcBorders>
          </w:tcPr>
          <w:p w14:paraId="09E7D05F" w14:textId="77777777" w:rsidR="006F2BB8" w:rsidRPr="00C73902" w:rsidRDefault="006F2BB8" w:rsidP="00C73902">
            <w:pPr>
              <w:pStyle w:val="10Tabletext"/>
              <w:jc w:val="center"/>
              <w:cnfStyle w:val="000000000000" w:firstRow="0" w:lastRow="0" w:firstColumn="0" w:lastColumn="0" w:oddVBand="0" w:evenVBand="0" w:oddHBand="0" w:evenHBand="0" w:firstRowFirstColumn="0" w:firstRowLastColumn="0" w:lastRowFirstColumn="0" w:lastRowLastColumn="0"/>
            </w:pPr>
            <w:r w:rsidRPr="00C73902">
              <w:t>10</w:t>
            </w:r>
          </w:p>
        </w:tc>
      </w:tr>
      <w:tr w:rsidR="006F2BB8" w:rsidRPr="006F2BB8" w14:paraId="131E2614" w14:textId="77777777" w:rsidTr="00C7390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10C28AAB" w14:textId="77777777" w:rsidR="006F2BB8" w:rsidRPr="00C31278" w:rsidRDefault="006F2BB8" w:rsidP="006C2935">
            <w:pPr>
              <w:pStyle w:val="10Tabletext"/>
              <w:keepNext/>
            </w:pPr>
            <w:r w:rsidRPr="00C31278">
              <w:t>Other</w:t>
            </w:r>
          </w:p>
        </w:tc>
        <w:tc>
          <w:tcPr>
            <w:tcW w:w="1766" w:type="dxa"/>
          </w:tcPr>
          <w:p w14:paraId="124E86AF" w14:textId="77777777" w:rsidR="006F2BB8" w:rsidRPr="00C73902" w:rsidRDefault="006F2BB8" w:rsidP="00C73902">
            <w:pPr>
              <w:pStyle w:val="10Tabletext"/>
              <w:jc w:val="center"/>
              <w:cnfStyle w:val="000000100000" w:firstRow="0" w:lastRow="0" w:firstColumn="0" w:lastColumn="0" w:oddVBand="0" w:evenVBand="0" w:oddHBand="1" w:evenHBand="0" w:firstRowFirstColumn="0" w:firstRowLastColumn="0" w:lastRowFirstColumn="0" w:lastRowLastColumn="0"/>
            </w:pPr>
            <w:r w:rsidRPr="00C73902">
              <w:t>78</w:t>
            </w:r>
          </w:p>
        </w:tc>
        <w:tc>
          <w:tcPr>
            <w:tcW w:w="1766" w:type="dxa"/>
            <w:tcBorders>
              <w:right w:val="nil"/>
            </w:tcBorders>
          </w:tcPr>
          <w:p w14:paraId="6991A2C4" w14:textId="77777777" w:rsidR="006F2BB8" w:rsidRPr="00C73902" w:rsidRDefault="006F2BB8" w:rsidP="00C73902">
            <w:pPr>
              <w:pStyle w:val="10Tabletext"/>
              <w:jc w:val="center"/>
              <w:cnfStyle w:val="000000100000" w:firstRow="0" w:lastRow="0" w:firstColumn="0" w:lastColumn="0" w:oddVBand="0" w:evenVBand="0" w:oddHBand="1" w:evenHBand="0" w:firstRowFirstColumn="0" w:firstRowLastColumn="0" w:lastRowFirstColumn="0" w:lastRowLastColumn="0"/>
            </w:pPr>
            <w:r w:rsidRPr="00C73902">
              <w:t>54</w:t>
            </w:r>
          </w:p>
        </w:tc>
      </w:tr>
      <w:tr w:rsidR="006F2BB8" w:rsidRPr="006F2BB8" w14:paraId="5800F767" w14:textId="77777777" w:rsidTr="00C73902">
        <w:trPr>
          <w:cantSplit/>
        </w:trPr>
        <w:tc>
          <w:tcPr>
            <w:cnfStyle w:val="001000000000" w:firstRow="0" w:lastRow="0" w:firstColumn="1" w:lastColumn="0" w:oddVBand="0" w:evenVBand="0" w:oddHBand="0" w:evenHBand="0" w:firstRowFirstColumn="0" w:firstRowLastColumn="0" w:lastRowFirstColumn="0" w:lastRowLastColumn="0"/>
            <w:tcW w:w="4962" w:type="dxa"/>
            <w:tcBorders>
              <w:left w:val="nil"/>
            </w:tcBorders>
          </w:tcPr>
          <w:p w14:paraId="06A77DD3" w14:textId="1EF1F7D8" w:rsidR="006F2BB8" w:rsidRPr="00C31278" w:rsidRDefault="006F2BB8" w:rsidP="006C2935">
            <w:pPr>
              <w:pStyle w:val="10Tabletext"/>
              <w:keepNext/>
            </w:pPr>
            <w:r w:rsidRPr="00C31278">
              <w:t>Total</w:t>
            </w:r>
            <w:r w:rsidR="009014C8" w:rsidRPr="00C31278">
              <w:t xml:space="preserve"> respondents</w:t>
            </w:r>
          </w:p>
        </w:tc>
        <w:tc>
          <w:tcPr>
            <w:tcW w:w="1766" w:type="dxa"/>
          </w:tcPr>
          <w:p w14:paraId="6292AFBD" w14:textId="77777777" w:rsidR="006F2BB8" w:rsidRPr="00C73902" w:rsidRDefault="006F2BB8" w:rsidP="00C73902">
            <w:pPr>
              <w:pStyle w:val="10Tabletext"/>
              <w:jc w:val="center"/>
              <w:cnfStyle w:val="000000000000" w:firstRow="0" w:lastRow="0" w:firstColumn="0" w:lastColumn="0" w:oddVBand="0" w:evenVBand="0" w:oddHBand="0" w:evenHBand="0" w:firstRowFirstColumn="0" w:firstRowLastColumn="0" w:lastRowFirstColumn="0" w:lastRowLastColumn="0"/>
            </w:pPr>
            <w:r w:rsidRPr="00C73902">
              <w:t>144</w:t>
            </w:r>
          </w:p>
        </w:tc>
        <w:tc>
          <w:tcPr>
            <w:tcW w:w="1766" w:type="dxa"/>
            <w:tcBorders>
              <w:right w:val="nil"/>
            </w:tcBorders>
          </w:tcPr>
          <w:p w14:paraId="306CC652" w14:textId="77777777" w:rsidR="006F2BB8" w:rsidRPr="00C73902" w:rsidRDefault="006F2BB8" w:rsidP="00C73902">
            <w:pPr>
              <w:pStyle w:val="10Tabletext"/>
              <w:jc w:val="center"/>
              <w:cnfStyle w:val="000000000000" w:firstRow="0" w:lastRow="0" w:firstColumn="0" w:lastColumn="0" w:oddVBand="0" w:evenVBand="0" w:oddHBand="0" w:evenHBand="0" w:firstRowFirstColumn="0" w:firstRowLastColumn="0" w:lastRowFirstColumn="0" w:lastRowLastColumn="0"/>
            </w:pPr>
          </w:p>
        </w:tc>
      </w:tr>
    </w:tbl>
    <w:p w14:paraId="38200C6D" w14:textId="689A9393" w:rsidR="006F2BB8" w:rsidRPr="006F2BB8" w:rsidRDefault="006F2BB8" w:rsidP="00D827CB">
      <w:pPr>
        <w:pStyle w:val="09Sourcesandnotesfortablesfiguresboxes"/>
      </w:pPr>
      <w:r w:rsidRPr="006F2BB8">
        <w:t>Note</w:t>
      </w:r>
      <w:r w:rsidR="009014C8">
        <w:t>s</w:t>
      </w:r>
      <w:r w:rsidRPr="006F2BB8">
        <w:t>: This question was only asked to respondents who answered ‘Yes’ in Table A.15 and ‘Yes’ in Table A.19</w:t>
      </w:r>
      <w:r w:rsidR="0056216E">
        <w:t>.</w:t>
      </w:r>
      <w:r w:rsidR="009014C8" w:rsidRPr="009014C8">
        <w:t xml:space="preserve"> </w:t>
      </w:r>
      <w:r w:rsidR="009014C8">
        <w:t>The percentages in this table exceed 100</w:t>
      </w:r>
      <w:r w:rsidR="00C31278">
        <w:t xml:space="preserve"> per cent</w:t>
      </w:r>
      <w:r w:rsidR="009014C8">
        <w:t xml:space="preserve"> as respondents were asked to select multiple options.</w:t>
      </w:r>
    </w:p>
    <w:p w14:paraId="40897B8D" w14:textId="4749E380" w:rsidR="006F2BB8" w:rsidRPr="006F2BB8" w:rsidRDefault="006F2BB8" w:rsidP="006A3A46">
      <w:pPr>
        <w:pStyle w:val="05Paragraph"/>
      </w:pPr>
      <w:r w:rsidRPr="006F2BB8">
        <w:t>Of those that indicated there was an increase in executives leaving their organisation, half said executives were leaving to take up roles in the Victorian for</w:t>
      </w:r>
      <w:r w:rsidR="00036DFF">
        <w:noBreakHyphen/>
      </w:r>
      <w:r w:rsidRPr="006F2BB8">
        <w:t>profit sector (Table A.22).</w:t>
      </w:r>
    </w:p>
    <w:p w14:paraId="7555B4C6" w14:textId="77777777" w:rsidR="006F2BB8" w:rsidRPr="006F2BB8" w:rsidRDefault="006F2BB8" w:rsidP="00144BE8">
      <w:pPr>
        <w:pStyle w:val="08Figuretableboxheading"/>
      </w:pPr>
      <w:bookmarkStart w:id="200" w:name="_Toc170393602"/>
      <w:r w:rsidRPr="006F2BB8">
        <w:t>Table A.22: What types of roles are your executives taking up? Please select all that apply.</w:t>
      </w:r>
      <w:bookmarkEnd w:id="200"/>
    </w:p>
    <w:tbl>
      <w:tblPr>
        <w:tblStyle w:val="ListTable3-Accent1"/>
        <w:tblW w:w="0" w:type="auto"/>
        <w:tblLayout w:type="fixed"/>
        <w:tblLook w:val="04A0" w:firstRow="1" w:lastRow="0" w:firstColumn="1" w:lastColumn="0" w:noHBand="0" w:noVBand="1"/>
      </w:tblPr>
      <w:tblGrid>
        <w:gridCol w:w="6237"/>
        <w:gridCol w:w="1128"/>
        <w:gridCol w:w="1129"/>
      </w:tblGrid>
      <w:tr w:rsidR="006F2BB8" w:rsidRPr="006F2BB8" w14:paraId="5089BADA" w14:textId="77777777" w:rsidTr="003C2788">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6237" w:type="dxa"/>
            <w:tcBorders>
              <w:top w:val="single" w:sz="4" w:space="0" w:color="26664E"/>
              <w:left w:val="nil"/>
              <w:bottom w:val="single" w:sz="4" w:space="0" w:color="148A5D"/>
              <w:right w:val="single" w:sz="4" w:space="0" w:color="148A5D"/>
            </w:tcBorders>
            <w:shd w:val="clear" w:color="auto" w:fill="148A5D"/>
          </w:tcPr>
          <w:p w14:paraId="740506FD" w14:textId="77777777" w:rsidR="006F2BB8" w:rsidRPr="00835427" w:rsidRDefault="006F2BB8" w:rsidP="00835427">
            <w:pPr>
              <w:pStyle w:val="10Tabletext"/>
            </w:pPr>
            <w:r w:rsidRPr="00835427">
              <w:t>Answer choices</w:t>
            </w:r>
          </w:p>
        </w:tc>
        <w:tc>
          <w:tcPr>
            <w:tcW w:w="2257" w:type="dxa"/>
            <w:gridSpan w:val="2"/>
            <w:tcBorders>
              <w:top w:val="single" w:sz="4" w:space="0" w:color="26664E"/>
              <w:left w:val="single" w:sz="4" w:space="0" w:color="148A5D"/>
              <w:right w:val="nil"/>
            </w:tcBorders>
            <w:shd w:val="clear" w:color="auto" w:fill="148A5D"/>
          </w:tcPr>
          <w:p w14:paraId="7FEA09DF" w14:textId="77777777" w:rsidR="006F2BB8" w:rsidRPr="00835427" w:rsidRDefault="006F2BB8" w:rsidP="00C73902">
            <w:pPr>
              <w:pStyle w:val="10Tabletext"/>
              <w:jc w:val="center"/>
              <w:cnfStyle w:val="100000000000" w:firstRow="1" w:lastRow="0" w:firstColumn="0" w:lastColumn="0" w:oddVBand="0" w:evenVBand="0" w:oddHBand="0" w:evenHBand="0" w:firstRowFirstColumn="0" w:firstRowLastColumn="0" w:lastRowFirstColumn="0" w:lastRowLastColumn="0"/>
            </w:pPr>
            <w:r w:rsidRPr="00835427">
              <w:t>Responses</w:t>
            </w:r>
          </w:p>
        </w:tc>
      </w:tr>
      <w:tr w:rsidR="006F2BB8" w:rsidRPr="006F2BB8" w14:paraId="41871347" w14:textId="77777777" w:rsidTr="003C278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148A5D"/>
              <w:left w:val="nil"/>
              <w:right w:val="single" w:sz="4" w:space="0" w:color="148A5D"/>
            </w:tcBorders>
            <w:shd w:val="clear" w:color="auto" w:fill="148A5D"/>
          </w:tcPr>
          <w:p w14:paraId="4ED22D5D" w14:textId="77777777" w:rsidR="006F2BB8" w:rsidRPr="00835427" w:rsidRDefault="006F2BB8" w:rsidP="00835427">
            <w:pPr>
              <w:pStyle w:val="10Tabletext"/>
              <w:rPr>
                <w:color w:val="FFFFFF" w:themeColor="background1"/>
              </w:rPr>
            </w:pPr>
          </w:p>
        </w:tc>
        <w:tc>
          <w:tcPr>
            <w:tcW w:w="1128" w:type="dxa"/>
            <w:tcBorders>
              <w:top w:val="single" w:sz="4" w:space="0" w:color="148A5D"/>
              <w:left w:val="single" w:sz="4" w:space="0" w:color="148A5D"/>
              <w:right w:val="single" w:sz="4" w:space="0" w:color="148A5D"/>
            </w:tcBorders>
            <w:shd w:val="clear" w:color="auto" w:fill="148A5D"/>
          </w:tcPr>
          <w:p w14:paraId="70231F66" w14:textId="77777777" w:rsidR="006F2BB8" w:rsidRPr="00835427" w:rsidRDefault="006F2BB8" w:rsidP="00C73902">
            <w:pPr>
              <w:pStyle w:val="10Tabletext"/>
              <w:jc w:val="center"/>
              <w:cnfStyle w:val="000000100000" w:firstRow="0" w:lastRow="0" w:firstColumn="0" w:lastColumn="0" w:oddVBand="0" w:evenVBand="0" w:oddHBand="1" w:evenHBand="0" w:firstRowFirstColumn="0" w:firstRowLastColumn="0" w:lastRowFirstColumn="0" w:lastRowLastColumn="0"/>
              <w:rPr>
                <w:b/>
                <w:bCs w:val="0"/>
                <w:color w:val="FFFFFF" w:themeColor="background1"/>
              </w:rPr>
            </w:pPr>
            <w:r w:rsidRPr="00835427">
              <w:rPr>
                <w:b/>
                <w:bCs w:val="0"/>
                <w:color w:val="FFFFFF" w:themeColor="background1"/>
              </w:rPr>
              <w:t>Number</w:t>
            </w:r>
          </w:p>
        </w:tc>
        <w:tc>
          <w:tcPr>
            <w:tcW w:w="1129" w:type="dxa"/>
            <w:tcBorders>
              <w:top w:val="single" w:sz="4" w:space="0" w:color="148A5D"/>
              <w:left w:val="single" w:sz="4" w:space="0" w:color="148A5D"/>
              <w:right w:val="nil"/>
            </w:tcBorders>
            <w:shd w:val="clear" w:color="auto" w:fill="148A5D"/>
          </w:tcPr>
          <w:p w14:paraId="0E788B5C" w14:textId="77777777" w:rsidR="006F2BB8" w:rsidRPr="00835427" w:rsidRDefault="006F2BB8" w:rsidP="00C73902">
            <w:pPr>
              <w:pStyle w:val="10Tabletext"/>
              <w:jc w:val="center"/>
              <w:cnfStyle w:val="000000100000" w:firstRow="0" w:lastRow="0" w:firstColumn="0" w:lastColumn="0" w:oddVBand="0" w:evenVBand="0" w:oddHBand="1" w:evenHBand="0" w:firstRowFirstColumn="0" w:firstRowLastColumn="0" w:lastRowFirstColumn="0" w:lastRowLastColumn="0"/>
              <w:rPr>
                <w:b/>
                <w:bCs w:val="0"/>
                <w:color w:val="FFFFFF" w:themeColor="background1"/>
              </w:rPr>
            </w:pPr>
            <w:r w:rsidRPr="00835427">
              <w:rPr>
                <w:b/>
                <w:bCs w:val="0"/>
                <w:color w:val="FFFFFF" w:themeColor="background1"/>
              </w:rPr>
              <w:t>%</w:t>
            </w:r>
          </w:p>
        </w:tc>
      </w:tr>
      <w:tr w:rsidR="006F2BB8" w:rsidRPr="006F2BB8" w14:paraId="02AADA79" w14:textId="77777777" w:rsidTr="003C2788">
        <w:trPr>
          <w:cantSplit/>
        </w:trPr>
        <w:tc>
          <w:tcPr>
            <w:cnfStyle w:val="001000000000" w:firstRow="0" w:lastRow="0" w:firstColumn="1" w:lastColumn="0" w:oddVBand="0" w:evenVBand="0" w:oddHBand="0" w:evenHBand="0" w:firstRowFirstColumn="0" w:firstRowLastColumn="0" w:lastRowFirstColumn="0" w:lastRowLastColumn="0"/>
            <w:tcW w:w="6237" w:type="dxa"/>
            <w:tcBorders>
              <w:left w:val="nil"/>
            </w:tcBorders>
          </w:tcPr>
          <w:p w14:paraId="75FB4FE0" w14:textId="77777777" w:rsidR="006F2BB8" w:rsidRPr="00835427" w:rsidRDefault="006F2BB8" w:rsidP="00835427">
            <w:pPr>
              <w:pStyle w:val="10Tabletext"/>
            </w:pPr>
            <w:r w:rsidRPr="00835427">
              <w:t>Executive – Victorian for-profit sector</w:t>
            </w:r>
          </w:p>
        </w:tc>
        <w:tc>
          <w:tcPr>
            <w:tcW w:w="1128" w:type="dxa"/>
          </w:tcPr>
          <w:p w14:paraId="45343059" w14:textId="14FB4DCB" w:rsidR="006F2BB8" w:rsidRPr="00835427" w:rsidRDefault="006F2BB8" w:rsidP="00C73902">
            <w:pPr>
              <w:pStyle w:val="10Tabletext"/>
              <w:jc w:val="center"/>
              <w:cnfStyle w:val="000000000000" w:firstRow="0" w:lastRow="0" w:firstColumn="0" w:lastColumn="0" w:oddVBand="0" w:evenVBand="0" w:oddHBand="0" w:evenHBand="0" w:firstRowFirstColumn="0" w:firstRowLastColumn="0" w:lastRowFirstColumn="0" w:lastRowLastColumn="0"/>
            </w:pPr>
            <w:r w:rsidRPr="00835427">
              <w:t>7</w:t>
            </w:r>
            <w:r w:rsidR="000B5818" w:rsidRPr="00835427">
              <w:t>3</w:t>
            </w:r>
          </w:p>
        </w:tc>
        <w:tc>
          <w:tcPr>
            <w:tcW w:w="1129" w:type="dxa"/>
            <w:tcBorders>
              <w:right w:val="nil"/>
            </w:tcBorders>
          </w:tcPr>
          <w:p w14:paraId="7E2F966D" w14:textId="59D4FC25" w:rsidR="006F2BB8" w:rsidRPr="00835427" w:rsidRDefault="006F2BB8" w:rsidP="00C73902">
            <w:pPr>
              <w:pStyle w:val="10Tabletext"/>
              <w:jc w:val="center"/>
              <w:cnfStyle w:val="000000000000" w:firstRow="0" w:lastRow="0" w:firstColumn="0" w:lastColumn="0" w:oddVBand="0" w:evenVBand="0" w:oddHBand="0" w:evenHBand="0" w:firstRowFirstColumn="0" w:firstRowLastColumn="0" w:lastRowFirstColumn="0" w:lastRowLastColumn="0"/>
            </w:pPr>
            <w:r w:rsidRPr="00835427">
              <w:t>5</w:t>
            </w:r>
            <w:r w:rsidR="00633E43" w:rsidRPr="00835427">
              <w:t>0</w:t>
            </w:r>
          </w:p>
        </w:tc>
      </w:tr>
      <w:tr w:rsidR="006F2BB8" w:rsidRPr="006F2BB8" w14:paraId="7282EC11" w14:textId="77777777" w:rsidTr="003C278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37" w:type="dxa"/>
            <w:tcBorders>
              <w:left w:val="nil"/>
            </w:tcBorders>
          </w:tcPr>
          <w:p w14:paraId="6F8C05A2" w14:textId="77777777" w:rsidR="006F2BB8" w:rsidRPr="00835427" w:rsidRDefault="006F2BB8" w:rsidP="00835427">
            <w:pPr>
              <w:pStyle w:val="10Tabletext"/>
            </w:pPr>
            <w:r w:rsidRPr="00835427">
              <w:t>Executive – Victorian public entity</w:t>
            </w:r>
          </w:p>
        </w:tc>
        <w:tc>
          <w:tcPr>
            <w:tcW w:w="1128" w:type="dxa"/>
          </w:tcPr>
          <w:p w14:paraId="69C1021A" w14:textId="77777777" w:rsidR="006F2BB8" w:rsidRPr="00835427" w:rsidRDefault="006F2BB8" w:rsidP="00C73902">
            <w:pPr>
              <w:pStyle w:val="10Tabletext"/>
              <w:jc w:val="center"/>
              <w:cnfStyle w:val="000000100000" w:firstRow="0" w:lastRow="0" w:firstColumn="0" w:lastColumn="0" w:oddVBand="0" w:evenVBand="0" w:oddHBand="1" w:evenHBand="0" w:firstRowFirstColumn="0" w:firstRowLastColumn="0" w:lastRowFirstColumn="0" w:lastRowLastColumn="0"/>
            </w:pPr>
            <w:r w:rsidRPr="00835427">
              <w:t>63</w:t>
            </w:r>
          </w:p>
        </w:tc>
        <w:tc>
          <w:tcPr>
            <w:tcW w:w="1129" w:type="dxa"/>
            <w:tcBorders>
              <w:right w:val="nil"/>
            </w:tcBorders>
          </w:tcPr>
          <w:p w14:paraId="2C7A7FBB" w14:textId="77777777" w:rsidR="006F2BB8" w:rsidRPr="00835427" w:rsidRDefault="006F2BB8" w:rsidP="00C73902">
            <w:pPr>
              <w:pStyle w:val="10Tabletext"/>
              <w:jc w:val="center"/>
              <w:cnfStyle w:val="000000100000" w:firstRow="0" w:lastRow="0" w:firstColumn="0" w:lastColumn="0" w:oddVBand="0" w:evenVBand="0" w:oddHBand="1" w:evenHBand="0" w:firstRowFirstColumn="0" w:firstRowLastColumn="0" w:lastRowFirstColumn="0" w:lastRowLastColumn="0"/>
            </w:pPr>
            <w:r w:rsidRPr="00835427">
              <w:t>43</w:t>
            </w:r>
          </w:p>
        </w:tc>
      </w:tr>
      <w:tr w:rsidR="006F2BB8" w:rsidRPr="006F2BB8" w14:paraId="350EBD6F" w14:textId="77777777" w:rsidTr="003C2788">
        <w:trPr>
          <w:cantSplit/>
        </w:trPr>
        <w:tc>
          <w:tcPr>
            <w:cnfStyle w:val="001000000000" w:firstRow="0" w:lastRow="0" w:firstColumn="1" w:lastColumn="0" w:oddVBand="0" w:evenVBand="0" w:oddHBand="0" w:evenHBand="0" w:firstRowFirstColumn="0" w:firstRowLastColumn="0" w:lastRowFirstColumn="0" w:lastRowLastColumn="0"/>
            <w:tcW w:w="6237" w:type="dxa"/>
            <w:tcBorders>
              <w:left w:val="nil"/>
            </w:tcBorders>
          </w:tcPr>
          <w:p w14:paraId="23A73ECA" w14:textId="77777777" w:rsidR="006F2BB8" w:rsidRPr="00835427" w:rsidRDefault="006F2BB8" w:rsidP="00835427">
            <w:pPr>
              <w:pStyle w:val="10Tabletext"/>
            </w:pPr>
            <w:r w:rsidRPr="00835427">
              <w:t>Executive – public sector in another Australian jurisdiction</w:t>
            </w:r>
          </w:p>
        </w:tc>
        <w:tc>
          <w:tcPr>
            <w:tcW w:w="1128" w:type="dxa"/>
          </w:tcPr>
          <w:p w14:paraId="62209389" w14:textId="77777777" w:rsidR="006F2BB8" w:rsidRPr="00835427" w:rsidRDefault="006F2BB8" w:rsidP="00C73902">
            <w:pPr>
              <w:pStyle w:val="10Tabletext"/>
              <w:jc w:val="center"/>
              <w:cnfStyle w:val="000000000000" w:firstRow="0" w:lastRow="0" w:firstColumn="0" w:lastColumn="0" w:oddVBand="0" w:evenVBand="0" w:oddHBand="0" w:evenHBand="0" w:firstRowFirstColumn="0" w:firstRowLastColumn="0" w:lastRowFirstColumn="0" w:lastRowLastColumn="0"/>
            </w:pPr>
            <w:r w:rsidRPr="00835427">
              <w:t>40</w:t>
            </w:r>
          </w:p>
        </w:tc>
        <w:tc>
          <w:tcPr>
            <w:tcW w:w="1129" w:type="dxa"/>
            <w:tcBorders>
              <w:right w:val="nil"/>
            </w:tcBorders>
          </w:tcPr>
          <w:p w14:paraId="16C8EBE7" w14:textId="77777777" w:rsidR="006F2BB8" w:rsidRPr="00835427" w:rsidRDefault="006F2BB8" w:rsidP="00C73902">
            <w:pPr>
              <w:pStyle w:val="10Tabletext"/>
              <w:jc w:val="center"/>
              <w:cnfStyle w:val="000000000000" w:firstRow="0" w:lastRow="0" w:firstColumn="0" w:lastColumn="0" w:oddVBand="0" w:evenVBand="0" w:oddHBand="0" w:evenHBand="0" w:firstRowFirstColumn="0" w:firstRowLastColumn="0" w:lastRowFirstColumn="0" w:lastRowLastColumn="0"/>
            </w:pPr>
            <w:r w:rsidRPr="00835427">
              <w:t>28</w:t>
            </w:r>
          </w:p>
        </w:tc>
      </w:tr>
      <w:tr w:rsidR="006F2BB8" w:rsidRPr="006F2BB8" w14:paraId="12BD565D" w14:textId="77777777" w:rsidTr="003C278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37" w:type="dxa"/>
            <w:tcBorders>
              <w:left w:val="nil"/>
            </w:tcBorders>
          </w:tcPr>
          <w:p w14:paraId="11860DDD" w14:textId="77777777" w:rsidR="006F2BB8" w:rsidRPr="00835427" w:rsidRDefault="006F2BB8" w:rsidP="00835427">
            <w:pPr>
              <w:pStyle w:val="10Tabletext"/>
            </w:pPr>
            <w:r w:rsidRPr="00835427">
              <w:t>Executive – Victorian not-for-profit sector</w:t>
            </w:r>
          </w:p>
        </w:tc>
        <w:tc>
          <w:tcPr>
            <w:tcW w:w="1128" w:type="dxa"/>
          </w:tcPr>
          <w:p w14:paraId="5ECE9626" w14:textId="77777777" w:rsidR="006F2BB8" w:rsidRPr="00835427" w:rsidRDefault="006F2BB8" w:rsidP="00C73902">
            <w:pPr>
              <w:pStyle w:val="10Tabletext"/>
              <w:jc w:val="center"/>
              <w:cnfStyle w:val="000000100000" w:firstRow="0" w:lastRow="0" w:firstColumn="0" w:lastColumn="0" w:oddVBand="0" w:evenVBand="0" w:oddHBand="1" w:evenHBand="0" w:firstRowFirstColumn="0" w:firstRowLastColumn="0" w:lastRowFirstColumn="0" w:lastRowLastColumn="0"/>
            </w:pPr>
            <w:r w:rsidRPr="00835427">
              <w:t>38</w:t>
            </w:r>
          </w:p>
        </w:tc>
        <w:tc>
          <w:tcPr>
            <w:tcW w:w="1129" w:type="dxa"/>
            <w:tcBorders>
              <w:right w:val="nil"/>
            </w:tcBorders>
          </w:tcPr>
          <w:p w14:paraId="366318DB" w14:textId="77777777" w:rsidR="006F2BB8" w:rsidRPr="00835427" w:rsidRDefault="006F2BB8" w:rsidP="00C73902">
            <w:pPr>
              <w:pStyle w:val="10Tabletext"/>
              <w:jc w:val="center"/>
              <w:cnfStyle w:val="000000100000" w:firstRow="0" w:lastRow="0" w:firstColumn="0" w:lastColumn="0" w:oddVBand="0" w:evenVBand="0" w:oddHBand="1" w:evenHBand="0" w:firstRowFirstColumn="0" w:firstRowLastColumn="0" w:lastRowFirstColumn="0" w:lastRowLastColumn="0"/>
            </w:pPr>
            <w:r w:rsidRPr="00835427">
              <w:t>26</w:t>
            </w:r>
          </w:p>
        </w:tc>
      </w:tr>
      <w:tr w:rsidR="006F2BB8" w:rsidRPr="006F2BB8" w14:paraId="4E5E1CC4" w14:textId="77777777" w:rsidTr="003C2788">
        <w:trPr>
          <w:cantSplit/>
        </w:trPr>
        <w:tc>
          <w:tcPr>
            <w:cnfStyle w:val="001000000000" w:firstRow="0" w:lastRow="0" w:firstColumn="1" w:lastColumn="0" w:oddVBand="0" w:evenVBand="0" w:oddHBand="0" w:evenHBand="0" w:firstRowFirstColumn="0" w:firstRowLastColumn="0" w:lastRowFirstColumn="0" w:lastRowLastColumn="0"/>
            <w:tcW w:w="6237" w:type="dxa"/>
            <w:tcBorders>
              <w:left w:val="nil"/>
            </w:tcBorders>
          </w:tcPr>
          <w:p w14:paraId="04A6E83C" w14:textId="77777777" w:rsidR="006F2BB8" w:rsidRPr="00835427" w:rsidRDefault="006F2BB8" w:rsidP="00835427">
            <w:pPr>
              <w:pStyle w:val="10Tabletext"/>
            </w:pPr>
            <w:r w:rsidRPr="00835427">
              <w:t>Executive – Victorian local government</w:t>
            </w:r>
          </w:p>
        </w:tc>
        <w:tc>
          <w:tcPr>
            <w:tcW w:w="1128" w:type="dxa"/>
          </w:tcPr>
          <w:p w14:paraId="1227ECFD" w14:textId="77777777" w:rsidR="006F2BB8" w:rsidRPr="00835427" w:rsidRDefault="006F2BB8" w:rsidP="00C73902">
            <w:pPr>
              <w:pStyle w:val="10Tabletext"/>
              <w:jc w:val="center"/>
              <w:cnfStyle w:val="000000000000" w:firstRow="0" w:lastRow="0" w:firstColumn="0" w:lastColumn="0" w:oddVBand="0" w:evenVBand="0" w:oddHBand="0" w:evenHBand="0" w:firstRowFirstColumn="0" w:firstRowLastColumn="0" w:lastRowFirstColumn="0" w:lastRowLastColumn="0"/>
            </w:pPr>
            <w:r w:rsidRPr="00835427">
              <w:t>30</w:t>
            </w:r>
          </w:p>
        </w:tc>
        <w:tc>
          <w:tcPr>
            <w:tcW w:w="1129" w:type="dxa"/>
            <w:tcBorders>
              <w:right w:val="nil"/>
            </w:tcBorders>
          </w:tcPr>
          <w:p w14:paraId="20BB5950" w14:textId="77777777" w:rsidR="006F2BB8" w:rsidRPr="00835427" w:rsidRDefault="006F2BB8" w:rsidP="00C73902">
            <w:pPr>
              <w:pStyle w:val="10Tabletext"/>
              <w:jc w:val="center"/>
              <w:cnfStyle w:val="000000000000" w:firstRow="0" w:lastRow="0" w:firstColumn="0" w:lastColumn="0" w:oddVBand="0" w:evenVBand="0" w:oddHBand="0" w:evenHBand="0" w:firstRowFirstColumn="0" w:firstRowLastColumn="0" w:lastRowFirstColumn="0" w:lastRowLastColumn="0"/>
            </w:pPr>
            <w:r w:rsidRPr="00835427">
              <w:t>21</w:t>
            </w:r>
          </w:p>
        </w:tc>
      </w:tr>
      <w:tr w:rsidR="006F2BB8" w:rsidRPr="006F2BB8" w14:paraId="5C5626C0" w14:textId="77777777" w:rsidTr="003C278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37" w:type="dxa"/>
            <w:tcBorders>
              <w:left w:val="nil"/>
            </w:tcBorders>
          </w:tcPr>
          <w:p w14:paraId="0B8268B8" w14:textId="77777777" w:rsidR="006F2BB8" w:rsidRPr="00835427" w:rsidRDefault="006F2BB8" w:rsidP="00835427">
            <w:pPr>
              <w:pStyle w:val="10Tabletext"/>
            </w:pPr>
            <w:r w:rsidRPr="00835427">
              <w:t>Executive – for-profit sector in another Australian jurisdiction</w:t>
            </w:r>
          </w:p>
        </w:tc>
        <w:tc>
          <w:tcPr>
            <w:tcW w:w="1128" w:type="dxa"/>
          </w:tcPr>
          <w:p w14:paraId="24F80255" w14:textId="77777777" w:rsidR="006F2BB8" w:rsidRPr="00835427" w:rsidRDefault="006F2BB8" w:rsidP="00C73902">
            <w:pPr>
              <w:pStyle w:val="10Tabletext"/>
              <w:jc w:val="center"/>
              <w:cnfStyle w:val="000000100000" w:firstRow="0" w:lastRow="0" w:firstColumn="0" w:lastColumn="0" w:oddVBand="0" w:evenVBand="0" w:oddHBand="1" w:evenHBand="0" w:firstRowFirstColumn="0" w:firstRowLastColumn="0" w:lastRowFirstColumn="0" w:lastRowLastColumn="0"/>
            </w:pPr>
            <w:r w:rsidRPr="00835427">
              <w:t>25</w:t>
            </w:r>
          </w:p>
        </w:tc>
        <w:tc>
          <w:tcPr>
            <w:tcW w:w="1129" w:type="dxa"/>
            <w:tcBorders>
              <w:right w:val="nil"/>
            </w:tcBorders>
          </w:tcPr>
          <w:p w14:paraId="597E4627" w14:textId="77777777" w:rsidR="006F2BB8" w:rsidRPr="00835427" w:rsidRDefault="006F2BB8" w:rsidP="00C73902">
            <w:pPr>
              <w:pStyle w:val="10Tabletext"/>
              <w:jc w:val="center"/>
              <w:cnfStyle w:val="000000100000" w:firstRow="0" w:lastRow="0" w:firstColumn="0" w:lastColumn="0" w:oddVBand="0" w:evenVBand="0" w:oddHBand="1" w:evenHBand="0" w:firstRowFirstColumn="0" w:firstRowLastColumn="0" w:lastRowFirstColumn="0" w:lastRowLastColumn="0"/>
            </w:pPr>
            <w:r w:rsidRPr="00835427">
              <w:t>17</w:t>
            </w:r>
          </w:p>
        </w:tc>
      </w:tr>
      <w:tr w:rsidR="006F2BB8" w:rsidRPr="006F2BB8" w14:paraId="2F53D56A" w14:textId="77777777" w:rsidTr="003C2788">
        <w:trPr>
          <w:cantSplit/>
        </w:trPr>
        <w:tc>
          <w:tcPr>
            <w:cnfStyle w:val="001000000000" w:firstRow="0" w:lastRow="0" w:firstColumn="1" w:lastColumn="0" w:oddVBand="0" w:evenVBand="0" w:oddHBand="0" w:evenHBand="0" w:firstRowFirstColumn="0" w:firstRowLastColumn="0" w:lastRowFirstColumn="0" w:lastRowLastColumn="0"/>
            <w:tcW w:w="6237" w:type="dxa"/>
            <w:tcBorders>
              <w:left w:val="nil"/>
            </w:tcBorders>
          </w:tcPr>
          <w:p w14:paraId="701972C2" w14:textId="77777777" w:rsidR="006F2BB8" w:rsidRPr="00835427" w:rsidRDefault="006F2BB8" w:rsidP="00835427">
            <w:pPr>
              <w:pStyle w:val="10Tabletext"/>
            </w:pPr>
            <w:r w:rsidRPr="00835427">
              <w:t>Non-executive – Victorian for-profit sector</w:t>
            </w:r>
          </w:p>
        </w:tc>
        <w:tc>
          <w:tcPr>
            <w:tcW w:w="1128" w:type="dxa"/>
          </w:tcPr>
          <w:p w14:paraId="1B54629B" w14:textId="77777777" w:rsidR="006F2BB8" w:rsidRPr="00835427" w:rsidRDefault="006F2BB8" w:rsidP="00C73902">
            <w:pPr>
              <w:pStyle w:val="10Tabletext"/>
              <w:jc w:val="center"/>
              <w:cnfStyle w:val="000000000000" w:firstRow="0" w:lastRow="0" w:firstColumn="0" w:lastColumn="0" w:oddVBand="0" w:evenVBand="0" w:oddHBand="0" w:evenHBand="0" w:firstRowFirstColumn="0" w:firstRowLastColumn="0" w:lastRowFirstColumn="0" w:lastRowLastColumn="0"/>
            </w:pPr>
            <w:r w:rsidRPr="00835427">
              <w:t>11</w:t>
            </w:r>
          </w:p>
        </w:tc>
        <w:tc>
          <w:tcPr>
            <w:tcW w:w="1129" w:type="dxa"/>
            <w:tcBorders>
              <w:right w:val="nil"/>
            </w:tcBorders>
          </w:tcPr>
          <w:p w14:paraId="0F579DF7" w14:textId="77777777" w:rsidR="006F2BB8" w:rsidRPr="00835427" w:rsidRDefault="006F2BB8" w:rsidP="00C73902">
            <w:pPr>
              <w:pStyle w:val="10Tabletext"/>
              <w:jc w:val="center"/>
              <w:cnfStyle w:val="000000000000" w:firstRow="0" w:lastRow="0" w:firstColumn="0" w:lastColumn="0" w:oddVBand="0" w:evenVBand="0" w:oddHBand="0" w:evenHBand="0" w:firstRowFirstColumn="0" w:firstRowLastColumn="0" w:lastRowFirstColumn="0" w:lastRowLastColumn="0"/>
            </w:pPr>
            <w:r w:rsidRPr="00835427">
              <w:t>8</w:t>
            </w:r>
          </w:p>
        </w:tc>
      </w:tr>
      <w:tr w:rsidR="006F2BB8" w:rsidRPr="006F2BB8" w14:paraId="62F7A264" w14:textId="77777777" w:rsidTr="003C278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37" w:type="dxa"/>
            <w:tcBorders>
              <w:left w:val="nil"/>
            </w:tcBorders>
          </w:tcPr>
          <w:p w14:paraId="3E2EFE54" w14:textId="77777777" w:rsidR="006F2BB8" w:rsidRPr="00835427" w:rsidRDefault="006F2BB8" w:rsidP="00835427">
            <w:pPr>
              <w:pStyle w:val="10Tabletext"/>
            </w:pPr>
            <w:r w:rsidRPr="00835427">
              <w:t>Executive – international for-profit sector</w:t>
            </w:r>
          </w:p>
        </w:tc>
        <w:tc>
          <w:tcPr>
            <w:tcW w:w="1128" w:type="dxa"/>
          </w:tcPr>
          <w:p w14:paraId="2BDFA68C" w14:textId="77777777" w:rsidR="006F2BB8" w:rsidRPr="00835427" w:rsidRDefault="006F2BB8" w:rsidP="00C73902">
            <w:pPr>
              <w:pStyle w:val="10Tabletext"/>
              <w:jc w:val="center"/>
              <w:cnfStyle w:val="000000100000" w:firstRow="0" w:lastRow="0" w:firstColumn="0" w:lastColumn="0" w:oddVBand="0" w:evenVBand="0" w:oddHBand="1" w:evenHBand="0" w:firstRowFirstColumn="0" w:firstRowLastColumn="0" w:lastRowFirstColumn="0" w:lastRowLastColumn="0"/>
            </w:pPr>
            <w:r w:rsidRPr="00835427">
              <w:t>9</w:t>
            </w:r>
          </w:p>
        </w:tc>
        <w:tc>
          <w:tcPr>
            <w:tcW w:w="1129" w:type="dxa"/>
            <w:tcBorders>
              <w:right w:val="nil"/>
            </w:tcBorders>
          </w:tcPr>
          <w:p w14:paraId="3E050E05" w14:textId="77777777" w:rsidR="006F2BB8" w:rsidRPr="00835427" w:rsidRDefault="006F2BB8" w:rsidP="00C73902">
            <w:pPr>
              <w:pStyle w:val="10Tabletext"/>
              <w:jc w:val="center"/>
              <w:cnfStyle w:val="000000100000" w:firstRow="0" w:lastRow="0" w:firstColumn="0" w:lastColumn="0" w:oddVBand="0" w:evenVBand="0" w:oddHBand="1" w:evenHBand="0" w:firstRowFirstColumn="0" w:firstRowLastColumn="0" w:lastRowFirstColumn="0" w:lastRowLastColumn="0"/>
            </w:pPr>
            <w:r w:rsidRPr="00835427">
              <w:t>6</w:t>
            </w:r>
          </w:p>
        </w:tc>
      </w:tr>
      <w:tr w:rsidR="006F2BB8" w:rsidRPr="006F2BB8" w14:paraId="0802669F" w14:textId="77777777" w:rsidTr="003C2788">
        <w:trPr>
          <w:cantSplit/>
        </w:trPr>
        <w:tc>
          <w:tcPr>
            <w:cnfStyle w:val="001000000000" w:firstRow="0" w:lastRow="0" w:firstColumn="1" w:lastColumn="0" w:oddVBand="0" w:evenVBand="0" w:oddHBand="0" w:evenHBand="0" w:firstRowFirstColumn="0" w:firstRowLastColumn="0" w:lastRowFirstColumn="0" w:lastRowLastColumn="0"/>
            <w:tcW w:w="6237" w:type="dxa"/>
            <w:tcBorders>
              <w:left w:val="nil"/>
            </w:tcBorders>
          </w:tcPr>
          <w:p w14:paraId="511DC898" w14:textId="77777777" w:rsidR="006F2BB8" w:rsidRPr="00835427" w:rsidRDefault="006F2BB8" w:rsidP="00835427">
            <w:pPr>
              <w:pStyle w:val="10Tabletext"/>
            </w:pPr>
            <w:r w:rsidRPr="00835427">
              <w:t>Executive – not-for-profit sector in another Australian jurisdiction</w:t>
            </w:r>
          </w:p>
        </w:tc>
        <w:tc>
          <w:tcPr>
            <w:tcW w:w="1128" w:type="dxa"/>
          </w:tcPr>
          <w:p w14:paraId="7EA54921" w14:textId="77777777" w:rsidR="006F2BB8" w:rsidRPr="00835427" w:rsidRDefault="006F2BB8" w:rsidP="00C73902">
            <w:pPr>
              <w:pStyle w:val="10Tabletext"/>
              <w:jc w:val="center"/>
              <w:cnfStyle w:val="000000000000" w:firstRow="0" w:lastRow="0" w:firstColumn="0" w:lastColumn="0" w:oddVBand="0" w:evenVBand="0" w:oddHBand="0" w:evenHBand="0" w:firstRowFirstColumn="0" w:firstRowLastColumn="0" w:lastRowFirstColumn="0" w:lastRowLastColumn="0"/>
            </w:pPr>
            <w:r w:rsidRPr="00835427">
              <w:t>8</w:t>
            </w:r>
          </w:p>
        </w:tc>
        <w:tc>
          <w:tcPr>
            <w:tcW w:w="1129" w:type="dxa"/>
            <w:tcBorders>
              <w:right w:val="nil"/>
            </w:tcBorders>
          </w:tcPr>
          <w:p w14:paraId="25F375FE" w14:textId="77777777" w:rsidR="006F2BB8" w:rsidRPr="00835427" w:rsidRDefault="006F2BB8" w:rsidP="00C73902">
            <w:pPr>
              <w:pStyle w:val="10Tabletext"/>
              <w:jc w:val="center"/>
              <w:cnfStyle w:val="000000000000" w:firstRow="0" w:lastRow="0" w:firstColumn="0" w:lastColumn="0" w:oddVBand="0" w:evenVBand="0" w:oddHBand="0" w:evenHBand="0" w:firstRowFirstColumn="0" w:firstRowLastColumn="0" w:lastRowFirstColumn="0" w:lastRowLastColumn="0"/>
            </w:pPr>
            <w:r w:rsidRPr="00835427">
              <w:t>6</w:t>
            </w:r>
          </w:p>
        </w:tc>
      </w:tr>
      <w:tr w:rsidR="006F2BB8" w:rsidRPr="006F2BB8" w14:paraId="3FD3F23C" w14:textId="77777777" w:rsidTr="003C278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37" w:type="dxa"/>
            <w:tcBorders>
              <w:left w:val="nil"/>
            </w:tcBorders>
          </w:tcPr>
          <w:p w14:paraId="5F2790F7" w14:textId="77777777" w:rsidR="006F2BB8" w:rsidRPr="00835427" w:rsidRDefault="006F2BB8" w:rsidP="00835427">
            <w:pPr>
              <w:pStyle w:val="10Tabletext"/>
            </w:pPr>
            <w:r w:rsidRPr="00835427">
              <w:t>Other</w:t>
            </w:r>
          </w:p>
        </w:tc>
        <w:tc>
          <w:tcPr>
            <w:tcW w:w="1128" w:type="dxa"/>
          </w:tcPr>
          <w:p w14:paraId="0BF13E35" w14:textId="06567CAF" w:rsidR="006F2BB8" w:rsidRPr="00835427" w:rsidRDefault="007E00D2" w:rsidP="00C73902">
            <w:pPr>
              <w:pStyle w:val="10Tabletext"/>
              <w:jc w:val="center"/>
              <w:cnfStyle w:val="000000100000" w:firstRow="0" w:lastRow="0" w:firstColumn="0" w:lastColumn="0" w:oddVBand="0" w:evenVBand="0" w:oddHBand="1" w:evenHBand="0" w:firstRowFirstColumn="0" w:firstRowLastColumn="0" w:lastRowFirstColumn="0" w:lastRowLastColumn="0"/>
            </w:pPr>
            <w:r w:rsidRPr="00835427">
              <w:t>4</w:t>
            </w:r>
            <w:r w:rsidR="005C3374" w:rsidRPr="00835427">
              <w:t>1</w:t>
            </w:r>
          </w:p>
        </w:tc>
        <w:tc>
          <w:tcPr>
            <w:tcW w:w="1129" w:type="dxa"/>
            <w:tcBorders>
              <w:right w:val="nil"/>
            </w:tcBorders>
          </w:tcPr>
          <w:p w14:paraId="40EC2F00" w14:textId="75667B1E" w:rsidR="006F2BB8" w:rsidRPr="00835427" w:rsidRDefault="006F2BB8" w:rsidP="00C73902">
            <w:pPr>
              <w:pStyle w:val="10Tabletext"/>
              <w:jc w:val="center"/>
              <w:cnfStyle w:val="000000100000" w:firstRow="0" w:lastRow="0" w:firstColumn="0" w:lastColumn="0" w:oddVBand="0" w:evenVBand="0" w:oddHBand="1" w:evenHBand="0" w:firstRowFirstColumn="0" w:firstRowLastColumn="0" w:lastRowFirstColumn="0" w:lastRowLastColumn="0"/>
            </w:pPr>
            <w:r w:rsidRPr="00835427">
              <w:t>2</w:t>
            </w:r>
            <w:r w:rsidR="0050727B" w:rsidRPr="00835427">
              <w:t>8</w:t>
            </w:r>
          </w:p>
        </w:tc>
      </w:tr>
      <w:tr w:rsidR="006F2BB8" w:rsidRPr="006F2BB8" w14:paraId="0C3FBDCC" w14:textId="77777777" w:rsidTr="003C2788">
        <w:trPr>
          <w:cantSplit/>
        </w:trPr>
        <w:tc>
          <w:tcPr>
            <w:cnfStyle w:val="001000000000" w:firstRow="0" w:lastRow="0" w:firstColumn="1" w:lastColumn="0" w:oddVBand="0" w:evenVBand="0" w:oddHBand="0" w:evenHBand="0" w:firstRowFirstColumn="0" w:firstRowLastColumn="0" w:lastRowFirstColumn="0" w:lastRowLastColumn="0"/>
            <w:tcW w:w="6237" w:type="dxa"/>
            <w:tcBorders>
              <w:left w:val="nil"/>
            </w:tcBorders>
          </w:tcPr>
          <w:p w14:paraId="4100BC77" w14:textId="19C3BD6F" w:rsidR="006F2BB8" w:rsidRPr="00171E8F" w:rsidRDefault="006F2BB8" w:rsidP="00835427">
            <w:pPr>
              <w:pStyle w:val="10Tabletext"/>
            </w:pPr>
            <w:r w:rsidRPr="00171E8F">
              <w:t>Total</w:t>
            </w:r>
            <w:r w:rsidR="00BD3CE6" w:rsidRPr="00171E8F">
              <w:t xml:space="preserve"> respondents</w:t>
            </w:r>
          </w:p>
        </w:tc>
        <w:tc>
          <w:tcPr>
            <w:tcW w:w="1128" w:type="dxa"/>
          </w:tcPr>
          <w:p w14:paraId="544B04CF" w14:textId="77777777" w:rsidR="006F2BB8" w:rsidRPr="00171E8F" w:rsidRDefault="006F2BB8" w:rsidP="00C73902">
            <w:pPr>
              <w:pStyle w:val="10Tabletext"/>
              <w:jc w:val="center"/>
              <w:cnfStyle w:val="000000000000" w:firstRow="0" w:lastRow="0" w:firstColumn="0" w:lastColumn="0" w:oddVBand="0" w:evenVBand="0" w:oddHBand="0" w:evenHBand="0" w:firstRowFirstColumn="0" w:firstRowLastColumn="0" w:lastRowFirstColumn="0" w:lastRowLastColumn="0"/>
            </w:pPr>
            <w:r w:rsidRPr="00171E8F">
              <w:t>145</w:t>
            </w:r>
          </w:p>
        </w:tc>
        <w:tc>
          <w:tcPr>
            <w:tcW w:w="1129" w:type="dxa"/>
            <w:tcBorders>
              <w:right w:val="nil"/>
            </w:tcBorders>
          </w:tcPr>
          <w:p w14:paraId="5D046266" w14:textId="77777777" w:rsidR="006F2BB8" w:rsidRPr="00171E8F" w:rsidRDefault="006F2BB8" w:rsidP="00C73902">
            <w:pPr>
              <w:pStyle w:val="10Tabletext"/>
              <w:jc w:val="center"/>
              <w:cnfStyle w:val="000000000000" w:firstRow="0" w:lastRow="0" w:firstColumn="0" w:lastColumn="0" w:oddVBand="0" w:evenVBand="0" w:oddHBand="0" w:evenHBand="0" w:firstRowFirstColumn="0" w:firstRowLastColumn="0" w:lastRowFirstColumn="0" w:lastRowLastColumn="0"/>
            </w:pPr>
          </w:p>
        </w:tc>
      </w:tr>
    </w:tbl>
    <w:p w14:paraId="0460ED51" w14:textId="0007F2FA" w:rsidR="006F2BB8" w:rsidRPr="006F2BB8" w:rsidRDefault="006F2BB8" w:rsidP="00D827CB">
      <w:pPr>
        <w:pStyle w:val="09Sourcesandnotesfortablesfiguresboxes"/>
      </w:pPr>
      <w:r w:rsidRPr="006F2BB8">
        <w:t>Note</w:t>
      </w:r>
      <w:r w:rsidR="00BD3CE6">
        <w:t>s</w:t>
      </w:r>
      <w:r w:rsidRPr="006F2BB8">
        <w:t>: This question was only asked to respondents who answered ‘Yes’ in Table A.15 and ‘Yes’ in Table A.19</w:t>
      </w:r>
      <w:r w:rsidR="00171E8F">
        <w:t>.</w:t>
      </w:r>
      <w:r w:rsidR="00BD3CE6" w:rsidRPr="00BD3CE6">
        <w:t xml:space="preserve"> </w:t>
      </w:r>
      <w:r w:rsidR="00BD3CE6">
        <w:t>The percentages in this table exceed 100</w:t>
      </w:r>
      <w:r w:rsidR="00835427">
        <w:t xml:space="preserve"> per cent</w:t>
      </w:r>
      <w:r w:rsidR="00BD3CE6">
        <w:t xml:space="preserve"> as respondents were asked to select multiple options.</w:t>
      </w:r>
    </w:p>
    <w:p w14:paraId="28DF4EE9" w14:textId="77777777" w:rsidR="00BE2125" w:rsidRDefault="00BE2125" w:rsidP="006F2BB8">
      <w:pPr>
        <w:keepNext/>
        <w:spacing w:before="240" w:line="240" w:lineRule="auto"/>
        <w:jc w:val="left"/>
        <w:outlineLvl w:val="2"/>
        <w:rPr>
          <w:rFonts w:ascii="Rockwell" w:eastAsia="Calibri" w:hAnsi="Rockwell" w:cs="Arial"/>
          <w:color w:val="0F6745"/>
          <w:spacing w:val="-6"/>
          <w:sz w:val="30"/>
        </w:rPr>
        <w:sectPr w:rsidR="00BE2125" w:rsidSect="005F1DAB">
          <w:footerReference w:type="even" r:id="rId70"/>
          <w:footerReference w:type="default" r:id="rId71"/>
          <w:footerReference w:type="first" r:id="rId72"/>
          <w:pgSz w:w="11906" w:h="16838"/>
          <w:pgMar w:top="1701" w:right="1701" w:bottom="993" w:left="1701" w:header="708" w:footer="708" w:gutter="0"/>
          <w:cols w:space="708"/>
          <w:titlePg/>
          <w:docGrid w:linePitch="360"/>
        </w:sectPr>
      </w:pPr>
    </w:p>
    <w:p w14:paraId="157CE45E" w14:textId="77777777" w:rsidR="006F2BB8" w:rsidRPr="006F2BB8" w:rsidRDefault="006F2BB8" w:rsidP="00FE2B0A">
      <w:pPr>
        <w:pStyle w:val="03VIRTHeading3"/>
      </w:pPr>
      <w:r w:rsidRPr="006F2BB8">
        <w:lastRenderedPageBreak/>
        <w:t>Roles and responsibilities of VPS executives</w:t>
      </w:r>
    </w:p>
    <w:p w14:paraId="708723F5" w14:textId="08D1FFF2" w:rsidR="006F2BB8" w:rsidRPr="006F2BB8" w:rsidRDefault="006F2BB8" w:rsidP="006A3A46">
      <w:pPr>
        <w:pStyle w:val="05Paragraph"/>
      </w:pPr>
      <w:r w:rsidRPr="006F2BB8">
        <w:t>All executives were asked to consider the eight core competencies from the VPS Executive Classification Framework (Table A.23)</w:t>
      </w:r>
      <w:r>
        <w:t xml:space="preserve">. </w:t>
      </w:r>
      <w:r w:rsidRPr="006F2BB8">
        <w:t xml:space="preserve">For most competencies, over half of the respondents reported an increase in their responsibilities, except for ‘resource </w:t>
      </w:r>
      <w:r w:rsidRPr="006A3A46">
        <w:t>management’</w:t>
      </w:r>
      <w:r w:rsidRPr="006F2BB8">
        <w:t xml:space="preserve"> and ‘independence.’</w:t>
      </w:r>
      <w:r>
        <w:t xml:space="preserve"> However, a</w:t>
      </w:r>
      <w:r w:rsidRPr="006F2BB8">
        <w:t xml:space="preserve"> small number of respondents indicated a reduction in their responsibilities across each of the competencies. </w:t>
      </w:r>
    </w:p>
    <w:p w14:paraId="0B7B6C56" w14:textId="77777777" w:rsidR="006F2BB8" w:rsidRPr="006F2BB8" w:rsidRDefault="006F2BB8" w:rsidP="00144BE8">
      <w:pPr>
        <w:pStyle w:val="08Figuretableboxheading"/>
      </w:pPr>
      <w:bookmarkStart w:id="201" w:name="_Toc170393603"/>
      <w:r w:rsidRPr="006F2BB8">
        <w:t>Table A.23: Over the past four years, how have the following competencies changed for you in working as a VPS executive? If you have worked in more than one executive role in the last four years, please respond based on your longest role.</w:t>
      </w:r>
      <w:bookmarkEnd w:id="201"/>
    </w:p>
    <w:tbl>
      <w:tblPr>
        <w:tblStyle w:val="ListTable3-Accent214"/>
        <w:tblW w:w="0" w:type="auto"/>
        <w:tblInd w:w="5" w:type="dxa"/>
        <w:tblLook w:val="04A0" w:firstRow="1" w:lastRow="0" w:firstColumn="1" w:lastColumn="0" w:noHBand="0" w:noVBand="1"/>
      </w:tblPr>
      <w:tblGrid>
        <w:gridCol w:w="3931"/>
        <w:gridCol w:w="4568"/>
      </w:tblGrid>
      <w:tr w:rsidR="00835427" w:rsidRPr="00835427" w14:paraId="5977C959" w14:textId="77777777" w:rsidTr="00C50C4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587" w:type="dxa"/>
          </w:tcPr>
          <w:p w14:paraId="18F7DC50" w14:textId="77777777" w:rsidR="006F2BB8" w:rsidRPr="00FE2B0A" w:rsidRDefault="006F2BB8" w:rsidP="00FE2B0A">
            <w:pPr>
              <w:pStyle w:val="10Tabletext"/>
              <w:rPr>
                <w:color w:val="FFFFFF" w:themeColor="background1"/>
              </w:rPr>
            </w:pPr>
            <w:r w:rsidRPr="00FE2B0A">
              <w:rPr>
                <w:color w:val="FFFFFF" w:themeColor="background1"/>
              </w:rPr>
              <w:t>Competency</w:t>
            </w:r>
          </w:p>
        </w:tc>
        <w:tc>
          <w:tcPr>
            <w:tcW w:w="4587" w:type="dxa"/>
          </w:tcPr>
          <w:p w14:paraId="77CB9DF5" w14:textId="77777777" w:rsidR="006F2BB8" w:rsidRPr="00FE2B0A" w:rsidRDefault="006F2BB8" w:rsidP="00FE2B0A">
            <w:pPr>
              <w:pStyle w:val="10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FE2B0A">
              <w:rPr>
                <w:color w:val="FFFFFF" w:themeColor="background1"/>
              </w:rPr>
              <w:t>Responses</w:t>
            </w:r>
          </w:p>
        </w:tc>
      </w:tr>
      <w:tr w:rsidR="006F2BB8" w:rsidRPr="006F2BB8" w14:paraId="006CC5BC" w14:textId="77777777" w:rsidTr="00586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7" w:type="dxa"/>
          </w:tcPr>
          <w:p w14:paraId="63743339" w14:textId="77777777" w:rsidR="006F2BB8" w:rsidRPr="00FE2B0A" w:rsidRDefault="006F2BB8" w:rsidP="00FE2B0A">
            <w:pPr>
              <w:pStyle w:val="10Tabletext"/>
              <w:rPr>
                <w:b/>
                <w:bCs/>
              </w:rPr>
            </w:pPr>
            <w:r w:rsidRPr="00FE2B0A">
              <w:rPr>
                <w:b/>
                <w:bCs/>
              </w:rPr>
              <w:t>Knowledge:</w:t>
            </w:r>
          </w:p>
          <w:p w14:paraId="7BDDEE04" w14:textId="77777777" w:rsidR="006F2BB8" w:rsidRPr="00310AE8" w:rsidRDefault="006F2BB8" w:rsidP="00310AE8">
            <w:pPr>
              <w:pStyle w:val="11Bulletsinatable"/>
            </w:pPr>
            <w:r w:rsidRPr="00310AE8">
              <w:t>level of required knowledge, skills and expertise</w:t>
            </w:r>
          </w:p>
          <w:p w14:paraId="0C010744" w14:textId="77777777" w:rsidR="006F2BB8" w:rsidRPr="00310AE8" w:rsidRDefault="006F2BB8" w:rsidP="00310AE8">
            <w:pPr>
              <w:pStyle w:val="11Bulletsinatable"/>
            </w:pPr>
            <w:r w:rsidRPr="00310AE8">
              <w:t>proficiency in your specialised discipline</w:t>
            </w:r>
          </w:p>
          <w:p w14:paraId="1E808044" w14:textId="77777777" w:rsidR="006F2BB8" w:rsidRPr="00310AE8" w:rsidRDefault="006F2BB8" w:rsidP="00310AE8">
            <w:pPr>
              <w:pStyle w:val="11Bulletsinatable"/>
            </w:pPr>
            <w:r w:rsidRPr="00310AE8">
              <w:t>level of authority</w:t>
            </w:r>
          </w:p>
          <w:p w14:paraId="42C56BE6" w14:textId="77777777" w:rsidR="006F2BB8" w:rsidRPr="00CA257A" w:rsidRDefault="006F2BB8" w:rsidP="00310AE8">
            <w:pPr>
              <w:pStyle w:val="11Bulletsinatable"/>
            </w:pPr>
            <w:r w:rsidRPr="00310AE8">
              <w:t>depth of understanding of the work environment.</w:t>
            </w:r>
          </w:p>
        </w:tc>
        <w:tc>
          <w:tcPr>
            <w:tcW w:w="4587" w:type="dxa"/>
          </w:tcPr>
          <w:p w14:paraId="2AC91D10" w14:textId="77777777" w:rsidR="006F2BB8" w:rsidRPr="006F2BB8" w:rsidRDefault="006F2BB8" w:rsidP="006F2BB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olor w:val="4D4D4D"/>
                <w:sz w:val="22"/>
              </w:rPr>
            </w:pPr>
            <w:r w:rsidRPr="006F2BB8">
              <w:rPr>
                <w:rFonts w:ascii="Calibri" w:eastAsia="Calibri" w:hAnsi="Calibri"/>
                <w:noProof/>
                <w:color w:val="4D4D4D"/>
                <w:sz w:val="22"/>
                <w:shd w:val="clear" w:color="auto" w:fill="E6E6E6"/>
              </w:rPr>
              <w:drawing>
                <wp:inline distT="0" distB="0" distL="0" distR="0" wp14:anchorId="584B760C" wp14:editId="7C1DDBC1">
                  <wp:extent cx="2714625" cy="1390650"/>
                  <wp:effectExtent l="0" t="0" r="9525" b="0"/>
                  <wp:docPr id="1652204556" name="Chart 165220455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r>
      <w:tr w:rsidR="006F2BB8" w:rsidRPr="006F2BB8" w14:paraId="24AFF98E" w14:textId="77777777" w:rsidTr="00586E97">
        <w:tc>
          <w:tcPr>
            <w:cnfStyle w:val="001000000000" w:firstRow="0" w:lastRow="0" w:firstColumn="1" w:lastColumn="0" w:oddVBand="0" w:evenVBand="0" w:oddHBand="0" w:evenHBand="0" w:firstRowFirstColumn="0" w:firstRowLastColumn="0" w:lastRowFirstColumn="0" w:lastRowLastColumn="0"/>
            <w:tcW w:w="4587" w:type="dxa"/>
          </w:tcPr>
          <w:p w14:paraId="67EA6562" w14:textId="77777777" w:rsidR="006F2BB8" w:rsidRPr="00FE2B0A" w:rsidRDefault="006F2BB8" w:rsidP="00FE2B0A">
            <w:pPr>
              <w:pStyle w:val="10Tabletext"/>
              <w:rPr>
                <w:b/>
                <w:bCs/>
              </w:rPr>
            </w:pPr>
            <w:r w:rsidRPr="00FE2B0A">
              <w:rPr>
                <w:b/>
                <w:bCs/>
              </w:rPr>
              <w:t>Relationships:</w:t>
            </w:r>
          </w:p>
          <w:p w14:paraId="26404143" w14:textId="77777777" w:rsidR="006F2BB8" w:rsidRPr="00310AE8" w:rsidRDefault="006F2BB8" w:rsidP="00310AE8">
            <w:pPr>
              <w:pStyle w:val="11Bulletsinatable"/>
            </w:pPr>
            <w:r w:rsidRPr="00310AE8">
              <w:t>requirement to influence and negotiate</w:t>
            </w:r>
          </w:p>
          <w:p w14:paraId="0A14726C" w14:textId="77777777" w:rsidR="006F2BB8" w:rsidRPr="00310AE8" w:rsidRDefault="006F2BB8" w:rsidP="00310AE8">
            <w:pPr>
              <w:pStyle w:val="11Bulletsinatable"/>
            </w:pPr>
            <w:r w:rsidRPr="00310AE8">
              <w:t>interact with internal and external stakeholders</w:t>
            </w:r>
          </w:p>
          <w:p w14:paraId="4D764CDC" w14:textId="77777777" w:rsidR="006F2BB8" w:rsidRPr="006F2BB8" w:rsidRDefault="006F2BB8" w:rsidP="00310AE8">
            <w:pPr>
              <w:pStyle w:val="11Bulletsinatable"/>
            </w:pPr>
            <w:r w:rsidRPr="00310AE8">
              <w:t>level of sensitivity and complexity of issues and interactions.</w:t>
            </w:r>
          </w:p>
        </w:tc>
        <w:tc>
          <w:tcPr>
            <w:tcW w:w="4587" w:type="dxa"/>
          </w:tcPr>
          <w:p w14:paraId="4E6F7388" w14:textId="77777777" w:rsidR="006F2BB8" w:rsidRPr="006F2BB8" w:rsidRDefault="006F2BB8" w:rsidP="006F2BB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olor w:val="4D4D4D"/>
                <w:sz w:val="22"/>
              </w:rPr>
            </w:pPr>
            <w:r w:rsidRPr="006F2BB8">
              <w:rPr>
                <w:rFonts w:ascii="Calibri" w:eastAsia="Calibri" w:hAnsi="Calibri"/>
                <w:noProof/>
                <w:color w:val="4D4D4D"/>
                <w:sz w:val="22"/>
                <w:shd w:val="clear" w:color="auto" w:fill="E6E6E6"/>
              </w:rPr>
              <w:drawing>
                <wp:inline distT="0" distB="0" distL="0" distR="0" wp14:anchorId="2F8AE8A6" wp14:editId="447EEAA2">
                  <wp:extent cx="2714625" cy="1200150"/>
                  <wp:effectExtent l="0" t="0" r="9525"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r w:rsidR="006F2BB8" w:rsidRPr="006F2BB8" w14:paraId="5C2A5E7B" w14:textId="77777777" w:rsidTr="00586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7" w:type="dxa"/>
          </w:tcPr>
          <w:p w14:paraId="0E058B90" w14:textId="77777777" w:rsidR="006F2BB8" w:rsidRPr="00FE2B0A" w:rsidRDefault="006F2BB8" w:rsidP="00FE2B0A">
            <w:pPr>
              <w:pStyle w:val="10Tabletext"/>
              <w:rPr>
                <w:b/>
                <w:bCs/>
              </w:rPr>
            </w:pPr>
            <w:r w:rsidRPr="00FE2B0A">
              <w:rPr>
                <w:b/>
                <w:bCs/>
              </w:rPr>
              <w:t>Judgement and risk:</w:t>
            </w:r>
          </w:p>
          <w:p w14:paraId="05C7D807" w14:textId="77777777" w:rsidR="006F2BB8" w:rsidRPr="00310AE8" w:rsidRDefault="006F2BB8" w:rsidP="00310AE8">
            <w:pPr>
              <w:pStyle w:val="11Bulletsinatable"/>
            </w:pPr>
            <w:r w:rsidRPr="00310AE8">
              <w:t>level of required judgement and degree of ambiguity inherent in your position</w:t>
            </w:r>
          </w:p>
          <w:p w14:paraId="5EB7274F" w14:textId="77777777" w:rsidR="006F2BB8" w:rsidRPr="00310AE8" w:rsidRDefault="006F2BB8" w:rsidP="00310AE8">
            <w:pPr>
              <w:pStyle w:val="11Bulletsinatable"/>
            </w:pPr>
            <w:r w:rsidRPr="00310AE8">
              <w:t>degree to which you must consider alternative courses of action</w:t>
            </w:r>
          </w:p>
          <w:p w14:paraId="336BE654" w14:textId="77777777" w:rsidR="006F2BB8" w:rsidRPr="006F2BB8" w:rsidRDefault="006F2BB8" w:rsidP="00310AE8">
            <w:pPr>
              <w:pStyle w:val="11Bulletsinatable"/>
            </w:pPr>
            <w:r w:rsidRPr="00310AE8">
              <w:t>level of risk to be mitigated.</w:t>
            </w:r>
          </w:p>
        </w:tc>
        <w:tc>
          <w:tcPr>
            <w:tcW w:w="4587" w:type="dxa"/>
          </w:tcPr>
          <w:p w14:paraId="4D6FFC2E" w14:textId="77777777" w:rsidR="006F2BB8" w:rsidRPr="006F2BB8" w:rsidRDefault="006F2BB8" w:rsidP="006F2BB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olor w:val="4D4D4D"/>
                <w:sz w:val="22"/>
              </w:rPr>
            </w:pPr>
            <w:r w:rsidRPr="006F2BB8">
              <w:rPr>
                <w:rFonts w:ascii="Calibri" w:eastAsia="Calibri" w:hAnsi="Calibri"/>
                <w:noProof/>
                <w:color w:val="4D4D4D"/>
                <w:sz w:val="22"/>
                <w:shd w:val="clear" w:color="auto" w:fill="E6E6E6"/>
              </w:rPr>
              <w:drawing>
                <wp:inline distT="0" distB="0" distL="0" distR="0" wp14:anchorId="09006B08" wp14:editId="0C4CE0A5">
                  <wp:extent cx="2714625" cy="1198800"/>
                  <wp:effectExtent l="0" t="0" r="9525" b="190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r>
      <w:tr w:rsidR="006F2BB8" w:rsidRPr="006F2BB8" w14:paraId="0357891B" w14:textId="77777777" w:rsidTr="00586E97">
        <w:tc>
          <w:tcPr>
            <w:cnfStyle w:val="001000000000" w:firstRow="0" w:lastRow="0" w:firstColumn="1" w:lastColumn="0" w:oddVBand="0" w:evenVBand="0" w:oddHBand="0" w:evenHBand="0" w:firstRowFirstColumn="0" w:firstRowLastColumn="0" w:lastRowFirstColumn="0" w:lastRowLastColumn="0"/>
            <w:tcW w:w="4587" w:type="dxa"/>
          </w:tcPr>
          <w:p w14:paraId="6077727E" w14:textId="77777777" w:rsidR="006F2BB8" w:rsidRPr="00FE2B0A" w:rsidRDefault="006F2BB8" w:rsidP="00FE2B0A">
            <w:pPr>
              <w:pStyle w:val="10Tabletext"/>
              <w:rPr>
                <w:b/>
                <w:bCs/>
              </w:rPr>
            </w:pPr>
            <w:r w:rsidRPr="00FE2B0A">
              <w:rPr>
                <w:b/>
                <w:bCs/>
              </w:rPr>
              <w:t>Independence:</w:t>
            </w:r>
          </w:p>
          <w:p w14:paraId="6170357F" w14:textId="77777777" w:rsidR="006F2BB8" w:rsidRPr="00310AE8" w:rsidRDefault="006F2BB8" w:rsidP="00310AE8">
            <w:pPr>
              <w:pStyle w:val="11Bulletsinatable"/>
            </w:pPr>
            <w:r w:rsidRPr="00310AE8">
              <w:t>requirement to make decisions without support</w:t>
            </w:r>
          </w:p>
          <w:p w14:paraId="28C12E4B" w14:textId="77777777" w:rsidR="006F2BB8" w:rsidRPr="00310AE8" w:rsidRDefault="006F2BB8" w:rsidP="00310AE8">
            <w:pPr>
              <w:pStyle w:val="11Bulletsinatable"/>
            </w:pPr>
            <w:r w:rsidRPr="00310AE8">
              <w:t>authority and freedom to plan objectives</w:t>
            </w:r>
          </w:p>
          <w:p w14:paraId="1619AEF8" w14:textId="77777777" w:rsidR="006F2BB8" w:rsidRPr="006F2BB8" w:rsidRDefault="006F2BB8" w:rsidP="00310AE8">
            <w:pPr>
              <w:pStyle w:val="11Bulletsinatable"/>
            </w:pPr>
            <w:r w:rsidRPr="00310AE8">
              <w:t>requirement to contribute to or lead whole of entity strategic direction.</w:t>
            </w:r>
          </w:p>
        </w:tc>
        <w:tc>
          <w:tcPr>
            <w:tcW w:w="4587" w:type="dxa"/>
          </w:tcPr>
          <w:p w14:paraId="725A0AA6" w14:textId="77777777" w:rsidR="006F2BB8" w:rsidRPr="006F2BB8" w:rsidRDefault="006F2BB8" w:rsidP="006F2BB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olor w:val="4D4D4D"/>
                <w:sz w:val="22"/>
              </w:rPr>
            </w:pPr>
            <w:r w:rsidRPr="006F2BB8">
              <w:rPr>
                <w:rFonts w:ascii="Calibri" w:eastAsia="Calibri" w:hAnsi="Calibri"/>
                <w:noProof/>
                <w:color w:val="4D4D4D"/>
                <w:sz w:val="22"/>
                <w:shd w:val="clear" w:color="auto" w:fill="E6E6E6"/>
              </w:rPr>
              <w:drawing>
                <wp:inline distT="0" distB="0" distL="0" distR="0" wp14:anchorId="37ACEF19" wp14:editId="13092C3B">
                  <wp:extent cx="2714625" cy="1198800"/>
                  <wp:effectExtent l="0" t="0" r="9525" b="190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r>
      <w:tr w:rsidR="006F2BB8" w:rsidRPr="006F2BB8" w14:paraId="167AB771" w14:textId="77777777" w:rsidTr="00586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7" w:type="dxa"/>
          </w:tcPr>
          <w:p w14:paraId="50337B98" w14:textId="77777777" w:rsidR="006F2BB8" w:rsidRPr="00FE2B0A" w:rsidRDefault="006F2BB8" w:rsidP="00FE2B0A">
            <w:pPr>
              <w:pStyle w:val="10Tabletext"/>
              <w:rPr>
                <w:b/>
                <w:bCs/>
              </w:rPr>
            </w:pPr>
            <w:r w:rsidRPr="00FE2B0A">
              <w:rPr>
                <w:b/>
                <w:bCs/>
              </w:rPr>
              <w:lastRenderedPageBreak/>
              <w:t>Strategic change:</w:t>
            </w:r>
          </w:p>
          <w:p w14:paraId="62194531" w14:textId="77777777" w:rsidR="006F2BB8" w:rsidRPr="00310AE8" w:rsidRDefault="006F2BB8" w:rsidP="00310AE8">
            <w:pPr>
              <w:pStyle w:val="11Bulletsinatable"/>
            </w:pPr>
            <w:r w:rsidRPr="00310AE8">
              <w:t>extent of responsibility for significant strategic change management or reform agenda</w:t>
            </w:r>
          </w:p>
          <w:p w14:paraId="7E8053DF" w14:textId="77777777" w:rsidR="006F2BB8" w:rsidRPr="00310AE8" w:rsidRDefault="006F2BB8" w:rsidP="00310AE8">
            <w:pPr>
              <w:pStyle w:val="11Bulletsinatable"/>
            </w:pPr>
            <w:r w:rsidRPr="00310AE8">
              <w:t>contribution to business improvement</w:t>
            </w:r>
          </w:p>
          <w:p w14:paraId="1C1E8182" w14:textId="77777777" w:rsidR="006F2BB8" w:rsidRPr="006F2BB8" w:rsidRDefault="006F2BB8" w:rsidP="00310AE8">
            <w:pPr>
              <w:pStyle w:val="11Bulletsinatable"/>
            </w:pPr>
            <w:r w:rsidRPr="00310AE8">
              <w:t>impact and complexity of change.</w:t>
            </w:r>
          </w:p>
        </w:tc>
        <w:tc>
          <w:tcPr>
            <w:tcW w:w="4587" w:type="dxa"/>
          </w:tcPr>
          <w:p w14:paraId="595B167E" w14:textId="77777777" w:rsidR="006F2BB8" w:rsidRPr="006F2BB8" w:rsidRDefault="006F2BB8" w:rsidP="006F2BB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olor w:val="4D4D4D"/>
                <w:sz w:val="22"/>
              </w:rPr>
            </w:pPr>
            <w:r w:rsidRPr="006F2BB8">
              <w:rPr>
                <w:rFonts w:ascii="Calibri" w:eastAsia="Calibri" w:hAnsi="Calibri"/>
                <w:noProof/>
                <w:color w:val="4D4D4D"/>
                <w:sz w:val="22"/>
                <w:shd w:val="clear" w:color="auto" w:fill="E6E6E6"/>
              </w:rPr>
              <w:drawing>
                <wp:inline distT="0" distB="0" distL="0" distR="0" wp14:anchorId="19B49D69" wp14:editId="321CD413">
                  <wp:extent cx="2714625" cy="1389600"/>
                  <wp:effectExtent l="0" t="0" r="9525" b="127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r>
      <w:tr w:rsidR="006F2BB8" w:rsidRPr="006F2BB8" w14:paraId="551B9D2C" w14:textId="77777777" w:rsidTr="00586E97">
        <w:tc>
          <w:tcPr>
            <w:cnfStyle w:val="001000000000" w:firstRow="0" w:lastRow="0" w:firstColumn="1" w:lastColumn="0" w:oddVBand="0" w:evenVBand="0" w:oddHBand="0" w:evenHBand="0" w:firstRowFirstColumn="0" w:firstRowLastColumn="0" w:lastRowFirstColumn="0" w:lastRowLastColumn="0"/>
            <w:tcW w:w="4587" w:type="dxa"/>
          </w:tcPr>
          <w:p w14:paraId="7CDC3174" w14:textId="77777777" w:rsidR="006F2BB8" w:rsidRPr="00FE2B0A" w:rsidRDefault="006F2BB8" w:rsidP="00FE2B0A">
            <w:pPr>
              <w:pStyle w:val="10Tabletext"/>
              <w:rPr>
                <w:b/>
                <w:bCs/>
              </w:rPr>
            </w:pPr>
            <w:r w:rsidRPr="00FE2B0A">
              <w:rPr>
                <w:b/>
                <w:bCs/>
              </w:rPr>
              <w:t>Impact:</w:t>
            </w:r>
          </w:p>
          <w:p w14:paraId="26623351" w14:textId="77777777" w:rsidR="006F2BB8" w:rsidRPr="00310AE8" w:rsidRDefault="006F2BB8" w:rsidP="00310AE8">
            <w:pPr>
              <w:pStyle w:val="11Bulletsinatable"/>
            </w:pPr>
            <w:r w:rsidRPr="00310AE8">
              <w:t>scope of your position’s impact within an organisation, into the sector, across the state or national / international impact.</w:t>
            </w:r>
          </w:p>
        </w:tc>
        <w:tc>
          <w:tcPr>
            <w:tcW w:w="4587" w:type="dxa"/>
          </w:tcPr>
          <w:p w14:paraId="20576DCA" w14:textId="77777777" w:rsidR="006F2BB8" w:rsidRPr="006F2BB8" w:rsidRDefault="006F2BB8" w:rsidP="006F2BB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olor w:val="4D4D4D"/>
                <w:sz w:val="22"/>
              </w:rPr>
            </w:pPr>
            <w:r w:rsidRPr="006F2BB8">
              <w:rPr>
                <w:rFonts w:ascii="Calibri" w:eastAsia="Calibri" w:hAnsi="Calibri"/>
                <w:noProof/>
                <w:color w:val="4D4D4D"/>
                <w:sz w:val="22"/>
                <w:shd w:val="clear" w:color="auto" w:fill="E6E6E6"/>
              </w:rPr>
              <w:drawing>
                <wp:inline distT="0" distB="0" distL="0" distR="0" wp14:anchorId="59406E0E" wp14:editId="1700A403">
                  <wp:extent cx="2714625" cy="1198800"/>
                  <wp:effectExtent l="0" t="0" r="9525" b="190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r w:rsidR="006F2BB8" w:rsidRPr="006F2BB8" w14:paraId="12905E0E" w14:textId="77777777" w:rsidTr="00586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7" w:type="dxa"/>
          </w:tcPr>
          <w:p w14:paraId="1F698311" w14:textId="77777777" w:rsidR="006F2BB8" w:rsidRPr="00FE2B0A" w:rsidRDefault="006F2BB8" w:rsidP="00FE2B0A">
            <w:pPr>
              <w:pStyle w:val="10Tabletext"/>
              <w:rPr>
                <w:b/>
                <w:bCs/>
              </w:rPr>
            </w:pPr>
            <w:r w:rsidRPr="00FE2B0A">
              <w:rPr>
                <w:b/>
                <w:bCs/>
              </w:rPr>
              <w:t>Breadth:</w:t>
            </w:r>
          </w:p>
          <w:p w14:paraId="2DD5F41A" w14:textId="77777777" w:rsidR="006F2BB8" w:rsidRPr="00310AE8" w:rsidRDefault="006F2BB8" w:rsidP="00310AE8">
            <w:pPr>
              <w:pStyle w:val="11Bulletsinatable"/>
            </w:pPr>
            <w:r w:rsidRPr="00310AE8">
              <w:t>diversity of activities</w:t>
            </w:r>
          </w:p>
          <w:p w14:paraId="04024385" w14:textId="77777777" w:rsidR="006F2BB8" w:rsidRPr="00310AE8" w:rsidRDefault="006F2BB8" w:rsidP="00310AE8">
            <w:pPr>
              <w:pStyle w:val="11Bulletsinatable"/>
            </w:pPr>
            <w:r w:rsidRPr="00310AE8">
              <w:t>geographical breadth of responsibility</w:t>
            </w:r>
          </w:p>
          <w:p w14:paraId="65E4F006" w14:textId="77777777" w:rsidR="006F2BB8" w:rsidRPr="006F2BB8" w:rsidRDefault="006F2BB8" w:rsidP="00310AE8">
            <w:pPr>
              <w:pStyle w:val="11Bulletsinatable"/>
            </w:pPr>
            <w:r w:rsidRPr="00310AE8">
              <w:t>variety of products and services managed by the position.</w:t>
            </w:r>
          </w:p>
        </w:tc>
        <w:tc>
          <w:tcPr>
            <w:tcW w:w="4587" w:type="dxa"/>
          </w:tcPr>
          <w:p w14:paraId="1AD9048D" w14:textId="77777777" w:rsidR="006F2BB8" w:rsidRPr="006F2BB8" w:rsidRDefault="006F2BB8" w:rsidP="006F2BB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olor w:val="4D4D4D"/>
                <w:sz w:val="22"/>
              </w:rPr>
            </w:pPr>
            <w:r w:rsidRPr="006F2BB8">
              <w:rPr>
                <w:rFonts w:ascii="Calibri" w:eastAsia="Calibri" w:hAnsi="Calibri"/>
                <w:noProof/>
                <w:color w:val="4D4D4D"/>
                <w:sz w:val="22"/>
                <w:shd w:val="clear" w:color="auto" w:fill="E6E6E6"/>
              </w:rPr>
              <w:drawing>
                <wp:inline distT="0" distB="0" distL="0" distR="0" wp14:anchorId="606A65D8" wp14:editId="5D062A3F">
                  <wp:extent cx="2714625" cy="1198800"/>
                  <wp:effectExtent l="0" t="0" r="9525" b="1905"/>
                  <wp:docPr id="1317381336" name="Chart 13173813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r w:rsidR="006F2BB8" w:rsidRPr="006F2BB8" w14:paraId="78D812EC" w14:textId="77777777" w:rsidTr="00586E97">
        <w:tc>
          <w:tcPr>
            <w:cnfStyle w:val="001000000000" w:firstRow="0" w:lastRow="0" w:firstColumn="1" w:lastColumn="0" w:oddVBand="0" w:evenVBand="0" w:oddHBand="0" w:evenHBand="0" w:firstRowFirstColumn="0" w:firstRowLastColumn="0" w:lastRowFirstColumn="0" w:lastRowLastColumn="0"/>
            <w:tcW w:w="4587" w:type="dxa"/>
          </w:tcPr>
          <w:p w14:paraId="477507D7" w14:textId="77777777" w:rsidR="006F2BB8" w:rsidRPr="00FE2B0A" w:rsidRDefault="006F2BB8" w:rsidP="00FE2B0A">
            <w:pPr>
              <w:pStyle w:val="10Tabletext"/>
              <w:rPr>
                <w:b/>
                <w:bCs/>
              </w:rPr>
            </w:pPr>
            <w:r w:rsidRPr="00FE2B0A">
              <w:rPr>
                <w:b/>
                <w:bCs/>
              </w:rPr>
              <w:t>Resource management:</w:t>
            </w:r>
          </w:p>
          <w:p w14:paraId="6FBAAB41" w14:textId="77777777" w:rsidR="006F2BB8" w:rsidRPr="00310AE8" w:rsidRDefault="006F2BB8" w:rsidP="00310AE8">
            <w:pPr>
              <w:pStyle w:val="11Bulletsinatable"/>
            </w:pPr>
            <w:r w:rsidRPr="00310AE8">
              <w:t>number of staff</w:t>
            </w:r>
          </w:p>
          <w:p w14:paraId="6748C8E2" w14:textId="77777777" w:rsidR="006F2BB8" w:rsidRPr="006F2BB8" w:rsidRDefault="006F2BB8" w:rsidP="00310AE8">
            <w:pPr>
              <w:pStyle w:val="11Bulletsinatable"/>
            </w:pPr>
            <w:r w:rsidRPr="00310AE8">
              <w:t>size of resources and budget.</w:t>
            </w:r>
          </w:p>
        </w:tc>
        <w:tc>
          <w:tcPr>
            <w:tcW w:w="4587" w:type="dxa"/>
          </w:tcPr>
          <w:p w14:paraId="6E4F7212" w14:textId="77777777" w:rsidR="006F2BB8" w:rsidRPr="006F2BB8" w:rsidRDefault="006F2BB8" w:rsidP="006F2BB8">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olor w:val="4D4D4D"/>
                <w:sz w:val="22"/>
              </w:rPr>
            </w:pPr>
            <w:r w:rsidRPr="006F2BB8">
              <w:rPr>
                <w:rFonts w:ascii="Calibri" w:eastAsia="Calibri" w:hAnsi="Calibri"/>
                <w:noProof/>
                <w:color w:val="4D4D4D"/>
                <w:sz w:val="22"/>
                <w:shd w:val="clear" w:color="auto" w:fill="E6E6E6"/>
              </w:rPr>
              <w:drawing>
                <wp:inline distT="0" distB="0" distL="0" distR="0" wp14:anchorId="4C99E5BE" wp14:editId="55CD80C4">
                  <wp:extent cx="2714625" cy="1198800"/>
                  <wp:effectExtent l="0" t="0" r="9525" b="1905"/>
                  <wp:docPr id="40246130" name="Chart 40246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r>
    </w:tbl>
    <w:p w14:paraId="639893E2" w14:textId="77777777" w:rsidR="00C07752" w:rsidRDefault="00C07752" w:rsidP="006F2BB8">
      <w:pPr>
        <w:keepNext/>
        <w:spacing w:before="240" w:line="240" w:lineRule="auto"/>
        <w:jc w:val="left"/>
        <w:outlineLvl w:val="2"/>
        <w:rPr>
          <w:rFonts w:ascii="Rockwell" w:eastAsia="Calibri" w:hAnsi="Rockwell" w:cs="Arial"/>
          <w:color w:val="0F6745"/>
          <w:spacing w:val="-6"/>
          <w:sz w:val="30"/>
        </w:rPr>
        <w:sectPr w:rsidR="00C07752" w:rsidSect="005F1DAB">
          <w:pgSz w:w="11906" w:h="16838"/>
          <w:pgMar w:top="1701" w:right="1701" w:bottom="993" w:left="1701" w:header="708" w:footer="708" w:gutter="0"/>
          <w:cols w:space="708"/>
          <w:titlePg/>
          <w:docGrid w:linePitch="360"/>
        </w:sectPr>
      </w:pPr>
    </w:p>
    <w:p w14:paraId="145AE7A4" w14:textId="77777777" w:rsidR="006F2BB8" w:rsidRPr="006F2BB8" w:rsidRDefault="006F2BB8" w:rsidP="00C21F55">
      <w:pPr>
        <w:pStyle w:val="03VIRTHeading3"/>
      </w:pPr>
      <w:r w:rsidRPr="006F2BB8">
        <w:lastRenderedPageBreak/>
        <w:t>Levels and structure of the VPS executive remuneration bands</w:t>
      </w:r>
    </w:p>
    <w:p w14:paraId="7E753473" w14:textId="77777777" w:rsidR="006F2BB8" w:rsidRPr="006F2BB8" w:rsidRDefault="006F2BB8" w:rsidP="006A3A46">
      <w:pPr>
        <w:pStyle w:val="05Paragraph"/>
      </w:pPr>
      <w:r w:rsidRPr="006F2BB8">
        <w:t>Respondents were asked to identify factors relevant to setting the levels and structure of the VPS executive remuneration bands. They provided input through three open-ended text fields. Table A.24 displays the common key words that appeared in responses.</w:t>
      </w:r>
    </w:p>
    <w:p w14:paraId="716A109E" w14:textId="77777777" w:rsidR="006F2BB8" w:rsidRPr="006F2BB8" w:rsidRDefault="006F2BB8" w:rsidP="00144BE8">
      <w:pPr>
        <w:pStyle w:val="08Figuretableboxheading"/>
      </w:pPr>
      <w:bookmarkStart w:id="202" w:name="_Toc170393604"/>
      <w:r w:rsidRPr="006F2BB8">
        <w:t>Table A.24: What do you consider to be relevant factors in setting the levels and structure of VPS executive remuneration bands?</w:t>
      </w:r>
      <w:bookmarkEnd w:id="202"/>
    </w:p>
    <w:tbl>
      <w:tblPr>
        <w:tblStyle w:val="ListTable3-Accent1"/>
        <w:tblW w:w="8505" w:type="dxa"/>
        <w:tblBorders>
          <w:top w:val="single" w:sz="4" w:space="0" w:color="26664E"/>
          <w:left w:val="none" w:sz="0" w:space="0" w:color="auto"/>
          <w:bottom w:val="single" w:sz="4" w:space="0" w:color="26664E"/>
          <w:right w:val="none" w:sz="0" w:space="0" w:color="auto"/>
          <w:insideH w:val="single" w:sz="4" w:space="0" w:color="26664E"/>
        </w:tblBorders>
        <w:tblLayout w:type="fixed"/>
        <w:tblLook w:val="04A0" w:firstRow="1" w:lastRow="0" w:firstColumn="1" w:lastColumn="0" w:noHBand="0" w:noVBand="1"/>
      </w:tblPr>
      <w:tblGrid>
        <w:gridCol w:w="4252"/>
        <w:gridCol w:w="4253"/>
      </w:tblGrid>
      <w:tr w:rsidR="00F04F85" w:rsidRPr="00C21F55" w14:paraId="4E906D96" w14:textId="77777777" w:rsidTr="00C50C43">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0" w:type="dxa"/>
            <w:shd w:val="clear" w:color="auto" w:fill="148A5D"/>
          </w:tcPr>
          <w:p w14:paraId="0D0C6C85" w14:textId="77777777" w:rsidR="006F2BB8" w:rsidRPr="00C21F55" w:rsidRDefault="006F2BB8" w:rsidP="00C21F55">
            <w:pPr>
              <w:pStyle w:val="10Tabletext"/>
            </w:pPr>
            <w:r w:rsidRPr="00C21F55">
              <w:t>Key words</w:t>
            </w:r>
          </w:p>
        </w:tc>
        <w:tc>
          <w:tcPr>
            <w:tcW w:w="0" w:type="dxa"/>
            <w:shd w:val="clear" w:color="auto" w:fill="148A5D"/>
          </w:tcPr>
          <w:p w14:paraId="30ABEC2E" w14:textId="77777777" w:rsidR="006F2BB8" w:rsidRPr="00C21F55" w:rsidRDefault="006F2BB8" w:rsidP="00C21F55">
            <w:pPr>
              <w:pStyle w:val="10Tabletext"/>
              <w:jc w:val="right"/>
              <w:cnfStyle w:val="100000000000" w:firstRow="1" w:lastRow="0" w:firstColumn="0" w:lastColumn="0" w:oddVBand="0" w:evenVBand="0" w:oddHBand="0" w:evenHBand="0" w:firstRowFirstColumn="0" w:firstRowLastColumn="0" w:lastRowFirstColumn="0" w:lastRowLastColumn="0"/>
            </w:pPr>
            <w:r w:rsidRPr="00C21F55">
              <w:t>Responses</w:t>
            </w:r>
          </w:p>
        </w:tc>
      </w:tr>
      <w:tr w:rsidR="006F2BB8" w:rsidRPr="006F2BB8" w14:paraId="22629547" w14:textId="77777777" w:rsidTr="006F2BB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tcPr>
          <w:p w14:paraId="15C8FB45" w14:textId="77777777" w:rsidR="006F2BB8" w:rsidRPr="00C21F55" w:rsidRDefault="006F2BB8" w:rsidP="00C21F55">
            <w:pPr>
              <w:pStyle w:val="10Tabletext"/>
            </w:pPr>
            <w:r w:rsidRPr="00C21F55">
              <w:t>Responsibility</w:t>
            </w:r>
          </w:p>
        </w:tc>
        <w:tc>
          <w:tcPr>
            <w:tcW w:w="0" w:type="dxa"/>
          </w:tcPr>
          <w:p w14:paraId="5A5C4F7F" w14:textId="77777777" w:rsidR="006F2BB8" w:rsidRPr="00F444BD" w:rsidRDefault="006F2BB8" w:rsidP="00C21F55">
            <w:pPr>
              <w:pStyle w:val="10Tabletext"/>
              <w:jc w:val="right"/>
              <w:cnfStyle w:val="000000100000" w:firstRow="0" w:lastRow="0" w:firstColumn="0" w:lastColumn="0" w:oddVBand="0" w:evenVBand="0" w:oddHBand="1" w:evenHBand="0" w:firstRowFirstColumn="0" w:firstRowLastColumn="0" w:lastRowFirstColumn="0" w:lastRowLastColumn="0"/>
            </w:pPr>
            <w:r w:rsidRPr="00F444BD">
              <w:t>171</w:t>
            </w:r>
          </w:p>
        </w:tc>
      </w:tr>
      <w:tr w:rsidR="006F2BB8" w:rsidRPr="006F2BB8" w14:paraId="15BCB54C" w14:textId="77777777" w:rsidTr="006F2BB8">
        <w:trPr>
          <w:cantSplit/>
        </w:trPr>
        <w:tc>
          <w:tcPr>
            <w:cnfStyle w:val="001000000000" w:firstRow="0" w:lastRow="0" w:firstColumn="1" w:lastColumn="0" w:oddVBand="0" w:evenVBand="0" w:oddHBand="0" w:evenHBand="0" w:firstRowFirstColumn="0" w:firstRowLastColumn="0" w:lastRowFirstColumn="0" w:lastRowLastColumn="0"/>
            <w:tcW w:w="0" w:type="dxa"/>
          </w:tcPr>
          <w:p w14:paraId="3B058BFA" w14:textId="77777777" w:rsidR="006F2BB8" w:rsidRPr="00C21F55" w:rsidRDefault="006F2BB8" w:rsidP="00C21F55">
            <w:pPr>
              <w:pStyle w:val="10Tabletext"/>
            </w:pPr>
            <w:r w:rsidRPr="00C21F55">
              <w:t>Risk</w:t>
            </w:r>
          </w:p>
        </w:tc>
        <w:tc>
          <w:tcPr>
            <w:tcW w:w="0" w:type="dxa"/>
          </w:tcPr>
          <w:p w14:paraId="5ED7BEB9" w14:textId="77777777" w:rsidR="006F2BB8" w:rsidRPr="00F444BD" w:rsidRDefault="006F2BB8" w:rsidP="00C21F55">
            <w:pPr>
              <w:pStyle w:val="10Tabletext"/>
              <w:jc w:val="right"/>
              <w:cnfStyle w:val="000000000000" w:firstRow="0" w:lastRow="0" w:firstColumn="0" w:lastColumn="0" w:oddVBand="0" w:evenVBand="0" w:oddHBand="0" w:evenHBand="0" w:firstRowFirstColumn="0" w:firstRowLastColumn="0" w:lastRowFirstColumn="0" w:lastRowLastColumn="0"/>
            </w:pPr>
            <w:r w:rsidRPr="00F444BD">
              <w:t>114</w:t>
            </w:r>
          </w:p>
        </w:tc>
      </w:tr>
      <w:tr w:rsidR="006F2BB8" w:rsidRPr="006F2BB8" w14:paraId="2AB3B547" w14:textId="77777777" w:rsidTr="006F2BB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tcPr>
          <w:p w14:paraId="0383E248" w14:textId="77777777" w:rsidR="006F2BB8" w:rsidRPr="00C21F55" w:rsidRDefault="006F2BB8" w:rsidP="00C21F55">
            <w:pPr>
              <w:pStyle w:val="10Tabletext"/>
            </w:pPr>
            <w:r w:rsidRPr="00C21F55">
              <w:t>Complexity</w:t>
            </w:r>
          </w:p>
        </w:tc>
        <w:tc>
          <w:tcPr>
            <w:tcW w:w="0" w:type="dxa"/>
          </w:tcPr>
          <w:p w14:paraId="758C8413" w14:textId="77777777" w:rsidR="006F2BB8" w:rsidRPr="00F444BD" w:rsidRDefault="006F2BB8" w:rsidP="00C21F55">
            <w:pPr>
              <w:pStyle w:val="10Tabletext"/>
              <w:jc w:val="right"/>
              <w:cnfStyle w:val="000000100000" w:firstRow="0" w:lastRow="0" w:firstColumn="0" w:lastColumn="0" w:oddVBand="0" w:evenVBand="0" w:oddHBand="1" w:evenHBand="0" w:firstRowFirstColumn="0" w:firstRowLastColumn="0" w:lastRowFirstColumn="0" w:lastRowLastColumn="0"/>
            </w:pPr>
            <w:r w:rsidRPr="00F444BD">
              <w:t>109</w:t>
            </w:r>
          </w:p>
        </w:tc>
      </w:tr>
      <w:tr w:rsidR="006F2BB8" w:rsidRPr="006F2BB8" w14:paraId="4AA91E8A" w14:textId="77777777" w:rsidTr="006F2BB8">
        <w:trPr>
          <w:cantSplit/>
        </w:trPr>
        <w:tc>
          <w:tcPr>
            <w:cnfStyle w:val="001000000000" w:firstRow="0" w:lastRow="0" w:firstColumn="1" w:lastColumn="0" w:oddVBand="0" w:evenVBand="0" w:oddHBand="0" w:evenHBand="0" w:firstRowFirstColumn="0" w:firstRowLastColumn="0" w:lastRowFirstColumn="0" w:lastRowLastColumn="0"/>
            <w:tcW w:w="0" w:type="dxa"/>
          </w:tcPr>
          <w:p w14:paraId="4B3E3FAE" w14:textId="77777777" w:rsidR="006F2BB8" w:rsidRPr="00C21F55" w:rsidRDefault="006F2BB8" w:rsidP="00C21F55">
            <w:pPr>
              <w:pStyle w:val="10Tabletext"/>
            </w:pPr>
            <w:r w:rsidRPr="00C21F55">
              <w:t>Market comparison</w:t>
            </w:r>
          </w:p>
        </w:tc>
        <w:tc>
          <w:tcPr>
            <w:tcW w:w="0" w:type="dxa"/>
          </w:tcPr>
          <w:p w14:paraId="2E1DDCB7" w14:textId="77777777" w:rsidR="006F2BB8" w:rsidRPr="00F444BD" w:rsidRDefault="006F2BB8" w:rsidP="00C21F55">
            <w:pPr>
              <w:pStyle w:val="10Tabletext"/>
              <w:jc w:val="right"/>
              <w:cnfStyle w:val="000000000000" w:firstRow="0" w:lastRow="0" w:firstColumn="0" w:lastColumn="0" w:oddVBand="0" w:evenVBand="0" w:oddHBand="0" w:evenHBand="0" w:firstRowFirstColumn="0" w:firstRowLastColumn="0" w:lastRowFirstColumn="0" w:lastRowLastColumn="0"/>
            </w:pPr>
            <w:r w:rsidRPr="00F444BD">
              <w:t>105</w:t>
            </w:r>
          </w:p>
        </w:tc>
      </w:tr>
      <w:tr w:rsidR="006F2BB8" w:rsidRPr="006F2BB8" w14:paraId="65AE91AB" w14:textId="77777777" w:rsidTr="006F2BB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tcPr>
          <w:p w14:paraId="5505679A" w14:textId="77777777" w:rsidR="006F2BB8" w:rsidRPr="00C21F55" w:rsidRDefault="006F2BB8" w:rsidP="00C21F55">
            <w:pPr>
              <w:pStyle w:val="10Tabletext"/>
            </w:pPr>
            <w:r w:rsidRPr="00C21F55">
              <w:t>Experience</w:t>
            </w:r>
          </w:p>
        </w:tc>
        <w:tc>
          <w:tcPr>
            <w:tcW w:w="0" w:type="dxa"/>
          </w:tcPr>
          <w:p w14:paraId="4B64661F" w14:textId="77777777" w:rsidR="006F2BB8" w:rsidRPr="00F444BD" w:rsidRDefault="006F2BB8" w:rsidP="00C21F55">
            <w:pPr>
              <w:pStyle w:val="10Tabletext"/>
              <w:jc w:val="right"/>
              <w:cnfStyle w:val="000000100000" w:firstRow="0" w:lastRow="0" w:firstColumn="0" w:lastColumn="0" w:oddVBand="0" w:evenVBand="0" w:oddHBand="1" w:evenHBand="0" w:firstRowFirstColumn="0" w:firstRowLastColumn="0" w:lastRowFirstColumn="0" w:lastRowLastColumn="0"/>
            </w:pPr>
            <w:r w:rsidRPr="00F444BD">
              <w:t>77</w:t>
            </w:r>
          </w:p>
        </w:tc>
      </w:tr>
      <w:tr w:rsidR="006F2BB8" w:rsidRPr="006F2BB8" w14:paraId="7E6F69A0" w14:textId="77777777" w:rsidTr="006F2BB8">
        <w:trPr>
          <w:cantSplit/>
        </w:trPr>
        <w:tc>
          <w:tcPr>
            <w:cnfStyle w:val="001000000000" w:firstRow="0" w:lastRow="0" w:firstColumn="1" w:lastColumn="0" w:oddVBand="0" w:evenVBand="0" w:oddHBand="0" w:evenHBand="0" w:firstRowFirstColumn="0" w:firstRowLastColumn="0" w:lastRowFirstColumn="0" w:lastRowLastColumn="0"/>
            <w:tcW w:w="0" w:type="dxa"/>
          </w:tcPr>
          <w:p w14:paraId="7517483A" w14:textId="77777777" w:rsidR="006F2BB8" w:rsidRPr="00C21F55" w:rsidRDefault="006F2BB8" w:rsidP="00C21F55">
            <w:pPr>
              <w:pStyle w:val="10Tabletext"/>
            </w:pPr>
            <w:r w:rsidRPr="00C21F55">
              <w:t>Accountability</w:t>
            </w:r>
          </w:p>
        </w:tc>
        <w:tc>
          <w:tcPr>
            <w:tcW w:w="0" w:type="dxa"/>
          </w:tcPr>
          <w:p w14:paraId="193AC39F" w14:textId="77777777" w:rsidR="006F2BB8" w:rsidRPr="00F444BD" w:rsidRDefault="006F2BB8" w:rsidP="00C21F55">
            <w:pPr>
              <w:pStyle w:val="10Tabletext"/>
              <w:jc w:val="right"/>
              <w:cnfStyle w:val="000000000000" w:firstRow="0" w:lastRow="0" w:firstColumn="0" w:lastColumn="0" w:oddVBand="0" w:evenVBand="0" w:oddHBand="0" w:evenHBand="0" w:firstRowFirstColumn="0" w:firstRowLastColumn="0" w:lastRowFirstColumn="0" w:lastRowLastColumn="0"/>
            </w:pPr>
            <w:r w:rsidRPr="00F444BD">
              <w:t>67</w:t>
            </w:r>
          </w:p>
        </w:tc>
      </w:tr>
      <w:tr w:rsidR="006F2BB8" w:rsidRPr="006F2BB8" w14:paraId="4D96195A" w14:textId="77777777" w:rsidTr="006F2BB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tcPr>
          <w:p w14:paraId="1334082D" w14:textId="77777777" w:rsidR="006F2BB8" w:rsidRPr="00C21F55" w:rsidRDefault="006F2BB8" w:rsidP="00C21F55">
            <w:pPr>
              <w:pStyle w:val="10Tabletext"/>
            </w:pPr>
            <w:r w:rsidRPr="00C21F55">
              <w:t>Breadth</w:t>
            </w:r>
          </w:p>
        </w:tc>
        <w:tc>
          <w:tcPr>
            <w:tcW w:w="0" w:type="dxa"/>
          </w:tcPr>
          <w:p w14:paraId="4E2A734C" w14:textId="77777777" w:rsidR="006F2BB8" w:rsidRPr="00F444BD" w:rsidRDefault="006F2BB8" w:rsidP="00C21F55">
            <w:pPr>
              <w:pStyle w:val="10Tabletext"/>
              <w:jc w:val="right"/>
              <w:cnfStyle w:val="000000100000" w:firstRow="0" w:lastRow="0" w:firstColumn="0" w:lastColumn="0" w:oddVBand="0" w:evenVBand="0" w:oddHBand="1" w:evenHBand="0" w:firstRowFirstColumn="0" w:firstRowLastColumn="0" w:lastRowFirstColumn="0" w:lastRowLastColumn="0"/>
            </w:pPr>
            <w:r w:rsidRPr="00F444BD">
              <w:t>47</w:t>
            </w:r>
          </w:p>
        </w:tc>
      </w:tr>
      <w:tr w:rsidR="006F2BB8" w:rsidRPr="006F2BB8" w14:paraId="3489926B" w14:textId="77777777" w:rsidTr="006F2BB8">
        <w:trPr>
          <w:cantSplit/>
        </w:trPr>
        <w:tc>
          <w:tcPr>
            <w:cnfStyle w:val="001000000000" w:firstRow="0" w:lastRow="0" w:firstColumn="1" w:lastColumn="0" w:oddVBand="0" w:evenVBand="0" w:oddHBand="0" w:evenHBand="0" w:firstRowFirstColumn="0" w:firstRowLastColumn="0" w:lastRowFirstColumn="0" w:lastRowLastColumn="0"/>
            <w:tcW w:w="0" w:type="dxa"/>
          </w:tcPr>
          <w:p w14:paraId="12577D5F" w14:textId="77777777" w:rsidR="006F2BB8" w:rsidRPr="00C21F55" w:rsidRDefault="006F2BB8" w:rsidP="00C21F55">
            <w:pPr>
              <w:pStyle w:val="10Tabletext"/>
            </w:pPr>
            <w:r w:rsidRPr="00C21F55">
              <w:t>Workload</w:t>
            </w:r>
          </w:p>
        </w:tc>
        <w:tc>
          <w:tcPr>
            <w:tcW w:w="0" w:type="dxa"/>
          </w:tcPr>
          <w:p w14:paraId="417159A9" w14:textId="77777777" w:rsidR="006F2BB8" w:rsidRPr="00F444BD" w:rsidRDefault="006F2BB8" w:rsidP="00C21F55">
            <w:pPr>
              <w:pStyle w:val="10Tabletext"/>
              <w:jc w:val="right"/>
              <w:cnfStyle w:val="000000000000" w:firstRow="0" w:lastRow="0" w:firstColumn="0" w:lastColumn="0" w:oddVBand="0" w:evenVBand="0" w:oddHBand="0" w:evenHBand="0" w:firstRowFirstColumn="0" w:firstRowLastColumn="0" w:lastRowFirstColumn="0" w:lastRowLastColumn="0"/>
            </w:pPr>
            <w:r w:rsidRPr="00F444BD">
              <w:t>41</w:t>
            </w:r>
          </w:p>
        </w:tc>
      </w:tr>
      <w:tr w:rsidR="006F2BB8" w:rsidRPr="006F2BB8" w14:paraId="3A735292" w14:textId="77777777" w:rsidTr="006F2BB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tcPr>
          <w:p w14:paraId="1CC2ED89" w14:textId="77777777" w:rsidR="006F2BB8" w:rsidRPr="00C21F55" w:rsidRDefault="006F2BB8" w:rsidP="00C21F55">
            <w:pPr>
              <w:pStyle w:val="10Tabletext"/>
            </w:pPr>
            <w:r w:rsidRPr="00C21F55">
              <w:t>Cost of living and inflation</w:t>
            </w:r>
          </w:p>
        </w:tc>
        <w:tc>
          <w:tcPr>
            <w:tcW w:w="0" w:type="dxa"/>
          </w:tcPr>
          <w:p w14:paraId="7D1F725D" w14:textId="77777777" w:rsidR="006F2BB8" w:rsidRPr="00F444BD" w:rsidRDefault="006F2BB8" w:rsidP="00C21F55">
            <w:pPr>
              <w:pStyle w:val="10Tabletext"/>
              <w:jc w:val="right"/>
              <w:cnfStyle w:val="000000100000" w:firstRow="0" w:lastRow="0" w:firstColumn="0" w:lastColumn="0" w:oddVBand="0" w:evenVBand="0" w:oddHBand="1" w:evenHBand="0" w:firstRowFirstColumn="0" w:firstRowLastColumn="0" w:lastRowFirstColumn="0" w:lastRowLastColumn="0"/>
            </w:pPr>
            <w:r w:rsidRPr="00F444BD">
              <w:t>33</w:t>
            </w:r>
          </w:p>
        </w:tc>
      </w:tr>
      <w:tr w:rsidR="006F2BB8" w:rsidRPr="006F2BB8" w14:paraId="59BFA19E" w14:textId="77777777" w:rsidTr="006F2BB8">
        <w:trPr>
          <w:cantSplit/>
        </w:trPr>
        <w:tc>
          <w:tcPr>
            <w:cnfStyle w:val="001000000000" w:firstRow="0" w:lastRow="0" w:firstColumn="1" w:lastColumn="0" w:oddVBand="0" w:evenVBand="0" w:oddHBand="0" w:evenHBand="0" w:firstRowFirstColumn="0" w:firstRowLastColumn="0" w:lastRowFirstColumn="0" w:lastRowLastColumn="0"/>
            <w:tcW w:w="0" w:type="dxa"/>
          </w:tcPr>
          <w:p w14:paraId="75337D62" w14:textId="77777777" w:rsidR="006F2BB8" w:rsidRPr="00C21F55" w:rsidRDefault="006F2BB8" w:rsidP="00C21F55">
            <w:pPr>
              <w:pStyle w:val="10Tabletext"/>
            </w:pPr>
            <w:r w:rsidRPr="00C21F55">
              <w:t>Equity and fairness</w:t>
            </w:r>
          </w:p>
        </w:tc>
        <w:tc>
          <w:tcPr>
            <w:tcW w:w="0" w:type="dxa"/>
          </w:tcPr>
          <w:p w14:paraId="535E0A58" w14:textId="77777777" w:rsidR="006F2BB8" w:rsidRPr="00F444BD" w:rsidRDefault="006F2BB8" w:rsidP="00C21F55">
            <w:pPr>
              <w:pStyle w:val="10Tabletext"/>
              <w:jc w:val="right"/>
              <w:cnfStyle w:val="000000000000" w:firstRow="0" w:lastRow="0" w:firstColumn="0" w:lastColumn="0" w:oddVBand="0" w:evenVBand="0" w:oddHBand="0" w:evenHBand="0" w:firstRowFirstColumn="0" w:firstRowLastColumn="0" w:lastRowFirstColumn="0" w:lastRowLastColumn="0"/>
            </w:pPr>
            <w:r w:rsidRPr="00F444BD">
              <w:t>28</w:t>
            </w:r>
          </w:p>
        </w:tc>
      </w:tr>
    </w:tbl>
    <w:p w14:paraId="27A80776" w14:textId="77777777" w:rsidR="006F2BB8" w:rsidRPr="006F2BB8" w:rsidRDefault="006F2BB8" w:rsidP="006A3A46">
      <w:pPr>
        <w:pStyle w:val="05Paragraph"/>
      </w:pPr>
      <w:r w:rsidRPr="006F2BB8">
        <w:t>More than half of respondents did not consider the VPS executive remuneration bands to be competitive for the type of work that they do (Table A.25).</w:t>
      </w:r>
    </w:p>
    <w:p w14:paraId="74330445" w14:textId="77777777" w:rsidR="006F2BB8" w:rsidRPr="006F2BB8" w:rsidRDefault="006F2BB8" w:rsidP="00144BE8">
      <w:pPr>
        <w:pStyle w:val="08Figuretableboxheading"/>
      </w:pPr>
      <w:bookmarkStart w:id="203" w:name="_Toc170393605"/>
      <w:r w:rsidRPr="006F2BB8">
        <w:t>Table A.25: Do you consider the VPS executive remuneration bands to be competitive for the type of work that you do?</w:t>
      </w:r>
      <w:bookmarkEnd w:id="203"/>
    </w:p>
    <w:tbl>
      <w:tblPr>
        <w:tblStyle w:val="ListTable3-Accent1"/>
        <w:tblW w:w="8505" w:type="dxa"/>
        <w:tblLayout w:type="fixed"/>
        <w:tblLook w:val="04A0" w:firstRow="1" w:lastRow="0" w:firstColumn="1" w:lastColumn="0" w:noHBand="0" w:noVBand="1"/>
      </w:tblPr>
      <w:tblGrid>
        <w:gridCol w:w="4820"/>
        <w:gridCol w:w="1842"/>
        <w:gridCol w:w="1843"/>
      </w:tblGrid>
      <w:tr w:rsidR="006F2BB8" w:rsidRPr="00F04F85" w14:paraId="15587C5E" w14:textId="77777777" w:rsidTr="00FF0589">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4820" w:type="dxa"/>
            <w:tcBorders>
              <w:top w:val="single" w:sz="4" w:space="0" w:color="26664E"/>
              <w:left w:val="nil"/>
              <w:bottom w:val="single" w:sz="4" w:space="0" w:color="148A5D"/>
              <w:right w:val="single" w:sz="4" w:space="0" w:color="148A5D"/>
            </w:tcBorders>
            <w:shd w:val="clear" w:color="auto" w:fill="148A5D"/>
          </w:tcPr>
          <w:p w14:paraId="6437B311" w14:textId="77777777" w:rsidR="006F2BB8" w:rsidRPr="00C21F55" w:rsidRDefault="006F2BB8" w:rsidP="00C21F55">
            <w:pPr>
              <w:pStyle w:val="10Tabletext"/>
            </w:pPr>
            <w:r w:rsidRPr="00C21F55">
              <w:t>Answer choices</w:t>
            </w:r>
          </w:p>
        </w:tc>
        <w:tc>
          <w:tcPr>
            <w:tcW w:w="3685" w:type="dxa"/>
            <w:gridSpan w:val="2"/>
            <w:tcBorders>
              <w:top w:val="single" w:sz="4" w:space="0" w:color="26664E"/>
              <w:left w:val="single" w:sz="4" w:space="0" w:color="148A5D"/>
              <w:right w:val="nil"/>
            </w:tcBorders>
            <w:shd w:val="clear" w:color="auto" w:fill="148A5D"/>
          </w:tcPr>
          <w:p w14:paraId="47DD7183" w14:textId="77777777" w:rsidR="006F2BB8" w:rsidRPr="00C21F55" w:rsidRDefault="006F2BB8" w:rsidP="00FF0589">
            <w:pPr>
              <w:pStyle w:val="10Tabletext"/>
              <w:jc w:val="center"/>
              <w:cnfStyle w:val="100000000000" w:firstRow="1" w:lastRow="0" w:firstColumn="0" w:lastColumn="0" w:oddVBand="0" w:evenVBand="0" w:oddHBand="0" w:evenHBand="0" w:firstRowFirstColumn="0" w:firstRowLastColumn="0" w:lastRowFirstColumn="0" w:lastRowLastColumn="0"/>
            </w:pPr>
            <w:r w:rsidRPr="00C21F55">
              <w:t>Responses</w:t>
            </w:r>
          </w:p>
        </w:tc>
      </w:tr>
      <w:tr w:rsidR="006F2BB8" w:rsidRPr="00F04F85" w14:paraId="16188019" w14:textId="77777777" w:rsidTr="00FF058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148A5D"/>
              <w:left w:val="nil"/>
              <w:right w:val="single" w:sz="4" w:space="0" w:color="148A5D"/>
            </w:tcBorders>
            <w:shd w:val="clear" w:color="auto" w:fill="148A5D"/>
          </w:tcPr>
          <w:p w14:paraId="7EA7EA73" w14:textId="77777777" w:rsidR="006F2BB8" w:rsidRPr="00C21F55" w:rsidRDefault="006F2BB8" w:rsidP="00C21F55">
            <w:pPr>
              <w:pStyle w:val="10Tabletext"/>
              <w:rPr>
                <w:color w:val="FFFFFF" w:themeColor="background1"/>
              </w:rPr>
            </w:pPr>
          </w:p>
        </w:tc>
        <w:tc>
          <w:tcPr>
            <w:tcW w:w="1842" w:type="dxa"/>
            <w:tcBorders>
              <w:top w:val="single" w:sz="4" w:space="0" w:color="148A5D"/>
              <w:left w:val="single" w:sz="4" w:space="0" w:color="148A5D"/>
              <w:right w:val="single" w:sz="4" w:space="0" w:color="148A5D"/>
            </w:tcBorders>
            <w:shd w:val="clear" w:color="auto" w:fill="148A5D"/>
          </w:tcPr>
          <w:p w14:paraId="0ADA48D9" w14:textId="77777777" w:rsidR="006F2BB8" w:rsidRPr="00C21F55" w:rsidRDefault="006F2BB8" w:rsidP="00FF0589">
            <w:pPr>
              <w:pStyle w:val="10Tabletext"/>
              <w:jc w:val="center"/>
              <w:cnfStyle w:val="000000100000" w:firstRow="0" w:lastRow="0" w:firstColumn="0" w:lastColumn="0" w:oddVBand="0" w:evenVBand="0" w:oddHBand="1" w:evenHBand="0" w:firstRowFirstColumn="0" w:firstRowLastColumn="0" w:lastRowFirstColumn="0" w:lastRowLastColumn="0"/>
              <w:rPr>
                <w:b/>
                <w:bCs w:val="0"/>
                <w:color w:val="FFFFFF" w:themeColor="background1"/>
              </w:rPr>
            </w:pPr>
            <w:r w:rsidRPr="00C21F55">
              <w:rPr>
                <w:b/>
                <w:bCs w:val="0"/>
                <w:color w:val="FFFFFF" w:themeColor="background1"/>
              </w:rPr>
              <w:t>Number</w:t>
            </w:r>
          </w:p>
        </w:tc>
        <w:tc>
          <w:tcPr>
            <w:tcW w:w="1843" w:type="dxa"/>
            <w:tcBorders>
              <w:top w:val="single" w:sz="4" w:space="0" w:color="148A5D"/>
              <w:left w:val="single" w:sz="4" w:space="0" w:color="148A5D"/>
              <w:right w:val="nil"/>
            </w:tcBorders>
            <w:shd w:val="clear" w:color="auto" w:fill="148A5D"/>
          </w:tcPr>
          <w:p w14:paraId="7329651A" w14:textId="77777777" w:rsidR="006F2BB8" w:rsidRPr="00C21F55" w:rsidRDefault="006F2BB8" w:rsidP="00FF0589">
            <w:pPr>
              <w:pStyle w:val="10Tabletext"/>
              <w:jc w:val="center"/>
              <w:cnfStyle w:val="000000100000" w:firstRow="0" w:lastRow="0" w:firstColumn="0" w:lastColumn="0" w:oddVBand="0" w:evenVBand="0" w:oddHBand="1" w:evenHBand="0" w:firstRowFirstColumn="0" w:firstRowLastColumn="0" w:lastRowFirstColumn="0" w:lastRowLastColumn="0"/>
              <w:rPr>
                <w:b/>
                <w:bCs w:val="0"/>
                <w:color w:val="FFFFFF" w:themeColor="background1"/>
              </w:rPr>
            </w:pPr>
            <w:r w:rsidRPr="00C21F55">
              <w:rPr>
                <w:b/>
                <w:bCs w:val="0"/>
                <w:color w:val="FFFFFF" w:themeColor="background1"/>
              </w:rPr>
              <w:t>%</w:t>
            </w:r>
          </w:p>
        </w:tc>
      </w:tr>
      <w:tr w:rsidR="006F2BB8" w:rsidRPr="00F04F85" w14:paraId="023F7C90" w14:textId="77777777" w:rsidTr="00FF0589">
        <w:trPr>
          <w:cantSplit/>
        </w:trPr>
        <w:tc>
          <w:tcPr>
            <w:cnfStyle w:val="001000000000" w:firstRow="0" w:lastRow="0" w:firstColumn="1" w:lastColumn="0" w:oddVBand="0" w:evenVBand="0" w:oddHBand="0" w:evenHBand="0" w:firstRowFirstColumn="0" w:firstRowLastColumn="0" w:lastRowFirstColumn="0" w:lastRowLastColumn="0"/>
            <w:tcW w:w="4820" w:type="dxa"/>
            <w:tcBorders>
              <w:left w:val="nil"/>
            </w:tcBorders>
          </w:tcPr>
          <w:p w14:paraId="44F6F70E" w14:textId="77777777" w:rsidR="006F2BB8" w:rsidRPr="00C21F55" w:rsidRDefault="006F2BB8" w:rsidP="00C21F55">
            <w:pPr>
              <w:pStyle w:val="10Tabletext"/>
            </w:pPr>
            <w:r w:rsidRPr="00C21F55">
              <w:t>Yes</w:t>
            </w:r>
          </w:p>
        </w:tc>
        <w:tc>
          <w:tcPr>
            <w:tcW w:w="1842" w:type="dxa"/>
          </w:tcPr>
          <w:p w14:paraId="5170A1DC" w14:textId="77777777" w:rsidR="006F2BB8" w:rsidRPr="00C21F55" w:rsidRDefault="006F2BB8" w:rsidP="00FF0589">
            <w:pPr>
              <w:pStyle w:val="10Tabletext"/>
              <w:jc w:val="center"/>
              <w:cnfStyle w:val="000000000000" w:firstRow="0" w:lastRow="0" w:firstColumn="0" w:lastColumn="0" w:oddVBand="0" w:evenVBand="0" w:oddHBand="0" w:evenHBand="0" w:firstRowFirstColumn="0" w:firstRowLastColumn="0" w:lastRowFirstColumn="0" w:lastRowLastColumn="0"/>
            </w:pPr>
            <w:r w:rsidRPr="00C21F55">
              <w:t>184</w:t>
            </w:r>
          </w:p>
        </w:tc>
        <w:tc>
          <w:tcPr>
            <w:tcW w:w="1843" w:type="dxa"/>
            <w:tcBorders>
              <w:right w:val="nil"/>
            </w:tcBorders>
          </w:tcPr>
          <w:p w14:paraId="68FE6397" w14:textId="77777777" w:rsidR="006F2BB8" w:rsidRPr="00C21F55" w:rsidRDefault="006F2BB8" w:rsidP="00FF0589">
            <w:pPr>
              <w:pStyle w:val="10Tabletext"/>
              <w:jc w:val="center"/>
              <w:cnfStyle w:val="000000000000" w:firstRow="0" w:lastRow="0" w:firstColumn="0" w:lastColumn="0" w:oddVBand="0" w:evenVBand="0" w:oddHBand="0" w:evenHBand="0" w:firstRowFirstColumn="0" w:firstRowLastColumn="0" w:lastRowFirstColumn="0" w:lastRowLastColumn="0"/>
            </w:pPr>
            <w:r w:rsidRPr="00C21F55">
              <w:t>35</w:t>
            </w:r>
          </w:p>
        </w:tc>
      </w:tr>
      <w:tr w:rsidR="006F2BB8" w:rsidRPr="00F04F85" w14:paraId="00AB33D3" w14:textId="77777777" w:rsidTr="00FF058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20" w:type="dxa"/>
            <w:tcBorders>
              <w:left w:val="nil"/>
            </w:tcBorders>
          </w:tcPr>
          <w:p w14:paraId="589A5895" w14:textId="77777777" w:rsidR="006F2BB8" w:rsidRPr="00C21F55" w:rsidRDefault="006F2BB8" w:rsidP="00C21F55">
            <w:pPr>
              <w:pStyle w:val="10Tabletext"/>
            </w:pPr>
            <w:r w:rsidRPr="00C21F55">
              <w:t>No</w:t>
            </w:r>
          </w:p>
        </w:tc>
        <w:tc>
          <w:tcPr>
            <w:tcW w:w="1842" w:type="dxa"/>
          </w:tcPr>
          <w:p w14:paraId="344535C8" w14:textId="77777777" w:rsidR="006F2BB8" w:rsidRPr="00C21F55" w:rsidRDefault="006F2BB8" w:rsidP="00FF0589">
            <w:pPr>
              <w:pStyle w:val="10Tabletext"/>
              <w:jc w:val="center"/>
              <w:cnfStyle w:val="000000100000" w:firstRow="0" w:lastRow="0" w:firstColumn="0" w:lastColumn="0" w:oddVBand="0" w:evenVBand="0" w:oddHBand="1" w:evenHBand="0" w:firstRowFirstColumn="0" w:firstRowLastColumn="0" w:lastRowFirstColumn="0" w:lastRowLastColumn="0"/>
            </w:pPr>
            <w:r w:rsidRPr="00C21F55">
              <w:t>292</w:t>
            </w:r>
          </w:p>
        </w:tc>
        <w:tc>
          <w:tcPr>
            <w:tcW w:w="1843" w:type="dxa"/>
            <w:tcBorders>
              <w:right w:val="nil"/>
            </w:tcBorders>
          </w:tcPr>
          <w:p w14:paraId="5E2D087B" w14:textId="77777777" w:rsidR="006F2BB8" w:rsidRPr="00C21F55" w:rsidRDefault="006F2BB8" w:rsidP="00FF0589">
            <w:pPr>
              <w:pStyle w:val="10Tabletext"/>
              <w:jc w:val="center"/>
              <w:cnfStyle w:val="000000100000" w:firstRow="0" w:lastRow="0" w:firstColumn="0" w:lastColumn="0" w:oddVBand="0" w:evenVBand="0" w:oddHBand="1" w:evenHBand="0" w:firstRowFirstColumn="0" w:firstRowLastColumn="0" w:lastRowFirstColumn="0" w:lastRowLastColumn="0"/>
            </w:pPr>
            <w:r w:rsidRPr="00C21F55">
              <w:t>55</w:t>
            </w:r>
          </w:p>
        </w:tc>
      </w:tr>
      <w:tr w:rsidR="006F2BB8" w:rsidRPr="00F04F85" w14:paraId="15B9A68C" w14:textId="77777777" w:rsidTr="00FF0589">
        <w:trPr>
          <w:cantSplit/>
        </w:trPr>
        <w:tc>
          <w:tcPr>
            <w:cnfStyle w:val="001000000000" w:firstRow="0" w:lastRow="0" w:firstColumn="1" w:lastColumn="0" w:oddVBand="0" w:evenVBand="0" w:oddHBand="0" w:evenHBand="0" w:firstRowFirstColumn="0" w:firstRowLastColumn="0" w:lastRowFirstColumn="0" w:lastRowLastColumn="0"/>
            <w:tcW w:w="4820" w:type="dxa"/>
            <w:tcBorders>
              <w:left w:val="nil"/>
            </w:tcBorders>
          </w:tcPr>
          <w:p w14:paraId="42EFD0A9" w14:textId="77777777" w:rsidR="006F2BB8" w:rsidRPr="00C21F55" w:rsidRDefault="006F2BB8" w:rsidP="00C21F55">
            <w:pPr>
              <w:pStyle w:val="10Tabletext"/>
            </w:pPr>
            <w:r w:rsidRPr="00C21F55">
              <w:t>I don’t know</w:t>
            </w:r>
          </w:p>
        </w:tc>
        <w:tc>
          <w:tcPr>
            <w:tcW w:w="1842" w:type="dxa"/>
          </w:tcPr>
          <w:p w14:paraId="0524C747" w14:textId="77777777" w:rsidR="006F2BB8" w:rsidRPr="00C21F55" w:rsidRDefault="006F2BB8" w:rsidP="00FF0589">
            <w:pPr>
              <w:pStyle w:val="10Tabletext"/>
              <w:jc w:val="center"/>
              <w:cnfStyle w:val="000000000000" w:firstRow="0" w:lastRow="0" w:firstColumn="0" w:lastColumn="0" w:oddVBand="0" w:evenVBand="0" w:oddHBand="0" w:evenHBand="0" w:firstRowFirstColumn="0" w:firstRowLastColumn="0" w:lastRowFirstColumn="0" w:lastRowLastColumn="0"/>
            </w:pPr>
            <w:r w:rsidRPr="00C21F55">
              <w:t>56</w:t>
            </w:r>
          </w:p>
        </w:tc>
        <w:tc>
          <w:tcPr>
            <w:tcW w:w="1843" w:type="dxa"/>
            <w:tcBorders>
              <w:right w:val="nil"/>
            </w:tcBorders>
          </w:tcPr>
          <w:p w14:paraId="6EFDB29A" w14:textId="35804761" w:rsidR="006F2BB8" w:rsidRPr="00C21F55" w:rsidRDefault="00736E83" w:rsidP="00FF0589">
            <w:pPr>
              <w:pStyle w:val="10Tabletext"/>
              <w:jc w:val="center"/>
              <w:cnfStyle w:val="000000000000" w:firstRow="0" w:lastRow="0" w:firstColumn="0" w:lastColumn="0" w:oddVBand="0" w:evenVBand="0" w:oddHBand="0" w:evenHBand="0" w:firstRowFirstColumn="0" w:firstRowLastColumn="0" w:lastRowFirstColumn="0" w:lastRowLastColumn="0"/>
            </w:pPr>
            <w:r w:rsidRPr="00C21F55">
              <w:t>11</w:t>
            </w:r>
          </w:p>
        </w:tc>
      </w:tr>
      <w:tr w:rsidR="006F2BB8" w:rsidRPr="00F04F85" w14:paraId="5850D490" w14:textId="77777777" w:rsidTr="00FF058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20" w:type="dxa"/>
            <w:tcBorders>
              <w:left w:val="nil"/>
            </w:tcBorders>
          </w:tcPr>
          <w:p w14:paraId="0E371238" w14:textId="77777777" w:rsidR="006F2BB8" w:rsidRPr="00C21F55" w:rsidRDefault="006F2BB8" w:rsidP="00C21F55">
            <w:pPr>
              <w:pStyle w:val="10Tabletext"/>
            </w:pPr>
            <w:r w:rsidRPr="00C21F55">
              <w:t>Total</w:t>
            </w:r>
          </w:p>
        </w:tc>
        <w:tc>
          <w:tcPr>
            <w:tcW w:w="1842" w:type="dxa"/>
          </w:tcPr>
          <w:p w14:paraId="71C29B26" w14:textId="77777777" w:rsidR="006F2BB8" w:rsidRPr="00C21F55" w:rsidRDefault="006F2BB8" w:rsidP="00FF0589">
            <w:pPr>
              <w:pStyle w:val="10Tabletext"/>
              <w:jc w:val="center"/>
              <w:cnfStyle w:val="000000100000" w:firstRow="0" w:lastRow="0" w:firstColumn="0" w:lastColumn="0" w:oddVBand="0" w:evenVBand="0" w:oddHBand="1" w:evenHBand="0" w:firstRowFirstColumn="0" w:firstRowLastColumn="0" w:lastRowFirstColumn="0" w:lastRowLastColumn="0"/>
            </w:pPr>
            <w:r w:rsidRPr="00C21F55">
              <w:t>532</w:t>
            </w:r>
          </w:p>
        </w:tc>
        <w:tc>
          <w:tcPr>
            <w:tcW w:w="1843" w:type="dxa"/>
            <w:tcBorders>
              <w:right w:val="nil"/>
            </w:tcBorders>
          </w:tcPr>
          <w:p w14:paraId="51C6F278" w14:textId="77777777" w:rsidR="006F2BB8" w:rsidRPr="00C21F55" w:rsidRDefault="006F2BB8" w:rsidP="00FF0589">
            <w:pPr>
              <w:pStyle w:val="10Tabletext"/>
              <w:jc w:val="center"/>
              <w:cnfStyle w:val="000000100000" w:firstRow="0" w:lastRow="0" w:firstColumn="0" w:lastColumn="0" w:oddVBand="0" w:evenVBand="0" w:oddHBand="1" w:evenHBand="0" w:firstRowFirstColumn="0" w:firstRowLastColumn="0" w:lastRowFirstColumn="0" w:lastRowLastColumn="0"/>
            </w:pPr>
          </w:p>
        </w:tc>
      </w:tr>
    </w:tbl>
    <w:p w14:paraId="2FF77287" w14:textId="4BCC2CE6" w:rsidR="006F2BB8" w:rsidRPr="006F2BB8" w:rsidRDefault="006F2BB8" w:rsidP="006A3A46">
      <w:pPr>
        <w:pStyle w:val="05Paragraph"/>
      </w:pPr>
      <w:r w:rsidRPr="006F2BB8">
        <w:t xml:space="preserve">Similarly, </w:t>
      </w:r>
      <w:r w:rsidR="00FD00E3">
        <w:t>over half (</w:t>
      </w:r>
      <w:r w:rsidRPr="006F2BB8">
        <w:t>57 per cent</w:t>
      </w:r>
      <w:r w:rsidR="00FD00E3">
        <w:t>)</w:t>
      </w:r>
      <w:r w:rsidRPr="006F2BB8">
        <w:t xml:space="preserve"> of respondents did not consider the difference in remuneration between non-executives and executives in the VPS to be appropriate (Table A.26).</w:t>
      </w:r>
    </w:p>
    <w:p w14:paraId="42F17331" w14:textId="77777777" w:rsidR="006F2BB8" w:rsidRPr="006F2BB8" w:rsidRDefault="006F2BB8" w:rsidP="006C2935">
      <w:pPr>
        <w:pStyle w:val="08Figuretableboxheading"/>
      </w:pPr>
      <w:bookmarkStart w:id="204" w:name="_Toc170393606"/>
      <w:r w:rsidRPr="006F2BB8">
        <w:lastRenderedPageBreak/>
        <w:t>Table A.26: Do you consider the difference in remuneration between non-executives and executives in the VPS to be appropriate?</w:t>
      </w:r>
      <w:bookmarkEnd w:id="204"/>
    </w:p>
    <w:tbl>
      <w:tblPr>
        <w:tblStyle w:val="ListTable3-Accent1"/>
        <w:tblW w:w="8505" w:type="dxa"/>
        <w:tblLayout w:type="fixed"/>
        <w:tblLook w:val="04A0" w:firstRow="1" w:lastRow="0" w:firstColumn="1" w:lastColumn="0" w:noHBand="0" w:noVBand="1"/>
      </w:tblPr>
      <w:tblGrid>
        <w:gridCol w:w="4678"/>
        <w:gridCol w:w="1913"/>
        <w:gridCol w:w="1914"/>
      </w:tblGrid>
      <w:tr w:rsidR="006F2BB8" w:rsidRPr="00C328C8" w14:paraId="79CA6661" w14:textId="77777777" w:rsidTr="000B01C9">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4678" w:type="dxa"/>
            <w:tcBorders>
              <w:top w:val="single" w:sz="4" w:space="0" w:color="26664E"/>
              <w:left w:val="nil"/>
              <w:bottom w:val="single" w:sz="4" w:space="0" w:color="148A5D"/>
              <w:right w:val="single" w:sz="4" w:space="0" w:color="148A5D"/>
            </w:tcBorders>
            <w:shd w:val="clear" w:color="auto" w:fill="148A5D"/>
          </w:tcPr>
          <w:p w14:paraId="43DD09F3" w14:textId="77777777" w:rsidR="006F2BB8" w:rsidRPr="00C21F55" w:rsidRDefault="006F2BB8" w:rsidP="006C2935">
            <w:pPr>
              <w:pStyle w:val="10Tabletext"/>
              <w:keepNext/>
            </w:pPr>
            <w:r w:rsidRPr="00C21F55">
              <w:t>Answer choices</w:t>
            </w:r>
          </w:p>
        </w:tc>
        <w:tc>
          <w:tcPr>
            <w:tcW w:w="3827" w:type="dxa"/>
            <w:gridSpan w:val="2"/>
            <w:tcBorders>
              <w:top w:val="single" w:sz="4" w:space="0" w:color="26664E"/>
              <w:left w:val="single" w:sz="4" w:space="0" w:color="148A5D"/>
              <w:bottom w:val="single" w:sz="4" w:space="0" w:color="148A5D"/>
              <w:right w:val="nil"/>
            </w:tcBorders>
            <w:shd w:val="clear" w:color="auto" w:fill="148A5D"/>
          </w:tcPr>
          <w:p w14:paraId="11D37F61" w14:textId="77777777" w:rsidR="006F2BB8" w:rsidRPr="00C21F55" w:rsidRDefault="006F2BB8" w:rsidP="000B01C9">
            <w:pPr>
              <w:pStyle w:val="10Tabletext"/>
              <w:keepNext/>
              <w:jc w:val="center"/>
              <w:cnfStyle w:val="100000000000" w:firstRow="1" w:lastRow="0" w:firstColumn="0" w:lastColumn="0" w:oddVBand="0" w:evenVBand="0" w:oddHBand="0" w:evenHBand="0" w:firstRowFirstColumn="0" w:firstRowLastColumn="0" w:lastRowFirstColumn="0" w:lastRowLastColumn="0"/>
            </w:pPr>
            <w:r w:rsidRPr="00C21F55">
              <w:t>Responses</w:t>
            </w:r>
          </w:p>
        </w:tc>
      </w:tr>
      <w:tr w:rsidR="006F2BB8" w:rsidRPr="00C328C8" w14:paraId="31A05DD5" w14:textId="77777777" w:rsidTr="000B01C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148A5D"/>
              <w:left w:val="nil"/>
              <w:right w:val="single" w:sz="4" w:space="0" w:color="148A5D"/>
            </w:tcBorders>
            <w:shd w:val="clear" w:color="auto" w:fill="148A5D"/>
          </w:tcPr>
          <w:p w14:paraId="64C695A4" w14:textId="77777777" w:rsidR="006F2BB8" w:rsidRPr="00C21F55" w:rsidRDefault="006F2BB8" w:rsidP="006C2935">
            <w:pPr>
              <w:pStyle w:val="10Tabletext"/>
              <w:keepNext/>
              <w:rPr>
                <w:color w:val="FFFFFF" w:themeColor="background1"/>
              </w:rPr>
            </w:pPr>
          </w:p>
        </w:tc>
        <w:tc>
          <w:tcPr>
            <w:tcW w:w="1913" w:type="dxa"/>
            <w:tcBorders>
              <w:top w:val="single" w:sz="4" w:space="0" w:color="148A5D"/>
              <w:left w:val="single" w:sz="4" w:space="0" w:color="148A5D"/>
              <w:right w:val="single" w:sz="4" w:space="0" w:color="148A5D"/>
            </w:tcBorders>
            <w:shd w:val="clear" w:color="auto" w:fill="148A5D"/>
          </w:tcPr>
          <w:p w14:paraId="31679EE7" w14:textId="77777777" w:rsidR="006F2BB8" w:rsidRPr="00C21F55" w:rsidRDefault="006F2BB8" w:rsidP="000B01C9">
            <w:pPr>
              <w:pStyle w:val="10Tabletext"/>
              <w:keepNext/>
              <w:jc w:val="center"/>
              <w:cnfStyle w:val="000000100000" w:firstRow="0" w:lastRow="0" w:firstColumn="0" w:lastColumn="0" w:oddVBand="0" w:evenVBand="0" w:oddHBand="1" w:evenHBand="0" w:firstRowFirstColumn="0" w:firstRowLastColumn="0" w:lastRowFirstColumn="0" w:lastRowLastColumn="0"/>
              <w:rPr>
                <w:b/>
                <w:bCs w:val="0"/>
                <w:color w:val="FFFFFF" w:themeColor="background1"/>
              </w:rPr>
            </w:pPr>
            <w:r w:rsidRPr="00C21F55">
              <w:rPr>
                <w:b/>
                <w:bCs w:val="0"/>
                <w:color w:val="FFFFFF" w:themeColor="background1"/>
              </w:rPr>
              <w:t>Number</w:t>
            </w:r>
          </w:p>
        </w:tc>
        <w:tc>
          <w:tcPr>
            <w:tcW w:w="1914" w:type="dxa"/>
            <w:tcBorders>
              <w:top w:val="single" w:sz="4" w:space="0" w:color="148A5D"/>
              <w:left w:val="single" w:sz="4" w:space="0" w:color="148A5D"/>
              <w:right w:val="nil"/>
            </w:tcBorders>
            <w:shd w:val="clear" w:color="auto" w:fill="148A5D"/>
          </w:tcPr>
          <w:p w14:paraId="6F47D417" w14:textId="77777777" w:rsidR="006F2BB8" w:rsidRPr="00C21F55" w:rsidRDefault="006F2BB8" w:rsidP="000B01C9">
            <w:pPr>
              <w:pStyle w:val="10Tabletext"/>
              <w:keepNext/>
              <w:jc w:val="center"/>
              <w:cnfStyle w:val="000000100000" w:firstRow="0" w:lastRow="0" w:firstColumn="0" w:lastColumn="0" w:oddVBand="0" w:evenVBand="0" w:oddHBand="1" w:evenHBand="0" w:firstRowFirstColumn="0" w:firstRowLastColumn="0" w:lastRowFirstColumn="0" w:lastRowLastColumn="0"/>
              <w:rPr>
                <w:b/>
                <w:bCs w:val="0"/>
                <w:color w:val="FFFFFF" w:themeColor="background1"/>
              </w:rPr>
            </w:pPr>
            <w:r w:rsidRPr="00C21F55">
              <w:rPr>
                <w:b/>
                <w:bCs w:val="0"/>
                <w:color w:val="FFFFFF" w:themeColor="background1"/>
              </w:rPr>
              <w:t>%</w:t>
            </w:r>
          </w:p>
        </w:tc>
      </w:tr>
      <w:tr w:rsidR="006F2BB8" w:rsidRPr="00C328C8" w14:paraId="2D5F52E1" w14:textId="77777777" w:rsidTr="000B01C9">
        <w:trPr>
          <w:cantSplit/>
        </w:trPr>
        <w:tc>
          <w:tcPr>
            <w:cnfStyle w:val="001000000000" w:firstRow="0" w:lastRow="0" w:firstColumn="1" w:lastColumn="0" w:oddVBand="0" w:evenVBand="0" w:oddHBand="0" w:evenHBand="0" w:firstRowFirstColumn="0" w:firstRowLastColumn="0" w:lastRowFirstColumn="0" w:lastRowLastColumn="0"/>
            <w:tcW w:w="4678" w:type="dxa"/>
            <w:tcBorders>
              <w:left w:val="nil"/>
            </w:tcBorders>
          </w:tcPr>
          <w:p w14:paraId="703C885F" w14:textId="77777777" w:rsidR="006F2BB8" w:rsidRPr="00C21F55" w:rsidRDefault="006F2BB8" w:rsidP="006C2935">
            <w:pPr>
              <w:pStyle w:val="10Tabletext"/>
              <w:keepNext/>
            </w:pPr>
            <w:r w:rsidRPr="00C21F55">
              <w:t>Yes</w:t>
            </w:r>
          </w:p>
        </w:tc>
        <w:tc>
          <w:tcPr>
            <w:tcW w:w="1913" w:type="dxa"/>
          </w:tcPr>
          <w:p w14:paraId="5D48961A" w14:textId="77777777" w:rsidR="006F2BB8" w:rsidRPr="00C21F55" w:rsidRDefault="006F2BB8" w:rsidP="000B01C9">
            <w:pPr>
              <w:pStyle w:val="10Tabletext"/>
              <w:keepNext/>
              <w:jc w:val="center"/>
              <w:cnfStyle w:val="000000000000" w:firstRow="0" w:lastRow="0" w:firstColumn="0" w:lastColumn="0" w:oddVBand="0" w:evenVBand="0" w:oddHBand="0" w:evenHBand="0" w:firstRowFirstColumn="0" w:firstRowLastColumn="0" w:lastRowFirstColumn="0" w:lastRowLastColumn="0"/>
            </w:pPr>
            <w:r w:rsidRPr="00C21F55">
              <w:t>173</w:t>
            </w:r>
          </w:p>
        </w:tc>
        <w:tc>
          <w:tcPr>
            <w:tcW w:w="1914" w:type="dxa"/>
            <w:tcBorders>
              <w:right w:val="nil"/>
            </w:tcBorders>
          </w:tcPr>
          <w:p w14:paraId="44B34B5F" w14:textId="77777777" w:rsidR="006F2BB8" w:rsidRPr="00C21F55" w:rsidRDefault="006F2BB8" w:rsidP="000B01C9">
            <w:pPr>
              <w:pStyle w:val="10Tabletext"/>
              <w:keepNext/>
              <w:jc w:val="center"/>
              <w:cnfStyle w:val="000000000000" w:firstRow="0" w:lastRow="0" w:firstColumn="0" w:lastColumn="0" w:oddVBand="0" w:evenVBand="0" w:oddHBand="0" w:evenHBand="0" w:firstRowFirstColumn="0" w:firstRowLastColumn="0" w:lastRowFirstColumn="0" w:lastRowLastColumn="0"/>
            </w:pPr>
            <w:r w:rsidRPr="00C21F55">
              <w:t>33</w:t>
            </w:r>
          </w:p>
        </w:tc>
      </w:tr>
      <w:tr w:rsidR="006F2BB8" w:rsidRPr="00C328C8" w14:paraId="74046FFF" w14:textId="77777777" w:rsidTr="000B01C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78" w:type="dxa"/>
            <w:tcBorders>
              <w:left w:val="nil"/>
            </w:tcBorders>
          </w:tcPr>
          <w:p w14:paraId="3CFB53A3" w14:textId="77777777" w:rsidR="006F2BB8" w:rsidRPr="00C21F55" w:rsidRDefault="006F2BB8" w:rsidP="006C2935">
            <w:pPr>
              <w:pStyle w:val="10Tabletext"/>
              <w:keepNext/>
            </w:pPr>
            <w:r w:rsidRPr="00C21F55">
              <w:t>No</w:t>
            </w:r>
          </w:p>
        </w:tc>
        <w:tc>
          <w:tcPr>
            <w:tcW w:w="1913" w:type="dxa"/>
          </w:tcPr>
          <w:p w14:paraId="10C45C26" w14:textId="77777777" w:rsidR="006F2BB8" w:rsidRPr="00C21F55" w:rsidRDefault="006F2BB8" w:rsidP="000B01C9">
            <w:pPr>
              <w:pStyle w:val="10Tabletext"/>
              <w:keepNext/>
              <w:jc w:val="center"/>
              <w:cnfStyle w:val="000000100000" w:firstRow="0" w:lastRow="0" w:firstColumn="0" w:lastColumn="0" w:oddVBand="0" w:evenVBand="0" w:oddHBand="1" w:evenHBand="0" w:firstRowFirstColumn="0" w:firstRowLastColumn="0" w:lastRowFirstColumn="0" w:lastRowLastColumn="0"/>
            </w:pPr>
            <w:r w:rsidRPr="00C21F55">
              <w:t>303</w:t>
            </w:r>
          </w:p>
        </w:tc>
        <w:tc>
          <w:tcPr>
            <w:tcW w:w="1914" w:type="dxa"/>
            <w:tcBorders>
              <w:right w:val="nil"/>
            </w:tcBorders>
          </w:tcPr>
          <w:p w14:paraId="580FDFAA" w14:textId="77777777" w:rsidR="006F2BB8" w:rsidRPr="00C21F55" w:rsidRDefault="006F2BB8" w:rsidP="000B01C9">
            <w:pPr>
              <w:pStyle w:val="10Tabletext"/>
              <w:keepNext/>
              <w:jc w:val="center"/>
              <w:cnfStyle w:val="000000100000" w:firstRow="0" w:lastRow="0" w:firstColumn="0" w:lastColumn="0" w:oddVBand="0" w:evenVBand="0" w:oddHBand="1" w:evenHBand="0" w:firstRowFirstColumn="0" w:firstRowLastColumn="0" w:lastRowFirstColumn="0" w:lastRowLastColumn="0"/>
            </w:pPr>
            <w:r w:rsidRPr="00C21F55">
              <w:t>57</w:t>
            </w:r>
          </w:p>
        </w:tc>
      </w:tr>
      <w:tr w:rsidR="006F2BB8" w:rsidRPr="00C328C8" w14:paraId="439A2C97" w14:textId="77777777" w:rsidTr="000B01C9">
        <w:trPr>
          <w:cantSplit/>
        </w:trPr>
        <w:tc>
          <w:tcPr>
            <w:cnfStyle w:val="001000000000" w:firstRow="0" w:lastRow="0" w:firstColumn="1" w:lastColumn="0" w:oddVBand="0" w:evenVBand="0" w:oddHBand="0" w:evenHBand="0" w:firstRowFirstColumn="0" w:firstRowLastColumn="0" w:lastRowFirstColumn="0" w:lastRowLastColumn="0"/>
            <w:tcW w:w="4678" w:type="dxa"/>
            <w:tcBorders>
              <w:left w:val="nil"/>
            </w:tcBorders>
          </w:tcPr>
          <w:p w14:paraId="69497169" w14:textId="77777777" w:rsidR="006F2BB8" w:rsidRPr="00C21F55" w:rsidRDefault="006F2BB8" w:rsidP="006C2935">
            <w:pPr>
              <w:pStyle w:val="10Tabletext"/>
              <w:keepNext/>
            </w:pPr>
            <w:r w:rsidRPr="00C21F55">
              <w:t>I don’t know</w:t>
            </w:r>
          </w:p>
        </w:tc>
        <w:tc>
          <w:tcPr>
            <w:tcW w:w="1913" w:type="dxa"/>
          </w:tcPr>
          <w:p w14:paraId="4190B903" w14:textId="77777777" w:rsidR="006F2BB8" w:rsidRPr="00C21F55" w:rsidRDefault="006F2BB8" w:rsidP="000B01C9">
            <w:pPr>
              <w:pStyle w:val="10Tabletext"/>
              <w:keepNext/>
              <w:jc w:val="center"/>
              <w:cnfStyle w:val="000000000000" w:firstRow="0" w:lastRow="0" w:firstColumn="0" w:lastColumn="0" w:oddVBand="0" w:evenVBand="0" w:oddHBand="0" w:evenHBand="0" w:firstRowFirstColumn="0" w:firstRowLastColumn="0" w:lastRowFirstColumn="0" w:lastRowLastColumn="0"/>
            </w:pPr>
            <w:r w:rsidRPr="00C21F55">
              <w:t>52</w:t>
            </w:r>
          </w:p>
        </w:tc>
        <w:tc>
          <w:tcPr>
            <w:tcW w:w="1914" w:type="dxa"/>
            <w:tcBorders>
              <w:right w:val="nil"/>
            </w:tcBorders>
          </w:tcPr>
          <w:p w14:paraId="68168932" w14:textId="77777777" w:rsidR="006F2BB8" w:rsidRPr="00C21F55" w:rsidRDefault="006F2BB8" w:rsidP="000B01C9">
            <w:pPr>
              <w:pStyle w:val="10Tabletext"/>
              <w:keepNext/>
              <w:jc w:val="center"/>
              <w:cnfStyle w:val="000000000000" w:firstRow="0" w:lastRow="0" w:firstColumn="0" w:lastColumn="0" w:oddVBand="0" w:evenVBand="0" w:oddHBand="0" w:evenHBand="0" w:firstRowFirstColumn="0" w:firstRowLastColumn="0" w:lastRowFirstColumn="0" w:lastRowLastColumn="0"/>
            </w:pPr>
            <w:r w:rsidRPr="00C21F55">
              <w:t>10</w:t>
            </w:r>
          </w:p>
        </w:tc>
      </w:tr>
      <w:tr w:rsidR="006F2BB8" w:rsidRPr="00C328C8" w14:paraId="6E206043" w14:textId="77777777" w:rsidTr="000B01C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78" w:type="dxa"/>
            <w:tcBorders>
              <w:left w:val="nil"/>
            </w:tcBorders>
          </w:tcPr>
          <w:p w14:paraId="0CAD6624" w14:textId="77777777" w:rsidR="006F2BB8" w:rsidRPr="00C21F55" w:rsidRDefault="006F2BB8" w:rsidP="00C21F55">
            <w:pPr>
              <w:pStyle w:val="10Tabletext"/>
            </w:pPr>
            <w:r w:rsidRPr="00C21F55">
              <w:t>Total</w:t>
            </w:r>
          </w:p>
        </w:tc>
        <w:tc>
          <w:tcPr>
            <w:tcW w:w="1913" w:type="dxa"/>
          </w:tcPr>
          <w:p w14:paraId="733418EA" w14:textId="77777777" w:rsidR="006F2BB8" w:rsidRPr="00C21F55" w:rsidRDefault="006F2BB8" w:rsidP="000B01C9">
            <w:pPr>
              <w:pStyle w:val="10Tabletext"/>
              <w:jc w:val="center"/>
              <w:cnfStyle w:val="000000100000" w:firstRow="0" w:lastRow="0" w:firstColumn="0" w:lastColumn="0" w:oddVBand="0" w:evenVBand="0" w:oddHBand="1" w:evenHBand="0" w:firstRowFirstColumn="0" w:firstRowLastColumn="0" w:lastRowFirstColumn="0" w:lastRowLastColumn="0"/>
            </w:pPr>
            <w:r w:rsidRPr="00C21F55">
              <w:t>528</w:t>
            </w:r>
          </w:p>
        </w:tc>
        <w:tc>
          <w:tcPr>
            <w:tcW w:w="1914" w:type="dxa"/>
            <w:tcBorders>
              <w:right w:val="nil"/>
            </w:tcBorders>
          </w:tcPr>
          <w:p w14:paraId="30ACBECC" w14:textId="77777777" w:rsidR="006F2BB8" w:rsidRPr="00C21F55" w:rsidRDefault="006F2BB8" w:rsidP="000B01C9">
            <w:pPr>
              <w:pStyle w:val="10Tabletext"/>
              <w:jc w:val="center"/>
              <w:cnfStyle w:val="000000100000" w:firstRow="0" w:lastRow="0" w:firstColumn="0" w:lastColumn="0" w:oddVBand="0" w:evenVBand="0" w:oddHBand="1" w:evenHBand="0" w:firstRowFirstColumn="0" w:firstRowLastColumn="0" w:lastRowFirstColumn="0" w:lastRowLastColumn="0"/>
            </w:pPr>
          </w:p>
        </w:tc>
      </w:tr>
    </w:tbl>
    <w:p w14:paraId="6B19E778" w14:textId="796F7C55" w:rsidR="006F2BB8" w:rsidRPr="006F2BB8" w:rsidRDefault="006F2BB8" w:rsidP="006A3A46">
      <w:pPr>
        <w:pStyle w:val="05Paragraph"/>
      </w:pPr>
      <w:r w:rsidRPr="006F2BB8">
        <w:t xml:space="preserve">Over half of the respondents believe the VPS executive remuneration bands </w:t>
      </w:r>
      <w:r w:rsidR="000D173F">
        <w:t>align</w:t>
      </w:r>
      <w:r w:rsidRPr="006F2BB8">
        <w:t xml:space="preserve"> with public sector gender equality and other diversity policies (Table A.27). </w:t>
      </w:r>
    </w:p>
    <w:p w14:paraId="5BD1CD9E" w14:textId="77777777" w:rsidR="006F2BB8" w:rsidRPr="006F2BB8" w:rsidRDefault="006F2BB8" w:rsidP="00144BE8">
      <w:pPr>
        <w:pStyle w:val="08Figuretableboxheading"/>
      </w:pPr>
      <w:bookmarkStart w:id="205" w:name="_Toc170393607"/>
      <w:r w:rsidRPr="006F2BB8">
        <w:t>Table A.27: Do you consider the VPS executive remuneration bands align with public sector gender equality and other diversity policies?</w:t>
      </w:r>
      <w:bookmarkEnd w:id="205"/>
    </w:p>
    <w:tbl>
      <w:tblPr>
        <w:tblStyle w:val="ListTable3-Accent1"/>
        <w:tblW w:w="8505" w:type="dxa"/>
        <w:tblLayout w:type="fixed"/>
        <w:tblLook w:val="04A0" w:firstRow="1" w:lastRow="0" w:firstColumn="1" w:lastColumn="0" w:noHBand="0" w:noVBand="1"/>
      </w:tblPr>
      <w:tblGrid>
        <w:gridCol w:w="4820"/>
        <w:gridCol w:w="1842"/>
        <w:gridCol w:w="1843"/>
      </w:tblGrid>
      <w:tr w:rsidR="006F2BB8" w:rsidRPr="00497B3E" w14:paraId="01D7435A" w14:textId="77777777" w:rsidTr="000B01C9">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4820" w:type="dxa"/>
            <w:tcBorders>
              <w:top w:val="single" w:sz="4" w:space="0" w:color="26664E"/>
              <w:left w:val="nil"/>
              <w:bottom w:val="single" w:sz="4" w:space="0" w:color="148A5D"/>
              <w:right w:val="single" w:sz="4" w:space="0" w:color="148A5D"/>
            </w:tcBorders>
            <w:shd w:val="clear" w:color="auto" w:fill="148A5D"/>
          </w:tcPr>
          <w:p w14:paraId="1ACA1D50" w14:textId="77777777" w:rsidR="006F2BB8" w:rsidRPr="00C21F55" w:rsidRDefault="006F2BB8" w:rsidP="00C21F55">
            <w:pPr>
              <w:pStyle w:val="10Tabletext"/>
            </w:pPr>
            <w:r w:rsidRPr="00C21F55">
              <w:t>Answer choices</w:t>
            </w:r>
          </w:p>
        </w:tc>
        <w:tc>
          <w:tcPr>
            <w:tcW w:w="3685" w:type="dxa"/>
            <w:gridSpan w:val="2"/>
            <w:tcBorders>
              <w:top w:val="single" w:sz="4" w:space="0" w:color="26664E"/>
              <w:left w:val="single" w:sz="4" w:space="0" w:color="148A5D"/>
              <w:bottom w:val="single" w:sz="4" w:space="0" w:color="148A5D"/>
              <w:right w:val="nil"/>
            </w:tcBorders>
            <w:shd w:val="clear" w:color="auto" w:fill="148A5D"/>
          </w:tcPr>
          <w:p w14:paraId="56D343A7" w14:textId="77777777" w:rsidR="006F2BB8" w:rsidRPr="00C21F55" w:rsidRDefault="006F2BB8" w:rsidP="000B01C9">
            <w:pPr>
              <w:pStyle w:val="10Tabletext"/>
              <w:jc w:val="center"/>
              <w:cnfStyle w:val="100000000000" w:firstRow="1" w:lastRow="0" w:firstColumn="0" w:lastColumn="0" w:oddVBand="0" w:evenVBand="0" w:oddHBand="0" w:evenHBand="0" w:firstRowFirstColumn="0" w:firstRowLastColumn="0" w:lastRowFirstColumn="0" w:lastRowLastColumn="0"/>
            </w:pPr>
            <w:r w:rsidRPr="00C21F55">
              <w:t>Responses</w:t>
            </w:r>
          </w:p>
        </w:tc>
      </w:tr>
      <w:tr w:rsidR="006F2BB8" w:rsidRPr="00497B3E" w14:paraId="3455526E" w14:textId="77777777" w:rsidTr="000B01C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148A5D"/>
              <w:left w:val="nil"/>
              <w:right w:val="single" w:sz="4" w:space="0" w:color="148A5D"/>
            </w:tcBorders>
            <w:shd w:val="clear" w:color="auto" w:fill="148A5D"/>
          </w:tcPr>
          <w:p w14:paraId="3A3F7377" w14:textId="77777777" w:rsidR="006F2BB8" w:rsidRPr="00C21F55" w:rsidRDefault="006F2BB8" w:rsidP="00C21F55">
            <w:pPr>
              <w:pStyle w:val="10Tabletext"/>
              <w:rPr>
                <w:color w:val="FFFFFF" w:themeColor="background1"/>
              </w:rPr>
            </w:pPr>
          </w:p>
        </w:tc>
        <w:tc>
          <w:tcPr>
            <w:tcW w:w="1842" w:type="dxa"/>
            <w:tcBorders>
              <w:top w:val="single" w:sz="4" w:space="0" w:color="148A5D"/>
              <w:left w:val="single" w:sz="4" w:space="0" w:color="148A5D"/>
            </w:tcBorders>
            <w:shd w:val="clear" w:color="auto" w:fill="148A5D"/>
          </w:tcPr>
          <w:p w14:paraId="2F3D76AC" w14:textId="77777777" w:rsidR="006F2BB8" w:rsidRPr="00C21F55" w:rsidRDefault="006F2BB8" w:rsidP="000B01C9">
            <w:pPr>
              <w:pStyle w:val="10Tabletext"/>
              <w:jc w:val="center"/>
              <w:cnfStyle w:val="000000100000" w:firstRow="0" w:lastRow="0" w:firstColumn="0" w:lastColumn="0" w:oddVBand="0" w:evenVBand="0" w:oddHBand="1" w:evenHBand="0" w:firstRowFirstColumn="0" w:firstRowLastColumn="0" w:lastRowFirstColumn="0" w:lastRowLastColumn="0"/>
              <w:rPr>
                <w:b/>
                <w:bCs w:val="0"/>
                <w:color w:val="FFFFFF" w:themeColor="background1"/>
              </w:rPr>
            </w:pPr>
            <w:r w:rsidRPr="00C21F55">
              <w:rPr>
                <w:b/>
                <w:bCs w:val="0"/>
                <w:color w:val="FFFFFF" w:themeColor="background1"/>
              </w:rPr>
              <w:t>Number</w:t>
            </w:r>
          </w:p>
        </w:tc>
        <w:tc>
          <w:tcPr>
            <w:tcW w:w="1843" w:type="dxa"/>
            <w:tcBorders>
              <w:top w:val="single" w:sz="4" w:space="0" w:color="148A5D"/>
              <w:right w:val="nil"/>
            </w:tcBorders>
            <w:shd w:val="clear" w:color="auto" w:fill="148A5D"/>
          </w:tcPr>
          <w:p w14:paraId="63FE782D" w14:textId="77777777" w:rsidR="006F2BB8" w:rsidRPr="00C21F55" w:rsidRDefault="006F2BB8" w:rsidP="000B01C9">
            <w:pPr>
              <w:pStyle w:val="10Tabletext"/>
              <w:jc w:val="center"/>
              <w:cnfStyle w:val="000000100000" w:firstRow="0" w:lastRow="0" w:firstColumn="0" w:lastColumn="0" w:oddVBand="0" w:evenVBand="0" w:oddHBand="1" w:evenHBand="0" w:firstRowFirstColumn="0" w:firstRowLastColumn="0" w:lastRowFirstColumn="0" w:lastRowLastColumn="0"/>
              <w:rPr>
                <w:b/>
                <w:bCs w:val="0"/>
                <w:color w:val="FFFFFF" w:themeColor="background1"/>
              </w:rPr>
            </w:pPr>
            <w:r w:rsidRPr="00C21F55">
              <w:rPr>
                <w:b/>
                <w:bCs w:val="0"/>
                <w:color w:val="FFFFFF" w:themeColor="background1"/>
              </w:rPr>
              <w:t>%</w:t>
            </w:r>
          </w:p>
        </w:tc>
      </w:tr>
      <w:tr w:rsidR="006F2BB8" w:rsidRPr="00497B3E" w14:paraId="13646D85" w14:textId="77777777" w:rsidTr="000B01C9">
        <w:trPr>
          <w:cantSplit/>
        </w:trPr>
        <w:tc>
          <w:tcPr>
            <w:cnfStyle w:val="001000000000" w:firstRow="0" w:lastRow="0" w:firstColumn="1" w:lastColumn="0" w:oddVBand="0" w:evenVBand="0" w:oddHBand="0" w:evenHBand="0" w:firstRowFirstColumn="0" w:firstRowLastColumn="0" w:lastRowFirstColumn="0" w:lastRowLastColumn="0"/>
            <w:tcW w:w="4820" w:type="dxa"/>
            <w:tcBorders>
              <w:left w:val="nil"/>
            </w:tcBorders>
          </w:tcPr>
          <w:p w14:paraId="48481802" w14:textId="77777777" w:rsidR="006F2BB8" w:rsidRPr="00C21F55" w:rsidRDefault="006F2BB8" w:rsidP="00C21F55">
            <w:pPr>
              <w:pStyle w:val="10Tabletext"/>
            </w:pPr>
            <w:r w:rsidRPr="00C21F55">
              <w:t>Yes</w:t>
            </w:r>
          </w:p>
        </w:tc>
        <w:tc>
          <w:tcPr>
            <w:tcW w:w="1842" w:type="dxa"/>
          </w:tcPr>
          <w:p w14:paraId="10CDDA99" w14:textId="77777777" w:rsidR="006F2BB8" w:rsidRPr="00C21F55" w:rsidRDefault="006F2BB8" w:rsidP="000B01C9">
            <w:pPr>
              <w:pStyle w:val="10Tabletext"/>
              <w:jc w:val="center"/>
              <w:cnfStyle w:val="000000000000" w:firstRow="0" w:lastRow="0" w:firstColumn="0" w:lastColumn="0" w:oddVBand="0" w:evenVBand="0" w:oddHBand="0" w:evenHBand="0" w:firstRowFirstColumn="0" w:firstRowLastColumn="0" w:lastRowFirstColumn="0" w:lastRowLastColumn="0"/>
            </w:pPr>
            <w:r w:rsidRPr="00C21F55">
              <w:t>272</w:t>
            </w:r>
          </w:p>
        </w:tc>
        <w:tc>
          <w:tcPr>
            <w:tcW w:w="1843" w:type="dxa"/>
            <w:tcBorders>
              <w:right w:val="nil"/>
            </w:tcBorders>
          </w:tcPr>
          <w:p w14:paraId="4447D934" w14:textId="77777777" w:rsidR="006F2BB8" w:rsidRPr="00C21F55" w:rsidRDefault="006F2BB8" w:rsidP="000B01C9">
            <w:pPr>
              <w:pStyle w:val="10Tabletext"/>
              <w:jc w:val="center"/>
              <w:cnfStyle w:val="000000000000" w:firstRow="0" w:lastRow="0" w:firstColumn="0" w:lastColumn="0" w:oddVBand="0" w:evenVBand="0" w:oddHBand="0" w:evenHBand="0" w:firstRowFirstColumn="0" w:firstRowLastColumn="0" w:lastRowFirstColumn="0" w:lastRowLastColumn="0"/>
            </w:pPr>
            <w:r w:rsidRPr="00C21F55">
              <w:t>52</w:t>
            </w:r>
          </w:p>
        </w:tc>
      </w:tr>
      <w:tr w:rsidR="006F2BB8" w:rsidRPr="00497B3E" w14:paraId="46CCCC39" w14:textId="77777777" w:rsidTr="000B01C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20" w:type="dxa"/>
            <w:tcBorders>
              <w:left w:val="nil"/>
            </w:tcBorders>
          </w:tcPr>
          <w:p w14:paraId="0ECA41B0" w14:textId="77777777" w:rsidR="006F2BB8" w:rsidRPr="00C21F55" w:rsidRDefault="006F2BB8" w:rsidP="00C21F55">
            <w:pPr>
              <w:pStyle w:val="10Tabletext"/>
            </w:pPr>
            <w:r w:rsidRPr="00C21F55">
              <w:t>No</w:t>
            </w:r>
          </w:p>
        </w:tc>
        <w:tc>
          <w:tcPr>
            <w:tcW w:w="1842" w:type="dxa"/>
          </w:tcPr>
          <w:p w14:paraId="0046C386" w14:textId="77777777" w:rsidR="006F2BB8" w:rsidRPr="00C21F55" w:rsidRDefault="006F2BB8" w:rsidP="000B01C9">
            <w:pPr>
              <w:pStyle w:val="10Tabletext"/>
              <w:jc w:val="center"/>
              <w:cnfStyle w:val="000000100000" w:firstRow="0" w:lastRow="0" w:firstColumn="0" w:lastColumn="0" w:oddVBand="0" w:evenVBand="0" w:oddHBand="1" w:evenHBand="0" w:firstRowFirstColumn="0" w:firstRowLastColumn="0" w:lastRowFirstColumn="0" w:lastRowLastColumn="0"/>
            </w:pPr>
            <w:r w:rsidRPr="00C21F55">
              <w:t>95</w:t>
            </w:r>
          </w:p>
        </w:tc>
        <w:tc>
          <w:tcPr>
            <w:tcW w:w="1843" w:type="dxa"/>
            <w:tcBorders>
              <w:right w:val="nil"/>
            </w:tcBorders>
          </w:tcPr>
          <w:p w14:paraId="35C7A334" w14:textId="77777777" w:rsidR="006F2BB8" w:rsidRPr="00C21F55" w:rsidRDefault="006F2BB8" w:rsidP="000B01C9">
            <w:pPr>
              <w:pStyle w:val="10Tabletext"/>
              <w:jc w:val="center"/>
              <w:cnfStyle w:val="000000100000" w:firstRow="0" w:lastRow="0" w:firstColumn="0" w:lastColumn="0" w:oddVBand="0" w:evenVBand="0" w:oddHBand="1" w:evenHBand="0" w:firstRowFirstColumn="0" w:firstRowLastColumn="0" w:lastRowFirstColumn="0" w:lastRowLastColumn="0"/>
            </w:pPr>
            <w:r w:rsidRPr="00C21F55">
              <w:t>18</w:t>
            </w:r>
          </w:p>
        </w:tc>
      </w:tr>
      <w:tr w:rsidR="006F2BB8" w:rsidRPr="00497B3E" w14:paraId="5409F0EA" w14:textId="77777777" w:rsidTr="000B01C9">
        <w:trPr>
          <w:cantSplit/>
        </w:trPr>
        <w:tc>
          <w:tcPr>
            <w:cnfStyle w:val="001000000000" w:firstRow="0" w:lastRow="0" w:firstColumn="1" w:lastColumn="0" w:oddVBand="0" w:evenVBand="0" w:oddHBand="0" w:evenHBand="0" w:firstRowFirstColumn="0" w:firstRowLastColumn="0" w:lastRowFirstColumn="0" w:lastRowLastColumn="0"/>
            <w:tcW w:w="4820" w:type="dxa"/>
            <w:tcBorders>
              <w:left w:val="nil"/>
            </w:tcBorders>
          </w:tcPr>
          <w:p w14:paraId="39C36FC3" w14:textId="77777777" w:rsidR="006F2BB8" w:rsidRPr="00C21F55" w:rsidRDefault="006F2BB8" w:rsidP="00C21F55">
            <w:pPr>
              <w:pStyle w:val="10Tabletext"/>
            </w:pPr>
            <w:r w:rsidRPr="00C21F55">
              <w:t>I don’t know</w:t>
            </w:r>
          </w:p>
        </w:tc>
        <w:tc>
          <w:tcPr>
            <w:tcW w:w="1842" w:type="dxa"/>
          </w:tcPr>
          <w:p w14:paraId="19A36981" w14:textId="77777777" w:rsidR="006F2BB8" w:rsidRPr="00C21F55" w:rsidRDefault="006F2BB8" w:rsidP="000B01C9">
            <w:pPr>
              <w:pStyle w:val="10Tabletext"/>
              <w:jc w:val="center"/>
              <w:cnfStyle w:val="000000000000" w:firstRow="0" w:lastRow="0" w:firstColumn="0" w:lastColumn="0" w:oddVBand="0" w:evenVBand="0" w:oddHBand="0" w:evenHBand="0" w:firstRowFirstColumn="0" w:firstRowLastColumn="0" w:lastRowFirstColumn="0" w:lastRowLastColumn="0"/>
            </w:pPr>
            <w:r w:rsidRPr="00C21F55">
              <w:t>160</w:t>
            </w:r>
          </w:p>
        </w:tc>
        <w:tc>
          <w:tcPr>
            <w:tcW w:w="1843" w:type="dxa"/>
            <w:tcBorders>
              <w:right w:val="nil"/>
            </w:tcBorders>
          </w:tcPr>
          <w:p w14:paraId="2D132F4A" w14:textId="77777777" w:rsidR="006F2BB8" w:rsidRPr="00C21F55" w:rsidRDefault="006F2BB8" w:rsidP="000B01C9">
            <w:pPr>
              <w:pStyle w:val="10Tabletext"/>
              <w:jc w:val="center"/>
              <w:cnfStyle w:val="000000000000" w:firstRow="0" w:lastRow="0" w:firstColumn="0" w:lastColumn="0" w:oddVBand="0" w:evenVBand="0" w:oddHBand="0" w:evenHBand="0" w:firstRowFirstColumn="0" w:firstRowLastColumn="0" w:lastRowFirstColumn="0" w:lastRowLastColumn="0"/>
            </w:pPr>
            <w:r w:rsidRPr="00C21F55">
              <w:t>30</w:t>
            </w:r>
          </w:p>
        </w:tc>
      </w:tr>
      <w:tr w:rsidR="006F2BB8" w:rsidRPr="00497B3E" w14:paraId="6FED9E30" w14:textId="77777777" w:rsidTr="000B01C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20" w:type="dxa"/>
            <w:tcBorders>
              <w:left w:val="nil"/>
            </w:tcBorders>
          </w:tcPr>
          <w:p w14:paraId="1C6C2258" w14:textId="77777777" w:rsidR="006F2BB8" w:rsidRPr="00C21F55" w:rsidRDefault="006F2BB8" w:rsidP="00C21F55">
            <w:pPr>
              <w:pStyle w:val="10Tabletext"/>
            </w:pPr>
            <w:r w:rsidRPr="00C21F55">
              <w:t>Total</w:t>
            </w:r>
          </w:p>
        </w:tc>
        <w:tc>
          <w:tcPr>
            <w:tcW w:w="1842" w:type="dxa"/>
          </w:tcPr>
          <w:p w14:paraId="7B6E3B91" w14:textId="77777777" w:rsidR="006F2BB8" w:rsidRPr="00C21F55" w:rsidRDefault="006F2BB8" w:rsidP="000B01C9">
            <w:pPr>
              <w:pStyle w:val="10Tabletext"/>
              <w:jc w:val="center"/>
              <w:cnfStyle w:val="000000100000" w:firstRow="0" w:lastRow="0" w:firstColumn="0" w:lastColumn="0" w:oddVBand="0" w:evenVBand="0" w:oddHBand="1" w:evenHBand="0" w:firstRowFirstColumn="0" w:firstRowLastColumn="0" w:lastRowFirstColumn="0" w:lastRowLastColumn="0"/>
            </w:pPr>
            <w:r w:rsidRPr="00C21F55">
              <w:t>527</w:t>
            </w:r>
          </w:p>
        </w:tc>
        <w:tc>
          <w:tcPr>
            <w:tcW w:w="1843" w:type="dxa"/>
            <w:tcBorders>
              <w:right w:val="nil"/>
            </w:tcBorders>
          </w:tcPr>
          <w:p w14:paraId="4EF03352" w14:textId="77777777" w:rsidR="006F2BB8" w:rsidRPr="00C21F55" w:rsidRDefault="006F2BB8" w:rsidP="000B01C9">
            <w:pPr>
              <w:pStyle w:val="10Tabletext"/>
              <w:jc w:val="center"/>
              <w:cnfStyle w:val="000000100000" w:firstRow="0" w:lastRow="0" w:firstColumn="0" w:lastColumn="0" w:oddVBand="0" w:evenVBand="0" w:oddHBand="1" w:evenHBand="0" w:firstRowFirstColumn="0" w:firstRowLastColumn="0" w:lastRowFirstColumn="0" w:lastRowLastColumn="0"/>
            </w:pPr>
          </w:p>
        </w:tc>
      </w:tr>
    </w:tbl>
    <w:p w14:paraId="31E9C269" w14:textId="44014E06" w:rsidR="00DF1E22" w:rsidRDefault="0041256C" w:rsidP="006A3A46">
      <w:pPr>
        <w:pStyle w:val="05Paragraph"/>
      </w:pPr>
      <w:r>
        <w:t>M</w:t>
      </w:r>
      <w:r w:rsidR="00DF1E22" w:rsidRPr="006F2BB8">
        <w:t xml:space="preserve">en were significantly more likely to answer </w:t>
      </w:r>
      <w:r w:rsidR="00392D9E">
        <w:t>‘Yes’</w:t>
      </w:r>
      <w:r w:rsidR="00DF1E22" w:rsidRPr="006F2BB8">
        <w:t xml:space="preserve"> to this question, while women were significantly more likely to answer </w:t>
      </w:r>
      <w:r w:rsidR="00392D9E">
        <w:t>‘No’</w:t>
      </w:r>
      <w:r w:rsidR="00DF1E22" w:rsidRPr="006F2BB8">
        <w:t xml:space="preserve"> or ‘I don’t know’</w:t>
      </w:r>
      <w:r w:rsidR="0061326B">
        <w:t xml:space="preserve"> (Figure A.</w:t>
      </w:r>
      <w:r w:rsidR="00386774">
        <w:t>2</w:t>
      </w:r>
      <w:r w:rsidR="0061326B">
        <w:t>).</w:t>
      </w:r>
    </w:p>
    <w:p w14:paraId="5E35106F" w14:textId="5A9671DA" w:rsidR="00D45AA9" w:rsidRDefault="00D45AA9" w:rsidP="00144BE8">
      <w:pPr>
        <w:pStyle w:val="08Figuretableboxheading"/>
      </w:pPr>
      <w:bookmarkStart w:id="206" w:name="_Toc170393608"/>
      <w:r w:rsidRPr="006F2BB8">
        <w:t>Figure A.</w:t>
      </w:r>
      <w:r>
        <w:t>2</w:t>
      </w:r>
      <w:r w:rsidRPr="006F2BB8">
        <w:t xml:space="preserve">: </w:t>
      </w:r>
      <w:r w:rsidR="00A21235">
        <w:t>Opinion on alignment of</w:t>
      </w:r>
      <w:r>
        <w:t xml:space="preserve"> e</w:t>
      </w:r>
      <w:r w:rsidRPr="006F2BB8">
        <w:t>xecutive remuneration bands</w:t>
      </w:r>
      <w:r>
        <w:t xml:space="preserve"> </w:t>
      </w:r>
      <w:r w:rsidR="00A21235">
        <w:t>with gender equality and other diversity policies</w:t>
      </w:r>
      <w:r w:rsidRPr="006F2BB8">
        <w:t>, by gender</w:t>
      </w:r>
      <w:bookmarkEnd w:id="206"/>
    </w:p>
    <w:p w14:paraId="6095DA9C" w14:textId="324CBEAE" w:rsidR="00C15CC8" w:rsidRPr="00497B3E" w:rsidRDefault="00C15CC8" w:rsidP="00144BE8">
      <w:pPr>
        <w:pStyle w:val="08Figuretableboxheading"/>
        <w:rPr>
          <w:rFonts w:cstheme="minorBidi"/>
          <w:szCs w:val="22"/>
        </w:rPr>
      </w:pPr>
      <w:r>
        <w:rPr>
          <w:rFonts w:cstheme="minorBidi"/>
          <w:noProof/>
          <w:szCs w:val="22"/>
        </w:rPr>
        <w:drawing>
          <wp:inline distT="0" distB="0" distL="0" distR="0" wp14:anchorId="5E843105" wp14:editId="5230B997">
            <wp:extent cx="5414010" cy="2390140"/>
            <wp:effectExtent l="0" t="0" r="0" b="0"/>
            <wp:docPr id="5098398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14010" cy="2390140"/>
                    </a:xfrm>
                    <a:prstGeom prst="rect">
                      <a:avLst/>
                    </a:prstGeom>
                    <a:noFill/>
                  </pic:spPr>
                </pic:pic>
              </a:graphicData>
            </a:graphic>
          </wp:inline>
        </w:drawing>
      </w:r>
    </w:p>
    <w:p w14:paraId="09DA89A2" w14:textId="453BF779" w:rsidR="006F2BB8" w:rsidRPr="006F2BB8" w:rsidRDefault="006F2BB8" w:rsidP="00E1562C">
      <w:pPr>
        <w:pStyle w:val="05Paragraph"/>
        <w:spacing w:after="240"/>
      </w:pPr>
      <w:r w:rsidRPr="006F2BB8">
        <w:t>Over 60 per cent of respondents were not familiar with the Tribunal’s guidelines on placement of executives within the band.</w:t>
      </w:r>
    </w:p>
    <w:p w14:paraId="1D75A990" w14:textId="77777777" w:rsidR="00730D5F" w:rsidRDefault="00730D5F" w:rsidP="006F2BB8">
      <w:pPr>
        <w:spacing w:before="240" w:line="240" w:lineRule="auto"/>
        <w:outlineLvl w:val="1"/>
        <w:rPr>
          <w:rFonts w:ascii="Rockwell" w:eastAsia="Calibri" w:hAnsi="Rockwell" w:cs="Times New Roman (Body CS)"/>
          <w:color w:val="007449"/>
          <w:sz w:val="44"/>
          <w:szCs w:val="44"/>
        </w:rPr>
        <w:sectPr w:rsidR="00730D5F" w:rsidSect="005F1DAB">
          <w:pgSz w:w="11906" w:h="16838"/>
          <w:pgMar w:top="1701" w:right="1701" w:bottom="993" w:left="1701" w:header="708" w:footer="708" w:gutter="0"/>
          <w:cols w:space="708"/>
          <w:titlePg/>
          <w:docGrid w:linePitch="360"/>
        </w:sectPr>
      </w:pPr>
    </w:p>
    <w:p w14:paraId="21EAE3C2" w14:textId="77777777" w:rsidR="006F2BB8" w:rsidRPr="006F2BB8" w:rsidRDefault="006F2BB8" w:rsidP="00E41257">
      <w:pPr>
        <w:pStyle w:val="02VIRTHeading2"/>
        <w:spacing w:after="180"/>
      </w:pPr>
      <w:bookmarkStart w:id="207" w:name="_Toc170396250"/>
      <w:r w:rsidRPr="006F2BB8">
        <w:lastRenderedPageBreak/>
        <w:t>Segment analysis</w:t>
      </w:r>
      <w:bookmarkEnd w:id="207"/>
    </w:p>
    <w:p w14:paraId="4B305D05" w14:textId="77777777" w:rsidR="006F2BB8" w:rsidRPr="006F2BB8" w:rsidRDefault="006F2BB8" w:rsidP="006A3A46">
      <w:pPr>
        <w:pStyle w:val="05Paragraph"/>
      </w:pPr>
      <w:r w:rsidRPr="006F2BB8">
        <w:t xml:space="preserve">The questionnaire responses have been further analysed by classification level, gender and length of public service career. </w:t>
      </w:r>
    </w:p>
    <w:p w14:paraId="177995A9" w14:textId="77777777" w:rsidR="006F2BB8" w:rsidRPr="006F2BB8" w:rsidRDefault="006F2BB8" w:rsidP="00E41257">
      <w:pPr>
        <w:pStyle w:val="03VIRTHeading3"/>
        <w:spacing w:before="180" w:after="180"/>
      </w:pPr>
      <w:r w:rsidRPr="006F2BB8">
        <w:t>Classification level</w:t>
      </w:r>
    </w:p>
    <w:p w14:paraId="2E6F2327" w14:textId="011079B7" w:rsidR="006F2BB8" w:rsidRPr="006F2BB8" w:rsidRDefault="006F2BB8" w:rsidP="006A3A46">
      <w:pPr>
        <w:pStyle w:val="05Paragraph"/>
      </w:pPr>
      <w:r w:rsidRPr="006F2BB8">
        <w:t>SES-1 level executives were significantly more likely to have worked at a non</w:t>
      </w:r>
      <w:r w:rsidRPr="006F2BB8">
        <w:noBreakHyphen/>
        <w:t>executive level in the VPS before their first VPS executive role. SES</w:t>
      </w:r>
      <w:r w:rsidRPr="006F2BB8">
        <w:noBreakHyphen/>
        <w:t>3 and SES</w:t>
      </w:r>
      <w:r w:rsidRPr="006F2BB8">
        <w:noBreakHyphen/>
        <w:t>2 level executives were significantly more likely to have been an executive in the for</w:t>
      </w:r>
      <w:r w:rsidRPr="006F2BB8">
        <w:noBreakHyphen/>
        <w:t>profit sector before their first VPS executive role (Figure A.</w:t>
      </w:r>
      <w:r w:rsidR="00386774">
        <w:t>3</w:t>
      </w:r>
      <w:r w:rsidRPr="006F2BB8">
        <w:t>).</w:t>
      </w:r>
    </w:p>
    <w:p w14:paraId="78A44FD4" w14:textId="0AB0E57F" w:rsidR="006F2BB8" w:rsidRDefault="006F2BB8" w:rsidP="00144BE8">
      <w:pPr>
        <w:pStyle w:val="08Figuretableboxheading"/>
      </w:pPr>
      <w:bookmarkStart w:id="208" w:name="_Toc170393609"/>
      <w:r w:rsidRPr="006F2BB8">
        <w:t>Figure A.</w:t>
      </w:r>
      <w:r w:rsidR="00386774">
        <w:t>3</w:t>
      </w:r>
      <w:r w:rsidRPr="006F2BB8">
        <w:t>: Position held before first VPS executive role by classification level</w:t>
      </w:r>
      <w:bookmarkEnd w:id="208"/>
    </w:p>
    <w:p w14:paraId="1F98B943" w14:textId="7E16428D" w:rsidR="00C15CC8" w:rsidRPr="006F2BB8" w:rsidRDefault="00C15CC8" w:rsidP="00144BE8">
      <w:pPr>
        <w:pStyle w:val="08Figuretableboxheading"/>
      </w:pPr>
      <w:r>
        <w:rPr>
          <w:noProof/>
        </w:rPr>
        <w:drawing>
          <wp:inline distT="0" distB="0" distL="0" distR="0" wp14:anchorId="3B6B2EAD" wp14:editId="1C90E7B8">
            <wp:extent cx="5414010" cy="3286125"/>
            <wp:effectExtent l="0" t="0" r="0" b="9525"/>
            <wp:docPr id="27405307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14010" cy="3286125"/>
                    </a:xfrm>
                    <a:prstGeom prst="rect">
                      <a:avLst/>
                    </a:prstGeom>
                    <a:noFill/>
                  </pic:spPr>
                </pic:pic>
              </a:graphicData>
            </a:graphic>
          </wp:inline>
        </w:drawing>
      </w:r>
    </w:p>
    <w:p w14:paraId="16847E56" w14:textId="1A2F05A5" w:rsidR="006F2BB8" w:rsidRPr="006F2BB8" w:rsidRDefault="006F2BB8" w:rsidP="00A30477">
      <w:pPr>
        <w:pStyle w:val="09Sourcesandnotesfortablesfiguresboxes"/>
        <w:spacing w:after="120"/>
        <w:ind w:right="-147"/>
      </w:pPr>
      <w:r w:rsidRPr="006F2BB8">
        <w:t>Note: Segments of 3</w:t>
      </w:r>
      <w:r w:rsidR="00717B0A">
        <w:t xml:space="preserve"> per cent</w:t>
      </w:r>
      <w:r w:rsidRPr="006F2BB8">
        <w:t xml:space="preserve"> or less are not labelled.</w:t>
      </w:r>
    </w:p>
    <w:p w14:paraId="73EF5440" w14:textId="77777777" w:rsidR="006F2BB8" w:rsidRPr="006F2BB8" w:rsidRDefault="006F2BB8" w:rsidP="00E41257">
      <w:pPr>
        <w:pStyle w:val="03VIRTHeading3"/>
        <w:spacing w:before="180" w:after="180"/>
      </w:pPr>
      <w:r w:rsidRPr="006F2BB8">
        <w:t>Gender</w:t>
      </w:r>
    </w:p>
    <w:p w14:paraId="3F7FFF21" w14:textId="77777777" w:rsidR="006F2BB8" w:rsidRPr="006F2BB8" w:rsidRDefault="006F2BB8" w:rsidP="006A3A46">
      <w:pPr>
        <w:pStyle w:val="05Paragraph"/>
      </w:pPr>
      <w:r w:rsidRPr="006F2BB8">
        <w:t>Of the respondents to the questionnaire, women were significantly more likely to:</w:t>
      </w:r>
    </w:p>
    <w:p w14:paraId="2C6B73C6" w14:textId="3C66EBC3" w:rsidR="006F2BB8" w:rsidRPr="006F2BB8" w:rsidRDefault="006F2BB8" w:rsidP="00C15CC8">
      <w:pPr>
        <w:pStyle w:val="06VIRTBulletpoints"/>
        <w:spacing w:before="60"/>
        <w:ind w:left="357" w:hanging="357"/>
      </w:pPr>
      <w:r w:rsidRPr="006F2BB8">
        <w:t>work as an SES-1 (Figure A.</w:t>
      </w:r>
      <w:r w:rsidR="00386774">
        <w:t>4</w:t>
      </w:r>
      <w:r w:rsidRPr="006F2BB8">
        <w:t>)</w:t>
      </w:r>
    </w:p>
    <w:p w14:paraId="31454427" w14:textId="77777777" w:rsidR="006F2BB8" w:rsidRPr="006F2BB8" w:rsidRDefault="006F2BB8" w:rsidP="006A3A46">
      <w:pPr>
        <w:pStyle w:val="06VIRTBulletpoints"/>
      </w:pPr>
      <w:r w:rsidRPr="006F2BB8">
        <w:t>have been a VPS executive for 20 years or more</w:t>
      </w:r>
    </w:p>
    <w:p w14:paraId="4954621C" w14:textId="77777777" w:rsidR="006F2BB8" w:rsidRPr="006F2BB8" w:rsidRDefault="006F2BB8" w:rsidP="006A3A46">
      <w:pPr>
        <w:pStyle w:val="06VIRTBulletpoints"/>
      </w:pPr>
      <w:r w:rsidRPr="006F2BB8">
        <w:t>have worked in the VPS at non-executive level before joining the VPS executive workforce</w:t>
      </w:r>
    </w:p>
    <w:p w14:paraId="4544B320" w14:textId="77777777" w:rsidR="006F2BB8" w:rsidRPr="006F2BB8" w:rsidRDefault="006F2BB8" w:rsidP="006A3A46">
      <w:pPr>
        <w:pStyle w:val="06VIRTBulletpoints"/>
      </w:pPr>
      <w:r w:rsidRPr="006F2BB8">
        <w:t>work in policy and strategy</w:t>
      </w:r>
    </w:p>
    <w:p w14:paraId="77989C20" w14:textId="77777777" w:rsidR="006F2BB8" w:rsidRPr="006F2BB8" w:rsidRDefault="006F2BB8" w:rsidP="006A3A46">
      <w:pPr>
        <w:pStyle w:val="06VIRTBulletpoints"/>
      </w:pPr>
      <w:r w:rsidRPr="006F2BB8">
        <w:t>work part-time or want to work part-time.</w:t>
      </w:r>
    </w:p>
    <w:p w14:paraId="34AA7F19" w14:textId="77777777" w:rsidR="006F2BB8" w:rsidRPr="006F2BB8" w:rsidRDefault="006F2BB8" w:rsidP="00A30477">
      <w:pPr>
        <w:pStyle w:val="05Paragraph"/>
        <w:keepNext/>
      </w:pPr>
      <w:r w:rsidRPr="006F2BB8">
        <w:lastRenderedPageBreak/>
        <w:t>Of the respondents to the questionnaire, men were significantly more likely to:</w:t>
      </w:r>
    </w:p>
    <w:p w14:paraId="0BDAA525" w14:textId="7831AD3D" w:rsidR="006F2BB8" w:rsidRPr="006F2BB8" w:rsidRDefault="006F2BB8" w:rsidP="006A3A46">
      <w:pPr>
        <w:pStyle w:val="06VIRTBulletpoints"/>
      </w:pPr>
      <w:r w:rsidRPr="006F2BB8">
        <w:t>work as an SES-2 (Figure A.</w:t>
      </w:r>
      <w:r w:rsidR="00386774">
        <w:t>4</w:t>
      </w:r>
      <w:r w:rsidRPr="006F2BB8">
        <w:t>)</w:t>
      </w:r>
    </w:p>
    <w:p w14:paraId="5DFE45B8" w14:textId="77777777" w:rsidR="006F2BB8" w:rsidRPr="006F2BB8" w:rsidRDefault="006F2BB8" w:rsidP="006A3A46">
      <w:pPr>
        <w:pStyle w:val="06VIRTBulletpoints"/>
      </w:pPr>
      <w:r w:rsidRPr="006F2BB8">
        <w:t>have started working as a VPS executive in the last 5 years</w:t>
      </w:r>
    </w:p>
    <w:p w14:paraId="7EC59668" w14:textId="2C2C75BB" w:rsidR="006F2BB8" w:rsidRPr="006F2BB8" w:rsidRDefault="006F2BB8" w:rsidP="006A3A46">
      <w:pPr>
        <w:pStyle w:val="06VIRTBulletpoints"/>
      </w:pPr>
      <w:r w:rsidRPr="006F2BB8">
        <w:t>have worked as an executive in the for-profit sector before joining the VPS executive workforce</w:t>
      </w:r>
    </w:p>
    <w:p w14:paraId="7D280991" w14:textId="77777777" w:rsidR="006F2BB8" w:rsidRPr="006F2BB8" w:rsidRDefault="006F2BB8" w:rsidP="006A3A46">
      <w:pPr>
        <w:pStyle w:val="06VIRTBulletpoints"/>
      </w:pPr>
      <w:r w:rsidRPr="006F2BB8">
        <w:t>work in engineering or project and program management</w:t>
      </w:r>
    </w:p>
    <w:p w14:paraId="0403EE33" w14:textId="77777777" w:rsidR="006F2BB8" w:rsidRPr="006F2BB8" w:rsidRDefault="006F2BB8" w:rsidP="006A3A46">
      <w:pPr>
        <w:pStyle w:val="06VIRTBulletpoints"/>
      </w:pPr>
      <w:r w:rsidRPr="006F2BB8">
        <w:t>work full-time.</w:t>
      </w:r>
    </w:p>
    <w:p w14:paraId="25D5CB02" w14:textId="6664E634" w:rsidR="006F2BB8" w:rsidRDefault="006F2BB8" w:rsidP="00144BE8">
      <w:pPr>
        <w:pStyle w:val="08Figuretableboxheading"/>
      </w:pPr>
      <w:bookmarkStart w:id="209" w:name="_Toc170393610"/>
      <w:r w:rsidRPr="006F2BB8">
        <w:t>Figure A.</w:t>
      </w:r>
      <w:r w:rsidR="00386774">
        <w:t>4</w:t>
      </w:r>
      <w:r w:rsidRPr="006F2BB8">
        <w:t xml:space="preserve">: </w:t>
      </w:r>
      <w:r w:rsidR="00887AA1">
        <w:t>C</w:t>
      </w:r>
      <w:r w:rsidRPr="006F2BB8">
        <w:t xml:space="preserve">lassification </w:t>
      </w:r>
      <w:r w:rsidR="00887AA1">
        <w:t>by</w:t>
      </w:r>
      <w:r w:rsidRPr="006F2BB8">
        <w:t xml:space="preserve"> gender</w:t>
      </w:r>
      <w:bookmarkEnd w:id="209"/>
    </w:p>
    <w:p w14:paraId="62F5F37C" w14:textId="77F3B9B1" w:rsidR="008D1D8A" w:rsidRPr="006F2BB8" w:rsidRDefault="008D1D8A" w:rsidP="00144BE8">
      <w:pPr>
        <w:pStyle w:val="08Figuretableboxheading"/>
      </w:pPr>
      <w:r>
        <w:rPr>
          <w:noProof/>
        </w:rPr>
        <w:drawing>
          <wp:inline distT="0" distB="0" distL="0" distR="0" wp14:anchorId="44F00141" wp14:editId="705E97D5">
            <wp:extent cx="5414010" cy="2889885"/>
            <wp:effectExtent l="0" t="0" r="0" b="5715"/>
            <wp:docPr id="8357698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14010" cy="2889885"/>
                    </a:xfrm>
                    <a:prstGeom prst="rect">
                      <a:avLst/>
                    </a:prstGeom>
                    <a:noFill/>
                  </pic:spPr>
                </pic:pic>
              </a:graphicData>
            </a:graphic>
          </wp:inline>
        </w:drawing>
      </w:r>
    </w:p>
    <w:p w14:paraId="60887D08" w14:textId="204E7E5A" w:rsidR="006F2BB8" w:rsidRPr="006F2BB8" w:rsidRDefault="006F2BB8" w:rsidP="00A30477">
      <w:pPr>
        <w:pStyle w:val="05Paragraph"/>
        <w:keepNext/>
      </w:pPr>
      <w:r w:rsidRPr="006F2BB8">
        <w:t>There were no significant differences between men and women respondents regarding:</w:t>
      </w:r>
    </w:p>
    <w:p w14:paraId="6F318182" w14:textId="6AB57248" w:rsidR="006F2BB8" w:rsidRPr="006F2BB8" w:rsidRDefault="006F2BB8" w:rsidP="00A30477">
      <w:pPr>
        <w:pStyle w:val="06VIRTBulletpoints"/>
        <w:keepNext/>
      </w:pPr>
      <w:r w:rsidRPr="006F2BB8">
        <w:t>their intended tenure in the VPS executive workforce (Figure A.</w:t>
      </w:r>
      <w:r w:rsidR="00386774">
        <w:t>5</w:t>
      </w:r>
      <w:r w:rsidRPr="006F2BB8">
        <w:t>)</w:t>
      </w:r>
    </w:p>
    <w:p w14:paraId="59423DC1" w14:textId="42DEB284" w:rsidR="006F2BB8" w:rsidRPr="006F2BB8" w:rsidRDefault="006F2BB8" w:rsidP="00A30477">
      <w:pPr>
        <w:pStyle w:val="06VIRTBulletpoints"/>
        <w:keepNext/>
      </w:pPr>
      <w:r w:rsidRPr="006F2BB8">
        <w:t>their views on the competitiveness of the executive remuneration bands (Figure A.</w:t>
      </w:r>
      <w:r w:rsidR="00386774">
        <w:t>6</w:t>
      </w:r>
      <w:r w:rsidRPr="006F2BB8">
        <w:t>)</w:t>
      </w:r>
    </w:p>
    <w:p w14:paraId="5D47F3BF" w14:textId="3847612B" w:rsidR="006F2BB8" w:rsidRPr="006F2BB8" w:rsidRDefault="006F2BB8" w:rsidP="006A3A46">
      <w:pPr>
        <w:pStyle w:val="06VIRTBulletpoints"/>
      </w:pPr>
      <w:r w:rsidRPr="006F2BB8">
        <w:t>their perception of the gap between non-executive and executive remuneration (Figure A.</w:t>
      </w:r>
      <w:r w:rsidR="00386774">
        <w:t>7</w:t>
      </w:r>
      <w:r w:rsidRPr="006F2BB8">
        <w:t>).</w:t>
      </w:r>
    </w:p>
    <w:p w14:paraId="2C5ED00A" w14:textId="07EB5CE3" w:rsidR="006F2BB8" w:rsidRDefault="006F2BB8" w:rsidP="00144BE8">
      <w:pPr>
        <w:pStyle w:val="08Figuretableboxheading"/>
      </w:pPr>
      <w:bookmarkStart w:id="210" w:name="_Toc170393611"/>
      <w:r w:rsidRPr="006F2BB8">
        <w:lastRenderedPageBreak/>
        <w:t>Figure A.</w:t>
      </w:r>
      <w:r w:rsidR="00386774">
        <w:t>5</w:t>
      </w:r>
      <w:r w:rsidRPr="006F2BB8">
        <w:t>: Intention to stay, by gender</w:t>
      </w:r>
      <w:bookmarkEnd w:id="210"/>
    </w:p>
    <w:p w14:paraId="76635444" w14:textId="13A0B739" w:rsidR="008D1D8A" w:rsidRPr="006F2BB8" w:rsidRDefault="008D1D8A" w:rsidP="00144BE8">
      <w:pPr>
        <w:pStyle w:val="08Figuretableboxheading"/>
      </w:pPr>
      <w:r>
        <w:rPr>
          <w:noProof/>
        </w:rPr>
        <w:drawing>
          <wp:inline distT="0" distB="0" distL="0" distR="0" wp14:anchorId="58E81829" wp14:editId="11DE2E3E">
            <wp:extent cx="5414010" cy="2390140"/>
            <wp:effectExtent l="0" t="0" r="0" b="0"/>
            <wp:docPr id="20992702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14010" cy="2390140"/>
                    </a:xfrm>
                    <a:prstGeom prst="rect">
                      <a:avLst/>
                    </a:prstGeom>
                    <a:noFill/>
                  </pic:spPr>
                </pic:pic>
              </a:graphicData>
            </a:graphic>
          </wp:inline>
        </w:drawing>
      </w:r>
    </w:p>
    <w:p w14:paraId="11739359" w14:textId="359EA829" w:rsidR="006F2BB8" w:rsidRDefault="006F2BB8" w:rsidP="00144BE8">
      <w:pPr>
        <w:pStyle w:val="08Figuretableboxheading"/>
      </w:pPr>
      <w:bookmarkStart w:id="211" w:name="_Toc170393612"/>
      <w:r w:rsidRPr="006F2BB8">
        <w:t>Figure A.</w:t>
      </w:r>
      <w:r w:rsidR="00386774">
        <w:t>6</w:t>
      </w:r>
      <w:r w:rsidRPr="006F2BB8">
        <w:t>: Competitiveness of executive remuneration bands, by gender</w:t>
      </w:r>
      <w:bookmarkEnd w:id="211"/>
    </w:p>
    <w:p w14:paraId="67C04099" w14:textId="48338462" w:rsidR="008D1D8A" w:rsidRPr="006F2BB8" w:rsidRDefault="008D1D8A" w:rsidP="00144BE8">
      <w:pPr>
        <w:pStyle w:val="08Figuretableboxheading"/>
      </w:pPr>
      <w:r>
        <w:rPr>
          <w:noProof/>
        </w:rPr>
        <w:drawing>
          <wp:inline distT="0" distB="0" distL="0" distR="0" wp14:anchorId="1AC80E75" wp14:editId="1FD4F7CF">
            <wp:extent cx="5414010" cy="2390140"/>
            <wp:effectExtent l="0" t="0" r="0" b="0"/>
            <wp:docPr id="181806161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14010" cy="2390140"/>
                    </a:xfrm>
                    <a:prstGeom prst="rect">
                      <a:avLst/>
                    </a:prstGeom>
                    <a:noFill/>
                  </pic:spPr>
                </pic:pic>
              </a:graphicData>
            </a:graphic>
          </wp:inline>
        </w:drawing>
      </w:r>
    </w:p>
    <w:p w14:paraId="03D816E9" w14:textId="4BA9FCE1" w:rsidR="006F2BB8" w:rsidRDefault="006F2BB8" w:rsidP="00C50C43">
      <w:pPr>
        <w:pStyle w:val="08Figuretableboxheading"/>
      </w:pPr>
      <w:bookmarkStart w:id="212" w:name="_Toc170393613"/>
      <w:r w:rsidRPr="006F2BB8">
        <w:t>Figure A.</w:t>
      </w:r>
      <w:r w:rsidR="00386774">
        <w:t>7</w:t>
      </w:r>
      <w:r w:rsidRPr="006F2BB8">
        <w:t>: Perception of gap between non-executive and executive remuneration bands, by gender</w:t>
      </w:r>
      <w:bookmarkEnd w:id="212"/>
    </w:p>
    <w:p w14:paraId="0FCF78D8" w14:textId="624525DF" w:rsidR="008D1D8A" w:rsidRPr="006F2BB8" w:rsidRDefault="008D1D8A" w:rsidP="00C50C43">
      <w:pPr>
        <w:pStyle w:val="08Figuretableboxheading"/>
      </w:pPr>
      <w:r>
        <w:rPr>
          <w:noProof/>
        </w:rPr>
        <w:drawing>
          <wp:inline distT="0" distB="0" distL="0" distR="0" wp14:anchorId="4467DE44" wp14:editId="2B8D2EB2">
            <wp:extent cx="5414010" cy="2390140"/>
            <wp:effectExtent l="0" t="0" r="0" b="0"/>
            <wp:docPr id="139376726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14010" cy="2390140"/>
                    </a:xfrm>
                    <a:prstGeom prst="rect">
                      <a:avLst/>
                    </a:prstGeom>
                    <a:noFill/>
                  </pic:spPr>
                </pic:pic>
              </a:graphicData>
            </a:graphic>
          </wp:inline>
        </w:drawing>
      </w:r>
    </w:p>
    <w:p w14:paraId="13F3A7F6" w14:textId="11CAD998" w:rsidR="006F2BB8" w:rsidRPr="006F2BB8" w:rsidRDefault="006F2BB8" w:rsidP="006F2BB8">
      <w:pPr>
        <w:spacing w:after="0"/>
        <w:rPr>
          <w:rFonts w:eastAsia="Calibri" w:cs="Arial"/>
          <w:color w:val="4D4D4D"/>
          <w:szCs w:val="20"/>
        </w:rPr>
      </w:pPr>
    </w:p>
    <w:p w14:paraId="057F4E81" w14:textId="77777777" w:rsidR="006F2BB8" w:rsidRPr="006F2BB8" w:rsidRDefault="006F2BB8" w:rsidP="007663ED">
      <w:pPr>
        <w:pStyle w:val="03VIRTHeading3"/>
      </w:pPr>
      <w:r w:rsidRPr="006F2BB8">
        <w:lastRenderedPageBreak/>
        <w:t>Public service careers</w:t>
      </w:r>
    </w:p>
    <w:p w14:paraId="7FF35EEF" w14:textId="4A653FA5" w:rsidR="006F2BB8" w:rsidRPr="006F2BB8" w:rsidRDefault="006F2BB8" w:rsidP="006A3A46">
      <w:pPr>
        <w:pStyle w:val="05Paragraph"/>
      </w:pPr>
      <w:r w:rsidRPr="006F2BB8">
        <w:t xml:space="preserve">Those who previously held non-executive positions within the VPS were significantly more likely to plan to stay within the executive ranks of the VPS for ‘over 5 years’, compared with those who held executive roles in the for-profit sector or in a public entity. While only 15 per cent of respondents reported having served as a VPS executive for 10 years or more (see Table A.9), there appeared to be a correlation between tenure and intention to stay. For instance, respondents who have held executive positions for 10–14 years were significantly more likely to plan to </w:t>
      </w:r>
      <w:r w:rsidR="00CB36D1">
        <w:t>stay</w:t>
      </w:r>
      <w:r w:rsidR="00CB36D1" w:rsidRPr="006F2BB8">
        <w:t xml:space="preserve"> </w:t>
      </w:r>
      <w:r w:rsidRPr="006F2BB8">
        <w:t>in the executive workforce for 5 years or more</w:t>
      </w:r>
      <w:r w:rsidR="00B46910">
        <w:t xml:space="preserve"> than </w:t>
      </w:r>
      <w:r w:rsidR="0010417D">
        <w:t>those</w:t>
      </w:r>
      <w:r w:rsidR="00B46910">
        <w:t xml:space="preserve"> who have </w:t>
      </w:r>
      <w:r w:rsidR="00BF36FD">
        <w:t>been in the VPS</w:t>
      </w:r>
      <w:r w:rsidR="00B46910">
        <w:t xml:space="preserve"> executive </w:t>
      </w:r>
      <w:r w:rsidR="00BF36FD">
        <w:t>workforce</w:t>
      </w:r>
      <w:r w:rsidR="00B46910">
        <w:t xml:space="preserve"> for less than 5 years</w:t>
      </w:r>
      <w:r w:rsidRPr="006F2BB8">
        <w:t xml:space="preserve"> (Figure A.</w:t>
      </w:r>
      <w:r w:rsidR="00386774">
        <w:t>8</w:t>
      </w:r>
      <w:r w:rsidRPr="006F2BB8">
        <w:t>).</w:t>
      </w:r>
    </w:p>
    <w:p w14:paraId="368E003E" w14:textId="0B0FF383" w:rsidR="006F2BB8" w:rsidRDefault="006F2BB8" w:rsidP="00144BE8">
      <w:pPr>
        <w:pStyle w:val="08Figuretableboxheading"/>
      </w:pPr>
      <w:bookmarkStart w:id="213" w:name="_Toc170393614"/>
      <w:r w:rsidRPr="006F2BB8">
        <w:t>Figure A.</w:t>
      </w:r>
      <w:r w:rsidR="00386774">
        <w:t>8</w:t>
      </w:r>
      <w:r w:rsidRPr="006F2BB8">
        <w:t>: Comparing length of time worked as a VPS executive with intention to stay</w:t>
      </w:r>
      <w:bookmarkEnd w:id="213"/>
    </w:p>
    <w:p w14:paraId="77917B91" w14:textId="260D62E2" w:rsidR="008D1D8A" w:rsidRPr="006F2BB8" w:rsidRDefault="008D1D8A" w:rsidP="00144BE8">
      <w:pPr>
        <w:pStyle w:val="08Figuretableboxheading"/>
      </w:pPr>
      <w:r>
        <w:rPr>
          <w:noProof/>
        </w:rPr>
        <w:drawing>
          <wp:inline distT="0" distB="0" distL="0" distR="0" wp14:anchorId="662307DD" wp14:editId="6AFA7953">
            <wp:extent cx="5414010" cy="2889885"/>
            <wp:effectExtent l="0" t="0" r="0" b="5715"/>
            <wp:docPr id="82000970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14010" cy="2889885"/>
                    </a:xfrm>
                    <a:prstGeom prst="rect">
                      <a:avLst/>
                    </a:prstGeom>
                    <a:noFill/>
                  </pic:spPr>
                </pic:pic>
              </a:graphicData>
            </a:graphic>
          </wp:inline>
        </w:drawing>
      </w:r>
    </w:p>
    <w:p w14:paraId="67BF4CA9" w14:textId="27839FF1" w:rsidR="006F2BB8" w:rsidRPr="006F2BB8" w:rsidRDefault="006F2BB8" w:rsidP="006A3A46">
      <w:pPr>
        <w:pStyle w:val="05Paragraph"/>
      </w:pPr>
      <w:r w:rsidRPr="006F2BB8">
        <w:t>Those that consider the remuneration bands to be competitive for the work they do (see Table A.25) are significantly more likely to plan to work for the VPS at executive level for 5 years or more (Figure A.</w:t>
      </w:r>
      <w:r w:rsidR="00D45AA9">
        <w:t>9</w:t>
      </w:r>
      <w:r w:rsidRPr="006F2BB8">
        <w:t>).</w:t>
      </w:r>
    </w:p>
    <w:p w14:paraId="30ECE376" w14:textId="4933F3A0" w:rsidR="006F2BB8" w:rsidRDefault="006F2BB8" w:rsidP="00144BE8">
      <w:pPr>
        <w:pStyle w:val="08Figuretableboxheading"/>
      </w:pPr>
      <w:bookmarkStart w:id="214" w:name="_Toc170393615"/>
      <w:r w:rsidRPr="006F2BB8">
        <w:lastRenderedPageBreak/>
        <w:t>Figure A.</w:t>
      </w:r>
      <w:r w:rsidR="00D45AA9">
        <w:t>9</w:t>
      </w:r>
      <w:r w:rsidRPr="006F2BB8">
        <w:t>: Comparing intention to stay and competitiveness of remuneration bands</w:t>
      </w:r>
      <w:bookmarkEnd w:id="214"/>
    </w:p>
    <w:p w14:paraId="117BCDCA" w14:textId="22E3887B" w:rsidR="008D1D8A" w:rsidRPr="006F2BB8" w:rsidRDefault="008D1D8A" w:rsidP="00144BE8">
      <w:pPr>
        <w:pStyle w:val="08Figuretableboxheading"/>
      </w:pPr>
      <w:r>
        <w:rPr>
          <w:noProof/>
        </w:rPr>
        <w:drawing>
          <wp:inline distT="0" distB="0" distL="0" distR="0" wp14:anchorId="6F3DAA0C" wp14:editId="4B4B4D5B">
            <wp:extent cx="5414010" cy="2889885"/>
            <wp:effectExtent l="0" t="0" r="0" b="5715"/>
            <wp:docPr id="155552865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14010" cy="2889885"/>
                    </a:xfrm>
                    <a:prstGeom prst="rect">
                      <a:avLst/>
                    </a:prstGeom>
                    <a:noFill/>
                  </pic:spPr>
                </pic:pic>
              </a:graphicData>
            </a:graphic>
          </wp:inline>
        </w:drawing>
      </w:r>
    </w:p>
    <w:p w14:paraId="335E29DC" w14:textId="3FEA326D" w:rsidR="00CA257A" w:rsidRDefault="00CA257A">
      <w:pPr>
        <w:spacing w:before="0" w:after="80" w:line="240" w:lineRule="auto"/>
        <w:jc w:val="left"/>
        <w:rPr>
          <w:color w:val="auto"/>
          <w:highlight w:val="yellow"/>
        </w:rPr>
      </w:pPr>
      <w:r>
        <w:rPr>
          <w:color w:val="auto"/>
          <w:highlight w:val="yellow"/>
        </w:rPr>
        <w:br w:type="page"/>
      </w:r>
    </w:p>
    <w:p w14:paraId="169D4E46" w14:textId="6554A29B" w:rsidR="00671CB5" w:rsidRPr="00363903" w:rsidRDefault="00CA257A" w:rsidP="00363903">
      <w:pPr>
        <w:pStyle w:val="Chapterheading0"/>
        <w:rPr>
          <w:rFonts w:eastAsia="Calibri"/>
        </w:rPr>
      </w:pPr>
      <w:bookmarkStart w:id="215" w:name="_Toc169878485"/>
      <w:bookmarkStart w:id="216" w:name="_Toc170396251"/>
      <w:r w:rsidRPr="00CA257A">
        <w:lastRenderedPageBreak/>
        <w:t>References</w:t>
      </w:r>
      <w:r w:rsidR="00363903" w:rsidRPr="006F2BB8">
        <w:rPr>
          <w:rFonts w:eastAsia="Calibri"/>
        </w:rPr>
        <w:br/>
      </w:r>
      <w:r w:rsidR="00363903" w:rsidRPr="006F2BB8">
        <w:rPr>
          <w:rFonts w:eastAsia="Calibri"/>
          <w:color w:val="auto"/>
        </w:rPr>
        <w:drawing>
          <wp:inline distT="0" distB="0" distL="0" distR="0" wp14:anchorId="3C1F0ED6" wp14:editId="0E890435">
            <wp:extent cx="2222500" cy="253365"/>
            <wp:effectExtent l="0" t="0" r="6350" b="0"/>
            <wp:docPr id="734266307" name="Picture 734266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2500" cy="253365"/>
                    </a:xfrm>
                    <a:prstGeom prst="rect">
                      <a:avLst/>
                    </a:prstGeom>
                    <a:noFill/>
                    <a:ln>
                      <a:noFill/>
                    </a:ln>
                  </pic:spPr>
                </pic:pic>
              </a:graphicData>
            </a:graphic>
          </wp:inline>
        </w:drawing>
      </w:r>
      <w:bookmarkEnd w:id="215"/>
      <w:bookmarkEnd w:id="216"/>
    </w:p>
    <w:p w14:paraId="27B4F9AF" w14:textId="609768A9" w:rsidR="00313818" w:rsidRDefault="00D776E0" w:rsidP="00DC4486">
      <w:pPr>
        <w:pStyle w:val="05Paragraph"/>
      </w:pPr>
      <w:r>
        <w:t>ABS (</w:t>
      </w:r>
      <w:r w:rsidR="00B72F80">
        <w:t>Australian Bureau of Statistics)</w:t>
      </w:r>
      <w:r w:rsidR="00313818">
        <w:t>, (</w:t>
      </w:r>
      <w:r w:rsidR="00313818" w:rsidRPr="00313818">
        <w:t xml:space="preserve">2023), </w:t>
      </w:r>
      <w:r w:rsidR="00313818" w:rsidRPr="00BB0BB8">
        <w:rPr>
          <w:i/>
          <w:iCs/>
        </w:rPr>
        <w:t>National, state and territory population</w:t>
      </w:r>
      <w:r w:rsidR="00313818" w:rsidRPr="00313818">
        <w:t>, December 2023.</w:t>
      </w:r>
    </w:p>
    <w:p w14:paraId="7371DA95" w14:textId="6CEA5D4F" w:rsidR="00B72F80" w:rsidRDefault="00313818" w:rsidP="00DC4486">
      <w:pPr>
        <w:pStyle w:val="05Paragraph"/>
      </w:pPr>
      <w:r w:rsidRPr="00D90ED6">
        <w:t>—</w:t>
      </w:r>
      <w:r w:rsidRPr="004C462A">
        <w:t>——</w:t>
      </w:r>
      <w:r w:rsidR="00B72F80">
        <w:t xml:space="preserve"> (2024a), </w:t>
      </w:r>
      <w:r w:rsidR="00B72F80" w:rsidRPr="00B834DB">
        <w:rPr>
          <w:i/>
          <w:iCs/>
        </w:rPr>
        <w:t>Australian National Accounts: National Income, Expenditure and Product</w:t>
      </w:r>
      <w:r w:rsidR="00B72F80">
        <w:t>, March 2024.</w:t>
      </w:r>
    </w:p>
    <w:p w14:paraId="71DB82F5" w14:textId="77777777" w:rsidR="00B72F80" w:rsidRDefault="00B72F80" w:rsidP="00DC4486">
      <w:pPr>
        <w:pStyle w:val="05Paragraph"/>
      </w:pPr>
      <w:r w:rsidRPr="00D90ED6">
        <w:t>—</w:t>
      </w:r>
      <w:r w:rsidRPr="004C462A">
        <w:t>——</w:t>
      </w:r>
      <w:r>
        <w:t xml:space="preserve"> (2024b), </w:t>
      </w:r>
      <w:r w:rsidRPr="00B834DB">
        <w:rPr>
          <w:i/>
          <w:iCs/>
        </w:rPr>
        <w:t>Average Weekly Earnings</w:t>
      </w:r>
      <w:r w:rsidRPr="004C462A">
        <w:t>, Australia</w:t>
      </w:r>
      <w:r>
        <w:t>, November 2023.</w:t>
      </w:r>
    </w:p>
    <w:p w14:paraId="0D3BE286" w14:textId="77777777" w:rsidR="00B72F80" w:rsidRDefault="00B72F80" w:rsidP="00DC4486">
      <w:pPr>
        <w:pStyle w:val="05Paragraph"/>
      </w:pPr>
      <w:r w:rsidRPr="00D90ED6">
        <w:t>—</w:t>
      </w:r>
      <w:r w:rsidRPr="004C462A">
        <w:t>——</w:t>
      </w:r>
      <w:r>
        <w:t xml:space="preserve"> (2024c), </w:t>
      </w:r>
      <w:r w:rsidRPr="00B834DB">
        <w:rPr>
          <w:i/>
          <w:iCs/>
        </w:rPr>
        <w:t>Consumer Price Index</w:t>
      </w:r>
      <w:r w:rsidRPr="004C462A">
        <w:t>, Australia</w:t>
      </w:r>
      <w:r>
        <w:t>, March quarter 2024.</w:t>
      </w:r>
    </w:p>
    <w:p w14:paraId="4D6DE959" w14:textId="77777777" w:rsidR="00B72F80" w:rsidRDefault="00B72F80" w:rsidP="00DC4486">
      <w:pPr>
        <w:pStyle w:val="05Paragraph"/>
      </w:pPr>
      <w:r w:rsidRPr="00D90ED6">
        <w:t>—</w:t>
      </w:r>
      <w:r w:rsidRPr="004C462A">
        <w:t>——</w:t>
      </w:r>
      <w:r>
        <w:t xml:space="preserve"> (2024d), </w:t>
      </w:r>
      <w:r w:rsidRPr="00B834DB">
        <w:rPr>
          <w:i/>
          <w:iCs/>
        </w:rPr>
        <w:t>Job Vacancies</w:t>
      </w:r>
      <w:r w:rsidRPr="0082410F">
        <w:t>, Australia</w:t>
      </w:r>
      <w:r>
        <w:t>, February 2024.</w:t>
      </w:r>
    </w:p>
    <w:p w14:paraId="0C9DDDCB" w14:textId="66EB922C" w:rsidR="00B72F80" w:rsidRDefault="00B72F80" w:rsidP="00DC4486">
      <w:pPr>
        <w:pStyle w:val="05Paragraph"/>
      </w:pPr>
      <w:r w:rsidRPr="00D90ED6">
        <w:t>—</w:t>
      </w:r>
      <w:r w:rsidRPr="004C462A">
        <w:t>——</w:t>
      </w:r>
      <w:r>
        <w:t xml:space="preserve"> (2024e), </w:t>
      </w:r>
      <w:r w:rsidRPr="00B834DB">
        <w:rPr>
          <w:i/>
          <w:iCs/>
        </w:rPr>
        <w:t>Labour Force</w:t>
      </w:r>
      <w:r w:rsidRPr="004C462A">
        <w:t>, Australia</w:t>
      </w:r>
      <w:r>
        <w:t xml:space="preserve">, </w:t>
      </w:r>
      <w:r w:rsidR="00BF4099">
        <w:t>May</w:t>
      </w:r>
      <w:r w:rsidRPr="00626F91">
        <w:t xml:space="preserve"> 2024</w:t>
      </w:r>
      <w:r>
        <w:t>.</w:t>
      </w:r>
    </w:p>
    <w:p w14:paraId="1F525BC9" w14:textId="77777777" w:rsidR="00B72F80" w:rsidRDefault="00B72F80" w:rsidP="00DC4486">
      <w:pPr>
        <w:pStyle w:val="05Paragraph"/>
      </w:pPr>
      <w:r w:rsidRPr="00D90ED6">
        <w:t>—</w:t>
      </w:r>
      <w:r w:rsidRPr="004C462A">
        <w:t>——</w:t>
      </w:r>
      <w:r>
        <w:t xml:space="preserve"> (2024f), </w:t>
      </w:r>
      <w:r w:rsidRPr="00B834DB">
        <w:rPr>
          <w:i/>
          <w:iCs/>
        </w:rPr>
        <w:t>Monthly Consumer Price Index Indicator</w:t>
      </w:r>
      <w:r>
        <w:t>, April 2024.</w:t>
      </w:r>
    </w:p>
    <w:p w14:paraId="3597F9D9" w14:textId="77777777" w:rsidR="00B72F80" w:rsidRPr="004C462A" w:rsidRDefault="00B72F80" w:rsidP="00DC4486">
      <w:pPr>
        <w:pStyle w:val="05Paragraph"/>
      </w:pPr>
      <w:r w:rsidRPr="00D90ED6">
        <w:t>—</w:t>
      </w:r>
      <w:r w:rsidRPr="004C462A">
        <w:t>——</w:t>
      </w:r>
      <w:r>
        <w:t xml:space="preserve"> (2024g), </w:t>
      </w:r>
      <w:r w:rsidRPr="00B834DB">
        <w:rPr>
          <w:i/>
          <w:iCs/>
        </w:rPr>
        <w:t>Overseas Migration</w:t>
      </w:r>
      <w:r>
        <w:t>, 2022-23 financial year.</w:t>
      </w:r>
    </w:p>
    <w:p w14:paraId="2258CCC8" w14:textId="77777777" w:rsidR="00B72F80" w:rsidRDefault="00B72F80" w:rsidP="00DC4486">
      <w:pPr>
        <w:pStyle w:val="05Paragraph"/>
      </w:pPr>
      <w:r w:rsidRPr="00D90ED6">
        <w:t>—</w:t>
      </w:r>
      <w:r w:rsidRPr="004C462A">
        <w:t>——</w:t>
      </w:r>
      <w:r>
        <w:t xml:space="preserve"> (2024h), </w:t>
      </w:r>
      <w:r w:rsidRPr="00B834DB">
        <w:rPr>
          <w:i/>
          <w:iCs/>
        </w:rPr>
        <w:t>Wage Price Index</w:t>
      </w:r>
      <w:r w:rsidRPr="004C462A">
        <w:t>, Australia</w:t>
      </w:r>
      <w:r>
        <w:t>, March quarter 2024.</w:t>
      </w:r>
    </w:p>
    <w:p w14:paraId="575E93E3" w14:textId="0E6671CC" w:rsidR="00E052FF" w:rsidRDefault="00E052FF" w:rsidP="00DC4486">
      <w:pPr>
        <w:pStyle w:val="05Paragraph"/>
      </w:pPr>
      <w:r w:rsidRPr="00E052FF">
        <w:t xml:space="preserve">APSC </w:t>
      </w:r>
      <w:r>
        <w:t>(Australian Public</w:t>
      </w:r>
      <w:r w:rsidR="00114678">
        <w:t xml:space="preserve"> Service Commission) </w:t>
      </w:r>
      <w:r w:rsidRPr="00E052FF">
        <w:t xml:space="preserve">(2013), </w:t>
      </w:r>
      <w:r w:rsidRPr="00B834DB">
        <w:rPr>
          <w:i/>
          <w:iCs/>
        </w:rPr>
        <w:t xml:space="preserve">SES Evaluation Methodology </w:t>
      </w:r>
      <w:r w:rsidR="007410AC" w:rsidRPr="00B834DB">
        <w:rPr>
          <w:i/>
          <w:iCs/>
        </w:rPr>
        <w:t xml:space="preserve">— </w:t>
      </w:r>
      <w:r w:rsidRPr="00B834DB">
        <w:rPr>
          <w:i/>
          <w:iCs/>
        </w:rPr>
        <w:t>Guidelines and Workbook</w:t>
      </w:r>
      <w:r w:rsidRPr="00E052FF">
        <w:t>.</w:t>
      </w:r>
    </w:p>
    <w:p w14:paraId="1D9F7F65" w14:textId="35711EEA" w:rsidR="00AC7323" w:rsidRDefault="00AC7323" w:rsidP="00DC4486">
      <w:pPr>
        <w:pStyle w:val="05Paragraph"/>
      </w:pPr>
      <w:r w:rsidRPr="00D90ED6">
        <w:t>—</w:t>
      </w:r>
      <w:r w:rsidRPr="004C462A">
        <w:t>——</w:t>
      </w:r>
      <w:r w:rsidRPr="000F1CA2">
        <w:t xml:space="preserve"> (202</w:t>
      </w:r>
      <w:r>
        <w:t>1</w:t>
      </w:r>
      <w:r w:rsidRPr="000F1CA2">
        <w:t>),</w:t>
      </w:r>
      <w:r w:rsidR="000C46AA" w:rsidRPr="000C46AA">
        <w:t xml:space="preserve"> </w:t>
      </w:r>
      <w:r w:rsidR="000C46AA" w:rsidRPr="00B834DB">
        <w:rPr>
          <w:i/>
          <w:iCs/>
        </w:rPr>
        <w:t>Performance Bonus Guidance — Principles governing performance bonus use in Commonwealth entities and companies</w:t>
      </w:r>
      <w:r w:rsidR="000C46AA">
        <w:t>,</w:t>
      </w:r>
      <w:r w:rsidRPr="000F1CA2">
        <w:t xml:space="preserve"> </w:t>
      </w:r>
      <w:hyperlink r:id="rId89" w:history="1">
        <w:r w:rsidR="000C46AA" w:rsidRPr="00790A5A">
          <w:rPr>
            <w:rStyle w:val="Hyperlink"/>
            <w:rFonts w:cs="Calibri Light"/>
          </w:rPr>
          <w:t>https://www.apsc.gov.au/circulars-guidance-and-advice/performance-bonus-guidance</w:t>
        </w:r>
      </w:hyperlink>
      <w:r w:rsidR="000C46AA">
        <w:t>, last updated 13 August 2021.</w:t>
      </w:r>
    </w:p>
    <w:p w14:paraId="3C0D0748" w14:textId="0BE2FA0D" w:rsidR="000F1CA2" w:rsidRDefault="000F1CA2" w:rsidP="00DC4486">
      <w:pPr>
        <w:pStyle w:val="05Paragraph"/>
      </w:pPr>
      <w:r w:rsidRPr="00D90ED6">
        <w:t>—</w:t>
      </w:r>
      <w:r w:rsidRPr="004C462A">
        <w:t>——</w:t>
      </w:r>
      <w:r w:rsidRPr="000F1CA2">
        <w:t xml:space="preserve"> (2022), </w:t>
      </w:r>
      <w:r w:rsidRPr="00B834DB">
        <w:rPr>
          <w:i/>
          <w:iCs/>
        </w:rPr>
        <w:t>Executive Remuneration Management Policy</w:t>
      </w:r>
      <w:r>
        <w:t>.</w:t>
      </w:r>
    </w:p>
    <w:p w14:paraId="05B08BFE" w14:textId="251EFCB5" w:rsidR="00C32F7E" w:rsidRDefault="00C32F7E" w:rsidP="00DC4486">
      <w:pPr>
        <w:pStyle w:val="05Paragraph"/>
      </w:pPr>
      <w:r w:rsidRPr="00D90ED6">
        <w:t>—</w:t>
      </w:r>
      <w:r w:rsidRPr="004C462A">
        <w:t>——</w:t>
      </w:r>
      <w:r w:rsidRPr="000F1CA2">
        <w:t xml:space="preserve"> (202</w:t>
      </w:r>
      <w:r>
        <w:t>3</w:t>
      </w:r>
      <w:r w:rsidR="009278DA">
        <w:t>a</w:t>
      </w:r>
      <w:r w:rsidRPr="000F1CA2">
        <w:t xml:space="preserve">), </w:t>
      </w:r>
      <w:r w:rsidRPr="00507331">
        <w:rPr>
          <w:i/>
          <w:spacing w:val="-6"/>
        </w:rPr>
        <w:t>Australian Government Public Sector Workplace Relations Policy 2023</w:t>
      </w:r>
      <w:r w:rsidRPr="00507331">
        <w:rPr>
          <w:spacing w:val="-6"/>
        </w:rPr>
        <w:t>.</w:t>
      </w:r>
    </w:p>
    <w:p w14:paraId="26E1674D" w14:textId="1C3A4A56" w:rsidR="009544C9" w:rsidRDefault="009544C9" w:rsidP="00DC4486">
      <w:pPr>
        <w:pStyle w:val="05Paragraph"/>
      </w:pPr>
      <w:r w:rsidRPr="00D90ED6">
        <w:t>—</w:t>
      </w:r>
      <w:r w:rsidRPr="004C462A">
        <w:t>——</w:t>
      </w:r>
      <w:r w:rsidRPr="000F1CA2">
        <w:t xml:space="preserve"> (202</w:t>
      </w:r>
      <w:r>
        <w:t>3</w:t>
      </w:r>
      <w:r w:rsidR="009278DA">
        <w:t>b</w:t>
      </w:r>
      <w:r w:rsidRPr="000F1CA2">
        <w:t xml:space="preserve">), </w:t>
      </w:r>
      <w:r w:rsidRPr="00B834DB">
        <w:rPr>
          <w:i/>
          <w:iCs/>
        </w:rPr>
        <w:t>Australian Public Service Remuneration Report 2022</w:t>
      </w:r>
      <w:r>
        <w:t>.</w:t>
      </w:r>
    </w:p>
    <w:p w14:paraId="4908A238" w14:textId="29E7B209" w:rsidR="00871F18" w:rsidRDefault="00871F18" w:rsidP="00DC4486">
      <w:pPr>
        <w:pStyle w:val="05Paragraph"/>
      </w:pPr>
      <w:r w:rsidRPr="00D90ED6">
        <w:t>—</w:t>
      </w:r>
      <w:r w:rsidRPr="004C462A">
        <w:t>——</w:t>
      </w:r>
      <w:r w:rsidRPr="000F1CA2">
        <w:t xml:space="preserve"> (202</w:t>
      </w:r>
      <w:r>
        <w:t>3</w:t>
      </w:r>
      <w:r w:rsidR="009278DA">
        <w:t>c</w:t>
      </w:r>
      <w:r w:rsidRPr="000F1CA2">
        <w:t xml:space="preserve">), </w:t>
      </w:r>
      <w:r w:rsidRPr="00B834DB">
        <w:rPr>
          <w:i/>
          <w:iCs/>
        </w:rPr>
        <w:t xml:space="preserve">Open letter to Australia Public Service Employees </w:t>
      </w:r>
      <w:r w:rsidR="002D5396" w:rsidRPr="00B834DB">
        <w:rPr>
          <w:i/>
          <w:iCs/>
        </w:rPr>
        <w:t>—</w:t>
      </w:r>
      <w:r w:rsidRPr="00B834DB">
        <w:rPr>
          <w:i/>
          <w:iCs/>
        </w:rPr>
        <w:t xml:space="preserve"> APS bargaining 2023</w:t>
      </w:r>
      <w:r>
        <w:t xml:space="preserve">, </w:t>
      </w:r>
      <w:hyperlink r:id="rId90" w:history="1">
        <w:r w:rsidR="00B543E7" w:rsidRPr="00817778">
          <w:rPr>
            <w:rStyle w:val="Hyperlink"/>
            <w:rFonts w:cs="Calibri Light"/>
          </w:rPr>
          <w:t>https://www.apsc.gov.au/news-and-events/open-letters-australian-public-service/open-letter-australia-public-service-employees-aps-bargaining</w:t>
        </w:r>
      </w:hyperlink>
      <w:r w:rsidR="002D5396">
        <w:t>, last updated 23 November 2023.</w:t>
      </w:r>
    </w:p>
    <w:p w14:paraId="32543052" w14:textId="2FC40805" w:rsidR="00151C3E" w:rsidRDefault="00151C3E" w:rsidP="00DC4486">
      <w:pPr>
        <w:pStyle w:val="05Paragraph"/>
      </w:pPr>
      <w:r w:rsidRPr="00D90ED6">
        <w:lastRenderedPageBreak/>
        <w:t>—</w:t>
      </w:r>
      <w:r w:rsidRPr="004C462A">
        <w:t>——</w:t>
      </w:r>
      <w:r w:rsidRPr="000F1CA2">
        <w:t xml:space="preserve"> (202</w:t>
      </w:r>
      <w:r>
        <w:t>4</w:t>
      </w:r>
      <w:r w:rsidRPr="000F1CA2">
        <w:t xml:space="preserve">), </w:t>
      </w:r>
      <w:r w:rsidRPr="00B834DB">
        <w:rPr>
          <w:i/>
          <w:iCs/>
        </w:rPr>
        <w:t>Senior Executive Service performance</w:t>
      </w:r>
      <w:r>
        <w:t>,</w:t>
      </w:r>
      <w:r w:rsidRPr="00151C3E">
        <w:t xml:space="preserve"> </w:t>
      </w:r>
      <w:hyperlink r:id="rId91" w:history="1">
        <w:r w:rsidRPr="00790A5A">
          <w:rPr>
            <w:rStyle w:val="Hyperlink"/>
            <w:rFonts w:cs="Calibri Light"/>
          </w:rPr>
          <w:t>https://www.apsc.gov.au/working-aps/aps-employees-and-managers/senior-executive-service-ses/ses-performance</w:t>
        </w:r>
      </w:hyperlink>
      <w:r>
        <w:t>, last update</w:t>
      </w:r>
      <w:r w:rsidR="00C4060C">
        <w:t>d</w:t>
      </w:r>
      <w:r>
        <w:t xml:space="preserve"> 29 April 2024.</w:t>
      </w:r>
    </w:p>
    <w:p w14:paraId="75F092AF" w14:textId="6573793C" w:rsidR="00372468" w:rsidRDefault="00372468" w:rsidP="00DC4486">
      <w:pPr>
        <w:pStyle w:val="05Paragraph"/>
      </w:pPr>
      <w:r w:rsidRPr="00D90ED6">
        <w:t>—</w:t>
      </w:r>
      <w:r w:rsidRPr="004C462A">
        <w:t>——</w:t>
      </w:r>
      <w:r w:rsidRPr="000F1CA2">
        <w:t xml:space="preserve"> </w:t>
      </w:r>
      <w:r w:rsidRPr="00372468">
        <w:t>(n</w:t>
      </w:r>
      <w:r>
        <w:t>.</w:t>
      </w:r>
      <w:r w:rsidRPr="00372468">
        <w:t>d</w:t>
      </w:r>
      <w:r>
        <w:t>.</w:t>
      </w:r>
      <w:r w:rsidRPr="00372468">
        <w:t xml:space="preserve">), </w:t>
      </w:r>
      <w:r w:rsidRPr="00B834DB">
        <w:rPr>
          <w:i/>
          <w:iCs/>
        </w:rPr>
        <w:t>SES Performance Leadership Framework</w:t>
      </w:r>
      <w:r w:rsidR="009A62D2">
        <w:t xml:space="preserve">, </w:t>
      </w:r>
      <w:hyperlink r:id="rId92" w:history="1">
        <w:r w:rsidR="009A62D2" w:rsidRPr="00790A5A">
          <w:rPr>
            <w:rStyle w:val="Hyperlink"/>
            <w:rFonts w:cs="Calibri Light"/>
          </w:rPr>
          <w:t>https://www.apsc.gov.au/sites/default/files/2023-08/SES%20performance%</w:t>
        </w:r>
        <w:r w:rsidR="00575B25" w:rsidRPr="00575B25">
          <w:rPr>
            <w:rStyle w:val="Hyperlink"/>
            <w:rFonts w:cs="Calibri Light"/>
          </w:rPr>
          <w:t>20</w:t>
        </w:r>
        <w:r w:rsidR="00575B25" w:rsidRPr="00575B25">
          <w:rPr>
            <w:rStyle w:val="Hyperlink"/>
            <w:rFonts w:cs="Calibri Light"/>
          </w:rPr>
          <w:br/>
          <w:t>leadership</w:t>
        </w:r>
        <w:r w:rsidR="009A62D2" w:rsidRPr="00790A5A">
          <w:rPr>
            <w:rStyle w:val="Hyperlink"/>
            <w:rFonts w:cs="Calibri Light"/>
          </w:rPr>
          <w:t>%20framework.pdf</w:t>
        </w:r>
      </w:hyperlink>
      <w:r w:rsidR="009A62D2">
        <w:t xml:space="preserve">, accessed </w:t>
      </w:r>
      <w:r w:rsidR="00874DF5">
        <w:t>21 June 2024.</w:t>
      </w:r>
    </w:p>
    <w:p w14:paraId="03AE485A" w14:textId="06A167B8" w:rsidR="00F838E1" w:rsidRDefault="00F838E1" w:rsidP="00DC4486">
      <w:pPr>
        <w:pStyle w:val="05Paragraph"/>
      </w:pPr>
      <w:r w:rsidRPr="00F838E1">
        <w:t xml:space="preserve">ASD </w:t>
      </w:r>
      <w:r>
        <w:t xml:space="preserve">(Australian Signals Directorate) </w:t>
      </w:r>
      <w:r w:rsidRPr="00F838E1">
        <w:t xml:space="preserve">(2023), </w:t>
      </w:r>
      <w:r w:rsidRPr="00B834DB">
        <w:rPr>
          <w:i/>
          <w:iCs/>
        </w:rPr>
        <w:t>An introduction to Artificial Intelligence</w:t>
      </w:r>
      <w:r w:rsidRPr="00F838E1">
        <w:t xml:space="preserve">, </w:t>
      </w:r>
      <w:hyperlink r:id="rId93" w:history="1">
        <w:r w:rsidR="001778DF" w:rsidRPr="007A66BA">
          <w:rPr>
            <w:rStyle w:val="Hyperlink"/>
            <w:rFonts w:cs="Calibri Light"/>
          </w:rPr>
          <w:t>https://www.cyber.gov.au/resources-business-and-government/</w:t>
        </w:r>
        <w:r w:rsidR="009F1445" w:rsidRPr="009F1445">
          <w:rPr>
            <w:rStyle w:val="Hyperlink"/>
            <w:rFonts w:cs="Calibri Light"/>
          </w:rPr>
          <w:br/>
        </w:r>
        <w:r w:rsidR="001778DF" w:rsidRPr="007A66BA">
          <w:rPr>
            <w:rStyle w:val="Hyperlink"/>
            <w:rFonts w:cs="Calibri Light"/>
          </w:rPr>
          <w:t>governance-and-user-education/artificial-intelligence/an-introduction-to-artificial-intelligence</w:t>
        </w:r>
      </w:hyperlink>
      <w:r w:rsidR="001778DF">
        <w:t>, last updated 24 Nove</w:t>
      </w:r>
      <w:r w:rsidR="005F25A8">
        <w:t>m</w:t>
      </w:r>
      <w:r w:rsidR="001778DF">
        <w:t>ber 2023</w:t>
      </w:r>
      <w:r w:rsidRPr="00F838E1">
        <w:t>.</w:t>
      </w:r>
    </w:p>
    <w:p w14:paraId="43B4CB0E" w14:textId="0682BFE1" w:rsidR="00B72F80" w:rsidRDefault="00B72F80" w:rsidP="00D1703E">
      <w:pPr>
        <w:pStyle w:val="05Paragraph"/>
        <w:tabs>
          <w:tab w:val="left" w:pos="1560"/>
        </w:tabs>
      </w:pPr>
      <w:r>
        <w:t>Bank for International Settlements (2023),</w:t>
      </w:r>
      <w:r w:rsidRPr="00D90ED6">
        <w:t xml:space="preserve"> ‘Labour markets: what explains the resilience?’</w:t>
      </w:r>
      <w:r w:rsidR="00225D85">
        <w:t xml:space="preserve">, </w:t>
      </w:r>
      <w:hyperlink r:id="rId94" w:history="1">
        <w:r w:rsidR="00B543E7" w:rsidRPr="00817778">
          <w:rPr>
            <w:rStyle w:val="Hyperlink"/>
          </w:rPr>
          <w:t>https://www.bis.org/publ/qtrpdf/r_qt2312f.pdf</w:t>
        </w:r>
      </w:hyperlink>
      <w:r w:rsidR="0055601D">
        <w:t>.</w:t>
      </w:r>
    </w:p>
    <w:p w14:paraId="1B5308F3" w14:textId="22B9FC0C" w:rsidR="00615D2A" w:rsidRDefault="00615D2A" w:rsidP="00DC4486">
      <w:pPr>
        <w:pStyle w:val="05Paragraph"/>
      </w:pPr>
      <w:r w:rsidRPr="00615D2A">
        <w:t xml:space="preserve">Coate </w:t>
      </w:r>
      <w:r w:rsidR="008F0347">
        <w:t>J (</w:t>
      </w:r>
      <w:r w:rsidRPr="00615D2A">
        <w:t>AO</w:t>
      </w:r>
      <w:r w:rsidR="008F0347">
        <w:t xml:space="preserve">) (2020), </w:t>
      </w:r>
      <w:r w:rsidRPr="00B834DB">
        <w:rPr>
          <w:i/>
          <w:iCs/>
        </w:rPr>
        <w:t>COVID-19 Hotel Quarantine Inquiry</w:t>
      </w:r>
      <w:r w:rsidRPr="00615D2A">
        <w:t>, Final Report and Recommendations, Volume I.</w:t>
      </w:r>
    </w:p>
    <w:p w14:paraId="2EA20B00" w14:textId="69A9A344" w:rsidR="005A7880" w:rsidRDefault="00B72F80" w:rsidP="00DC4486">
      <w:pPr>
        <w:pStyle w:val="05Paragraph"/>
      </w:pPr>
      <w:r>
        <w:t xml:space="preserve">Commonwealth of Australia </w:t>
      </w:r>
      <w:r w:rsidR="005A7880" w:rsidRPr="005A7880">
        <w:t xml:space="preserve">(2019), </w:t>
      </w:r>
      <w:r w:rsidR="005A7880" w:rsidRPr="00B834DB">
        <w:rPr>
          <w:i/>
          <w:iCs/>
        </w:rPr>
        <w:t>Our Public Service, Our Future</w:t>
      </w:r>
      <w:r w:rsidR="005A7880" w:rsidRPr="005A7880">
        <w:t>, Independent review of the Australian Public Service</w:t>
      </w:r>
      <w:r w:rsidR="00866620">
        <w:t>.</w:t>
      </w:r>
    </w:p>
    <w:p w14:paraId="09DEACFC" w14:textId="7F242849" w:rsidR="00B72F80" w:rsidRDefault="00866620" w:rsidP="00DC4486">
      <w:pPr>
        <w:pStyle w:val="05Paragraph"/>
      </w:pPr>
      <w:r w:rsidRPr="00D90ED6">
        <w:t>—</w:t>
      </w:r>
      <w:r w:rsidRPr="004C462A">
        <w:t>——</w:t>
      </w:r>
      <w:r>
        <w:t xml:space="preserve"> </w:t>
      </w:r>
      <w:r w:rsidR="00B72F80">
        <w:t>(2023</w:t>
      </w:r>
      <w:r w:rsidR="00CE6151">
        <w:t>a</w:t>
      </w:r>
      <w:r w:rsidR="00B72F80">
        <w:t xml:space="preserve">), </w:t>
      </w:r>
      <w:r w:rsidR="00B72F80" w:rsidRPr="00B834DB">
        <w:rPr>
          <w:i/>
          <w:iCs/>
        </w:rPr>
        <w:t>Migration Strategy</w:t>
      </w:r>
      <w:r w:rsidR="00B72F80">
        <w:t>.</w:t>
      </w:r>
    </w:p>
    <w:p w14:paraId="76DB5BEC" w14:textId="556A1DEE" w:rsidR="008064FF" w:rsidRDefault="008064FF" w:rsidP="00DC4486">
      <w:pPr>
        <w:pStyle w:val="05Paragraph"/>
      </w:pPr>
      <w:r w:rsidRPr="00D90ED6">
        <w:t>—</w:t>
      </w:r>
      <w:r w:rsidRPr="004C462A">
        <w:t>——</w:t>
      </w:r>
      <w:r>
        <w:t xml:space="preserve"> (2023</w:t>
      </w:r>
      <w:r w:rsidR="00CE6151">
        <w:t>b</w:t>
      </w:r>
      <w:r>
        <w:t xml:space="preserve">), </w:t>
      </w:r>
      <w:r w:rsidRPr="00B834DB">
        <w:rPr>
          <w:i/>
          <w:iCs/>
        </w:rPr>
        <w:t>Royal Commission into the Robodebt Scheme</w:t>
      </w:r>
      <w:r w:rsidRPr="008064FF">
        <w:t xml:space="preserve">, </w:t>
      </w:r>
      <w:r w:rsidR="00C1578A">
        <w:t xml:space="preserve">Report, </w:t>
      </w:r>
      <w:r w:rsidRPr="008064FF">
        <w:t>Volume 1</w:t>
      </w:r>
      <w:r w:rsidR="00C1578A">
        <w:t>.</w:t>
      </w:r>
      <w:r w:rsidRPr="008064FF">
        <w:t xml:space="preserve"> </w:t>
      </w:r>
    </w:p>
    <w:p w14:paraId="3E9EEB4E" w14:textId="77777777" w:rsidR="00B72F80" w:rsidRPr="004C462A" w:rsidRDefault="00B72F80" w:rsidP="00DC4486">
      <w:pPr>
        <w:pStyle w:val="05Paragraph"/>
      </w:pPr>
      <w:r w:rsidRPr="00D90ED6">
        <w:t>—</w:t>
      </w:r>
      <w:r w:rsidRPr="004C462A">
        <w:t>——</w:t>
      </w:r>
      <w:r>
        <w:t xml:space="preserve"> (2024), </w:t>
      </w:r>
      <w:r w:rsidRPr="00B834DB">
        <w:rPr>
          <w:i/>
          <w:iCs/>
        </w:rPr>
        <w:t>Budget 2024-25 — Budget Paper No. 1: Budget Strategy and Outlook</w:t>
      </w:r>
      <w:r>
        <w:t>.</w:t>
      </w:r>
    </w:p>
    <w:p w14:paraId="3A97F5DC" w14:textId="5F41ED23" w:rsidR="00BF7381" w:rsidRDefault="00BF7381" w:rsidP="00DC4486">
      <w:pPr>
        <w:pStyle w:val="05Paragraph"/>
      </w:pPr>
      <w:r>
        <w:t>CSIRO (</w:t>
      </w:r>
      <w:r w:rsidRPr="00BF7381">
        <w:t>Commonwealth Scientific and Industrial Research Organisation</w:t>
      </w:r>
      <w:r w:rsidR="008236E6">
        <w:t>) (n.d.)</w:t>
      </w:r>
      <w:r w:rsidRPr="00BF7381">
        <w:t xml:space="preserve">, </w:t>
      </w:r>
      <w:r w:rsidRPr="004657E3">
        <w:rPr>
          <w:i/>
          <w:iCs/>
        </w:rPr>
        <w:t>Spark: A wildfire simulation toolkit for researchers and experts in the disaster resilience field</w:t>
      </w:r>
      <w:r w:rsidRPr="00BF7381">
        <w:t xml:space="preserve">, </w:t>
      </w:r>
      <w:hyperlink r:id="rId95" w:history="1">
        <w:r w:rsidR="00B543E7" w:rsidRPr="00817778">
          <w:rPr>
            <w:rStyle w:val="Hyperlink"/>
          </w:rPr>
          <w:t>https://research.csiro.au/spark/</w:t>
        </w:r>
      </w:hyperlink>
      <w:r w:rsidRPr="00BF7381">
        <w:t>, accessed 9 March 2024.</w:t>
      </w:r>
    </w:p>
    <w:p w14:paraId="71C3A467" w14:textId="418F896D" w:rsidR="001C2B92" w:rsidRDefault="001C2B92" w:rsidP="00DC4486">
      <w:pPr>
        <w:pStyle w:val="05Paragraph"/>
      </w:pPr>
      <w:r>
        <w:t>Deloitte (2022),</w:t>
      </w:r>
      <w:r w:rsidRPr="00B543E7">
        <w:t xml:space="preserve"> </w:t>
      </w:r>
      <w:r w:rsidRPr="00B543E7">
        <w:rPr>
          <w:i/>
          <w:iCs/>
        </w:rPr>
        <w:t>Hybrid hiccups: Moving to distributed work in the public sector</w:t>
      </w:r>
      <w:r w:rsidRPr="00B543E7">
        <w:t xml:space="preserve">, </w:t>
      </w:r>
      <w:hyperlink r:id="rId96" w:history="1">
        <w:r w:rsidRPr="006865AF">
          <w:rPr>
            <w:rStyle w:val="Hyperlink"/>
            <w:rFonts w:cs="Calibri Light"/>
          </w:rPr>
          <w:t>https://www.deloitte.com/global/en/our-thinking/insights/industry/government-public-services/hybrid-work-challenges.html</w:t>
        </w:r>
      </w:hyperlink>
      <w:r>
        <w:t>, 14 January 2022.</w:t>
      </w:r>
    </w:p>
    <w:p w14:paraId="0F7C53F4" w14:textId="0C84DCA1" w:rsidR="00BA40F7" w:rsidRPr="00BA40F7" w:rsidRDefault="00BA40F7" w:rsidP="00DC4486">
      <w:pPr>
        <w:pStyle w:val="05Paragraph"/>
      </w:pPr>
      <w:r w:rsidRPr="00BA40F7">
        <w:t xml:space="preserve">Department of Employment and Workplace Relations (Cth) (2024), </w:t>
      </w:r>
      <w:r w:rsidRPr="004657E3">
        <w:rPr>
          <w:i/>
          <w:iCs/>
        </w:rPr>
        <w:t>Trends in Federal Bargaining — December quarter 2023</w:t>
      </w:r>
      <w:r>
        <w:t>.</w:t>
      </w:r>
    </w:p>
    <w:p w14:paraId="4910CFEF" w14:textId="56258B6D" w:rsidR="001E60B5" w:rsidRDefault="00D776E0" w:rsidP="00DC4486">
      <w:pPr>
        <w:pStyle w:val="05Paragraph"/>
      </w:pPr>
      <w:r>
        <w:t>DE (</w:t>
      </w:r>
      <w:r w:rsidR="001E60B5">
        <w:t xml:space="preserve">Department of Education) </w:t>
      </w:r>
      <w:r w:rsidR="00AD31F5">
        <w:t xml:space="preserve">(2023), </w:t>
      </w:r>
      <w:r w:rsidR="00AD31F5" w:rsidRPr="004657E3">
        <w:rPr>
          <w:i/>
          <w:iCs/>
        </w:rPr>
        <w:t>Annual Report 2022-23</w:t>
      </w:r>
      <w:r w:rsidR="00DA035C">
        <w:t>.</w:t>
      </w:r>
      <w:r w:rsidR="004617DB" w:rsidRPr="004617DB">
        <w:t xml:space="preserve"> </w:t>
      </w:r>
    </w:p>
    <w:p w14:paraId="5F8E58E1" w14:textId="250B83CC" w:rsidR="000855DE" w:rsidRDefault="000855DE" w:rsidP="00DC4486">
      <w:pPr>
        <w:pStyle w:val="05Paragraph"/>
      </w:pPr>
      <w:r w:rsidRPr="00D90ED6">
        <w:lastRenderedPageBreak/>
        <w:t>—</w:t>
      </w:r>
      <w:r w:rsidRPr="004C462A">
        <w:t>——</w:t>
      </w:r>
      <w:r>
        <w:t xml:space="preserve"> (2024),</w:t>
      </w:r>
      <w:r w:rsidR="00A17DBC" w:rsidRPr="00A17DBC">
        <w:t xml:space="preserve"> </w:t>
      </w:r>
      <w:r w:rsidR="00A17DBC" w:rsidRPr="004657E3">
        <w:rPr>
          <w:i/>
          <w:iCs/>
        </w:rPr>
        <w:t>Organisation chart: Department of Education</w:t>
      </w:r>
      <w:r w:rsidR="00A17DBC">
        <w:t xml:space="preserve">, </w:t>
      </w:r>
      <w:hyperlink r:id="rId97" w:history="1">
        <w:r w:rsidR="00A17DBC" w:rsidRPr="00B97608">
          <w:rPr>
            <w:rStyle w:val="Hyperlink"/>
            <w:rFonts w:cs="Calibri Light"/>
          </w:rPr>
          <w:t>https://www.vic.gov.au/organisation-chart-department-education</w:t>
        </w:r>
      </w:hyperlink>
      <w:r w:rsidR="00A17DBC">
        <w:t xml:space="preserve">, last updated </w:t>
      </w:r>
      <w:r w:rsidR="00833FAC">
        <w:t>23 May 2024.</w:t>
      </w:r>
    </w:p>
    <w:p w14:paraId="148DF5A1" w14:textId="186BECE6" w:rsidR="00C756D7" w:rsidRDefault="00910DFF" w:rsidP="00DC4486">
      <w:pPr>
        <w:pStyle w:val="05Paragraph"/>
      </w:pPr>
      <w:r>
        <w:t>DEECA (</w:t>
      </w:r>
      <w:r w:rsidR="001E60B5">
        <w:t>Department of Energy, Environment and Climate Action)</w:t>
      </w:r>
      <w:r w:rsidR="001F7B6B">
        <w:t xml:space="preserve"> (2023</w:t>
      </w:r>
      <w:r w:rsidR="00CE6151">
        <w:t>a</w:t>
      </w:r>
      <w:r w:rsidR="001F7B6B">
        <w:t xml:space="preserve">), </w:t>
      </w:r>
      <w:r w:rsidR="001F7B6B" w:rsidRPr="004657E3">
        <w:rPr>
          <w:i/>
          <w:iCs/>
        </w:rPr>
        <w:t>Annual Report 2022-23</w:t>
      </w:r>
      <w:r w:rsidR="001F7B6B">
        <w:t>.</w:t>
      </w:r>
      <w:r w:rsidR="001E60B5" w:rsidRPr="00962706">
        <w:t xml:space="preserve"> </w:t>
      </w:r>
    </w:p>
    <w:p w14:paraId="1C6B21AB" w14:textId="1A700831" w:rsidR="00AE22E7" w:rsidRDefault="00AE22E7" w:rsidP="00DC4486">
      <w:pPr>
        <w:pStyle w:val="05Paragraph"/>
      </w:pPr>
      <w:r w:rsidRPr="00D90ED6">
        <w:t>—</w:t>
      </w:r>
      <w:r w:rsidRPr="004C462A">
        <w:t>——</w:t>
      </w:r>
      <w:r>
        <w:t xml:space="preserve"> </w:t>
      </w:r>
      <w:r w:rsidRPr="00962706">
        <w:t>(202</w:t>
      </w:r>
      <w:r>
        <w:t>3</w:t>
      </w:r>
      <w:r w:rsidR="00CE6151">
        <w:t>b</w:t>
      </w:r>
      <w:r w:rsidRPr="00962706">
        <w:t>)</w:t>
      </w:r>
      <w:r w:rsidR="001276CA">
        <w:t xml:space="preserve">, </w:t>
      </w:r>
      <w:r w:rsidR="001276CA" w:rsidRPr="004657E3">
        <w:rPr>
          <w:i/>
          <w:iCs/>
        </w:rPr>
        <w:t>Victorian Government action on climate change</w:t>
      </w:r>
      <w:r w:rsidR="001276CA">
        <w:t xml:space="preserve">, </w:t>
      </w:r>
      <w:hyperlink r:id="rId98" w:history="1">
        <w:r w:rsidR="001276CA" w:rsidRPr="00B97608">
          <w:rPr>
            <w:rStyle w:val="Hyperlink"/>
            <w:rFonts w:cs="Calibri Light"/>
          </w:rPr>
          <w:t>https://www.climatechange.vic.gov.au/victorian-government-action-on-climate-change</w:t>
        </w:r>
      </w:hyperlink>
      <w:r w:rsidR="001276CA">
        <w:t>, last updated 16 May 2023.</w:t>
      </w:r>
    </w:p>
    <w:p w14:paraId="7B4E2EF7" w14:textId="49D5C8AC" w:rsidR="001E60B5" w:rsidRDefault="00C756D7" w:rsidP="00DC4486">
      <w:pPr>
        <w:pStyle w:val="05Paragraph"/>
      </w:pPr>
      <w:r w:rsidRPr="00D90ED6">
        <w:t>—</w:t>
      </w:r>
      <w:r w:rsidRPr="004C462A">
        <w:t>——</w:t>
      </w:r>
      <w:r>
        <w:t xml:space="preserve"> </w:t>
      </w:r>
      <w:r w:rsidR="001E60B5" w:rsidRPr="00962706">
        <w:t>(2024</w:t>
      </w:r>
      <w:r w:rsidR="00CE6151">
        <w:t>a</w:t>
      </w:r>
      <w:r w:rsidR="001E60B5" w:rsidRPr="00962706">
        <w:t xml:space="preserve">), </w:t>
      </w:r>
      <w:r w:rsidR="001E60B5" w:rsidRPr="004657E3">
        <w:rPr>
          <w:i/>
          <w:iCs/>
        </w:rPr>
        <w:t>About VicGrid</w:t>
      </w:r>
      <w:r w:rsidR="001E60B5" w:rsidRPr="00962706">
        <w:t xml:space="preserve">, </w:t>
      </w:r>
      <w:hyperlink r:id="rId99" w:history="1">
        <w:r w:rsidR="00D81223" w:rsidRPr="006D174F">
          <w:rPr>
            <w:rStyle w:val="Hyperlink"/>
          </w:rPr>
          <w:t>https://www.energy.vic.gov.au/renewable-energy/vicgrid/about-vicgrid</w:t>
        </w:r>
      </w:hyperlink>
      <w:r w:rsidR="001E60B5" w:rsidRPr="00962706">
        <w:t>, last updated 27 March 2024</w:t>
      </w:r>
      <w:r w:rsidR="001E60B5">
        <w:t>.</w:t>
      </w:r>
    </w:p>
    <w:p w14:paraId="3D1D99DA" w14:textId="09C09692" w:rsidR="00514E2D" w:rsidRPr="00962706" w:rsidRDefault="00514E2D" w:rsidP="00DC4486">
      <w:pPr>
        <w:pStyle w:val="05Paragraph"/>
      </w:pPr>
      <w:r w:rsidRPr="00D90ED6">
        <w:t>—</w:t>
      </w:r>
      <w:r w:rsidRPr="004C462A">
        <w:t>——</w:t>
      </w:r>
      <w:r>
        <w:t xml:space="preserve"> </w:t>
      </w:r>
      <w:r w:rsidRPr="00962706">
        <w:t>(2024</w:t>
      </w:r>
      <w:r w:rsidR="00CE6151">
        <w:t>b</w:t>
      </w:r>
      <w:r w:rsidRPr="00962706">
        <w:t>),</w:t>
      </w:r>
      <w:r>
        <w:t xml:space="preserve"> </w:t>
      </w:r>
      <w:r w:rsidR="003438F3" w:rsidRPr="004657E3">
        <w:rPr>
          <w:i/>
          <w:iCs/>
        </w:rPr>
        <w:t>DEECA organisation chart</w:t>
      </w:r>
      <w:r w:rsidR="00241EFA">
        <w:t xml:space="preserve">, </w:t>
      </w:r>
      <w:hyperlink r:id="rId100" w:history="1">
        <w:r w:rsidR="00E0285F" w:rsidRPr="00817778">
          <w:rPr>
            <w:rStyle w:val="Hyperlink"/>
          </w:rPr>
          <w:t>https://www.deeca.vic.gov.au/__data/</w:t>
        </w:r>
        <w:r w:rsidR="00E0285F" w:rsidRPr="00817778">
          <w:rPr>
            <w:rStyle w:val="Hyperlink"/>
          </w:rPr>
          <w:br/>
          <w:t>assets/pdf_file/0013/613111/DEECAOrgChart.pdf</w:t>
        </w:r>
      </w:hyperlink>
      <w:r w:rsidR="00241EFA">
        <w:t xml:space="preserve">, </w:t>
      </w:r>
      <w:r w:rsidR="00241EFA" w:rsidRPr="003376E1">
        <w:rPr>
          <w:spacing w:val="-2"/>
        </w:rPr>
        <w:t xml:space="preserve">last updated </w:t>
      </w:r>
      <w:r w:rsidR="004C5309" w:rsidRPr="003376E1">
        <w:rPr>
          <w:spacing w:val="-2"/>
        </w:rPr>
        <w:t>1 March 2024</w:t>
      </w:r>
      <w:r w:rsidR="00241EFA" w:rsidRPr="003376E1">
        <w:rPr>
          <w:spacing w:val="-2"/>
        </w:rPr>
        <w:t>.</w:t>
      </w:r>
    </w:p>
    <w:p w14:paraId="22EF29CF" w14:textId="5209F802" w:rsidR="00665C63" w:rsidRDefault="00665C63" w:rsidP="00DC4486">
      <w:pPr>
        <w:pStyle w:val="05Paragraph"/>
      </w:pPr>
      <w:r w:rsidRPr="00D90ED6">
        <w:t>—</w:t>
      </w:r>
      <w:r w:rsidRPr="004C462A">
        <w:t>——</w:t>
      </w:r>
      <w:r>
        <w:t xml:space="preserve"> </w:t>
      </w:r>
      <w:r w:rsidRPr="00962706">
        <w:t>(2024</w:t>
      </w:r>
      <w:r w:rsidR="00CE6151">
        <w:t>c</w:t>
      </w:r>
      <w:r w:rsidRPr="00962706">
        <w:t>),</w:t>
      </w:r>
      <w:r w:rsidR="00963C4E">
        <w:t xml:space="preserve"> </w:t>
      </w:r>
      <w:r w:rsidR="00963C4E" w:rsidRPr="004657E3">
        <w:rPr>
          <w:i/>
          <w:iCs/>
        </w:rPr>
        <w:t>Our Min</w:t>
      </w:r>
      <w:r w:rsidR="0074080B" w:rsidRPr="004657E3">
        <w:rPr>
          <w:i/>
          <w:iCs/>
        </w:rPr>
        <w:t>i</w:t>
      </w:r>
      <w:r w:rsidR="00963C4E" w:rsidRPr="004657E3">
        <w:rPr>
          <w:i/>
          <w:iCs/>
        </w:rPr>
        <w:t>sters</w:t>
      </w:r>
      <w:r w:rsidR="00963C4E">
        <w:t xml:space="preserve">, </w:t>
      </w:r>
      <w:hyperlink r:id="rId101" w:history="1">
        <w:r w:rsidR="00963C4E" w:rsidRPr="00B97608">
          <w:rPr>
            <w:rStyle w:val="Hyperlink"/>
            <w:rFonts w:cs="Calibri Light"/>
          </w:rPr>
          <w:t>https://www.deeca.vic.gov.au/our-department/</w:t>
        </w:r>
        <w:r w:rsidR="003C0B5A" w:rsidRPr="003C0B5A">
          <w:rPr>
            <w:rStyle w:val="Hyperlink"/>
            <w:rFonts w:cs="Calibri Light"/>
          </w:rPr>
          <w:br/>
        </w:r>
        <w:r w:rsidR="00963C4E" w:rsidRPr="00B97608">
          <w:rPr>
            <w:rStyle w:val="Hyperlink"/>
            <w:rFonts w:cs="Calibri Light"/>
          </w:rPr>
          <w:t>our-ministers</w:t>
        </w:r>
      </w:hyperlink>
      <w:r w:rsidR="00963C4E">
        <w:t>, last updated 25 January 2024.</w:t>
      </w:r>
    </w:p>
    <w:p w14:paraId="7A0F521B" w14:textId="62DA9FCC" w:rsidR="00ED5DED" w:rsidRDefault="00D776E0" w:rsidP="00DC4486">
      <w:pPr>
        <w:pStyle w:val="05Paragraph"/>
      </w:pPr>
      <w:r>
        <w:t>DFFH (</w:t>
      </w:r>
      <w:r w:rsidR="00122986">
        <w:t xml:space="preserve">Department of Families, Fairness and Housing) </w:t>
      </w:r>
      <w:r w:rsidR="00ED5DED">
        <w:t>(2022)</w:t>
      </w:r>
      <w:r w:rsidR="00666495">
        <w:t xml:space="preserve">, </w:t>
      </w:r>
      <w:r w:rsidR="00666495" w:rsidRPr="004657E3">
        <w:rPr>
          <w:i/>
          <w:iCs/>
        </w:rPr>
        <w:t>Free from Violence – Second Action Plan 2022–2025</w:t>
      </w:r>
      <w:r w:rsidR="00666495">
        <w:t xml:space="preserve">, </w:t>
      </w:r>
      <w:hyperlink r:id="rId102" w:history="1">
        <w:r w:rsidR="00666495" w:rsidRPr="00B97608">
          <w:rPr>
            <w:rStyle w:val="Hyperlink"/>
            <w:rFonts w:cs="Calibri Light"/>
          </w:rPr>
          <w:t>https://www.vic.gov.au/free-violence-second-action-plan-2022-2025</w:t>
        </w:r>
      </w:hyperlink>
      <w:r w:rsidR="00666495">
        <w:t>, last updated 1 June 2022.</w:t>
      </w:r>
    </w:p>
    <w:p w14:paraId="4709FB03" w14:textId="7363314B" w:rsidR="00122986" w:rsidRDefault="00ED5DED" w:rsidP="00DC4486">
      <w:pPr>
        <w:pStyle w:val="05Paragraph"/>
      </w:pPr>
      <w:r w:rsidRPr="00D90ED6">
        <w:t>—</w:t>
      </w:r>
      <w:r w:rsidRPr="004C462A">
        <w:t>——</w:t>
      </w:r>
      <w:r>
        <w:t xml:space="preserve"> </w:t>
      </w:r>
      <w:r w:rsidR="00122986">
        <w:t>(2023</w:t>
      </w:r>
      <w:r w:rsidR="00CE6151">
        <w:t>a</w:t>
      </w:r>
      <w:r w:rsidR="00122986">
        <w:t xml:space="preserve">), </w:t>
      </w:r>
      <w:r w:rsidR="00122986" w:rsidRPr="004657E3">
        <w:rPr>
          <w:i/>
          <w:iCs/>
        </w:rPr>
        <w:t>Annual Report 2022-23</w:t>
      </w:r>
      <w:r w:rsidR="00122986">
        <w:t xml:space="preserve">. </w:t>
      </w:r>
    </w:p>
    <w:p w14:paraId="27567496" w14:textId="7BC35035" w:rsidR="007809BA" w:rsidRDefault="007809BA" w:rsidP="00DC4486">
      <w:pPr>
        <w:pStyle w:val="05Paragraph"/>
      </w:pPr>
      <w:r w:rsidRPr="00D90ED6">
        <w:t>—</w:t>
      </w:r>
      <w:r w:rsidRPr="004C462A">
        <w:t>——</w:t>
      </w:r>
      <w:r>
        <w:t xml:space="preserve"> (2023</w:t>
      </w:r>
      <w:r w:rsidR="00CE6151">
        <w:t>b</w:t>
      </w:r>
      <w:r>
        <w:t xml:space="preserve">), </w:t>
      </w:r>
      <w:r w:rsidRPr="004657E3">
        <w:rPr>
          <w:i/>
          <w:iCs/>
        </w:rPr>
        <w:t>Intr</w:t>
      </w:r>
      <w:r w:rsidR="00707EFD" w:rsidRPr="004657E3">
        <w:rPr>
          <w:i/>
          <w:iCs/>
        </w:rPr>
        <w:t>o</w:t>
      </w:r>
      <w:r w:rsidRPr="004657E3">
        <w:rPr>
          <w:i/>
          <w:iCs/>
        </w:rPr>
        <w:t>duction —</w:t>
      </w:r>
      <w:r w:rsidR="00964B55" w:rsidRPr="004657E3">
        <w:rPr>
          <w:i/>
          <w:iCs/>
        </w:rPr>
        <w:t xml:space="preserve"> </w:t>
      </w:r>
      <w:r w:rsidRPr="004657E3">
        <w:rPr>
          <w:i/>
          <w:iCs/>
        </w:rPr>
        <w:t>Our equal state</w:t>
      </w:r>
      <w:r>
        <w:t xml:space="preserve">, </w:t>
      </w:r>
      <w:hyperlink r:id="rId103" w:history="1">
        <w:r w:rsidR="00707EFD" w:rsidRPr="006865AF">
          <w:rPr>
            <w:rStyle w:val="Hyperlink"/>
            <w:rFonts w:cs="Calibri Light"/>
          </w:rPr>
          <w:t>https://www.vic.gov.au/our-equal-state-victorias-gender-equality-strategy-and-action-plan-2023-2027/introduction-our-equal-state</w:t>
        </w:r>
      </w:hyperlink>
      <w:r w:rsidR="00707EFD">
        <w:t>, last update</w:t>
      </w:r>
      <w:r w:rsidR="00CE6151">
        <w:t>d</w:t>
      </w:r>
      <w:r w:rsidR="00707EFD">
        <w:t xml:space="preserve"> 24 August 2023.</w:t>
      </w:r>
    </w:p>
    <w:p w14:paraId="0C706177" w14:textId="54F58720" w:rsidR="00941BD8" w:rsidRDefault="00941BD8" w:rsidP="00DC4486">
      <w:pPr>
        <w:pStyle w:val="05Paragraph"/>
      </w:pPr>
      <w:r w:rsidRPr="00D90ED6">
        <w:t>—</w:t>
      </w:r>
      <w:r w:rsidRPr="004C462A">
        <w:t>——</w:t>
      </w:r>
      <w:r>
        <w:t xml:space="preserve"> </w:t>
      </w:r>
      <w:r w:rsidRPr="00962706">
        <w:t>(2024</w:t>
      </w:r>
      <w:r w:rsidR="00EC2E6F">
        <w:t>a</w:t>
      </w:r>
      <w:r w:rsidRPr="00962706">
        <w:t>)</w:t>
      </w:r>
      <w:r>
        <w:t xml:space="preserve">, </w:t>
      </w:r>
      <w:r w:rsidR="000A25C0" w:rsidRPr="001D6029">
        <w:rPr>
          <w:i/>
          <w:iCs/>
        </w:rPr>
        <w:t>Department of Families, Fairness and Housing</w:t>
      </w:r>
      <w:r w:rsidR="000A25C0">
        <w:t xml:space="preserve">, </w:t>
      </w:r>
      <w:hyperlink r:id="rId104" w:history="1">
        <w:r w:rsidR="000A25C0" w:rsidRPr="00B97608">
          <w:rPr>
            <w:rStyle w:val="Hyperlink"/>
            <w:rFonts w:cs="Calibri Light"/>
          </w:rPr>
          <w:t>https://www.dffh.vic.gov.au/</w:t>
        </w:r>
      </w:hyperlink>
      <w:r w:rsidR="000A25C0">
        <w:t>, last updated 1 February 2024.</w:t>
      </w:r>
    </w:p>
    <w:p w14:paraId="6B65A219" w14:textId="4C625706" w:rsidR="007C5F39" w:rsidRDefault="007C5F39" w:rsidP="00DC4486">
      <w:pPr>
        <w:pStyle w:val="05Paragraph"/>
      </w:pPr>
      <w:r w:rsidRPr="00D90ED6">
        <w:t>—</w:t>
      </w:r>
      <w:r w:rsidRPr="004C462A">
        <w:t>——</w:t>
      </w:r>
      <w:r>
        <w:t xml:space="preserve"> </w:t>
      </w:r>
      <w:r w:rsidRPr="00962706">
        <w:t>(2024</w:t>
      </w:r>
      <w:r w:rsidR="00EC2E6F">
        <w:t>b</w:t>
      </w:r>
      <w:r w:rsidRPr="00962706">
        <w:t>),</w:t>
      </w:r>
      <w:r>
        <w:t xml:space="preserve"> </w:t>
      </w:r>
      <w:r w:rsidRPr="001D6029">
        <w:rPr>
          <w:i/>
          <w:iCs/>
        </w:rPr>
        <w:t>Our structure</w:t>
      </w:r>
      <w:r>
        <w:t xml:space="preserve">, </w:t>
      </w:r>
      <w:hyperlink r:id="rId105" w:history="1">
        <w:r w:rsidR="00EA3E2F" w:rsidRPr="00B97608">
          <w:rPr>
            <w:rStyle w:val="Hyperlink"/>
            <w:rFonts w:cs="Calibri Light"/>
          </w:rPr>
          <w:t>https://www.dffh.vic.gov.au/our-structure</w:t>
        </w:r>
      </w:hyperlink>
      <w:r w:rsidR="00EA3E2F">
        <w:t>, last updated 6 May 2024.</w:t>
      </w:r>
    </w:p>
    <w:p w14:paraId="6CADD894" w14:textId="589ACD75" w:rsidR="00964B55" w:rsidRDefault="00964B55" w:rsidP="00DC4486">
      <w:pPr>
        <w:pStyle w:val="05Paragraph"/>
      </w:pPr>
      <w:r w:rsidRPr="00D90ED6">
        <w:t>—</w:t>
      </w:r>
      <w:r w:rsidRPr="004C462A">
        <w:t>——</w:t>
      </w:r>
      <w:r>
        <w:t xml:space="preserve"> </w:t>
      </w:r>
      <w:r w:rsidRPr="00962706">
        <w:t>(</w:t>
      </w:r>
      <w:r>
        <w:t>n.d</w:t>
      </w:r>
      <w:r w:rsidR="00124468">
        <w:t>.</w:t>
      </w:r>
      <w:r w:rsidRPr="00962706">
        <w:t>),</w:t>
      </w:r>
      <w:r>
        <w:t xml:space="preserve"> </w:t>
      </w:r>
      <w:r w:rsidRPr="001D6029">
        <w:rPr>
          <w:i/>
          <w:iCs/>
        </w:rPr>
        <w:t>Our Ministers</w:t>
      </w:r>
      <w:r>
        <w:t xml:space="preserve">, </w:t>
      </w:r>
      <w:hyperlink r:id="rId106" w:history="1">
        <w:r w:rsidRPr="00B97608">
          <w:rPr>
            <w:rStyle w:val="Hyperlink"/>
            <w:rFonts w:cs="Calibri Light"/>
          </w:rPr>
          <w:t>https://www.dffh.vic.gov.au/publications/our-ministers</w:t>
        </w:r>
      </w:hyperlink>
      <w:r>
        <w:t xml:space="preserve">, </w:t>
      </w:r>
      <w:r w:rsidRPr="007A2D6C">
        <w:t>accessed 7 June 2024</w:t>
      </w:r>
      <w:r>
        <w:t>.</w:t>
      </w:r>
    </w:p>
    <w:p w14:paraId="42CDAB52" w14:textId="5613E10D" w:rsidR="008A7395" w:rsidRDefault="00BF027A" w:rsidP="00DC4486">
      <w:pPr>
        <w:pStyle w:val="05Paragraph"/>
      </w:pPr>
      <w:r>
        <w:t>DGS (</w:t>
      </w:r>
      <w:r w:rsidR="001E60B5" w:rsidRPr="00962706">
        <w:t>Department of Government Services</w:t>
      </w:r>
      <w:r w:rsidR="001E60B5">
        <w:t xml:space="preserve">) </w:t>
      </w:r>
      <w:r w:rsidR="008A7395">
        <w:t xml:space="preserve">(2023), </w:t>
      </w:r>
      <w:r w:rsidR="008A7395" w:rsidRPr="001D6029">
        <w:rPr>
          <w:i/>
          <w:iCs/>
        </w:rPr>
        <w:t>Annual Report 2022-23</w:t>
      </w:r>
      <w:r w:rsidR="008A7395">
        <w:t>.</w:t>
      </w:r>
      <w:r w:rsidR="0057133B">
        <w:t xml:space="preserve"> </w:t>
      </w:r>
    </w:p>
    <w:p w14:paraId="0258F401" w14:textId="5F66DA45" w:rsidR="00BF6264" w:rsidRDefault="00077A86" w:rsidP="00DC4486">
      <w:pPr>
        <w:pStyle w:val="05Paragraph"/>
      </w:pPr>
      <w:r w:rsidRPr="00D90ED6">
        <w:t>—</w:t>
      </w:r>
      <w:r w:rsidRPr="004C462A">
        <w:t>——</w:t>
      </w:r>
      <w:r>
        <w:t xml:space="preserve"> </w:t>
      </w:r>
      <w:r w:rsidRPr="00962706">
        <w:t>(2024</w:t>
      </w:r>
      <w:r w:rsidR="00FC7BDB">
        <w:t>a</w:t>
      </w:r>
      <w:r w:rsidRPr="00962706">
        <w:t>)</w:t>
      </w:r>
      <w:r>
        <w:t>,</w:t>
      </w:r>
      <w:r w:rsidR="005710DA" w:rsidRPr="005710DA">
        <w:t xml:space="preserve"> </w:t>
      </w:r>
      <w:r w:rsidR="005710DA" w:rsidRPr="001D6029">
        <w:rPr>
          <w:i/>
          <w:iCs/>
        </w:rPr>
        <w:t>Department of Government Services</w:t>
      </w:r>
      <w:r w:rsidR="005710DA">
        <w:t xml:space="preserve">, </w:t>
      </w:r>
      <w:hyperlink r:id="rId107" w:history="1">
        <w:r w:rsidR="005710DA" w:rsidRPr="00B97608">
          <w:rPr>
            <w:rStyle w:val="Hyperlink"/>
            <w:rFonts w:cs="Calibri Light"/>
          </w:rPr>
          <w:t>https://www.vic.gov.au/department-government-services</w:t>
        </w:r>
      </w:hyperlink>
      <w:r w:rsidR="005710DA" w:rsidRPr="00507331">
        <w:rPr>
          <w:spacing w:val="-4"/>
        </w:rPr>
        <w:t xml:space="preserve">, </w:t>
      </w:r>
      <w:r w:rsidR="004232CC" w:rsidRPr="00507331">
        <w:rPr>
          <w:spacing w:val="-4"/>
        </w:rPr>
        <w:t xml:space="preserve">last </w:t>
      </w:r>
      <w:r w:rsidR="005710DA" w:rsidRPr="00507331">
        <w:rPr>
          <w:spacing w:val="-4"/>
        </w:rPr>
        <w:t>updated 2</w:t>
      </w:r>
      <w:r w:rsidR="00DB232D">
        <w:rPr>
          <w:spacing w:val="-4"/>
        </w:rPr>
        <w:t> </w:t>
      </w:r>
      <w:r w:rsidR="005710DA" w:rsidRPr="00507331">
        <w:rPr>
          <w:spacing w:val="-4"/>
        </w:rPr>
        <w:t>May</w:t>
      </w:r>
      <w:r w:rsidR="006B7056">
        <w:rPr>
          <w:spacing w:val="-4"/>
        </w:rPr>
        <w:t> </w:t>
      </w:r>
      <w:r w:rsidR="005710DA" w:rsidRPr="00507331">
        <w:rPr>
          <w:spacing w:val="-4"/>
        </w:rPr>
        <w:t>2024.</w:t>
      </w:r>
    </w:p>
    <w:p w14:paraId="678EDE2A" w14:textId="23C33E2E" w:rsidR="00077A86" w:rsidRDefault="00BF6264" w:rsidP="00DC4486">
      <w:pPr>
        <w:pStyle w:val="05Paragraph"/>
      </w:pPr>
      <w:r w:rsidRPr="00D90ED6">
        <w:lastRenderedPageBreak/>
        <w:t>—</w:t>
      </w:r>
      <w:r w:rsidRPr="004C462A">
        <w:t>——</w:t>
      </w:r>
      <w:r>
        <w:t xml:space="preserve"> </w:t>
      </w:r>
      <w:r w:rsidRPr="00962706">
        <w:t>(2024</w:t>
      </w:r>
      <w:r w:rsidR="00FC7BDB">
        <w:t>b</w:t>
      </w:r>
      <w:r w:rsidRPr="00962706">
        <w:t>)</w:t>
      </w:r>
      <w:r>
        <w:t>,</w:t>
      </w:r>
      <w:r w:rsidR="00077A86">
        <w:t xml:space="preserve"> </w:t>
      </w:r>
      <w:r w:rsidR="00077A86" w:rsidRPr="001D6029">
        <w:rPr>
          <w:i/>
          <w:iCs/>
        </w:rPr>
        <w:t>DGS ministers</w:t>
      </w:r>
      <w:r w:rsidR="00077A86">
        <w:t xml:space="preserve">, </w:t>
      </w:r>
      <w:hyperlink r:id="rId108" w:history="1">
        <w:r w:rsidR="006F15F5" w:rsidRPr="00B97608">
          <w:rPr>
            <w:rStyle w:val="Hyperlink"/>
            <w:rFonts w:cs="Calibri Light"/>
          </w:rPr>
          <w:t>https://www.vic.gov.au/dgs-ministers</w:t>
        </w:r>
      </w:hyperlink>
      <w:r w:rsidR="006F15F5">
        <w:t>, last updated 2 May 2024.</w:t>
      </w:r>
    </w:p>
    <w:p w14:paraId="2D94E41A" w14:textId="7E951C34" w:rsidR="0002212F" w:rsidRDefault="0002212F" w:rsidP="00DC4486">
      <w:pPr>
        <w:pStyle w:val="05Paragraph"/>
      </w:pPr>
      <w:r w:rsidRPr="00D90ED6">
        <w:t>—</w:t>
      </w:r>
      <w:r w:rsidRPr="004C462A">
        <w:t>——</w:t>
      </w:r>
      <w:r>
        <w:t xml:space="preserve"> </w:t>
      </w:r>
      <w:r w:rsidRPr="00962706">
        <w:t>(2024</w:t>
      </w:r>
      <w:r w:rsidR="00FC7BDB">
        <w:t>c</w:t>
      </w:r>
      <w:r w:rsidRPr="00962706">
        <w:t>)</w:t>
      </w:r>
      <w:r>
        <w:t xml:space="preserve">, </w:t>
      </w:r>
      <w:r w:rsidRPr="001D6029">
        <w:rPr>
          <w:i/>
          <w:iCs/>
        </w:rPr>
        <w:t>DGS people and structure</w:t>
      </w:r>
      <w:r w:rsidR="00B41609">
        <w:t xml:space="preserve">, </w:t>
      </w:r>
      <w:hyperlink r:id="rId109" w:history="1">
        <w:r w:rsidR="00B41609" w:rsidRPr="00B97608">
          <w:rPr>
            <w:rStyle w:val="Hyperlink"/>
            <w:rFonts w:cs="Calibri Light"/>
          </w:rPr>
          <w:t>https://www.vic.gov.au/dgs-people-and-structure</w:t>
        </w:r>
      </w:hyperlink>
      <w:r w:rsidR="00B41609">
        <w:t>, last updated 2 May 2024.</w:t>
      </w:r>
    </w:p>
    <w:p w14:paraId="016CABED" w14:textId="645BCB19" w:rsidR="001E60B5" w:rsidRDefault="008A7395" w:rsidP="00DC4486">
      <w:pPr>
        <w:pStyle w:val="05Paragraph"/>
      </w:pPr>
      <w:r w:rsidRPr="00D90ED6">
        <w:t>—</w:t>
      </w:r>
      <w:r w:rsidRPr="004C462A">
        <w:t>——</w:t>
      </w:r>
      <w:r>
        <w:t xml:space="preserve"> </w:t>
      </w:r>
      <w:r w:rsidR="001E60B5" w:rsidRPr="00962706">
        <w:t>(2024</w:t>
      </w:r>
      <w:r w:rsidR="00FC7BDB">
        <w:t>d</w:t>
      </w:r>
      <w:r w:rsidR="001E60B5" w:rsidRPr="00962706">
        <w:t xml:space="preserve">), </w:t>
      </w:r>
      <w:r w:rsidR="001E60B5" w:rsidRPr="001D6029">
        <w:rPr>
          <w:i/>
          <w:iCs/>
        </w:rPr>
        <w:t>DGS portfolios, entities and agencies</w:t>
      </w:r>
      <w:r w:rsidR="001E60B5" w:rsidRPr="00962706">
        <w:t xml:space="preserve">, </w:t>
      </w:r>
      <w:hyperlink r:id="rId110" w:anchor="service-victoria" w:history="1">
        <w:r w:rsidR="00911700" w:rsidRPr="006D174F">
          <w:rPr>
            <w:rStyle w:val="Hyperlink"/>
          </w:rPr>
          <w:t>https://www.vic.gov.au/dgs-portfolios-entities-and-agencies#service-victoria</w:t>
        </w:r>
      </w:hyperlink>
      <w:r w:rsidR="001E60B5" w:rsidRPr="00962706">
        <w:t xml:space="preserve">, </w:t>
      </w:r>
      <w:r w:rsidR="00911700">
        <w:t xml:space="preserve">last </w:t>
      </w:r>
      <w:r w:rsidR="001E60B5" w:rsidRPr="00962706">
        <w:t>updated 2 May 2024</w:t>
      </w:r>
      <w:r w:rsidR="001E60B5">
        <w:t>.</w:t>
      </w:r>
    </w:p>
    <w:p w14:paraId="59E5697B" w14:textId="492ACD9A" w:rsidR="0057133B" w:rsidRDefault="00C54B47" w:rsidP="00DC4486">
      <w:pPr>
        <w:pStyle w:val="05Paragraph"/>
      </w:pPr>
      <w:r>
        <w:t>DH (</w:t>
      </w:r>
      <w:r w:rsidR="00E9247E">
        <w:t xml:space="preserve">Department of Health) (2023), </w:t>
      </w:r>
      <w:r w:rsidR="00E9247E" w:rsidRPr="001D6029">
        <w:rPr>
          <w:i/>
          <w:iCs/>
        </w:rPr>
        <w:t>Annual Report 2022-23</w:t>
      </w:r>
      <w:r w:rsidR="00E9247E" w:rsidRPr="006F45B4">
        <w:t>.</w:t>
      </w:r>
      <w:r w:rsidR="00E71DBE" w:rsidRPr="006F45B4">
        <w:t xml:space="preserve"> </w:t>
      </w:r>
    </w:p>
    <w:p w14:paraId="7E9791D7" w14:textId="638062A3" w:rsidR="00B45D29" w:rsidRDefault="00B45D29" w:rsidP="00DC4486">
      <w:pPr>
        <w:pStyle w:val="05Paragraph"/>
      </w:pPr>
      <w:r w:rsidRPr="00D90ED6">
        <w:t>—</w:t>
      </w:r>
      <w:r w:rsidRPr="004C462A">
        <w:t>——</w:t>
      </w:r>
      <w:r>
        <w:t xml:space="preserve"> </w:t>
      </w:r>
      <w:r w:rsidRPr="00962706">
        <w:t>(2024</w:t>
      </w:r>
      <w:r w:rsidR="00FC7BDB">
        <w:t>a</w:t>
      </w:r>
      <w:r w:rsidRPr="00962706">
        <w:t>)</w:t>
      </w:r>
      <w:r>
        <w:t xml:space="preserve">, </w:t>
      </w:r>
      <w:r w:rsidR="00E72CCA" w:rsidRPr="001D6029">
        <w:rPr>
          <w:i/>
          <w:iCs/>
        </w:rPr>
        <w:t>About the final report of the Royal Commission into Victoria’s Mental Health System</w:t>
      </w:r>
      <w:r w:rsidR="00E72CCA">
        <w:t xml:space="preserve">, </w:t>
      </w:r>
      <w:hyperlink r:id="rId111" w:history="1">
        <w:r w:rsidR="00E72CCA" w:rsidRPr="00B97608">
          <w:rPr>
            <w:rStyle w:val="Hyperlink"/>
            <w:rFonts w:cs="Calibri Light"/>
          </w:rPr>
          <w:t>https://www.health.vic.gov.au/mental-health-reform/about-the-final-report-of-the-royal-commission-into-victorias-mental-health</w:t>
        </w:r>
      </w:hyperlink>
      <w:r w:rsidR="00E72CCA">
        <w:t xml:space="preserve">, </w:t>
      </w:r>
      <w:r w:rsidR="00911700">
        <w:t xml:space="preserve">last </w:t>
      </w:r>
      <w:r w:rsidR="00E72CCA">
        <w:t>reviewed 1 February 2024.</w:t>
      </w:r>
    </w:p>
    <w:p w14:paraId="633B1BA0" w14:textId="49A75A86" w:rsidR="002C433B" w:rsidRDefault="002C433B" w:rsidP="00DC4486">
      <w:pPr>
        <w:pStyle w:val="05Paragraph"/>
      </w:pPr>
      <w:r w:rsidRPr="00D90ED6">
        <w:t>—</w:t>
      </w:r>
      <w:r w:rsidRPr="004C462A">
        <w:t>——</w:t>
      </w:r>
      <w:r>
        <w:t xml:space="preserve"> </w:t>
      </w:r>
      <w:r w:rsidRPr="00962706">
        <w:t>(2024</w:t>
      </w:r>
      <w:r w:rsidR="00FC7BDB">
        <w:t>b</w:t>
      </w:r>
      <w:r w:rsidRPr="00962706">
        <w:t>),</w:t>
      </w:r>
      <w:r>
        <w:t xml:space="preserve"> </w:t>
      </w:r>
      <w:r w:rsidRPr="001D6029">
        <w:rPr>
          <w:i/>
          <w:iCs/>
        </w:rPr>
        <w:t>Our Ministers</w:t>
      </w:r>
      <w:r>
        <w:t xml:space="preserve">, </w:t>
      </w:r>
      <w:hyperlink r:id="rId112" w:history="1">
        <w:r w:rsidR="00400593" w:rsidRPr="00B97608">
          <w:rPr>
            <w:rStyle w:val="Hyperlink"/>
            <w:rFonts w:cs="Calibri Light"/>
          </w:rPr>
          <w:t>https://www.health.vic.gov.au/our-ministers</w:t>
        </w:r>
      </w:hyperlink>
      <w:r w:rsidR="00400593">
        <w:t xml:space="preserve">, </w:t>
      </w:r>
      <w:r w:rsidR="00911700">
        <w:t xml:space="preserve">last </w:t>
      </w:r>
      <w:r w:rsidR="00400593">
        <w:t>reviewed 30 May 2024.</w:t>
      </w:r>
    </w:p>
    <w:p w14:paraId="4D8DCD73" w14:textId="4ABCCF20" w:rsidR="00C54B47" w:rsidRDefault="00CD028E" w:rsidP="00DC4486">
      <w:pPr>
        <w:pStyle w:val="05Paragraph"/>
      </w:pPr>
      <w:r w:rsidRPr="00D90ED6">
        <w:t>—</w:t>
      </w:r>
      <w:r w:rsidRPr="004C462A">
        <w:t>——</w:t>
      </w:r>
      <w:r>
        <w:t xml:space="preserve"> </w:t>
      </w:r>
      <w:r w:rsidRPr="00962706">
        <w:t>(2024</w:t>
      </w:r>
      <w:r w:rsidR="00FC7BDB">
        <w:t>c</w:t>
      </w:r>
      <w:r w:rsidRPr="00962706">
        <w:t>),</w:t>
      </w:r>
      <w:r>
        <w:t xml:space="preserve"> </w:t>
      </w:r>
      <w:r w:rsidR="00C54B47" w:rsidRPr="001D6029">
        <w:rPr>
          <w:i/>
          <w:iCs/>
        </w:rPr>
        <w:t xml:space="preserve">Senior management structure of the </w:t>
      </w:r>
      <w:r w:rsidR="004240F9" w:rsidRPr="001D6029">
        <w:rPr>
          <w:i/>
          <w:iCs/>
        </w:rPr>
        <w:t>Department of Health</w:t>
      </w:r>
      <w:r w:rsidR="004240F9">
        <w:t xml:space="preserve">, </w:t>
      </w:r>
      <w:hyperlink r:id="rId113" w:history="1">
        <w:r w:rsidR="004240F9" w:rsidRPr="00066802">
          <w:rPr>
            <w:rStyle w:val="Hyperlink"/>
            <w:rFonts w:cs="Calibri Light"/>
          </w:rPr>
          <w:t>https://www.health.vic.gov.au/sites/default/files/2024-06/dh-senior-org-chart-june-2024.pdf</w:t>
        </w:r>
      </w:hyperlink>
      <w:r w:rsidR="004240F9">
        <w:t xml:space="preserve">, </w:t>
      </w:r>
      <w:r w:rsidR="00183BE9">
        <w:t xml:space="preserve">last </w:t>
      </w:r>
      <w:r w:rsidR="004240F9">
        <w:t>updated 6 June 2024.</w:t>
      </w:r>
    </w:p>
    <w:p w14:paraId="04B1DB45" w14:textId="75764983" w:rsidR="002456AA" w:rsidRPr="00E0285F" w:rsidRDefault="002456AA" w:rsidP="002456AA">
      <w:pPr>
        <w:pStyle w:val="05Paragraph"/>
        <w:rPr>
          <w:spacing w:val="-2"/>
        </w:rPr>
      </w:pPr>
      <w:r w:rsidRPr="00E0285F">
        <w:rPr>
          <w:spacing w:val="-2"/>
        </w:rPr>
        <w:t xml:space="preserve">DJCS (Department of Justice and Community </w:t>
      </w:r>
      <w:r w:rsidR="00207AAC" w:rsidRPr="00E0285F">
        <w:rPr>
          <w:spacing w:val="-2"/>
        </w:rPr>
        <w:t>Safety</w:t>
      </w:r>
      <w:r w:rsidRPr="00E0285F">
        <w:rPr>
          <w:spacing w:val="-2"/>
        </w:rPr>
        <w:t xml:space="preserve">) (2023), </w:t>
      </w:r>
      <w:r w:rsidRPr="00E0285F">
        <w:rPr>
          <w:i/>
          <w:iCs/>
          <w:spacing w:val="-2"/>
        </w:rPr>
        <w:t>Annual Report 2022</w:t>
      </w:r>
      <w:r w:rsidR="00911700" w:rsidRPr="00E0285F">
        <w:rPr>
          <w:i/>
          <w:iCs/>
          <w:spacing w:val="-2"/>
        </w:rPr>
        <w:noBreakHyphen/>
      </w:r>
      <w:r w:rsidRPr="00E0285F">
        <w:rPr>
          <w:i/>
          <w:iCs/>
          <w:spacing w:val="-2"/>
        </w:rPr>
        <w:t>23</w:t>
      </w:r>
      <w:r w:rsidRPr="00E0285F">
        <w:rPr>
          <w:spacing w:val="-2"/>
        </w:rPr>
        <w:t xml:space="preserve">. </w:t>
      </w:r>
    </w:p>
    <w:p w14:paraId="3635A36F" w14:textId="2A15985C" w:rsidR="002456AA" w:rsidRDefault="002456AA" w:rsidP="002456AA">
      <w:pPr>
        <w:pStyle w:val="05Paragraph"/>
      </w:pPr>
      <w:r w:rsidRPr="00D90ED6">
        <w:t>—</w:t>
      </w:r>
      <w:r w:rsidRPr="004C462A">
        <w:t>——</w:t>
      </w:r>
      <w:r>
        <w:t xml:space="preserve"> </w:t>
      </w:r>
      <w:r w:rsidRPr="00962706">
        <w:t>(2024),</w:t>
      </w:r>
      <w:r>
        <w:t xml:space="preserve"> </w:t>
      </w:r>
      <w:r w:rsidRPr="00A85CC1">
        <w:rPr>
          <w:i/>
          <w:iCs/>
        </w:rPr>
        <w:t>People and organisational structure</w:t>
      </w:r>
      <w:r>
        <w:t xml:space="preserve">, </w:t>
      </w:r>
      <w:hyperlink r:id="rId114" w:history="1">
        <w:r w:rsidRPr="00B97608">
          <w:rPr>
            <w:rStyle w:val="Hyperlink"/>
            <w:rFonts w:cs="Calibri Light"/>
          </w:rPr>
          <w:t>https://www.justice.vic.gov.au/people-and-organisational-structure</w:t>
        </w:r>
      </w:hyperlink>
      <w:r>
        <w:t xml:space="preserve">, </w:t>
      </w:r>
      <w:r w:rsidR="00474504">
        <w:t xml:space="preserve">last </w:t>
      </w:r>
      <w:r>
        <w:t>reviewed 22 May 2024.</w:t>
      </w:r>
    </w:p>
    <w:p w14:paraId="3FB5362E" w14:textId="75749FDD" w:rsidR="00990F65" w:rsidRPr="004121D0" w:rsidRDefault="00BF027A" w:rsidP="00DC4486">
      <w:pPr>
        <w:pStyle w:val="05Paragraph"/>
      </w:pPr>
      <w:r w:rsidRPr="004121D0">
        <w:t>DJSIR (</w:t>
      </w:r>
      <w:r w:rsidR="00A32561" w:rsidRPr="004121D0">
        <w:t>Department of Jobs, Skills, Industry and Regions) (2023</w:t>
      </w:r>
      <w:r w:rsidR="00FC7BDB" w:rsidRPr="004121D0">
        <w:t>a</w:t>
      </w:r>
      <w:r w:rsidR="00A32561" w:rsidRPr="004121D0">
        <w:t xml:space="preserve">), </w:t>
      </w:r>
      <w:r w:rsidR="00A32561" w:rsidRPr="004121D0">
        <w:rPr>
          <w:i/>
          <w:iCs/>
        </w:rPr>
        <w:t>Annual Report 2022</w:t>
      </w:r>
      <w:r w:rsidR="00474504" w:rsidRPr="004121D0">
        <w:rPr>
          <w:i/>
          <w:iCs/>
        </w:rPr>
        <w:noBreakHyphen/>
      </w:r>
      <w:r w:rsidR="00A32561" w:rsidRPr="004121D0">
        <w:rPr>
          <w:i/>
          <w:iCs/>
        </w:rPr>
        <w:t>23</w:t>
      </w:r>
      <w:r w:rsidR="00A32561" w:rsidRPr="004121D0">
        <w:t>.</w:t>
      </w:r>
    </w:p>
    <w:p w14:paraId="688AC531" w14:textId="774B08BD" w:rsidR="003B4771" w:rsidRDefault="003B4771" w:rsidP="00DC4486">
      <w:pPr>
        <w:pStyle w:val="05Paragraph"/>
      </w:pPr>
      <w:r w:rsidRPr="00D90ED6">
        <w:t>—</w:t>
      </w:r>
      <w:r w:rsidRPr="004C462A">
        <w:t>——</w:t>
      </w:r>
      <w:r>
        <w:t xml:space="preserve"> </w:t>
      </w:r>
      <w:r w:rsidRPr="00962706">
        <w:t>(202</w:t>
      </w:r>
      <w:r>
        <w:t>3</w:t>
      </w:r>
      <w:r w:rsidR="002E7C98">
        <w:t>b</w:t>
      </w:r>
      <w:r w:rsidRPr="00962706">
        <w:t>),</w:t>
      </w:r>
      <w:r>
        <w:t xml:space="preserve"> </w:t>
      </w:r>
      <w:r w:rsidRPr="001D6029">
        <w:rPr>
          <w:i/>
          <w:iCs/>
        </w:rPr>
        <w:t>Our ministers and parliamentary secretaries</w:t>
      </w:r>
      <w:r>
        <w:t xml:space="preserve">, </w:t>
      </w:r>
      <w:hyperlink r:id="rId115" w:history="1">
        <w:r w:rsidR="008801AB" w:rsidRPr="00B97608">
          <w:rPr>
            <w:rStyle w:val="Hyperlink"/>
            <w:rFonts w:cs="Calibri Light"/>
          </w:rPr>
          <w:t>https://djsir.vic.gov.au/about-us/overview/our-ministers-and-parliamentary-secretaries</w:t>
        </w:r>
      </w:hyperlink>
      <w:r w:rsidR="008801AB">
        <w:t>, last updated 2 October 2023.</w:t>
      </w:r>
    </w:p>
    <w:p w14:paraId="52198F5D" w14:textId="62EECDD2" w:rsidR="00CD028E" w:rsidRDefault="00CD028E" w:rsidP="00DC4486">
      <w:pPr>
        <w:pStyle w:val="05Paragraph"/>
      </w:pPr>
      <w:r w:rsidRPr="00D90ED6">
        <w:t>—</w:t>
      </w:r>
      <w:r w:rsidRPr="004C462A">
        <w:t>——</w:t>
      </w:r>
      <w:r>
        <w:t xml:space="preserve"> </w:t>
      </w:r>
      <w:r w:rsidRPr="00962706">
        <w:t>(2024),</w:t>
      </w:r>
      <w:r w:rsidR="00F26983" w:rsidRPr="00F26983">
        <w:t xml:space="preserve"> </w:t>
      </w:r>
      <w:r w:rsidR="00F26983" w:rsidRPr="00A85CC1">
        <w:rPr>
          <w:i/>
          <w:iCs/>
        </w:rPr>
        <w:t>Department of Jobs, Skills, Industry and Regions – Organisational Chart</w:t>
      </w:r>
      <w:r w:rsidR="00ED0E8E">
        <w:t xml:space="preserve">, </w:t>
      </w:r>
      <w:hyperlink r:id="rId116" w:history="1">
        <w:r w:rsidR="007D5FD2" w:rsidRPr="006D174F">
          <w:rPr>
            <w:rStyle w:val="Hyperlink"/>
          </w:rPr>
          <w:t>https://djsir.vic.gov.au/__data/assets/pdf_file/0007/2266531/DJSIR-Organisational-Structure-effective-15-April.pdf</w:t>
        </w:r>
      </w:hyperlink>
      <w:r w:rsidR="00ED0E8E">
        <w:t xml:space="preserve">, </w:t>
      </w:r>
      <w:r w:rsidR="005678B4">
        <w:t xml:space="preserve">page </w:t>
      </w:r>
      <w:r w:rsidR="00ED0E8E">
        <w:t xml:space="preserve">last updated </w:t>
      </w:r>
      <w:r w:rsidR="00F26983">
        <w:t>15</w:t>
      </w:r>
      <w:r w:rsidR="00ED0E8E">
        <w:t xml:space="preserve"> </w:t>
      </w:r>
      <w:r w:rsidR="00F26983">
        <w:t>April 2024</w:t>
      </w:r>
      <w:r w:rsidR="005678B4">
        <w:t>.</w:t>
      </w:r>
    </w:p>
    <w:p w14:paraId="16106045" w14:textId="0B2624FE" w:rsidR="00DC24E6" w:rsidRDefault="00BE3045" w:rsidP="00DC4486">
      <w:pPr>
        <w:pStyle w:val="05Paragraph"/>
      </w:pPr>
      <w:r>
        <w:t>DPC (</w:t>
      </w:r>
      <w:r w:rsidR="00DC24E6">
        <w:t xml:space="preserve">Department of Premier and Cabinet) (2023), </w:t>
      </w:r>
      <w:r w:rsidR="00DC24E6" w:rsidRPr="00A85CC1">
        <w:rPr>
          <w:i/>
          <w:iCs/>
        </w:rPr>
        <w:t>Annual Report 2022-23</w:t>
      </w:r>
      <w:r w:rsidR="00DC24E6" w:rsidRPr="00DC24E6">
        <w:t>.</w:t>
      </w:r>
      <w:r w:rsidR="00A1749A">
        <w:t xml:space="preserve"> </w:t>
      </w:r>
    </w:p>
    <w:p w14:paraId="0829174F" w14:textId="4C56C5FF" w:rsidR="009F103B" w:rsidRDefault="009F103B" w:rsidP="00DC4486">
      <w:pPr>
        <w:pStyle w:val="05Paragraph"/>
      </w:pPr>
      <w:r w:rsidRPr="00D90ED6">
        <w:lastRenderedPageBreak/>
        <w:t>—</w:t>
      </w:r>
      <w:r w:rsidRPr="004C462A">
        <w:t>——</w:t>
      </w:r>
      <w:r>
        <w:t xml:space="preserve"> </w:t>
      </w:r>
      <w:r w:rsidRPr="00962706">
        <w:t>(2024</w:t>
      </w:r>
      <w:r w:rsidR="003C2809">
        <w:t>a</w:t>
      </w:r>
      <w:r w:rsidRPr="00962706">
        <w:t>),</w:t>
      </w:r>
      <w:r>
        <w:t xml:space="preserve"> </w:t>
      </w:r>
      <w:r w:rsidRPr="00A85CC1">
        <w:rPr>
          <w:i/>
          <w:iCs/>
        </w:rPr>
        <w:t>Department of Premier and Cabinet Organisational Chart (April 2024)</w:t>
      </w:r>
      <w:r>
        <w:t xml:space="preserve">, </w:t>
      </w:r>
      <w:hyperlink r:id="rId117" w:history="1">
        <w:r w:rsidR="007D5FD2" w:rsidRPr="006D174F">
          <w:rPr>
            <w:rStyle w:val="Hyperlink"/>
          </w:rPr>
          <w:t>https://content.vic.gov.au/sites/default/files/2024-04/DPC-Org-Chart-April-2024.pdf</w:t>
        </w:r>
      </w:hyperlink>
      <w:r w:rsidR="00DF3958">
        <w:t>.</w:t>
      </w:r>
    </w:p>
    <w:p w14:paraId="5D31B0C9" w14:textId="759EF61A" w:rsidR="004F648F" w:rsidRDefault="004F648F" w:rsidP="00DC4486">
      <w:pPr>
        <w:pStyle w:val="05Paragraph"/>
      </w:pPr>
      <w:r w:rsidRPr="00D90ED6">
        <w:t>—</w:t>
      </w:r>
      <w:r w:rsidRPr="004C462A">
        <w:t>——</w:t>
      </w:r>
      <w:r>
        <w:t xml:space="preserve"> </w:t>
      </w:r>
      <w:r w:rsidRPr="00962706">
        <w:t>(2024</w:t>
      </w:r>
      <w:r w:rsidR="003C2809">
        <w:t>b</w:t>
      </w:r>
      <w:r w:rsidRPr="00962706">
        <w:t>),</w:t>
      </w:r>
      <w:r>
        <w:t xml:space="preserve"> </w:t>
      </w:r>
      <w:r w:rsidRPr="00A85CC1">
        <w:rPr>
          <w:i/>
          <w:iCs/>
        </w:rPr>
        <w:t>DPC ministers</w:t>
      </w:r>
      <w:r>
        <w:t xml:space="preserve">, </w:t>
      </w:r>
      <w:hyperlink r:id="rId118" w:history="1">
        <w:r w:rsidRPr="00B97608">
          <w:rPr>
            <w:rStyle w:val="Hyperlink"/>
            <w:rFonts w:cs="Calibri Light"/>
          </w:rPr>
          <w:t>https://www.vic.gov.au/dpc-ministers</w:t>
        </w:r>
      </w:hyperlink>
      <w:r>
        <w:t>, last updated 31 January 2024.</w:t>
      </w:r>
    </w:p>
    <w:p w14:paraId="17D82CB6" w14:textId="58BC3F25" w:rsidR="00B8236D" w:rsidRDefault="00D776E0" w:rsidP="00DC4486">
      <w:pPr>
        <w:pStyle w:val="05Paragraph"/>
      </w:pPr>
      <w:r>
        <w:t>DTF (</w:t>
      </w:r>
      <w:r w:rsidR="00B72F80">
        <w:t xml:space="preserve">Department of Treasury and Finance) </w:t>
      </w:r>
      <w:r w:rsidR="00B8236D">
        <w:t>(2018),</w:t>
      </w:r>
      <w:r w:rsidR="00E37B9C">
        <w:t xml:space="preserve"> </w:t>
      </w:r>
      <w:r w:rsidR="00E37B9C" w:rsidRPr="00A85CC1">
        <w:rPr>
          <w:i/>
          <w:iCs/>
        </w:rPr>
        <w:t>Standing Directions 2018 under the Financial Management Act 1994</w:t>
      </w:r>
      <w:r w:rsidR="00B81EBE" w:rsidRPr="00A85CC1">
        <w:rPr>
          <w:i/>
          <w:iCs/>
        </w:rPr>
        <w:t xml:space="preserve"> (incorporating revisions to 4 September 2023)</w:t>
      </w:r>
      <w:r w:rsidR="00E37B9C">
        <w:t xml:space="preserve">, </w:t>
      </w:r>
      <w:hyperlink r:id="rId119" w:history="1">
        <w:r w:rsidR="00E37B9C" w:rsidRPr="00B97608">
          <w:rPr>
            <w:rStyle w:val="Hyperlink"/>
            <w:rFonts w:cs="Calibri Light"/>
          </w:rPr>
          <w:t>https://www.dtf.vic.gov.au/financial-management-government/standing-directions-2018-under-financial-management-act-1994</w:t>
        </w:r>
      </w:hyperlink>
      <w:r w:rsidR="00E37B9C">
        <w:t xml:space="preserve">, last reviewed </w:t>
      </w:r>
      <w:r w:rsidR="009F34D5">
        <w:t>27 May 2024.</w:t>
      </w:r>
    </w:p>
    <w:p w14:paraId="5A3B97B1" w14:textId="1442AADA" w:rsidR="00252546" w:rsidRPr="00252546" w:rsidRDefault="00252546" w:rsidP="00DC4486">
      <w:pPr>
        <w:pStyle w:val="05Paragraph"/>
      </w:pPr>
      <w:r w:rsidRPr="00252546">
        <w:t>—</w:t>
      </w:r>
      <w:r w:rsidRPr="0061050B">
        <w:t>—— (202</w:t>
      </w:r>
      <w:r w:rsidR="00241652">
        <w:t>1</w:t>
      </w:r>
      <w:r w:rsidRPr="0061050B">
        <w:t>)</w:t>
      </w:r>
      <w:r>
        <w:t xml:space="preserve">, </w:t>
      </w:r>
      <w:r w:rsidRPr="00A85CC1">
        <w:rPr>
          <w:i/>
          <w:iCs/>
        </w:rPr>
        <w:t>Victorian Budget 2021-22 — Budget Paper No. 3: Service Delivery</w:t>
      </w:r>
      <w:r>
        <w:t>.</w:t>
      </w:r>
    </w:p>
    <w:p w14:paraId="22CD91C8" w14:textId="5C54EB73" w:rsidR="00252546" w:rsidRDefault="00452DE6" w:rsidP="00DC4486">
      <w:pPr>
        <w:pStyle w:val="05Paragraph"/>
      </w:pPr>
      <w:r w:rsidRPr="00D90ED6">
        <w:t>—</w:t>
      </w:r>
      <w:r w:rsidRPr="004C462A">
        <w:t>——</w:t>
      </w:r>
      <w:r>
        <w:t xml:space="preserve"> </w:t>
      </w:r>
      <w:r w:rsidR="001C04B1" w:rsidRPr="001C04B1">
        <w:t>(202</w:t>
      </w:r>
      <w:r w:rsidR="00241652">
        <w:t>2</w:t>
      </w:r>
      <w:r w:rsidR="001C04B1" w:rsidRPr="001C04B1">
        <w:t xml:space="preserve">), </w:t>
      </w:r>
      <w:r w:rsidR="001C04B1" w:rsidRPr="00C9596C">
        <w:rPr>
          <w:i/>
          <w:iCs/>
        </w:rPr>
        <w:t>Victorian Budget 2022-23 — Budget Paper No. 3: Service Delivery</w:t>
      </w:r>
      <w:r w:rsidR="001C04B1" w:rsidRPr="001C04B1">
        <w:t>.</w:t>
      </w:r>
    </w:p>
    <w:p w14:paraId="0536F29C" w14:textId="4446145C" w:rsidR="00241652" w:rsidRPr="005E74EE" w:rsidRDefault="00241652" w:rsidP="00DC4486">
      <w:pPr>
        <w:pStyle w:val="05Paragraph"/>
      </w:pPr>
      <w:r w:rsidRPr="005E74EE">
        <w:t>——— (2023</w:t>
      </w:r>
      <w:r w:rsidR="002F70F3" w:rsidRPr="005E74EE">
        <w:t>a</w:t>
      </w:r>
      <w:r w:rsidRPr="005E74EE">
        <w:t xml:space="preserve">), </w:t>
      </w:r>
      <w:r w:rsidRPr="005E74EE">
        <w:rPr>
          <w:i/>
        </w:rPr>
        <w:t>Annual Report 2022-23</w:t>
      </w:r>
      <w:r w:rsidRPr="005E74EE">
        <w:t xml:space="preserve">. </w:t>
      </w:r>
    </w:p>
    <w:p w14:paraId="39EAD0F6" w14:textId="1324FF63" w:rsidR="00025514" w:rsidRPr="005E74EE" w:rsidRDefault="00F11A86" w:rsidP="00025514">
      <w:pPr>
        <w:pStyle w:val="05Paragraph"/>
      </w:pPr>
      <w:r w:rsidRPr="005E74EE">
        <w:t xml:space="preserve">——— </w:t>
      </w:r>
      <w:r w:rsidR="00B72F80" w:rsidRPr="005E74EE">
        <w:t>(</w:t>
      </w:r>
      <w:r w:rsidR="00025514" w:rsidRPr="005E74EE">
        <w:t xml:space="preserve">2023b), </w:t>
      </w:r>
      <w:r w:rsidR="00025514" w:rsidRPr="005E74EE">
        <w:rPr>
          <w:i/>
          <w:iCs/>
        </w:rPr>
        <w:t>Victorian Budget 2023-24 — 2023-24 Budget Update</w:t>
      </w:r>
      <w:r w:rsidR="00025514" w:rsidRPr="005E74EE">
        <w:t>.</w:t>
      </w:r>
    </w:p>
    <w:p w14:paraId="71B5EC2B" w14:textId="697A1AD6" w:rsidR="00B72F80" w:rsidRPr="005E74EE" w:rsidRDefault="00F11A86" w:rsidP="00DC4486">
      <w:pPr>
        <w:pStyle w:val="05Paragraph"/>
      </w:pPr>
      <w:r w:rsidRPr="005E74EE">
        <w:t xml:space="preserve">——— </w:t>
      </w:r>
      <w:r w:rsidR="00B72F80" w:rsidRPr="005E74EE">
        <w:t>(2023</w:t>
      </w:r>
      <w:r w:rsidR="002F70F3" w:rsidRPr="005E74EE">
        <w:t>c</w:t>
      </w:r>
      <w:r w:rsidR="00B72F80" w:rsidRPr="005E74EE">
        <w:t xml:space="preserve">), </w:t>
      </w:r>
      <w:r w:rsidR="00B72F80" w:rsidRPr="005E74EE">
        <w:rPr>
          <w:i/>
        </w:rPr>
        <w:t>Victorian Budget 2023-24 — Budget Paper No. 3: Service Delivery</w:t>
      </w:r>
      <w:r w:rsidR="00B72F80" w:rsidRPr="005E74EE">
        <w:t>.</w:t>
      </w:r>
      <w:r w:rsidR="00F35094" w:rsidRPr="005E74EE">
        <w:t xml:space="preserve"> </w:t>
      </w:r>
    </w:p>
    <w:p w14:paraId="6B322FD8" w14:textId="05C0D549" w:rsidR="00B72F80" w:rsidRPr="005E74EE" w:rsidRDefault="00A4641B" w:rsidP="00DC4486">
      <w:pPr>
        <w:pStyle w:val="05Paragraph"/>
      </w:pPr>
      <w:r w:rsidRPr="005E74EE">
        <w:t>——— (</w:t>
      </w:r>
      <w:r w:rsidR="00B72F80" w:rsidRPr="005E74EE">
        <w:t>2023</w:t>
      </w:r>
      <w:r w:rsidR="00F50311" w:rsidRPr="005E74EE">
        <w:t>d</w:t>
      </w:r>
      <w:r w:rsidR="00B72F80" w:rsidRPr="005E74EE">
        <w:t xml:space="preserve">), </w:t>
      </w:r>
      <w:r w:rsidR="00B72F80" w:rsidRPr="005E74EE">
        <w:rPr>
          <w:i/>
        </w:rPr>
        <w:t>Victorian Budget 2023-24 — COVID Debt Repayment Plan</w:t>
      </w:r>
      <w:r w:rsidR="00B72F80" w:rsidRPr="005E74EE">
        <w:t>.</w:t>
      </w:r>
    </w:p>
    <w:p w14:paraId="0A655AC8" w14:textId="29D108DD" w:rsidR="00D33656" w:rsidRPr="005E74EE" w:rsidRDefault="00B6398A" w:rsidP="00DC4486">
      <w:pPr>
        <w:pStyle w:val="05Paragraph"/>
      </w:pPr>
      <w:r w:rsidRPr="005E74EE">
        <w:t>——— (</w:t>
      </w:r>
      <w:r w:rsidR="00D33656" w:rsidRPr="005E74EE">
        <w:t>2024</w:t>
      </w:r>
      <w:r w:rsidR="00417E69" w:rsidRPr="005E74EE">
        <w:t>a</w:t>
      </w:r>
      <w:r w:rsidR="00D33656" w:rsidRPr="005E74EE">
        <w:t xml:space="preserve">), </w:t>
      </w:r>
      <w:r w:rsidR="00D33656" w:rsidRPr="005E74EE">
        <w:rPr>
          <w:i/>
        </w:rPr>
        <w:t>Ministers</w:t>
      </w:r>
      <w:r w:rsidR="00D33656" w:rsidRPr="005E74EE">
        <w:t xml:space="preserve">, </w:t>
      </w:r>
      <w:hyperlink r:id="rId120" w:history="1">
        <w:r w:rsidR="00D33656" w:rsidRPr="005E74EE">
          <w:rPr>
            <w:rStyle w:val="Hyperlink"/>
            <w:rFonts w:cs="Calibri Light"/>
          </w:rPr>
          <w:t>https://www.dtf.vic.gov.au/our-people/ministers</w:t>
        </w:r>
      </w:hyperlink>
      <w:r w:rsidR="00D33656" w:rsidRPr="005E74EE">
        <w:t xml:space="preserve">, </w:t>
      </w:r>
      <w:r w:rsidR="007D5FD2">
        <w:t xml:space="preserve">last </w:t>
      </w:r>
      <w:r w:rsidR="00D33656" w:rsidRPr="005E74EE">
        <w:t>reviewed 5 June 2024.</w:t>
      </w:r>
    </w:p>
    <w:p w14:paraId="3EC82D83" w14:textId="35993748" w:rsidR="005D394C" w:rsidRPr="005E74EE" w:rsidRDefault="00B72F80" w:rsidP="00DC4486">
      <w:pPr>
        <w:pStyle w:val="05Paragraph"/>
      </w:pPr>
      <w:r w:rsidRPr="005E74EE">
        <w:t xml:space="preserve">——— </w:t>
      </w:r>
      <w:r w:rsidR="005D394C" w:rsidRPr="005E74EE">
        <w:t>(2024</w:t>
      </w:r>
      <w:r w:rsidR="00417E69" w:rsidRPr="005E74EE">
        <w:t>b</w:t>
      </w:r>
      <w:r w:rsidR="005D394C" w:rsidRPr="005E74EE">
        <w:t xml:space="preserve">), </w:t>
      </w:r>
      <w:r w:rsidR="00D776E0" w:rsidRPr="005E74EE">
        <w:rPr>
          <w:i/>
        </w:rPr>
        <w:t>Organisational chart</w:t>
      </w:r>
      <w:r w:rsidR="005D394C" w:rsidRPr="005E74EE">
        <w:t xml:space="preserve">, </w:t>
      </w:r>
      <w:hyperlink r:id="rId121" w:history="1">
        <w:r w:rsidR="0009423B" w:rsidRPr="00817778">
          <w:rPr>
            <w:rStyle w:val="Hyperlink"/>
            <w:rFonts w:cs="Calibri Light"/>
          </w:rPr>
          <w:t>https://www.dtf.vic.gov.au/sites/default</w:t>
        </w:r>
        <w:r w:rsidR="0009423B" w:rsidRPr="00817778">
          <w:rPr>
            <w:rStyle w:val="Hyperlink"/>
            <w:rFonts w:cs="Calibri Light"/>
          </w:rPr>
          <w:br/>
          <w:t>/files/document/DTF%20Org%20chart%20-%20DTF%20web.pdf</w:t>
        </w:r>
      </w:hyperlink>
      <w:r w:rsidR="00992CBF" w:rsidRPr="005E74EE">
        <w:t>, April 2024.</w:t>
      </w:r>
    </w:p>
    <w:p w14:paraId="781FD0E2" w14:textId="29F4FC23" w:rsidR="007C296A" w:rsidRPr="005E74EE" w:rsidRDefault="007C296A" w:rsidP="00DC4486">
      <w:pPr>
        <w:pStyle w:val="05Paragraph"/>
      </w:pPr>
      <w:r w:rsidRPr="005E74EE">
        <w:t>——— (2024</w:t>
      </w:r>
      <w:r w:rsidR="00417E69" w:rsidRPr="005E74EE">
        <w:t>c</w:t>
      </w:r>
      <w:r w:rsidRPr="005E74EE">
        <w:t>),</w:t>
      </w:r>
      <w:r w:rsidR="007B50F3" w:rsidRPr="005E74EE">
        <w:t xml:space="preserve"> </w:t>
      </w:r>
      <w:r w:rsidR="00545231" w:rsidRPr="005E74EE">
        <w:rPr>
          <w:i/>
        </w:rPr>
        <w:t>Other financial aggregates</w:t>
      </w:r>
      <w:r w:rsidR="007B50F3" w:rsidRPr="005E74EE">
        <w:t xml:space="preserve">, </w:t>
      </w:r>
      <w:hyperlink r:id="rId122" w:history="1">
        <w:r w:rsidR="007B50F3" w:rsidRPr="005E74EE">
          <w:rPr>
            <w:rStyle w:val="Hyperlink"/>
            <w:rFonts w:cs="Calibri Light"/>
          </w:rPr>
          <w:t>https://www.dtf.vic.gov.au/state-financial-data-sets/other-financial-aggregates</w:t>
        </w:r>
      </w:hyperlink>
      <w:r w:rsidR="007B50F3" w:rsidRPr="005E74EE">
        <w:t xml:space="preserve">, </w:t>
      </w:r>
      <w:r w:rsidR="006C0F77">
        <w:t xml:space="preserve">last </w:t>
      </w:r>
      <w:r w:rsidR="007B50F3" w:rsidRPr="005E74EE">
        <w:t>reviewed 7 May 2024.</w:t>
      </w:r>
    </w:p>
    <w:p w14:paraId="7F6265FB" w14:textId="2BCD601D" w:rsidR="00B72F80" w:rsidRPr="005E74EE" w:rsidRDefault="005D394C" w:rsidP="00DC4486">
      <w:pPr>
        <w:pStyle w:val="05Paragraph"/>
      </w:pPr>
      <w:r w:rsidRPr="005E74EE">
        <w:t xml:space="preserve">——— </w:t>
      </w:r>
      <w:r w:rsidR="00B72F80" w:rsidRPr="005E74EE">
        <w:t>(2024</w:t>
      </w:r>
      <w:r w:rsidR="00417E69" w:rsidRPr="005E74EE">
        <w:t>d</w:t>
      </w:r>
      <w:r w:rsidR="00B72F80" w:rsidRPr="005E74EE">
        <w:t xml:space="preserve">), </w:t>
      </w:r>
      <w:r w:rsidR="00B72F80" w:rsidRPr="005E74EE">
        <w:rPr>
          <w:i/>
        </w:rPr>
        <w:t>Victorian Budget 2024-25 — Budget Paper No. 2: Strategy and Outlook</w:t>
      </w:r>
      <w:r w:rsidR="00B72F80" w:rsidRPr="005E74EE">
        <w:t>.</w:t>
      </w:r>
    </w:p>
    <w:p w14:paraId="7CEF3967" w14:textId="06A58258" w:rsidR="00B72F80" w:rsidRPr="005E74EE" w:rsidRDefault="00B72F80" w:rsidP="00DC4486">
      <w:pPr>
        <w:pStyle w:val="05Paragraph"/>
      </w:pPr>
      <w:r w:rsidRPr="005E74EE">
        <w:t>——— (2024</w:t>
      </w:r>
      <w:r w:rsidR="00417E69" w:rsidRPr="005E74EE">
        <w:t>e</w:t>
      </w:r>
      <w:r w:rsidRPr="005E74EE">
        <w:t xml:space="preserve">), </w:t>
      </w:r>
      <w:r w:rsidRPr="005E74EE">
        <w:rPr>
          <w:i/>
        </w:rPr>
        <w:t>Victorian Budget 2024-25 — Budget Paper No. 3: Service Delivery</w:t>
      </w:r>
      <w:r w:rsidRPr="005E74EE">
        <w:t>.</w:t>
      </w:r>
    </w:p>
    <w:p w14:paraId="21F47265" w14:textId="77777777" w:rsidR="005E74EE" w:rsidRDefault="00B72F80" w:rsidP="00DC4486">
      <w:pPr>
        <w:pStyle w:val="05Paragraph"/>
      </w:pPr>
      <w:r w:rsidRPr="005E74EE">
        <w:t>——— (</w:t>
      </w:r>
      <w:r w:rsidR="00865764" w:rsidRPr="005E74EE">
        <w:t>2023</w:t>
      </w:r>
      <w:r w:rsidR="00F50311" w:rsidRPr="005E74EE">
        <w:t>f</w:t>
      </w:r>
      <w:r w:rsidR="00865764" w:rsidRPr="005E74EE">
        <w:t xml:space="preserve">), </w:t>
      </w:r>
      <w:r w:rsidR="00865764" w:rsidRPr="005E74EE">
        <w:rPr>
          <w:i/>
          <w:iCs/>
        </w:rPr>
        <w:t>Victorian Budget 202</w:t>
      </w:r>
      <w:r w:rsidR="00F50311" w:rsidRPr="005E74EE">
        <w:rPr>
          <w:i/>
          <w:iCs/>
        </w:rPr>
        <w:t>4-</w:t>
      </w:r>
      <w:r w:rsidR="00865764" w:rsidRPr="005E74EE">
        <w:rPr>
          <w:i/>
          <w:iCs/>
        </w:rPr>
        <w:t>2</w:t>
      </w:r>
      <w:r w:rsidR="00F50311" w:rsidRPr="005E74EE">
        <w:rPr>
          <w:i/>
          <w:iCs/>
        </w:rPr>
        <w:t>5</w:t>
      </w:r>
      <w:r w:rsidR="000A00EB" w:rsidRPr="005E74EE">
        <w:rPr>
          <w:i/>
          <w:iCs/>
        </w:rPr>
        <w:t xml:space="preserve"> —</w:t>
      </w:r>
      <w:r w:rsidR="00865764" w:rsidRPr="005E74EE">
        <w:rPr>
          <w:i/>
          <w:iCs/>
        </w:rPr>
        <w:t xml:space="preserve"> Budget Paper No. 4 – State Capital Program</w:t>
      </w:r>
      <w:r w:rsidR="00865764" w:rsidRPr="005E74EE">
        <w:t>.</w:t>
      </w:r>
    </w:p>
    <w:p w14:paraId="007A21ED" w14:textId="04843A2A" w:rsidR="00B72F80" w:rsidRPr="005E74EE" w:rsidRDefault="00B72F80" w:rsidP="00DC4486">
      <w:pPr>
        <w:pStyle w:val="05Paragraph"/>
      </w:pPr>
      <w:r w:rsidRPr="005E74EE">
        <w:t>——— (2024</w:t>
      </w:r>
      <w:r w:rsidR="00357CCB" w:rsidRPr="005E74EE">
        <w:t>g</w:t>
      </w:r>
      <w:r w:rsidRPr="005E74EE">
        <w:t xml:space="preserve">), </w:t>
      </w:r>
      <w:r w:rsidRPr="005E74EE">
        <w:rPr>
          <w:i/>
        </w:rPr>
        <w:t>Victorian Budget 2024-25 — Budget Paper No. 5: Statement of Finances (incorporating Quarterly Financial Report No. 3)</w:t>
      </w:r>
      <w:r w:rsidRPr="005E74EE">
        <w:t>.</w:t>
      </w:r>
    </w:p>
    <w:p w14:paraId="68743E29" w14:textId="162EB3DC" w:rsidR="00B72F80" w:rsidRDefault="00B72F80" w:rsidP="00DC4486">
      <w:pPr>
        <w:pStyle w:val="05Paragraph"/>
      </w:pPr>
      <w:r w:rsidRPr="005E74EE">
        <w:lastRenderedPageBreak/>
        <w:t>——— (2024</w:t>
      </w:r>
      <w:r w:rsidR="00357CCB" w:rsidRPr="005E74EE">
        <w:t>h</w:t>
      </w:r>
      <w:r w:rsidRPr="005E74EE">
        <w:t xml:space="preserve">), </w:t>
      </w:r>
      <w:r w:rsidRPr="005E74EE">
        <w:rPr>
          <w:i/>
        </w:rPr>
        <w:t>Victorian Government submission to the Annual Wage Review 2023-24</w:t>
      </w:r>
      <w:r w:rsidRPr="005E74EE">
        <w:t>.</w:t>
      </w:r>
    </w:p>
    <w:p w14:paraId="1009F851" w14:textId="77777777" w:rsidR="002456AA" w:rsidRPr="00A1749A" w:rsidRDefault="002456AA" w:rsidP="002456AA">
      <w:pPr>
        <w:pStyle w:val="05Paragraph"/>
      </w:pPr>
      <w:bookmarkStart w:id="217" w:name="_Hlk169518011"/>
      <w:r>
        <w:t>DTP (</w:t>
      </w:r>
      <w:r w:rsidRPr="00320041">
        <w:t>Department of Transport and Planning) (2023)</w:t>
      </w:r>
      <w:r>
        <w:t xml:space="preserve">, </w:t>
      </w:r>
      <w:r w:rsidRPr="00A85CC1">
        <w:rPr>
          <w:i/>
          <w:iCs/>
        </w:rPr>
        <w:t>Annual Report 2022-23</w:t>
      </w:r>
      <w:r w:rsidRPr="00DC24E6">
        <w:t>.</w:t>
      </w:r>
      <w:r>
        <w:t xml:space="preserve"> </w:t>
      </w:r>
    </w:p>
    <w:p w14:paraId="77987565" w14:textId="06A1AA8D" w:rsidR="00DF3DAC" w:rsidRDefault="00DF3DAC" w:rsidP="002456AA">
      <w:pPr>
        <w:pStyle w:val="05Paragraph"/>
      </w:pPr>
      <w:r w:rsidRPr="00D90ED6">
        <w:t>—</w:t>
      </w:r>
      <w:r w:rsidRPr="004C462A">
        <w:t>——</w:t>
      </w:r>
      <w:r>
        <w:t xml:space="preserve"> </w:t>
      </w:r>
      <w:r w:rsidRPr="00962706">
        <w:t>(2024</w:t>
      </w:r>
      <w:r>
        <w:t>a</w:t>
      </w:r>
      <w:r w:rsidRPr="00962706">
        <w:t>)</w:t>
      </w:r>
      <w:r>
        <w:t xml:space="preserve">, </w:t>
      </w:r>
      <w:r w:rsidRPr="00E55752">
        <w:rPr>
          <w:i/>
          <w:iCs/>
        </w:rPr>
        <w:t>Department of Transport and Planning – Governance</w:t>
      </w:r>
      <w:r>
        <w:t xml:space="preserve">, </w:t>
      </w:r>
      <w:hyperlink r:id="rId123" w:history="1">
        <w:r w:rsidR="00910BFF" w:rsidRPr="00BC5967">
          <w:rPr>
            <w:rStyle w:val="Hyperlink"/>
          </w:rPr>
          <w:t>https://www.vic.gov.au/department-of-transport-and-planning-governance</w:t>
        </w:r>
      </w:hyperlink>
      <w:r w:rsidR="00910BFF">
        <w:t>, last updated 23 February 2024.</w:t>
      </w:r>
    </w:p>
    <w:p w14:paraId="6987E9CE" w14:textId="0FBD4A20" w:rsidR="002456AA" w:rsidRDefault="002456AA" w:rsidP="002456AA">
      <w:pPr>
        <w:pStyle w:val="05Paragraph"/>
      </w:pPr>
      <w:r w:rsidRPr="00D90ED6">
        <w:t>—</w:t>
      </w:r>
      <w:r w:rsidRPr="004C462A">
        <w:t>——</w:t>
      </w:r>
      <w:r>
        <w:t xml:space="preserve"> </w:t>
      </w:r>
      <w:r w:rsidRPr="00962706">
        <w:t>(2024</w:t>
      </w:r>
      <w:r w:rsidR="00DF3DAC">
        <w:t>b</w:t>
      </w:r>
      <w:r w:rsidRPr="00962706">
        <w:t>),</w:t>
      </w:r>
      <w:r>
        <w:t xml:space="preserve"> </w:t>
      </w:r>
      <w:r w:rsidRPr="00A85CC1">
        <w:rPr>
          <w:i/>
          <w:iCs/>
        </w:rPr>
        <w:t xml:space="preserve">Department of Transport and Planning </w:t>
      </w:r>
      <w:r w:rsidR="006C0F77">
        <w:rPr>
          <w:i/>
          <w:iCs/>
        </w:rPr>
        <w:t>—</w:t>
      </w:r>
      <w:r w:rsidRPr="00A85CC1">
        <w:rPr>
          <w:i/>
          <w:iCs/>
        </w:rPr>
        <w:t xml:space="preserve"> Organisation Structure</w:t>
      </w:r>
      <w:r>
        <w:t xml:space="preserve">, </w:t>
      </w:r>
      <w:hyperlink r:id="rId124" w:history="1">
        <w:r w:rsidRPr="00E55752">
          <w:rPr>
            <w:rStyle w:val="Hyperlink"/>
            <w:rFonts w:cs="Calibri Light"/>
          </w:rPr>
          <w:t>https://content.vic.gov.au/sites/default/files/2024-06/DTP-Divisional-Org-Chart-%28for-external-use%29-June-2024.pdf</w:t>
        </w:r>
      </w:hyperlink>
      <w:r w:rsidRPr="00910BFF">
        <w:t>,</w:t>
      </w:r>
      <w:r>
        <w:t xml:space="preserve"> last updated 3 June 2024.</w:t>
      </w:r>
    </w:p>
    <w:p w14:paraId="2B450E74" w14:textId="2C95C914" w:rsidR="004429A4" w:rsidRPr="004429A4" w:rsidRDefault="004429A4" w:rsidP="00DC4486">
      <w:pPr>
        <w:pStyle w:val="05Paragraph"/>
      </w:pPr>
      <w:r>
        <w:t>FWC (</w:t>
      </w:r>
      <w:r w:rsidRPr="004429A4">
        <w:t>Fair Work Commission</w:t>
      </w:r>
      <w:r>
        <w:t>)</w:t>
      </w:r>
      <w:r w:rsidRPr="004429A4">
        <w:t xml:space="preserve"> (2024), </w:t>
      </w:r>
      <w:r w:rsidRPr="00C2169F">
        <w:rPr>
          <w:i/>
          <w:iCs/>
        </w:rPr>
        <w:t>Decision — Annual Wage Review 2023-24</w:t>
      </w:r>
      <w:r>
        <w:t>.</w:t>
      </w:r>
    </w:p>
    <w:p w14:paraId="74C34580" w14:textId="07625B6B" w:rsidR="00962706" w:rsidRDefault="00962706" w:rsidP="00DC4486">
      <w:pPr>
        <w:pStyle w:val="05Paragraph"/>
      </w:pPr>
      <w:r w:rsidRPr="00962706">
        <w:t xml:space="preserve">Governor of Victoria (2024), </w:t>
      </w:r>
      <w:r w:rsidRPr="00C2169F">
        <w:rPr>
          <w:i/>
          <w:iCs/>
        </w:rPr>
        <w:t>Office of the Governor</w:t>
      </w:r>
      <w:r w:rsidRPr="00962706">
        <w:t xml:space="preserve">, </w:t>
      </w:r>
      <w:hyperlink r:id="rId125" w:history="1">
        <w:r w:rsidR="006C0F77" w:rsidRPr="006D174F">
          <w:rPr>
            <w:rStyle w:val="Hyperlink"/>
          </w:rPr>
          <w:t>https://www.governor.vic.gov.au/victorias-governor/office-governor</w:t>
        </w:r>
      </w:hyperlink>
      <w:r w:rsidRPr="00962706">
        <w:t xml:space="preserve">, </w:t>
      </w:r>
      <w:r>
        <w:t xml:space="preserve">last </w:t>
      </w:r>
      <w:r w:rsidRPr="00962706">
        <w:t>reviewed 17 May 2024</w:t>
      </w:r>
      <w:r>
        <w:t>.</w:t>
      </w:r>
    </w:p>
    <w:p w14:paraId="4F28BB9C" w14:textId="33C41912" w:rsidR="000D0432" w:rsidRDefault="000D0432" w:rsidP="00DC4486">
      <w:pPr>
        <w:pStyle w:val="05Paragraph"/>
      </w:pPr>
      <w:r w:rsidRPr="000D0432">
        <w:t>IABAC (International Association of Business Analytics Certification)</w:t>
      </w:r>
      <w:r w:rsidR="00C05C0B">
        <w:t xml:space="preserve"> (2023)</w:t>
      </w:r>
      <w:r w:rsidRPr="000D0432">
        <w:t xml:space="preserve">, </w:t>
      </w:r>
      <w:r w:rsidRPr="00C2169F">
        <w:rPr>
          <w:i/>
          <w:iCs/>
        </w:rPr>
        <w:t>AI and Privacy: Balancing Innovation with Data Protection</w:t>
      </w:r>
      <w:r w:rsidRPr="000D0432">
        <w:t>,</w:t>
      </w:r>
      <w:r w:rsidR="001F5317" w:rsidRPr="001F5317">
        <w:t xml:space="preserve"> </w:t>
      </w:r>
      <w:hyperlink r:id="rId126" w:history="1">
        <w:r w:rsidR="001F5317" w:rsidRPr="007A66BA">
          <w:rPr>
            <w:rStyle w:val="Hyperlink"/>
            <w:rFonts w:cs="Calibri Light"/>
          </w:rPr>
          <w:t>https://iabac.org/blog/ai-and-privacy-balancing-innovation-with-data-protection</w:t>
        </w:r>
      </w:hyperlink>
      <w:r w:rsidR="001F5317">
        <w:t>, last updated 26 July 2023.</w:t>
      </w:r>
    </w:p>
    <w:p w14:paraId="5ADFBA1D" w14:textId="090EDE64" w:rsidR="002B3C02" w:rsidRDefault="000D0432" w:rsidP="00DC4486">
      <w:pPr>
        <w:pStyle w:val="05Paragraph"/>
      </w:pPr>
      <w:r>
        <w:t>IBAC (</w:t>
      </w:r>
      <w:r w:rsidR="002B3C02">
        <w:t xml:space="preserve">Independent Broad-based Anti-corruption Commission) </w:t>
      </w:r>
      <w:r w:rsidR="002B3C02" w:rsidRPr="002B3C02">
        <w:t>and Victorian Ombudsman</w:t>
      </w:r>
      <w:r w:rsidR="002B3C02">
        <w:t xml:space="preserve"> (2022)</w:t>
      </w:r>
      <w:r w:rsidR="002B3C02" w:rsidRPr="002B3C02">
        <w:t xml:space="preserve">, </w:t>
      </w:r>
      <w:r w:rsidR="002B3C02" w:rsidRPr="00C2169F">
        <w:rPr>
          <w:i/>
          <w:iCs/>
        </w:rPr>
        <w:t>Operation Watts</w:t>
      </w:r>
      <w:r w:rsidR="002B3C02">
        <w:t>,</w:t>
      </w:r>
      <w:r w:rsidR="002B3C02" w:rsidRPr="002B3C02">
        <w:t xml:space="preserve"> Investigation into allegations of misuse of electorate office and ministerial office staff and resources for branch stacking and other party-related activities, report to the Victorian Government.</w:t>
      </w:r>
    </w:p>
    <w:bookmarkEnd w:id="217"/>
    <w:p w14:paraId="3A40D22B" w14:textId="4308AE3B" w:rsidR="00962706" w:rsidRDefault="00962706" w:rsidP="00DC4486">
      <w:pPr>
        <w:pStyle w:val="05Paragraph"/>
      </w:pPr>
      <w:r w:rsidRPr="00962706">
        <w:t>Invest Victoria (2024)</w:t>
      </w:r>
      <w:r>
        <w:t>,</w:t>
      </w:r>
      <w:r w:rsidRPr="00962706">
        <w:t xml:space="preserve"> </w:t>
      </w:r>
      <w:r w:rsidRPr="00C2169F">
        <w:rPr>
          <w:i/>
          <w:iCs/>
        </w:rPr>
        <w:t>About Us</w:t>
      </w:r>
      <w:r w:rsidRPr="00962706">
        <w:t xml:space="preserve">, </w:t>
      </w:r>
      <w:hyperlink r:id="rId127" w:history="1">
        <w:r w:rsidR="002D1F19" w:rsidRPr="00BC5967">
          <w:rPr>
            <w:rStyle w:val="Hyperlink"/>
          </w:rPr>
          <w:t>https://www.invest.vic.gov.au/how-we-can-help/about-us/invest-victoria</w:t>
        </w:r>
      </w:hyperlink>
      <w:r w:rsidRPr="00962706">
        <w:t>, last updated 13 February 2024.</w:t>
      </w:r>
    </w:p>
    <w:p w14:paraId="43163E64" w14:textId="2DFF11E0" w:rsidR="003436FE" w:rsidRDefault="003436FE" w:rsidP="00DC4486">
      <w:pPr>
        <w:pStyle w:val="05Paragraph"/>
      </w:pPr>
      <w:r>
        <w:t xml:space="preserve">IRV (Industrial Relations Victoria) (2023), </w:t>
      </w:r>
      <w:r w:rsidRPr="009A22E4">
        <w:rPr>
          <w:i/>
          <w:iCs/>
        </w:rPr>
        <w:t>Wages Policy and the Enterprise Bargaining Framework</w:t>
      </w:r>
      <w:r>
        <w:t>.</w:t>
      </w:r>
    </w:p>
    <w:p w14:paraId="04BB5837" w14:textId="52E71DE5" w:rsidR="00B72F80" w:rsidRDefault="00885E22" w:rsidP="00DC4486">
      <w:pPr>
        <w:pStyle w:val="05Paragraph"/>
      </w:pPr>
      <w:r>
        <w:t>JSA (</w:t>
      </w:r>
      <w:r w:rsidR="00B72F80">
        <w:t>Jobs and Skills Australia</w:t>
      </w:r>
      <w:r>
        <w:t>)</w:t>
      </w:r>
      <w:r w:rsidR="00B72F80">
        <w:t xml:space="preserve"> (2024a), </w:t>
      </w:r>
      <w:r w:rsidR="00B72F80" w:rsidRPr="009A22E4">
        <w:rPr>
          <w:i/>
          <w:iCs/>
        </w:rPr>
        <w:t>Internet Vacancy Index</w:t>
      </w:r>
      <w:r w:rsidR="00B72F80">
        <w:t>, May 2024.</w:t>
      </w:r>
    </w:p>
    <w:p w14:paraId="2233F825" w14:textId="77777777" w:rsidR="00B72F80" w:rsidRDefault="00B72F80" w:rsidP="00DC4486">
      <w:pPr>
        <w:pStyle w:val="05Paragraph"/>
      </w:pPr>
      <w:r w:rsidRPr="00D90ED6">
        <w:t>—</w:t>
      </w:r>
      <w:r w:rsidRPr="004C462A">
        <w:t>——</w:t>
      </w:r>
      <w:r>
        <w:t xml:space="preserve"> (2024b), </w:t>
      </w:r>
      <w:r w:rsidRPr="009A22E4">
        <w:rPr>
          <w:i/>
          <w:iCs/>
        </w:rPr>
        <w:t>Labour Market Update — February 2024</w:t>
      </w:r>
      <w:r>
        <w:t>.</w:t>
      </w:r>
    </w:p>
    <w:p w14:paraId="3EC365D4" w14:textId="77777777" w:rsidR="00B72F80" w:rsidRDefault="00B72F80" w:rsidP="00DC4486">
      <w:pPr>
        <w:pStyle w:val="05Paragraph"/>
      </w:pPr>
      <w:bookmarkStart w:id="218" w:name="_Hlk169523388"/>
      <w:r w:rsidRPr="00D90ED6">
        <w:t>—</w:t>
      </w:r>
      <w:r w:rsidRPr="004C462A">
        <w:t>——</w:t>
      </w:r>
      <w:r>
        <w:t xml:space="preserve"> (2024c), </w:t>
      </w:r>
      <w:r w:rsidRPr="00D545E1">
        <w:rPr>
          <w:i/>
          <w:iCs/>
        </w:rPr>
        <w:t>Labour Market Update — March 2024</w:t>
      </w:r>
      <w:r>
        <w:t>.</w:t>
      </w:r>
    </w:p>
    <w:bookmarkEnd w:id="218"/>
    <w:p w14:paraId="5776E62D" w14:textId="713212F2" w:rsidR="00962706" w:rsidRPr="00962706" w:rsidRDefault="00962706" w:rsidP="00DC4486">
      <w:pPr>
        <w:pStyle w:val="05Paragraph"/>
      </w:pPr>
      <w:r w:rsidRPr="00962706">
        <w:t>Latrobe Valley Authority (</w:t>
      </w:r>
      <w:r w:rsidR="006C30E9">
        <w:t>n.d.</w:t>
      </w:r>
      <w:r w:rsidRPr="00962706">
        <w:t xml:space="preserve">), </w:t>
      </w:r>
      <w:r w:rsidRPr="00D545E1">
        <w:rPr>
          <w:i/>
          <w:iCs/>
        </w:rPr>
        <w:t>About us</w:t>
      </w:r>
      <w:r w:rsidRPr="00962706">
        <w:t xml:space="preserve">, </w:t>
      </w:r>
      <w:hyperlink r:id="rId128" w:history="1">
        <w:r w:rsidR="000D63D4" w:rsidRPr="006D174F">
          <w:rPr>
            <w:rStyle w:val="Hyperlink"/>
          </w:rPr>
          <w:t>https://lva.vic.gov.au/about</w:t>
        </w:r>
      </w:hyperlink>
      <w:r w:rsidRPr="00962706">
        <w:t>, accessed 20 June 2024.</w:t>
      </w:r>
    </w:p>
    <w:p w14:paraId="3E8BE432" w14:textId="0AEC2C5F" w:rsidR="00962706" w:rsidRDefault="00885E22" w:rsidP="00DC4486">
      <w:pPr>
        <w:pStyle w:val="05Paragraph"/>
      </w:pPr>
      <w:r>
        <w:t>LGI (</w:t>
      </w:r>
      <w:r w:rsidR="00962706" w:rsidRPr="00962706">
        <w:t>Local Government Inspectorate</w:t>
      </w:r>
      <w:r>
        <w:t>)</w:t>
      </w:r>
      <w:r w:rsidR="00962706" w:rsidRPr="00962706">
        <w:t xml:space="preserve"> (2023</w:t>
      </w:r>
      <w:r w:rsidR="00067B8F">
        <w:t>a</w:t>
      </w:r>
      <w:r w:rsidR="00962706" w:rsidRPr="00962706">
        <w:t xml:space="preserve">), </w:t>
      </w:r>
      <w:r w:rsidR="00962706" w:rsidRPr="00D545E1">
        <w:rPr>
          <w:i/>
          <w:iCs/>
        </w:rPr>
        <w:t>Annual Report 2021-22</w:t>
      </w:r>
      <w:r w:rsidR="00082A0D">
        <w:t>.</w:t>
      </w:r>
      <w:r w:rsidR="00962706" w:rsidRPr="00962706">
        <w:t xml:space="preserve"> </w:t>
      </w:r>
    </w:p>
    <w:p w14:paraId="7BFE6543" w14:textId="76FD36BE" w:rsidR="00C30BB7" w:rsidRDefault="00C30BB7" w:rsidP="00DC4486">
      <w:pPr>
        <w:pStyle w:val="05Paragraph"/>
      </w:pPr>
      <w:r w:rsidRPr="00C30BB7">
        <w:lastRenderedPageBreak/>
        <w:t>——— (202</w:t>
      </w:r>
      <w:r>
        <w:t>3</w:t>
      </w:r>
      <w:r w:rsidR="00067B8F">
        <w:t>b</w:t>
      </w:r>
      <w:r w:rsidRPr="00C30BB7">
        <w:t xml:space="preserve">), </w:t>
      </w:r>
      <w:r w:rsidRPr="00D545E1">
        <w:rPr>
          <w:i/>
          <w:iCs/>
        </w:rPr>
        <w:t>Chief Municipal Inspector</w:t>
      </w:r>
      <w:r w:rsidRPr="00C30BB7">
        <w:t xml:space="preserve">, </w:t>
      </w:r>
      <w:hyperlink r:id="rId129" w:history="1">
        <w:r w:rsidR="00F51A08" w:rsidRPr="00B97608">
          <w:rPr>
            <w:rStyle w:val="Hyperlink"/>
            <w:rFonts w:cs="Calibri Light"/>
          </w:rPr>
          <w:t>https://www.lgi.vic.gov.au/chief-municipal-inspector-local-government-inspectorate</w:t>
        </w:r>
      </w:hyperlink>
      <w:r w:rsidR="00F51A08">
        <w:t>, last updated 15 March 2023.</w:t>
      </w:r>
    </w:p>
    <w:p w14:paraId="7CCF1B07" w14:textId="12873C43" w:rsidR="00415906" w:rsidRDefault="00415906" w:rsidP="00DC4486">
      <w:pPr>
        <w:pStyle w:val="05Paragraph"/>
      </w:pPr>
      <w:r>
        <w:t>Mercer</w:t>
      </w:r>
      <w:r w:rsidR="003737EE">
        <w:t xml:space="preserve"> (2024), </w:t>
      </w:r>
      <w:r w:rsidR="003737EE" w:rsidRPr="00D545E1">
        <w:rPr>
          <w:i/>
          <w:iCs/>
        </w:rPr>
        <w:t>Executive Remuneration Benchmarking and Advice – Secretary and Senior Execu</w:t>
      </w:r>
      <w:r w:rsidR="00CE79D4" w:rsidRPr="00D545E1">
        <w:rPr>
          <w:i/>
          <w:iCs/>
        </w:rPr>
        <w:t>tive Service</w:t>
      </w:r>
      <w:r w:rsidR="00CE79D4">
        <w:t>, report to the Victorian Independent Remuneration Tribunal.</w:t>
      </w:r>
    </w:p>
    <w:p w14:paraId="5278C4A1" w14:textId="5A145955" w:rsidR="001D741B" w:rsidRDefault="000B152E" w:rsidP="00DC4486">
      <w:pPr>
        <w:pStyle w:val="05Paragraph"/>
      </w:pPr>
      <w:r>
        <w:t>NSWPC (Public Service Commission)</w:t>
      </w:r>
      <w:r w:rsidR="00AA0CD0">
        <w:t xml:space="preserve"> (NSW) </w:t>
      </w:r>
      <w:r w:rsidR="001D741B">
        <w:t xml:space="preserve">(2014), </w:t>
      </w:r>
      <w:r w:rsidR="001D741B" w:rsidRPr="00D545E1">
        <w:rPr>
          <w:i/>
          <w:iCs/>
        </w:rPr>
        <w:t>NSW Public Service Senior Executive Work Level Standards (</w:t>
      </w:r>
      <w:r w:rsidR="007F27FE" w:rsidRPr="00D545E1">
        <w:rPr>
          <w:i/>
          <w:iCs/>
        </w:rPr>
        <w:t xml:space="preserve">January </w:t>
      </w:r>
      <w:r w:rsidR="001D741B" w:rsidRPr="00D545E1">
        <w:rPr>
          <w:i/>
          <w:iCs/>
        </w:rPr>
        <w:t>2014)</w:t>
      </w:r>
      <w:r w:rsidR="00367CE3">
        <w:t xml:space="preserve">, </w:t>
      </w:r>
      <w:hyperlink r:id="rId130" w:history="1">
        <w:r w:rsidR="00305004" w:rsidRPr="00305004">
          <w:rPr>
            <w:rStyle w:val="Hyperlink"/>
            <w:rFonts w:cs="Calibri Light"/>
          </w:rPr>
          <w:t>https://www.psc.nsw.gov.au/sites/default/files/2020-12/NSW%20Public%20</w:t>
        </w:r>
        <w:r w:rsidR="00305004" w:rsidRPr="00305004">
          <w:rPr>
            <w:rStyle w:val="Hyperlink"/>
            <w:rFonts w:cs="Calibri Light"/>
          </w:rPr>
          <w:br/>
          <w:t>Service%20Senior%20Executive%20Work%20Level%20Standards%20-%20Jan</w:t>
        </w:r>
        <w:r w:rsidR="00305004" w:rsidRPr="00305004">
          <w:rPr>
            <w:rStyle w:val="Hyperlink"/>
            <w:rFonts w:cs="Calibri Light"/>
          </w:rPr>
          <w:br/>
          <w:t>%202014.pdf</w:t>
        </w:r>
      </w:hyperlink>
    </w:p>
    <w:p w14:paraId="2425C5D1" w14:textId="74FB1956" w:rsidR="000B152E" w:rsidRDefault="001D741B" w:rsidP="00F36A4D">
      <w:pPr>
        <w:pStyle w:val="05Paragraph"/>
      </w:pPr>
      <w:r w:rsidRPr="00C30BB7">
        <w:t xml:space="preserve">——— </w:t>
      </w:r>
      <w:r w:rsidR="00AA0CD0">
        <w:t>(n.d.),</w:t>
      </w:r>
      <w:r w:rsidR="000B152E">
        <w:t xml:space="preserve"> </w:t>
      </w:r>
      <w:r w:rsidR="00AA0CD0" w:rsidRPr="00D545E1">
        <w:rPr>
          <w:i/>
          <w:iCs/>
        </w:rPr>
        <w:t>Remuneration management framework 2023-2024</w:t>
      </w:r>
      <w:r w:rsidR="007A3840">
        <w:t>,</w:t>
      </w:r>
      <w:r w:rsidR="007A3840" w:rsidRPr="007A3840">
        <w:t xml:space="preserve"> </w:t>
      </w:r>
      <w:hyperlink r:id="rId131" w:history="1">
        <w:r w:rsidR="00D85614" w:rsidRPr="00817778">
          <w:rPr>
            <w:rStyle w:val="Hyperlink"/>
          </w:rPr>
          <w:t>https://www.psc.nsw.gov.au/assets/psc/documents/2023-2024_NSW_Public_</w:t>
        </w:r>
        <w:r w:rsidR="00D85614" w:rsidRPr="00817778">
          <w:rPr>
            <w:rStyle w:val="Hyperlink"/>
          </w:rPr>
          <w:br/>
          <w:t>Service_Senior_Executive_Remuneration_Framework.pdf</w:t>
        </w:r>
      </w:hyperlink>
      <w:r w:rsidR="007A3840" w:rsidRPr="0025462A">
        <w:rPr>
          <w:spacing w:val="-4"/>
        </w:rPr>
        <w:t>, accessed 20 June 2024.</w:t>
      </w:r>
    </w:p>
    <w:p w14:paraId="2EE772DA" w14:textId="01E75EA0" w:rsidR="00C05C0B" w:rsidRDefault="00C05C0B" w:rsidP="00DC4486">
      <w:pPr>
        <w:pStyle w:val="05Paragraph"/>
      </w:pPr>
      <w:r w:rsidRPr="00C05C0B">
        <w:t>O’Connor</w:t>
      </w:r>
      <w:r>
        <w:t xml:space="preserve"> R et al</w:t>
      </w:r>
      <w:r w:rsidR="00852F6C">
        <w:t xml:space="preserve"> (2024)</w:t>
      </w:r>
      <w:r w:rsidRPr="00C05C0B">
        <w:t xml:space="preserve">, </w:t>
      </w:r>
      <w:r w:rsidRPr="00CB2E16">
        <w:rPr>
          <w:i/>
          <w:iCs/>
        </w:rPr>
        <w:t>Artificial intelligence and complex sustainability policy problems: translating promise into practice</w:t>
      </w:r>
      <w:r w:rsidRPr="00C05C0B">
        <w:t>, Policy Design and Practice</w:t>
      </w:r>
      <w:r w:rsidR="00EA5B8A">
        <w:t>.</w:t>
      </w:r>
    </w:p>
    <w:p w14:paraId="057002C3" w14:textId="136DA0F4" w:rsidR="00300F17" w:rsidRPr="00300F17" w:rsidRDefault="00300F17" w:rsidP="00DC4486">
      <w:pPr>
        <w:pStyle w:val="05Paragraph"/>
      </w:pPr>
      <w:r w:rsidRPr="00300F17">
        <w:t xml:space="preserve">Office of </w:t>
      </w:r>
      <w:r w:rsidR="00672E91">
        <w:t xml:space="preserve">the </w:t>
      </w:r>
      <w:r w:rsidRPr="00300F17">
        <w:t xml:space="preserve">Chief Parliamentary Counsel (2023), </w:t>
      </w:r>
      <w:r w:rsidRPr="00CB2E16">
        <w:rPr>
          <w:i/>
          <w:iCs/>
        </w:rPr>
        <w:t xml:space="preserve">Office of </w:t>
      </w:r>
      <w:r w:rsidR="00672E91" w:rsidRPr="00CB2E16">
        <w:rPr>
          <w:i/>
          <w:iCs/>
        </w:rPr>
        <w:t xml:space="preserve">the </w:t>
      </w:r>
      <w:r w:rsidRPr="00CB2E16">
        <w:rPr>
          <w:i/>
          <w:iCs/>
        </w:rPr>
        <w:t>Chief Parliamentary Counsel</w:t>
      </w:r>
      <w:r w:rsidRPr="00300F17">
        <w:t xml:space="preserve">, </w:t>
      </w:r>
      <w:hyperlink r:id="rId132" w:history="1">
        <w:r w:rsidR="00D85614" w:rsidRPr="00817778">
          <w:rPr>
            <w:rStyle w:val="Hyperlink"/>
          </w:rPr>
          <w:t>https://www.vic.gov.au/office-chief-parliamentary-counsel</w:t>
        </w:r>
      </w:hyperlink>
      <w:r w:rsidRPr="00300F17">
        <w:t xml:space="preserve">, </w:t>
      </w:r>
      <w:r>
        <w:t xml:space="preserve">last </w:t>
      </w:r>
      <w:r w:rsidRPr="00300F17">
        <w:t>updated 3 July 2023</w:t>
      </w:r>
      <w:r>
        <w:t>.</w:t>
      </w:r>
    </w:p>
    <w:p w14:paraId="380E901B" w14:textId="66E86E38" w:rsidR="00300F17" w:rsidRPr="00300F17" w:rsidRDefault="00300F17" w:rsidP="00DC4486">
      <w:pPr>
        <w:pStyle w:val="05Paragraph"/>
      </w:pPr>
      <w:r w:rsidRPr="00300F17">
        <w:t xml:space="preserve">Office of the Victorian Government Architect (2023), </w:t>
      </w:r>
      <w:r w:rsidRPr="00CB2E16">
        <w:rPr>
          <w:i/>
          <w:iCs/>
        </w:rPr>
        <w:t>The Government Architect’s Office</w:t>
      </w:r>
      <w:r>
        <w:t>.</w:t>
      </w:r>
    </w:p>
    <w:p w14:paraId="7E62B71C" w14:textId="465A2A32" w:rsidR="00007654" w:rsidRPr="00300F17" w:rsidRDefault="00007654" w:rsidP="00DC4486">
      <w:pPr>
        <w:pStyle w:val="05Paragraph"/>
      </w:pPr>
      <w:r w:rsidRPr="00300F17">
        <w:t>OPV</w:t>
      </w:r>
      <w:r>
        <w:t xml:space="preserve"> (Office of Projects Victoria)</w:t>
      </w:r>
      <w:r w:rsidRPr="00300F17">
        <w:t xml:space="preserve"> (2024), </w:t>
      </w:r>
      <w:r w:rsidRPr="00CB2E16">
        <w:rPr>
          <w:i/>
          <w:iCs/>
        </w:rPr>
        <w:t>Office of Projects Victoria</w:t>
      </w:r>
      <w:r w:rsidRPr="00300F17">
        <w:t xml:space="preserve">, </w:t>
      </w:r>
      <w:hyperlink r:id="rId133" w:history="1">
        <w:r w:rsidR="00D85614" w:rsidRPr="00817778">
          <w:rPr>
            <w:rStyle w:val="Hyperlink"/>
          </w:rPr>
          <w:t>https://www.vic.gov.au/office-projects-victoria</w:t>
        </w:r>
      </w:hyperlink>
      <w:r w:rsidRPr="00300F17">
        <w:t xml:space="preserve">, </w:t>
      </w:r>
      <w:r>
        <w:t xml:space="preserve">last </w:t>
      </w:r>
      <w:r w:rsidRPr="00300F17">
        <w:t>updated 13 March 2024</w:t>
      </w:r>
      <w:r>
        <w:t>.</w:t>
      </w:r>
      <w:r w:rsidRPr="00300F17">
        <w:t xml:space="preserve"> </w:t>
      </w:r>
    </w:p>
    <w:p w14:paraId="20C65553" w14:textId="3853A58F" w:rsidR="009E0E24" w:rsidRDefault="00917022" w:rsidP="00DC4486">
      <w:pPr>
        <w:pStyle w:val="05Paragraph"/>
      </w:pPr>
      <w:r w:rsidRPr="00917022">
        <w:t>OVIC (Office of the Victorian Information Commissioner)</w:t>
      </w:r>
      <w:r w:rsidR="00177269">
        <w:t xml:space="preserve"> (</w:t>
      </w:r>
      <w:r w:rsidR="00B14A84">
        <w:t>2018</w:t>
      </w:r>
      <w:r w:rsidR="00177269">
        <w:t>)</w:t>
      </w:r>
      <w:r w:rsidRPr="00917022">
        <w:t xml:space="preserve">, </w:t>
      </w:r>
      <w:r w:rsidRPr="00CB2E16">
        <w:rPr>
          <w:i/>
          <w:iCs/>
        </w:rPr>
        <w:t>Artificial Intelligence and Privacy – Issues and Challenges</w:t>
      </w:r>
      <w:r w:rsidRPr="00917022">
        <w:t xml:space="preserve">, </w:t>
      </w:r>
      <w:hyperlink r:id="rId134" w:anchor="artificial-intelligence-in-the-public-sector" w:history="1">
        <w:r w:rsidR="009E0E24" w:rsidRPr="007A66BA">
          <w:rPr>
            <w:rStyle w:val="Hyperlink"/>
            <w:rFonts w:cs="Calibri Light"/>
          </w:rPr>
          <w:t>https://ovic.vic.gov.au/privacy/resources-for-organisations/artificial-intelligence-and-privacy-issues-and-challenges/#artificial-intelligence-in-the-public-sector</w:t>
        </w:r>
      </w:hyperlink>
      <w:r w:rsidR="009E0E24">
        <w:t>.</w:t>
      </w:r>
    </w:p>
    <w:p w14:paraId="4F3034D3" w14:textId="7979AB84" w:rsidR="00E26E34" w:rsidRDefault="007F08E8" w:rsidP="00DC4486">
      <w:pPr>
        <w:pStyle w:val="05Paragraph"/>
      </w:pPr>
      <w:r>
        <w:t>OECD (</w:t>
      </w:r>
      <w:r w:rsidR="00E26E34">
        <w:t>Organisation for Economic</w:t>
      </w:r>
      <w:r w:rsidR="00416CAE">
        <w:t xml:space="preserve"> Co-operation and Development) (2023)</w:t>
      </w:r>
      <w:r w:rsidR="003B00C9">
        <w:t>,</w:t>
      </w:r>
      <w:r w:rsidR="00416CAE">
        <w:t xml:space="preserve"> </w:t>
      </w:r>
      <w:r w:rsidR="003B00C9" w:rsidRPr="00CB2E16">
        <w:rPr>
          <w:i/>
          <w:iCs/>
        </w:rPr>
        <w:t>Public Employment and Management 2023: Towards a more flexible public service</w:t>
      </w:r>
      <w:r w:rsidR="003B00C9">
        <w:t>,</w:t>
      </w:r>
      <w:r w:rsidR="003051AD" w:rsidRPr="003051AD">
        <w:t xml:space="preserve"> </w:t>
      </w:r>
      <w:hyperlink r:id="rId135" w:history="1">
        <w:r w:rsidR="002D1349" w:rsidRPr="006418C0">
          <w:rPr>
            <w:rStyle w:val="Hyperlink"/>
          </w:rPr>
          <w:t>https://www.oecd-ilibrary.org/governance/public-employment-and-management-2023_5b378e11-en</w:t>
        </w:r>
      </w:hyperlink>
      <w:r w:rsidR="002D1349">
        <w:t xml:space="preserve">, </w:t>
      </w:r>
      <w:r w:rsidR="006D7D45">
        <w:t>last updated 11 May 2023.</w:t>
      </w:r>
    </w:p>
    <w:p w14:paraId="4880EBE3" w14:textId="73E8BBF5" w:rsidR="00DA37EA" w:rsidRDefault="00277980" w:rsidP="00DC4486">
      <w:pPr>
        <w:pStyle w:val="05Paragraph"/>
      </w:pPr>
      <w:r w:rsidRPr="00277980">
        <w:t>Parliament of Victoria</w:t>
      </w:r>
      <w:r w:rsidR="00DA37EA">
        <w:t xml:space="preserve"> (2023)</w:t>
      </w:r>
      <w:r w:rsidR="00DA37EA" w:rsidRPr="00DA37EA">
        <w:t xml:space="preserve">, </w:t>
      </w:r>
      <w:r w:rsidR="00DA37EA" w:rsidRPr="00CB2E16">
        <w:rPr>
          <w:i/>
          <w:iCs/>
        </w:rPr>
        <w:t>Inquiry into the rental and housing affordability crisis in Victoria</w:t>
      </w:r>
      <w:r w:rsidR="00DA37EA" w:rsidRPr="00DA37EA">
        <w:t xml:space="preserve">, </w:t>
      </w:r>
      <w:r w:rsidR="00DA37EA">
        <w:t xml:space="preserve">Report of the </w:t>
      </w:r>
      <w:r w:rsidR="00DA37EA" w:rsidRPr="00DA37EA">
        <w:t>Legislative Council Legal and Social Issues Committee</w:t>
      </w:r>
      <w:r w:rsidR="00837990">
        <w:t>’</w:t>
      </w:r>
      <w:r w:rsidR="0003162A">
        <w:t>.</w:t>
      </w:r>
    </w:p>
    <w:p w14:paraId="2283410B" w14:textId="167FCA7F" w:rsidR="00277980" w:rsidRDefault="008529FA" w:rsidP="00DC4486">
      <w:pPr>
        <w:pStyle w:val="05Paragraph"/>
      </w:pPr>
      <w:r w:rsidRPr="00D90ED6">
        <w:lastRenderedPageBreak/>
        <w:t>—</w:t>
      </w:r>
      <w:r w:rsidRPr="004C462A">
        <w:t>——</w:t>
      </w:r>
      <w:r>
        <w:t xml:space="preserve"> </w:t>
      </w:r>
      <w:r w:rsidR="00BD2D39">
        <w:t>(2024)</w:t>
      </w:r>
      <w:r w:rsidR="00277980" w:rsidRPr="00277980">
        <w:t xml:space="preserve">, </w:t>
      </w:r>
      <w:r w:rsidR="00277980" w:rsidRPr="00CB2E16">
        <w:rPr>
          <w:i/>
          <w:iCs/>
        </w:rPr>
        <w:t>Inquiry into the 2021–22 and 2022–23 Financial and Performance Outcomes</w:t>
      </w:r>
      <w:r w:rsidR="00544D3A" w:rsidRPr="002D4459">
        <w:t>, Report of the Public Accounts and Estimates C</w:t>
      </w:r>
      <w:r w:rsidR="00544D3A">
        <w:t>o</w:t>
      </w:r>
      <w:r w:rsidR="00544D3A" w:rsidRPr="002D4459">
        <w:t>mmittee</w:t>
      </w:r>
      <w:r w:rsidR="00277980" w:rsidRPr="00277980">
        <w:t>.</w:t>
      </w:r>
    </w:p>
    <w:p w14:paraId="67E78248" w14:textId="44342220" w:rsidR="00926DA1" w:rsidRDefault="00926DA1" w:rsidP="00DC4486">
      <w:pPr>
        <w:pStyle w:val="05Paragraph"/>
      </w:pPr>
      <w:r>
        <w:t>PC (Productivity Commission)</w:t>
      </w:r>
      <w:r w:rsidR="00BA5B8B">
        <w:t xml:space="preserve"> (2024a), </w:t>
      </w:r>
      <w:r w:rsidR="00835DEB" w:rsidRPr="00CB2E16">
        <w:rPr>
          <w:i/>
          <w:iCs/>
        </w:rPr>
        <w:t>Making the most of the AI opportunity: productivity, regulation and data access</w:t>
      </w:r>
      <w:r w:rsidR="00835DEB">
        <w:t xml:space="preserve">, </w:t>
      </w:r>
      <w:hyperlink r:id="rId136" w:history="1">
        <w:r w:rsidR="002F4C7B" w:rsidRPr="00817778">
          <w:rPr>
            <w:rStyle w:val="Hyperlink"/>
          </w:rPr>
          <w:t>https://www.pc.gov.au/</w:t>
        </w:r>
        <w:r w:rsidR="002F4C7B" w:rsidRPr="00817778">
          <w:rPr>
            <w:rStyle w:val="Hyperlink"/>
          </w:rPr>
          <w:br/>
          <w:t>research/completed/making-the-most-of-the-ai-opportunity</w:t>
        </w:r>
      </w:hyperlink>
      <w:r w:rsidR="00835DEB">
        <w:t xml:space="preserve">, </w:t>
      </w:r>
      <w:r w:rsidR="00355538">
        <w:t>last updated 1 February 2024.</w:t>
      </w:r>
    </w:p>
    <w:p w14:paraId="7292F326" w14:textId="718176DE" w:rsidR="00BA5B8B" w:rsidRDefault="00355538" w:rsidP="00DC4486">
      <w:pPr>
        <w:pStyle w:val="05Paragraph"/>
      </w:pPr>
      <w:r w:rsidRPr="00D90ED6">
        <w:t>—</w:t>
      </w:r>
      <w:r w:rsidRPr="004C462A">
        <w:t>——</w:t>
      </w:r>
      <w:r>
        <w:t xml:space="preserve"> (2024b),</w:t>
      </w:r>
      <w:r w:rsidR="00BA5B8B" w:rsidRPr="00BA5B8B">
        <w:t xml:space="preserve"> </w:t>
      </w:r>
      <w:r w:rsidR="00BA5B8B" w:rsidRPr="00CB2E16">
        <w:rPr>
          <w:i/>
          <w:iCs/>
        </w:rPr>
        <w:t>The right approach to AI regulation</w:t>
      </w:r>
      <w:r w:rsidR="00BA5B8B" w:rsidRPr="00BA5B8B">
        <w:t xml:space="preserve">, </w:t>
      </w:r>
      <w:hyperlink r:id="rId137" w:history="1">
        <w:r w:rsidR="00075D79" w:rsidRPr="007A66BA">
          <w:rPr>
            <w:rStyle w:val="Hyperlink"/>
            <w:rFonts w:cs="Calibri Light"/>
          </w:rPr>
          <w:t>https://www.pc.gov.au/media-speeches/articles/ai-regulation</w:t>
        </w:r>
      </w:hyperlink>
      <w:r w:rsidR="00075D79">
        <w:t>, last updated 22</w:t>
      </w:r>
      <w:r w:rsidR="00727311">
        <w:t> </w:t>
      </w:r>
      <w:r w:rsidR="00075D79">
        <w:t>February 2024</w:t>
      </w:r>
      <w:r w:rsidR="00BA5B8B" w:rsidRPr="00BA5B8B">
        <w:t>.</w:t>
      </w:r>
    </w:p>
    <w:p w14:paraId="57B7EFD0" w14:textId="0A02A8F3" w:rsidR="00300F17" w:rsidRDefault="00300F17" w:rsidP="00DC4486">
      <w:pPr>
        <w:pStyle w:val="05Paragraph"/>
      </w:pPr>
      <w:r w:rsidRPr="00300F17">
        <w:t>Public Record Office Victoria</w:t>
      </w:r>
      <w:r w:rsidR="009E60FB">
        <w:t xml:space="preserve"> </w:t>
      </w:r>
      <w:r w:rsidRPr="00300F17">
        <w:t xml:space="preserve">(2023), </w:t>
      </w:r>
      <w:r w:rsidRPr="00CB2E16">
        <w:rPr>
          <w:i/>
          <w:iCs/>
        </w:rPr>
        <w:t>About us</w:t>
      </w:r>
      <w:r w:rsidRPr="00300F17">
        <w:t xml:space="preserve">, </w:t>
      </w:r>
      <w:hyperlink r:id="rId138" w:history="1">
        <w:r w:rsidR="0095772D" w:rsidRPr="006D174F">
          <w:rPr>
            <w:rStyle w:val="Hyperlink"/>
          </w:rPr>
          <w:t>https://prov.vic.gov.au/about-us</w:t>
        </w:r>
      </w:hyperlink>
      <w:r w:rsidRPr="00300F17">
        <w:t>, last updated 11 September 2023</w:t>
      </w:r>
      <w:r>
        <w:t>.</w:t>
      </w:r>
    </w:p>
    <w:p w14:paraId="7DEBE410" w14:textId="5B87A85D" w:rsidR="00F94CE4" w:rsidRDefault="00B35B99" w:rsidP="00DC4486">
      <w:pPr>
        <w:pStyle w:val="05Paragraph"/>
      </w:pPr>
      <w:r>
        <w:t xml:space="preserve">QPSC (Queensland Public Sector Commission) </w:t>
      </w:r>
      <w:r w:rsidR="00F94CE4" w:rsidRPr="009B308E">
        <w:t>(2023</w:t>
      </w:r>
      <w:r w:rsidR="002561B7">
        <w:t>a</w:t>
      </w:r>
      <w:r w:rsidR="00F94CE4" w:rsidRPr="009B308E">
        <w:t xml:space="preserve">), </w:t>
      </w:r>
      <w:r w:rsidR="00F94CE4" w:rsidRPr="00CB2E16">
        <w:rPr>
          <w:i/>
          <w:iCs/>
        </w:rPr>
        <w:t>Contract of Employment for Senor Executive Service Officer</w:t>
      </w:r>
      <w:r w:rsidR="00F94CE4">
        <w:t>,</w:t>
      </w:r>
      <w:r w:rsidR="00F94CE4" w:rsidRPr="009B308E">
        <w:t xml:space="preserve"> </w:t>
      </w:r>
      <w:hyperlink r:id="rId139" w:history="1">
        <w:r w:rsidR="00A54934" w:rsidRPr="00817778">
          <w:rPr>
            <w:rStyle w:val="Hyperlink"/>
            <w:rFonts w:cs="Calibri Light"/>
          </w:rPr>
          <w:t>https://www.forgov.qld.</w:t>
        </w:r>
        <w:r w:rsidR="00A54934" w:rsidRPr="00817778">
          <w:rPr>
            <w:rStyle w:val="Hyperlink"/>
            <w:rFonts w:cs="Calibri Light"/>
          </w:rPr>
          <w:br/>
          <w:t>gov.au/__data/assets/pdf_file/0029/374726/Senior-executive-service-officer-Contract-of-Employment.pdf</w:t>
        </w:r>
      </w:hyperlink>
      <w:r w:rsidR="00F94CE4">
        <w:t xml:space="preserve">, </w:t>
      </w:r>
      <w:r w:rsidR="00F94CE4" w:rsidRPr="0025462A">
        <w:rPr>
          <w:spacing w:val="-4"/>
        </w:rPr>
        <w:t>last updated 1 March 2023.</w:t>
      </w:r>
    </w:p>
    <w:p w14:paraId="735F84FB" w14:textId="03D8B723" w:rsidR="005B6297" w:rsidRDefault="00F94CE4" w:rsidP="00DC4486">
      <w:pPr>
        <w:pStyle w:val="05Paragraph"/>
      </w:pPr>
      <w:r w:rsidRPr="00DA4BF7">
        <w:t>——— (202</w:t>
      </w:r>
      <w:r>
        <w:t>3</w:t>
      </w:r>
      <w:r w:rsidR="002561B7">
        <w:t>b</w:t>
      </w:r>
      <w:r w:rsidRPr="00DA4BF7">
        <w:t xml:space="preserve">), </w:t>
      </w:r>
      <w:r w:rsidR="005B6297" w:rsidRPr="00CB2E16">
        <w:rPr>
          <w:i/>
          <w:iCs/>
        </w:rPr>
        <w:t>Queensland public sector chief executive remuneration framework</w:t>
      </w:r>
      <w:r w:rsidR="00B35B99">
        <w:t>,</w:t>
      </w:r>
      <w:r w:rsidR="00B35B99" w:rsidRPr="00B35B99">
        <w:t xml:space="preserve"> </w:t>
      </w:r>
      <w:hyperlink r:id="rId140" w:history="1">
        <w:r w:rsidR="00ED2E07" w:rsidRPr="00B00927">
          <w:rPr>
            <w:rStyle w:val="Hyperlink"/>
            <w:rFonts w:cs="Calibri Light"/>
          </w:rPr>
          <w:t>https://www.forgov.qld.gov.au/employment-policy-career-and-wellbeing/pay-benefits-and-leave/chief-executive-pay-and-benefits</w:t>
        </w:r>
      </w:hyperlink>
      <w:r w:rsidR="00ED2E07">
        <w:t>, last updated 14 November 2023.</w:t>
      </w:r>
    </w:p>
    <w:p w14:paraId="3309EAF2" w14:textId="4327BCEC" w:rsidR="00DA4BF7" w:rsidRDefault="00DA4BF7" w:rsidP="00DC4486">
      <w:pPr>
        <w:pStyle w:val="05Paragraph"/>
      </w:pPr>
      <w:r w:rsidRPr="00DA4BF7">
        <w:t>——— (202</w:t>
      </w:r>
      <w:r>
        <w:t>3</w:t>
      </w:r>
      <w:r w:rsidR="002561B7">
        <w:t>c</w:t>
      </w:r>
      <w:r w:rsidRPr="00DA4BF7">
        <w:t xml:space="preserve">), </w:t>
      </w:r>
      <w:r w:rsidRPr="00CB2E16">
        <w:rPr>
          <w:i/>
          <w:iCs/>
        </w:rPr>
        <w:t>Senior executive service – employment conditions (Directive 09/23)</w:t>
      </w:r>
      <w:r w:rsidR="003F5772">
        <w:t>,</w:t>
      </w:r>
      <w:r w:rsidRPr="00DA4BF7">
        <w:t xml:space="preserve"> </w:t>
      </w:r>
      <w:hyperlink r:id="rId141" w:history="1">
        <w:r w:rsidR="00401939" w:rsidRPr="00401939">
          <w:rPr>
            <w:rStyle w:val="Hyperlink"/>
            <w:rFonts w:cs="Calibri Light"/>
          </w:rPr>
          <w:t>https://www.forgov.qld.gov.au/pay-benefits-and-policy/directives-policies-circulars-and-guidelines/senior-executive-service-employment-conditions-directive-0923</w:t>
        </w:r>
      </w:hyperlink>
      <w:r w:rsidR="00C5656C">
        <w:t>, effective 1 July 2023.</w:t>
      </w:r>
    </w:p>
    <w:p w14:paraId="69264D4E" w14:textId="7EA5A077" w:rsidR="00B72F80" w:rsidRDefault="00B72F80" w:rsidP="00DC4486">
      <w:pPr>
        <w:pStyle w:val="05Paragraph"/>
      </w:pPr>
      <w:r>
        <w:t xml:space="preserve">RBA </w:t>
      </w:r>
      <w:r w:rsidR="009C0E13">
        <w:t xml:space="preserve">(Reserve Bank of Australia) </w:t>
      </w:r>
      <w:r>
        <w:t xml:space="preserve">(2022), </w:t>
      </w:r>
      <w:r w:rsidRPr="00CB2E16">
        <w:rPr>
          <w:i/>
          <w:iCs/>
        </w:rPr>
        <w:t>Job Mobility in Australia during the COVID-19 Pandemic</w:t>
      </w:r>
      <w:r>
        <w:t>.</w:t>
      </w:r>
    </w:p>
    <w:p w14:paraId="7D709AA0" w14:textId="77777777" w:rsidR="00B72F80" w:rsidRDefault="00B72F80" w:rsidP="00DC4486">
      <w:pPr>
        <w:pStyle w:val="05Paragraph"/>
      </w:pPr>
      <w:r w:rsidRPr="00D90ED6">
        <w:t>—</w:t>
      </w:r>
      <w:r w:rsidRPr="004C462A">
        <w:t>——</w:t>
      </w:r>
      <w:r>
        <w:t xml:space="preserve"> (2024a), </w:t>
      </w:r>
      <w:r w:rsidRPr="00CB2E16">
        <w:rPr>
          <w:i/>
          <w:iCs/>
        </w:rPr>
        <w:t>Statement on Monetary Policy — February 2024</w:t>
      </w:r>
      <w:r>
        <w:t>.</w:t>
      </w:r>
    </w:p>
    <w:p w14:paraId="63E8DE8A" w14:textId="77777777" w:rsidR="00B72F80" w:rsidRDefault="00B72F80" w:rsidP="00DC4486">
      <w:pPr>
        <w:pStyle w:val="05Paragraph"/>
      </w:pPr>
      <w:r w:rsidRPr="00D90ED6">
        <w:t>—</w:t>
      </w:r>
      <w:r w:rsidRPr="004C462A">
        <w:t>——</w:t>
      </w:r>
      <w:r>
        <w:t xml:space="preserve"> (2024b), </w:t>
      </w:r>
      <w:r w:rsidRPr="00CB2E16">
        <w:rPr>
          <w:i/>
          <w:iCs/>
        </w:rPr>
        <w:t>Statement on Monetary Policy — May 2024</w:t>
      </w:r>
      <w:r>
        <w:t>.</w:t>
      </w:r>
    </w:p>
    <w:p w14:paraId="21FF5BA6" w14:textId="2869B569" w:rsidR="0017174F" w:rsidRDefault="0017174F" w:rsidP="00DC4486">
      <w:pPr>
        <w:pStyle w:val="05Paragraph"/>
      </w:pPr>
      <w:bookmarkStart w:id="219" w:name="_Hlk169517864"/>
      <w:r w:rsidRPr="0017174F">
        <w:t xml:space="preserve">Remuneration Tribunal </w:t>
      </w:r>
      <w:r w:rsidR="002518C7">
        <w:t xml:space="preserve">(Cth) </w:t>
      </w:r>
      <w:r w:rsidRPr="0017174F">
        <w:t>(2023</w:t>
      </w:r>
      <w:r w:rsidR="002518C7">
        <w:t>a</w:t>
      </w:r>
      <w:r w:rsidRPr="0017174F">
        <w:t xml:space="preserve">), </w:t>
      </w:r>
      <w:r w:rsidRPr="00CB2E16">
        <w:rPr>
          <w:i/>
          <w:iCs/>
        </w:rPr>
        <w:t>Explanatory Statement: Remuneration Tribunal (Department Secretaries – Classification Structure and Terms and Conditions) Determination (No. 2) 2023</w:t>
      </w:r>
      <w:r>
        <w:t>.</w:t>
      </w:r>
    </w:p>
    <w:p w14:paraId="024BE30B" w14:textId="77777777" w:rsidR="002518C7" w:rsidRDefault="002518C7" w:rsidP="00DC4486">
      <w:pPr>
        <w:pStyle w:val="05Paragraph"/>
      </w:pPr>
      <w:r w:rsidRPr="00D90ED6">
        <w:t>—</w:t>
      </w:r>
      <w:r w:rsidRPr="004C462A">
        <w:t>——</w:t>
      </w:r>
      <w:r>
        <w:t xml:space="preserve"> (2023b), </w:t>
      </w:r>
      <w:r w:rsidRPr="00CB2E16">
        <w:rPr>
          <w:i/>
          <w:iCs/>
        </w:rPr>
        <w:t>Remuneration Tribunal (Department Secretaries – Classification Structure and Terms and Conditions) Determination (No. 2) 2023</w:t>
      </w:r>
      <w:r>
        <w:t>.</w:t>
      </w:r>
    </w:p>
    <w:p w14:paraId="723D1663" w14:textId="289A49F3" w:rsidR="00741B7A" w:rsidRPr="00741B7A" w:rsidRDefault="00741B7A" w:rsidP="00DC4486">
      <w:pPr>
        <w:pStyle w:val="05Paragraph"/>
      </w:pPr>
      <w:r w:rsidRPr="00D90ED6">
        <w:lastRenderedPageBreak/>
        <w:t>—</w:t>
      </w:r>
      <w:r w:rsidRPr="004C462A">
        <w:t>——</w:t>
      </w:r>
      <w:r>
        <w:t xml:space="preserve"> </w:t>
      </w:r>
      <w:r w:rsidRPr="00741B7A">
        <w:t xml:space="preserve">(2024), </w:t>
      </w:r>
      <w:r w:rsidRPr="00CB2E16">
        <w:rPr>
          <w:i/>
          <w:iCs/>
        </w:rPr>
        <w:t>2024 Review of Remuneration for Holders of Public Office Statement</w:t>
      </w:r>
      <w:r w:rsidR="00E53723">
        <w:t xml:space="preserve">, </w:t>
      </w:r>
      <w:hyperlink r:id="rId142" w:history="1">
        <w:r w:rsidR="00E53723" w:rsidRPr="00B00927">
          <w:rPr>
            <w:rStyle w:val="Hyperlink"/>
            <w:rFonts w:cs="Calibri Light"/>
          </w:rPr>
          <w:t>https://www.remtribunal.gov.au/sites/default/files/2024-06/2024</w:t>
        </w:r>
        <w:r w:rsidR="00C2730B" w:rsidRPr="00C2730B">
          <w:rPr>
            <w:rStyle w:val="Hyperlink"/>
            <w:rFonts w:cs="Calibri Light"/>
          </w:rPr>
          <w:br/>
        </w:r>
        <w:r w:rsidR="00E53723" w:rsidRPr="00B00927">
          <w:rPr>
            <w:rStyle w:val="Hyperlink"/>
            <w:rFonts w:cs="Calibri Light"/>
          </w:rPr>
          <w:t>%20Remuneration%20Review%20Statement.pdf</w:t>
        </w:r>
      </w:hyperlink>
      <w:r w:rsidR="00E53723">
        <w:t>, last updated 17 June 2024.</w:t>
      </w:r>
    </w:p>
    <w:p w14:paraId="5C268552" w14:textId="2B342E3B" w:rsidR="00300F17" w:rsidRDefault="00300F17" w:rsidP="00DC4486">
      <w:pPr>
        <w:pStyle w:val="05Paragraph"/>
      </w:pPr>
      <w:r w:rsidRPr="00300F17">
        <w:t>Safer Care Victoria (</w:t>
      </w:r>
      <w:r w:rsidR="00BF0AFE">
        <w:t>n.d.</w:t>
      </w:r>
      <w:r w:rsidRPr="00300F17">
        <w:t xml:space="preserve">), </w:t>
      </w:r>
      <w:r w:rsidR="00BF0AFE" w:rsidRPr="00CB2E16">
        <w:rPr>
          <w:i/>
          <w:iCs/>
        </w:rPr>
        <w:t>About us</w:t>
      </w:r>
      <w:r w:rsidRPr="00300F17">
        <w:t>,</w:t>
      </w:r>
      <w:r w:rsidR="00BF0AFE">
        <w:t xml:space="preserve"> </w:t>
      </w:r>
      <w:hyperlink r:id="rId143" w:history="1">
        <w:r w:rsidR="00C2730B" w:rsidRPr="006D174F">
          <w:rPr>
            <w:rStyle w:val="Hyperlink"/>
          </w:rPr>
          <w:t>https://www.safercare.vic.gov.au/about-us</w:t>
        </w:r>
      </w:hyperlink>
      <w:r w:rsidRPr="00300F17">
        <w:t>,</w:t>
      </w:r>
      <w:r w:rsidR="00C2730B">
        <w:t xml:space="preserve"> </w:t>
      </w:r>
      <w:r w:rsidRPr="00300F17">
        <w:t>accessed 20 June 2024</w:t>
      </w:r>
      <w:r>
        <w:t>.</w:t>
      </w:r>
    </w:p>
    <w:p w14:paraId="09316A42" w14:textId="5D6222AB" w:rsidR="00CF107E" w:rsidRDefault="00CF107E" w:rsidP="00DC4486">
      <w:pPr>
        <w:pStyle w:val="05Paragraph"/>
      </w:pPr>
      <w:r>
        <w:t xml:space="preserve">SOORT (Statutory and Other Offices Remuneration Tribunal (NSW) (2023), </w:t>
      </w:r>
      <w:r w:rsidR="00922A82" w:rsidRPr="00CB2E16">
        <w:rPr>
          <w:i/>
          <w:iCs/>
        </w:rPr>
        <w:t>Public Service Senior Executives — Annual Determination</w:t>
      </w:r>
      <w:r w:rsidR="00922A82">
        <w:t>.</w:t>
      </w:r>
    </w:p>
    <w:p w14:paraId="44A7B354" w14:textId="5FB9433D" w:rsidR="00AC6E35" w:rsidRDefault="00AC6E35" w:rsidP="00DC4486">
      <w:pPr>
        <w:pStyle w:val="05Paragraph"/>
      </w:pPr>
      <w:r>
        <w:t>State Government of New South Wales (2023),</w:t>
      </w:r>
      <w:r w:rsidRPr="00AC6E35">
        <w:t xml:space="preserve"> </w:t>
      </w:r>
      <w:r w:rsidRPr="00CB2E16">
        <w:rPr>
          <w:i/>
          <w:iCs/>
        </w:rPr>
        <w:t>Minns Government acts to freeze NSW public sector senior executive and politicians’ pay for 2 years</w:t>
      </w:r>
      <w:r w:rsidRPr="00AC6E35">
        <w:t xml:space="preserve">, </w:t>
      </w:r>
      <w:hyperlink r:id="rId144" w:history="1">
        <w:r w:rsidRPr="00790A5A">
          <w:rPr>
            <w:rStyle w:val="Hyperlink"/>
            <w:rFonts w:cs="Calibri Light"/>
          </w:rPr>
          <w:t>https://www.nsw.gov.au/media-releases/minns-government-acts-to-freeze-nsw-public-sector-senior-executive-and-politicians-pay-for-2-years</w:t>
        </w:r>
      </w:hyperlink>
      <w:r>
        <w:t>, last updated 30</w:t>
      </w:r>
      <w:r w:rsidR="002561B7">
        <w:t> </w:t>
      </w:r>
      <w:r>
        <w:t>May 2023.</w:t>
      </w:r>
    </w:p>
    <w:p w14:paraId="4AF70B10" w14:textId="2F2AB908" w:rsidR="007724F2" w:rsidRDefault="007724F2" w:rsidP="00DC4486">
      <w:pPr>
        <w:pStyle w:val="05Paragraph"/>
      </w:pPr>
      <w:r>
        <w:t>State Government of Queensland (2023)</w:t>
      </w:r>
      <w:r w:rsidRPr="007724F2">
        <w:t xml:space="preserve">, </w:t>
      </w:r>
      <w:r w:rsidRPr="00CB2E16">
        <w:rPr>
          <w:i/>
          <w:iCs/>
        </w:rPr>
        <w:t>Establish or review a role’s classification level (JEMS)</w:t>
      </w:r>
      <w:r>
        <w:t>,</w:t>
      </w:r>
      <w:r w:rsidRPr="007724F2">
        <w:t xml:space="preserve"> </w:t>
      </w:r>
      <w:hyperlink r:id="rId145" w:history="1">
        <w:r w:rsidR="00187CA5" w:rsidRPr="00B00927">
          <w:rPr>
            <w:rStyle w:val="Hyperlink"/>
            <w:rFonts w:cs="Calibri Light"/>
          </w:rPr>
          <w:t>https://www.forgov.qld.gov.au/recruitment-performance-and-career/recruitment/start-a-recruitment-process/establish-or-review-a-roles-classification-level-jems</w:t>
        </w:r>
      </w:hyperlink>
      <w:r w:rsidR="00187CA5">
        <w:t>, last reviewed 1 December 2023.</w:t>
      </w:r>
    </w:p>
    <w:p w14:paraId="078440CF" w14:textId="419B6CAA" w:rsidR="00CF735D" w:rsidRDefault="00BB0DB5" w:rsidP="00DC4486">
      <w:pPr>
        <w:pStyle w:val="05Paragraph"/>
      </w:pPr>
      <w:r>
        <w:t>State Government of Victoria (</w:t>
      </w:r>
      <w:r w:rsidR="00D1364D">
        <w:t>2023</w:t>
      </w:r>
      <w:r w:rsidR="00E32B3B">
        <w:t>a</w:t>
      </w:r>
      <w:r w:rsidR="00D1364D">
        <w:t xml:space="preserve">), </w:t>
      </w:r>
      <w:r w:rsidR="00CF735D" w:rsidRPr="00CB2E16">
        <w:rPr>
          <w:i/>
          <w:iCs/>
        </w:rPr>
        <w:t>New Wages Policy Strikes Responsible Balance For Victoria</w:t>
      </w:r>
      <w:r w:rsidR="00CF735D" w:rsidRPr="00CF735D">
        <w:t xml:space="preserve">, </w:t>
      </w:r>
      <w:hyperlink r:id="rId146" w:history="1">
        <w:r w:rsidR="00143423" w:rsidRPr="006D174F">
          <w:rPr>
            <w:rStyle w:val="Hyperlink"/>
          </w:rPr>
          <w:t>https://www.premier.vic.gov.au/new-wages-policy-strikes-responsible-balance-victoria</w:t>
        </w:r>
      </w:hyperlink>
      <w:r w:rsidR="00CF735D" w:rsidRPr="00CF735D">
        <w:t>, last updated 4 April 2023.</w:t>
      </w:r>
    </w:p>
    <w:p w14:paraId="181AE88E" w14:textId="10101A17" w:rsidR="00BB0DB5" w:rsidRDefault="00CF735D" w:rsidP="00DC4486">
      <w:pPr>
        <w:pStyle w:val="05Paragraph"/>
      </w:pPr>
      <w:r w:rsidRPr="00D90ED6">
        <w:t>—</w:t>
      </w:r>
      <w:r w:rsidRPr="004C462A">
        <w:t>——</w:t>
      </w:r>
      <w:r>
        <w:t xml:space="preserve"> (2023b),</w:t>
      </w:r>
      <w:r w:rsidRPr="005A066D">
        <w:t xml:space="preserve"> </w:t>
      </w:r>
      <w:r w:rsidR="00D1364D" w:rsidRPr="00CB2E16">
        <w:rPr>
          <w:i/>
          <w:iCs/>
        </w:rPr>
        <w:t>Cyber security in the Victorian Government</w:t>
      </w:r>
      <w:r w:rsidR="00D1364D" w:rsidRPr="00D1364D">
        <w:t xml:space="preserve">, </w:t>
      </w:r>
      <w:hyperlink r:id="rId147" w:history="1">
        <w:r w:rsidR="00A166CE" w:rsidRPr="007A66BA">
          <w:rPr>
            <w:rStyle w:val="Hyperlink"/>
            <w:rFonts w:cs="Calibri Light"/>
          </w:rPr>
          <w:t>https://www.vic.gov.au/cyber-security-victorian-government</w:t>
        </w:r>
      </w:hyperlink>
      <w:r w:rsidR="00A166CE">
        <w:t>, last updated 5 July 2023</w:t>
      </w:r>
      <w:r w:rsidR="00D1364D" w:rsidRPr="00D1364D">
        <w:t>.</w:t>
      </w:r>
    </w:p>
    <w:p w14:paraId="56FA58A1" w14:textId="5CD6845C" w:rsidR="00A166CE" w:rsidRDefault="00A166CE" w:rsidP="00DC4486">
      <w:pPr>
        <w:pStyle w:val="05Paragraph"/>
      </w:pPr>
      <w:r w:rsidRPr="00D90ED6">
        <w:t>—</w:t>
      </w:r>
      <w:r w:rsidRPr="004C462A">
        <w:t>——</w:t>
      </w:r>
      <w:r>
        <w:t xml:space="preserve"> (2023</w:t>
      </w:r>
      <w:r w:rsidR="00CF735D">
        <w:t>c</w:t>
      </w:r>
      <w:r>
        <w:t>),</w:t>
      </w:r>
      <w:r w:rsidR="005A066D" w:rsidRPr="005A066D">
        <w:t xml:space="preserve"> </w:t>
      </w:r>
      <w:r w:rsidR="005A066D" w:rsidRPr="00CB2E16">
        <w:rPr>
          <w:i/>
          <w:iCs/>
        </w:rPr>
        <w:t>Commonwealth Games Costs Too High At Over $6 Billion</w:t>
      </w:r>
      <w:r w:rsidR="005A066D" w:rsidRPr="005A066D">
        <w:t xml:space="preserve">, </w:t>
      </w:r>
      <w:hyperlink r:id="rId148" w:history="1">
        <w:r w:rsidR="004A13B6" w:rsidRPr="007210D1">
          <w:rPr>
            <w:rStyle w:val="Hyperlink"/>
          </w:rPr>
          <w:t>https://www.premier.vic.gov.au/commonwealth-games-costs-too-high-over-6-billion</w:t>
        </w:r>
      </w:hyperlink>
      <w:r w:rsidR="005A066D" w:rsidRPr="005A066D">
        <w:t xml:space="preserve">, </w:t>
      </w:r>
      <w:r w:rsidR="000E7044">
        <w:t>last updated 18 July 2023</w:t>
      </w:r>
      <w:r w:rsidR="005A066D" w:rsidRPr="005A066D">
        <w:t>.</w:t>
      </w:r>
    </w:p>
    <w:p w14:paraId="6DF00537" w14:textId="52B23A3D" w:rsidR="00F905D8" w:rsidRDefault="00F905D8" w:rsidP="00DC4486">
      <w:pPr>
        <w:pStyle w:val="05Paragraph"/>
      </w:pPr>
      <w:r w:rsidRPr="00F905D8">
        <w:t xml:space="preserve">SurveyMonkey (n.d.), </w:t>
      </w:r>
      <w:r w:rsidRPr="00CB2E16">
        <w:rPr>
          <w:i/>
          <w:iCs/>
        </w:rPr>
        <w:t>Statistical Significance</w:t>
      </w:r>
      <w:r w:rsidRPr="00F905D8">
        <w:t xml:space="preserve">, </w:t>
      </w:r>
      <w:hyperlink r:id="rId149" w:history="1">
        <w:r w:rsidR="00D672F7" w:rsidRPr="00696562">
          <w:rPr>
            <w:rStyle w:val="Hyperlink"/>
            <w:rFonts w:cs="Calibri Light"/>
          </w:rPr>
          <w:t>https://help.surveymonkey.com</w:t>
        </w:r>
        <w:r w:rsidR="006018E2" w:rsidRPr="006018E2">
          <w:rPr>
            <w:rStyle w:val="Hyperlink"/>
            <w:rFonts w:cs="Calibri Light"/>
          </w:rPr>
          <w:br/>
        </w:r>
        <w:r w:rsidR="00D672F7" w:rsidRPr="00696562">
          <w:rPr>
            <w:rStyle w:val="Hyperlink"/>
            <w:rFonts w:cs="Calibri Light"/>
          </w:rPr>
          <w:t>/en/surveymonkey/analyze/significant-differences/</w:t>
        </w:r>
      </w:hyperlink>
      <w:r w:rsidR="00D672F7">
        <w:t xml:space="preserve">, </w:t>
      </w:r>
      <w:r w:rsidRPr="00F905D8">
        <w:t>accessed 16 January 2024.</w:t>
      </w:r>
    </w:p>
    <w:p w14:paraId="77AE3C0E" w14:textId="17075EF6" w:rsidR="00B72F80" w:rsidRDefault="00B72F80" w:rsidP="00DC4486">
      <w:pPr>
        <w:pStyle w:val="05Paragraph"/>
      </w:pPr>
      <w:r>
        <w:t>VAGO (2023</w:t>
      </w:r>
      <w:r w:rsidR="00EE4673">
        <w:t>a</w:t>
      </w:r>
      <w:r>
        <w:t xml:space="preserve">), </w:t>
      </w:r>
      <w:r w:rsidRPr="00CB2E16">
        <w:rPr>
          <w:i/>
          <w:iCs/>
        </w:rPr>
        <w:t>Auditor-General’s Report on the Annual Financial Report of the State of Victoria: 2022–23</w:t>
      </w:r>
      <w:r>
        <w:t>.</w:t>
      </w:r>
      <w:bookmarkEnd w:id="219"/>
    </w:p>
    <w:p w14:paraId="5C080E3D" w14:textId="08CF6740" w:rsidR="00EE4673" w:rsidRDefault="00EE4673" w:rsidP="00DC4486">
      <w:pPr>
        <w:pStyle w:val="05Paragraph"/>
      </w:pPr>
      <w:r w:rsidRPr="00D90ED6">
        <w:t>—</w:t>
      </w:r>
      <w:r w:rsidRPr="004C462A">
        <w:t>——</w:t>
      </w:r>
      <w:r>
        <w:t xml:space="preserve"> </w:t>
      </w:r>
      <w:r w:rsidRPr="00EE4673">
        <w:t>(2023</w:t>
      </w:r>
      <w:r>
        <w:t>b</w:t>
      </w:r>
      <w:r w:rsidRPr="00EE4673">
        <w:t xml:space="preserve">) </w:t>
      </w:r>
      <w:r w:rsidRPr="00BB0BB8">
        <w:rPr>
          <w:i/>
          <w:iCs/>
        </w:rPr>
        <w:t>Major Projects Performance Reporting 2023</w:t>
      </w:r>
      <w:r>
        <w:t>.</w:t>
      </w:r>
    </w:p>
    <w:p w14:paraId="0ADA27C6" w14:textId="54263387" w:rsidR="00300F17" w:rsidRDefault="00300F17" w:rsidP="00DC4486">
      <w:pPr>
        <w:pStyle w:val="05Paragraph"/>
      </w:pPr>
      <w:r w:rsidRPr="00300F17">
        <w:lastRenderedPageBreak/>
        <w:t>Victorian Government Solicitor's Office</w:t>
      </w:r>
      <w:r>
        <w:t xml:space="preserve"> (2021)</w:t>
      </w:r>
      <w:r w:rsidRPr="00300F17">
        <w:t>,</w:t>
      </w:r>
      <w:r>
        <w:t xml:space="preserve"> </w:t>
      </w:r>
      <w:r w:rsidRPr="00CB2E16">
        <w:rPr>
          <w:i/>
          <w:iCs/>
        </w:rPr>
        <w:t>About the Victorian Government Solicitor's Office</w:t>
      </w:r>
      <w:r w:rsidRPr="00300F17">
        <w:t xml:space="preserve">, </w:t>
      </w:r>
      <w:hyperlink r:id="rId150" w:history="1">
        <w:r w:rsidR="006018E2" w:rsidRPr="006D174F">
          <w:rPr>
            <w:rStyle w:val="Hyperlink"/>
          </w:rPr>
          <w:t>https://www.vgso.vic.gov.au/about-victorian-government-solicitors-office</w:t>
        </w:r>
      </w:hyperlink>
      <w:r w:rsidRPr="00300F17">
        <w:t xml:space="preserve">, </w:t>
      </w:r>
      <w:r>
        <w:t xml:space="preserve">last </w:t>
      </w:r>
      <w:r w:rsidRPr="00300F17">
        <w:t>updated 7 July 2021.</w:t>
      </w:r>
    </w:p>
    <w:p w14:paraId="49375247" w14:textId="072A7CA0" w:rsidR="000F4258" w:rsidRDefault="00F12EC8" w:rsidP="00DC4486">
      <w:pPr>
        <w:pStyle w:val="05Paragraph"/>
      </w:pPr>
      <w:r>
        <w:t>Victorian Independent Remuneration Tribunal</w:t>
      </w:r>
      <w:r w:rsidR="000F4258">
        <w:t xml:space="preserve"> (2020</w:t>
      </w:r>
      <w:r w:rsidR="00897D44">
        <w:t>a</w:t>
      </w:r>
      <w:r w:rsidR="000F4258">
        <w:t xml:space="preserve">), </w:t>
      </w:r>
      <w:r w:rsidR="000F4258" w:rsidRPr="00CB2E16">
        <w:rPr>
          <w:i/>
          <w:iCs/>
        </w:rPr>
        <w:t>Remuneration bands for executives employed in public service bodies (Victoria) Determination No. 01/2020</w:t>
      </w:r>
      <w:r w:rsidR="000F4258">
        <w:t>.</w:t>
      </w:r>
    </w:p>
    <w:p w14:paraId="7DAE40CD" w14:textId="200F04BE" w:rsidR="00066A4A" w:rsidRPr="002D4459" w:rsidRDefault="00066A4A" w:rsidP="00DC4486">
      <w:pPr>
        <w:pStyle w:val="05Paragraph"/>
      </w:pPr>
      <w:r w:rsidRPr="00D90ED6">
        <w:t>—</w:t>
      </w:r>
      <w:r w:rsidRPr="004C462A">
        <w:t>——</w:t>
      </w:r>
      <w:r>
        <w:t xml:space="preserve"> (202</w:t>
      </w:r>
      <w:r w:rsidR="00897D44">
        <w:t>0b</w:t>
      </w:r>
      <w:r>
        <w:t xml:space="preserve">), </w:t>
      </w:r>
      <w:r w:rsidRPr="00CB2E16">
        <w:rPr>
          <w:i/>
          <w:iCs/>
        </w:rPr>
        <w:t>Victorian Public Service Executive Remuneration Guidelines</w:t>
      </w:r>
      <w:r w:rsidR="00897D44">
        <w:t>, effective date 14 May 2020.</w:t>
      </w:r>
    </w:p>
    <w:p w14:paraId="10E368AC" w14:textId="325E4D69" w:rsidR="00086E89" w:rsidRDefault="00086E89" w:rsidP="00DC4486">
      <w:pPr>
        <w:pStyle w:val="05Paragraph"/>
      </w:pPr>
      <w:r w:rsidRPr="00D90ED6">
        <w:t>—</w:t>
      </w:r>
      <w:r w:rsidRPr="004C462A">
        <w:t>——</w:t>
      </w:r>
      <w:r>
        <w:t xml:space="preserve"> (2021)</w:t>
      </w:r>
      <w:r w:rsidR="00407EBA">
        <w:t xml:space="preserve">, </w:t>
      </w:r>
      <w:r w:rsidR="00407EBA" w:rsidRPr="00CB2E16">
        <w:rPr>
          <w:i/>
          <w:iCs/>
        </w:rPr>
        <w:t>Annual Report 2020-21</w:t>
      </w:r>
      <w:r w:rsidR="00E77FEB">
        <w:t>.</w:t>
      </w:r>
    </w:p>
    <w:p w14:paraId="092C3641" w14:textId="38BB82EA" w:rsidR="00086E89" w:rsidRDefault="00086E89" w:rsidP="00DC4486">
      <w:pPr>
        <w:pStyle w:val="05Paragraph"/>
      </w:pPr>
      <w:r w:rsidRPr="00D90ED6">
        <w:t>—</w:t>
      </w:r>
      <w:r w:rsidRPr="004C462A">
        <w:t>——</w:t>
      </w:r>
      <w:r>
        <w:t xml:space="preserve"> (2022)</w:t>
      </w:r>
      <w:r w:rsidR="00407EBA">
        <w:t xml:space="preserve">, </w:t>
      </w:r>
      <w:r w:rsidR="00407EBA" w:rsidRPr="00CB2E16">
        <w:rPr>
          <w:i/>
          <w:iCs/>
        </w:rPr>
        <w:t>Annual Report 2021-22</w:t>
      </w:r>
      <w:r w:rsidR="00E77FEB">
        <w:t>.</w:t>
      </w:r>
    </w:p>
    <w:p w14:paraId="2A78D05F" w14:textId="2842BBA4" w:rsidR="00086E89" w:rsidRDefault="00086E89" w:rsidP="00DC4486">
      <w:pPr>
        <w:pStyle w:val="05Paragraph"/>
      </w:pPr>
      <w:r w:rsidRPr="00D90ED6">
        <w:t>—</w:t>
      </w:r>
      <w:r w:rsidRPr="004C462A">
        <w:t>——</w:t>
      </w:r>
      <w:r>
        <w:t xml:space="preserve"> (2023</w:t>
      </w:r>
      <w:r w:rsidR="00407EBA">
        <w:t>a</w:t>
      </w:r>
      <w:r>
        <w:t>)</w:t>
      </w:r>
      <w:r w:rsidR="00407EBA">
        <w:t xml:space="preserve">, </w:t>
      </w:r>
      <w:r w:rsidR="00407EBA" w:rsidRPr="00CB2E16">
        <w:rPr>
          <w:i/>
          <w:iCs/>
        </w:rPr>
        <w:t>Annual Report 2022-23</w:t>
      </w:r>
      <w:r w:rsidR="00E77FEB">
        <w:t>.</w:t>
      </w:r>
    </w:p>
    <w:p w14:paraId="010DC08A" w14:textId="4CC64805" w:rsidR="00E04463" w:rsidRPr="000F4258" w:rsidRDefault="00E04463" w:rsidP="00DC4486">
      <w:pPr>
        <w:pStyle w:val="05Paragraph"/>
      </w:pPr>
      <w:r w:rsidRPr="00D90ED6">
        <w:t>—</w:t>
      </w:r>
      <w:r w:rsidRPr="004C462A">
        <w:t>——</w:t>
      </w:r>
      <w:r>
        <w:t xml:space="preserve"> (2023</w:t>
      </w:r>
      <w:r w:rsidR="00407EBA">
        <w:t>b</w:t>
      </w:r>
      <w:r>
        <w:t xml:space="preserve">), </w:t>
      </w:r>
      <w:r w:rsidRPr="00CB2E16">
        <w:rPr>
          <w:i/>
          <w:iCs/>
        </w:rPr>
        <w:t>Remuneration bands for executives employed in public service bodies (Victoria) Annual Adjustment Determination 2023</w:t>
      </w:r>
      <w:r w:rsidRPr="00E04463">
        <w:t>.</w:t>
      </w:r>
    </w:p>
    <w:p w14:paraId="3C259E0E" w14:textId="377E522F" w:rsidR="00300F17" w:rsidRDefault="00300F17" w:rsidP="00DC4486">
      <w:pPr>
        <w:pStyle w:val="05Paragraph"/>
      </w:pPr>
      <w:r w:rsidRPr="00300F17">
        <w:t>Victorian Infrastructure Delivery Authority</w:t>
      </w:r>
      <w:r>
        <w:t xml:space="preserve"> (2024)</w:t>
      </w:r>
      <w:r w:rsidRPr="00300F17">
        <w:t xml:space="preserve">, </w:t>
      </w:r>
      <w:r w:rsidRPr="00CB2E16">
        <w:rPr>
          <w:i/>
          <w:iCs/>
        </w:rPr>
        <w:t>About the Victorian Infrastructure Delivery Authority</w:t>
      </w:r>
      <w:r w:rsidRPr="00300F17">
        <w:t xml:space="preserve">, </w:t>
      </w:r>
      <w:hyperlink r:id="rId151" w:history="1">
        <w:r w:rsidR="006018E2" w:rsidRPr="006D174F">
          <w:rPr>
            <w:rStyle w:val="Hyperlink"/>
          </w:rPr>
          <w:t>https://bigbuild.vic.gov.au/about/vida</w:t>
        </w:r>
      </w:hyperlink>
      <w:r w:rsidRPr="00300F17">
        <w:t>, last updated 23 April 2024</w:t>
      </w:r>
      <w:r>
        <w:t>.</w:t>
      </w:r>
    </w:p>
    <w:p w14:paraId="7242E2D0" w14:textId="7C526906" w:rsidR="00B72F80" w:rsidRDefault="00210C2C" w:rsidP="00DC4486">
      <w:pPr>
        <w:pStyle w:val="05Paragraph"/>
      </w:pPr>
      <w:r>
        <w:t>VPSC (</w:t>
      </w:r>
      <w:r w:rsidR="00B72F80">
        <w:t>Victorian Public Sector Commission)</w:t>
      </w:r>
      <w:r w:rsidR="00B72F80" w:rsidRPr="00BB66ED">
        <w:t xml:space="preserve"> (2016), </w:t>
      </w:r>
      <w:r w:rsidR="00B72F80" w:rsidRPr="00CB2E16">
        <w:rPr>
          <w:i/>
          <w:iCs/>
        </w:rPr>
        <w:t>Review of Victoria’s executive officer employment and remuneration framework: summary report</w:t>
      </w:r>
      <w:r w:rsidR="00B72F80" w:rsidRPr="00BB66ED">
        <w:t>.</w:t>
      </w:r>
    </w:p>
    <w:p w14:paraId="7F26E4EE" w14:textId="7350702A" w:rsidR="00B72F80" w:rsidRPr="005E580E" w:rsidRDefault="00B72F80" w:rsidP="00DC4486">
      <w:pPr>
        <w:pStyle w:val="05Paragraph"/>
      </w:pPr>
      <w:r w:rsidRPr="005E580E">
        <w:t xml:space="preserve">——— (2021), </w:t>
      </w:r>
      <w:r w:rsidRPr="005E580E">
        <w:rPr>
          <w:i/>
          <w:iCs/>
        </w:rPr>
        <w:t>Standard contract for VPS executives</w:t>
      </w:r>
      <w:r w:rsidRPr="005E580E">
        <w:t xml:space="preserve">, </w:t>
      </w:r>
      <w:hyperlink r:id="rId152" w:history="1">
        <w:r w:rsidR="006018E2" w:rsidRPr="006D174F">
          <w:rPr>
            <w:rStyle w:val="Hyperlink"/>
          </w:rPr>
          <w:t>https://vpsc.vic.gov.au/wp-content/uploads/2020/08/VPS-Standard-Executive-Employment-Contract-July-2021-update.docx</w:t>
        </w:r>
      </w:hyperlink>
      <w:r w:rsidR="006018E2">
        <w:t>.</w:t>
      </w:r>
    </w:p>
    <w:p w14:paraId="04C33516" w14:textId="33F2B808" w:rsidR="00386E91" w:rsidRPr="005E580E" w:rsidRDefault="00386E91" w:rsidP="00DC4486">
      <w:pPr>
        <w:pStyle w:val="05Paragraph"/>
      </w:pPr>
      <w:r w:rsidRPr="005E580E">
        <w:t>——— (2022</w:t>
      </w:r>
      <w:r w:rsidR="0075469D" w:rsidRPr="005E580E">
        <w:t>a</w:t>
      </w:r>
      <w:r w:rsidRPr="005E580E">
        <w:t xml:space="preserve">), </w:t>
      </w:r>
      <w:r w:rsidR="00672553" w:rsidRPr="005E580E">
        <w:rPr>
          <w:i/>
        </w:rPr>
        <w:t>Flexible work policy</w:t>
      </w:r>
      <w:r w:rsidR="00672553" w:rsidRPr="005E580E">
        <w:t xml:space="preserve">, </w:t>
      </w:r>
      <w:hyperlink r:id="rId153" w:history="1">
        <w:r w:rsidR="00672553" w:rsidRPr="005E580E">
          <w:rPr>
            <w:rStyle w:val="Hyperlink"/>
            <w:rFonts w:cs="Calibri Light"/>
          </w:rPr>
          <w:t>https://vpsc.vic.gov.au/workforce-capability-leadership-and-management/flexible-work/flexible-work-policy</w:t>
        </w:r>
      </w:hyperlink>
      <w:r w:rsidR="00672553" w:rsidRPr="005E580E">
        <w:t>, reviewed 23</w:t>
      </w:r>
      <w:r w:rsidR="006018E2">
        <w:t> </w:t>
      </w:r>
      <w:r w:rsidR="00672553" w:rsidRPr="005E580E">
        <w:t>June 2022.</w:t>
      </w:r>
    </w:p>
    <w:p w14:paraId="32A234F8" w14:textId="0BA5C313" w:rsidR="003A1789" w:rsidRPr="005E580E" w:rsidRDefault="003A1789" w:rsidP="00DC4486">
      <w:pPr>
        <w:pStyle w:val="05Paragraph"/>
      </w:pPr>
      <w:r w:rsidRPr="005E580E">
        <w:t>——— (2022</w:t>
      </w:r>
      <w:r w:rsidR="0075469D" w:rsidRPr="005E580E">
        <w:t>b</w:t>
      </w:r>
      <w:r w:rsidR="00CD1918" w:rsidRPr="005E580E">
        <w:t xml:space="preserve">), </w:t>
      </w:r>
      <w:r w:rsidR="00CD1918" w:rsidRPr="005E580E">
        <w:rPr>
          <w:i/>
        </w:rPr>
        <w:t>Officer and executive guide for informing and advising ministers</w:t>
      </w:r>
      <w:r w:rsidR="00CD1918" w:rsidRPr="005E580E">
        <w:t xml:space="preserve">, </w:t>
      </w:r>
      <w:hyperlink r:id="rId154" w:history="1">
        <w:r w:rsidR="00CD1918" w:rsidRPr="005E580E">
          <w:rPr>
            <w:rStyle w:val="Hyperlink"/>
            <w:rFonts w:cs="Calibri Light"/>
          </w:rPr>
          <w:t>https://vpsc.vic.gov.au/ethics-behaviours-culture/inform-and-advise-ministers/officer-and-executive-guide-for-informing-and-advising-ministers/</w:t>
        </w:r>
      </w:hyperlink>
      <w:r w:rsidR="00CD1918" w:rsidRPr="005E580E">
        <w:t>, last updated 11 November 2022.</w:t>
      </w:r>
    </w:p>
    <w:p w14:paraId="49A37785" w14:textId="07FBFCF1" w:rsidR="002A7841" w:rsidRPr="005E580E" w:rsidRDefault="002A7841" w:rsidP="00DC4486">
      <w:pPr>
        <w:pStyle w:val="05Paragraph"/>
      </w:pPr>
      <w:r w:rsidRPr="005E580E">
        <w:t>——— (2022</w:t>
      </w:r>
      <w:r w:rsidR="0075469D" w:rsidRPr="005E580E">
        <w:t>c</w:t>
      </w:r>
      <w:r w:rsidRPr="005E580E">
        <w:t>)</w:t>
      </w:r>
      <w:r w:rsidR="006F72A9" w:rsidRPr="005E580E">
        <w:t xml:space="preserve">, </w:t>
      </w:r>
      <w:r w:rsidR="006F72A9" w:rsidRPr="005E580E">
        <w:rPr>
          <w:i/>
        </w:rPr>
        <w:t>Secretaries guide for informing and advising ministers</w:t>
      </w:r>
      <w:r w:rsidR="006F72A9" w:rsidRPr="005E580E">
        <w:t xml:space="preserve">, </w:t>
      </w:r>
      <w:hyperlink r:id="rId155" w:history="1">
        <w:r w:rsidR="00C25814" w:rsidRPr="00553800">
          <w:rPr>
            <w:rStyle w:val="Hyperlink"/>
            <w:rFonts w:cs="Calibri Light"/>
          </w:rPr>
          <w:t>https://vpsc.vic.gov.au/ethics-behaviours-culture/inform-and-advise-ministers/</w:t>
        </w:r>
        <w:r w:rsidR="00553800" w:rsidRPr="00553800">
          <w:rPr>
            <w:rStyle w:val="Hyperlink"/>
            <w:rFonts w:cs="Calibri Light"/>
          </w:rPr>
          <w:br/>
        </w:r>
        <w:r w:rsidR="00C25814" w:rsidRPr="00553800">
          <w:rPr>
            <w:rStyle w:val="Hyperlink"/>
            <w:rFonts w:cs="Calibri Light"/>
          </w:rPr>
          <w:t>secretaries-what-to-consider-when-advising-ministers/</w:t>
        </w:r>
      </w:hyperlink>
      <w:r w:rsidR="00C25814" w:rsidRPr="005E580E">
        <w:t>, last reviewed 28 October 2022.</w:t>
      </w:r>
    </w:p>
    <w:p w14:paraId="08C57621" w14:textId="29BEE7C0" w:rsidR="00A67BF2" w:rsidRPr="005E580E" w:rsidRDefault="00A67BF2" w:rsidP="00DC4486">
      <w:pPr>
        <w:pStyle w:val="05Paragraph"/>
      </w:pPr>
      <w:r w:rsidRPr="005E580E">
        <w:lastRenderedPageBreak/>
        <w:t>——— (2022</w:t>
      </w:r>
      <w:r w:rsidR="000B481F" w:rsidRPr="005E580E">
        <w:t>d</w:t>
      </w:r>
      <w:r w:rsidRPr="005E580E">
        <w:t xml:space="preserve">), </w:t>
      </w:r>
      <w:r w:rsidRPr="005E580E">
        <w:rPr>
          <w:i/>
        </w:rPr>
        <w:t>Victorian public sector</w:t>
      </w:r>
      <w:r w:rsidRPr="005E580E">
        <w:t xml:space="preserve">, </w:t>
      </w:r>
      <w:hyperlink r:id="rId156" w:history="1">
        <w:r w:rsidR="008E5C4E" w:rsidRPr="005E580E">
          <w:rPr>
            <w:rStyle w:val="Hyperlink"/>
            <w:rFonts w:cs="Calibri Light"/>
          </w:rPr>
          <w:t>https://vpsc.vic.gov.au/ethics-behaviours-culture/codes-of-conduct/guide-for-ministerial-officers-in-the-victorian-public-sector/victorian-public-sector/</w:t>
        </w:r>
      </w:hyperlink>
      <w:r w:rsidR="008E5C4E" w:rsidRPr="005E580E">
        <w:t>, last reviewed 20 June 2022.</w:t>
      </w:r>
    </w:p>
    <w:p w14:paraId="0433193A" w14:textId="50FE0F05" w:rsidR="00B72F80" w:rsidRPr="005E580E" w:rsidRDefault="00B72F80" w:rsidP="00DC4486">
      <w:pPr>
        <w:pStyle w:val="05Paragraph"/>
      </w:pPr>
      <w:r w:rsidRPr="005E580E">
        <w:t>——— (2022</w:t>
      </w:r>
      <w:r w:rsidR="000B481F" w:rsidRPr="005E580E">
        <w:t>e</w:t>
      </w:r>
      <w:r w:rsidRPr="005E580E">
        <w:t xml:space="preserve">), </w:t>
      </w:r>
      <w:r w:rsidRPr="005E580E">
        <w:rPr>
          <w:i/>
        </w:rPr>
        <w:t>V</w:t>
      </w:r>
      <w:r w:rsidR="00B551DA" w:rsidRPr="005E580E">
        <w:rPr>
          <w:i/>
        </w:rPr>
        <w:t>ictorian Public Service</w:t>
      </w:r>
      <w:r w:rsidRPr="005E580E">
        <w:rPr>
          <w:i/>
        </w:rPr>
        <w:t xml:space="preserve"> </w:t>
      </w:r>
      <w:r w:rsidR="00B551DA" w:rsidRPr="005E580E">
        <w:rPr>
          <w:i/>
        </w:rPr>
        <w:t>E</w:t>
      </w:r>
      <w:r w:rsidRPr="005E580E">
        <w:rPr>
          <w:i/>
        </w:rPr>
        <w:t xml:space="preserve">xecutive </w:t>
      </w:r>
      <w:r w:rsidR="00B551DA" w:rsidRPr="005E580E">
        <w:rPr>
          <w:i/>
        </w:rPr>
        <w:t>E</w:t>
      </w:r>
      <w:r w:rsidRPr="005E580E">
        <w:rPr>
          <w:i/>
        </w:rPr>
        <w:t xml:space="preserve">mployment </w:t>
      </w:r>
      <w:r w:rsidR="00B551DA" w:rsidRPr="005E580E">
        <w:rPr>
          <w:i/>
        </w:rPr>
        <w:t>H</w:t>
      </w:r>
      <w:r w:rsidRPr="005E580E">
        <w:rPr>
          <w:i/>
        </w:rPr>
        <w:t>andbook</w:t>
      </w:r>
      <w:r w:rsidRPr="005E580E">
        <w:t xml:space="preserve">, </w:t>
      </w:r>
      <w:hyperlink r:id="rId157" w:history="1">
        <w:r w:rsidR="002561B7" w:rsidRPr="005E580E">
          <w:rPr>
            <w:rStyle w:val="Hyperlink"/>
          </w:rPr>
          <w:t>https://vpsc.vic.gov.au/executive-employment/victorian-public-service-executive-employment/victorian-public-service-executive-employment-handbook/</w:t>
        </w:r>
      </w:hyperlink>
      <w:r w:rsidR="00301CDD" w:rsidRPr="009D4680">
        <w:t>, last reviewed 2 September 2022</w:t>
      </w:r>
      <w:r w:rsidR="00CB2E16" w:rsidRPr="005E580E">
        <w:t>.</w:t>
      </w:r>
      <w:r w:rsidR="002561B7" w:rsidRPr="005E580E">
        <w:t xml:space="preserve"> </w:t>
      </w:r>
    </w:p>
    <w:p w14:paraId="0B043DFA" w14:textId="1C4AA34C" w:rsidR="00B72F80" w:rsidRPr="005E580E" w:rsidRDefault="00B72F80" w:rsidP="00DC4486">
      <w:pPr>
        <w:pStyle w:val="05Paragraph"/>
      </w:pPr>
      <w:r w:rsidRPr="005E580E">
        <w:t>——— (2023</w:t>
      </w:r>
      <w:r w:rsidR="00D63608" w:rsidRPr="005E580E">
        <w:t>a</w:t>
      </w:r>
      <w:r w:rsidRPr="005E580E">
        <w:t xml:space="preserve">), </w:t>
      </w:r>
      <w:r w:rsidRPr="005E580E">
        <w:rPr>
          <w:i/>
        </w:rPr>
        <w:t>Executive numbers, gender and remuneration</w:t>
      </w:r>
      <w:r w:rsidRPr="005E580E">
        <w:t xml:space="preserve">, </w:t>
      </w:r>
      <w:hyperlink r:id="rId158" w:history="1">
        <w:r w:rsidR="00CB2E16" w:rsidRPr="005E580E">
          <w:rPr>
            <w:rStyle w:val="Hyperlink"/>
          </w:rPr>
          <w:t>https://vpsc.vic.gov.au/workforce-data-state-of-the-public-sector/data-sets-and-results/past-releases/2021-workforce-data-facts-and-visuals/executive-numbers-gender-and-remuneration/</w:t>
        </w:r>
      </w:hyperlink>
      <w:r w:rsidRPr="005E580E">
        <w:t>, last updated 24 April 2023.</w:t>
      </w:r>
    </w:p>
    <w:p w14:paraId="3CCA4F66" w14:textId="1909060A" w:rsidR="00B72F80" w:rsidRPr="005E580E" w:rsidRDefault="00B72F80" w:rsidP="00DC4486">
      <w:pPr>
        <w:pStyle w:val="05Paragraph"/>
      </w:pPr>
      <w:r w:rsidRPr="005E580E">
        <w:t>——— (2023</w:t>
      </w:r>
      <w:r w:rsidR="00D63608" w:rsidRPr="005E580E">
        <w:t>b</w:t>
      </w:r>
      <w:r w:rsidRPr="005E580E">
        <w:t xml:space="preserve">), </w:t>
      </w:r>
      <w:r w:rsidRPr="005E580E">
        <w:rPr>
          <w:i/>
          <w:iCs/>
        </w:rPr>
        <w:t>Jobs and Skills Exchange Recruitment Policy</w:t>
      </w:r>
      <w:r w:rsidR="00D63608" w:rsidRPr="005E580E">
        <w:t>.</w:t>
      </w:r>
    </w:p>
    <w:p w14:paraId="7E2C6EDC" w14:textId="6899DEBB" w:rsidR="00010AD7" w:rsidRDefault="00010AD7" w:rsidP="00DC4486">
      <w:pPr>
        <w:pStyle w:val="05Paragraph"/>
      </w:pPr>
      <w:r w:rsidRPr="005E580E">
        <w:t>——— (2024a)</w:t>
      </w:r>
      <w:r w:rsidR="00357682">
        <w:t xml:space="preserve">, </w:t>
      </w:r>
      <w:r w:rsidR="00357682" w:rsidRPr="00BF68AA">
        <w:rPr>
          <w:i/>
          <w:iCs/>
        </w:rPr>
        <w:t>Flexible work 2023</w:t>
      </w:r>
      <w:r w:rsidR="00357682">
        <w:t xml:space="preserve">, </w:t>
      </w:r>
      <w:hyperlink r:id="rId159" w:history="1">
        <w:r w:rsidR="00357682" w:rsidRPr="006D174F">
          <w:rPr>
            <w:rStyle w:val="Hyperlink"/>
          </w:rPr>
          <w:t>https://vpsc.vic.gov.au/workforce-data-state-of-the-public-sector/employee-experiences-in-the-workplace-2023/flexible-work-2023/</w:t>
        </w:r>
      </w:hyperlink>
      <w:r w:rsidR="00357682">
        <w:t xml:space="preserve">, </w:t>
      </w:r>
      <w:r w:rsidR="00205D17">
        <w:t xml:space="preserve">last </w:t>
      </w:r>
      <w:r w:rsidR="00357682">
        <w:t>reviewed 17 May 2024.</w:t>
      </w:r>
    </w:p>
    <w:p w14:paraId="6736A261" w14:textId="0A1C5B88" w:rsidR="00300F17" w:rsidRPr="005E580E" w:rsidRDefault="00300F17" w:rsidP="00DC4486">
      <w:pPr>
        <w:pStyle w:val="05Paragraph"/>
      </w:pPr>
      <w:r w:rsidRPr="005E580E">
        <w:t>——— (2024</w:t>
      </w:r>
      <w:r w:rsidR="0023227F">
        <w:t>b</w:t>
      </w:r>
      <w:r w:rsidRPr="005E580E">
        <w:t xml:space="preserve">), </w:t>
      </w:r>
      <w:r w:rsidRPr="005E580E">
        <w:rPr>
          <w:i/>
        </w:rPr>
        <w:t>Machinery of Government</w:t>
      </w:r>
      <w:r w:rsidRPr="005E580E">
        <w:t xml:space="preserve">, </w:t>
      </w:r>
      <w:hyperlink r:id="rId160" w:history="1">
        <w:r w:rsidR="00CB2E16" w:rsidRPr="005E580E">
          <w:rPr>
            <w:rStyle w:val="Hyperlink"/>
          </w:rPr>
          <w:t>https://vpsc.vic.gov.au/about-public-sector/machinery-of-government/</w:t>
        </w:r>
      </w:hyperlink>
      <w:r w:rsidRPr="005E580E">
        <w:t>, last reviewed 30 April 2024.</w:t>
      </w:r>
    </w:p>
    <w:p w14:paraId="3854E302" w14:textId="644F784A" w:rsidR="00B72F80" w:rsidRPr="005E580E" w:rsidRDefault="00B72F80" w:rsidP="00DC4486">
      <w:pPr>
        <w:pStyle w:val="05Paragraph"/>
      </w:pPr>
      <w:r w:rsidRPr="005E580E">
        <w:t>——— (2024</w:t>
      </w:r>
      <w:r w:rsidR="0023227F">
        <w:t>c</w:t>
      </w:r>
      <w:r w:rsidRPr="005E580E">
        <w:t xml:space="preserve">), </w:t>
      </w:r>
      <w:r w:rsidRPr="005E580E">
        <w:rPr>
          <w:i/>
        </w:rPr>
        <w:t>Number of executives</w:t>
      </w:r>
      <w:r w:rsidRPr="005E580E">
        <w:t xml:space="preserve">, </w:t>
      </w:r>
      <w:hyperlink r:id="rId161" w:history="1">
        <w:r w:rsidR="006B34D4" w:rsidRPr="00817778">
          <w:rPr>
            <w:rStyle w:val="Hyperlink"/>
          </w:rPr>
          <w:t>https://vpsc.vic.gov.au/data-and-research/data-facts-visuals-state-of-the-sector/executive-numbers-gender-and-remuneration/number-of-executives/</w:t>
        </w:r>
      </w:hyperlink>
      <w:r w:rsidRPr="005E580E">
        <w:t>, last updated 4 June 2024.</w:t>
      </w:r>
    </w:p>
    <w:p w14:paraId="7B007352" w14:textId="610290E3" w:rsidR="008A7DB4" w:rsidRPr="005E580E" w:rsidRDefault="008A7DB4" w:rsidP="00DC4486">
      <w:pPr>
        <w:pStyle w:val="05Paragraph"/>
      </w:pPr>
      <w:r w:rsidRPr="005E580E">
        <w:t>——— (2024</w:t>
      </w:r>
      <w:r w:rsidR="0023227F">
        <w:t>d</w:t>
      </w:r>
      <w:r w:rsidRPr="005E580E">
        <w:t xml:space="preserve">), </w:t>
      </w:r>
      <w:r w:rsidRPr="005E580E">
        <w:rPr>
          <w:i/>
        </w:rPr>
        <w:t xml:space="preserve">Our </w:t>
      </w:r>
      <w:r w:rsidR="00A02C02" w:rsidRPr="005E580E">
        <w:rPr>
          <w:i/>
        </w:rPr>
        <w:t>role and our structure</w:t>
      </w:r>
      <w:r w:rsidR="00A02C02" w:rsidRPr="005E580E">
        <w:t xml:space="preserve">, </w:t>
      </w:r>
      <w:hyperlink r:id="rId162" w:history="1">
        <w:r w:rsidR="00A02C02" w:rsidRPr="005E580E">
          <w:rPr>
            <w:rStyle w:val="Hyperlink"/>
            <w:rFonts w:cs="Calibri Light"/>
          </w:rPr>
          <w:t>https://vpsc.vic.gov.au/about-vpsc/our-role-and-structure/</w:t>
        </w:r>
      </w:hyperlink>
      <w:r w:rsidR="00A02C02" w:rsidRPr="005E580E">
        <w:t xml:space="preserve">, </w:t>
      </w:r>
      <w:r w:rsidR="009F01C4">
        <w:t xml:space="preserve">last </w:t>
      </w:r>
      <w:r w:rsidR="00A02C02" w:rsidRPr="005E580E">
        <w:t>reviewed 5 March 2024.</w:t>
      </w:r>
    </w:p>
    <w:p w14:paraId="6703495C" w14:textId="21A49A8C" w:rsidR="003C0412" w:rsidRPr="005E580E" w:rsidRDefault="003C0412" w:rsidP="00DC4486">
      <w:pPr>
        <w:pStyle w:val="05Paragraph"/>
      </w:pPr>
      <w:r w:rsidRPr="005E580E">
        <w:t>——— (2024</w:t>
      </w:r>
      <w:r w:rsidR="0023227F">
        <w:t>e</w:t>
      </w:r>
      <w:r w:rsidRPr="005E580E">
        <w:t>),</w:t>
      </w:r>
      <w:r w:rsidR="00963FF3" w:rsidRPr="005E580E">
        <w:t xml:space="preserve"> </w:t>
      </w:r>
      <w:r w:rsidR="00963FF3" w:rsidRPr="005E580E">
        <w:rPr>
          <w:i/>
        </w:rPr>
        <w:t>Section 11 – Administrative offices</w:t>
      </w:r>
      <w:r w:rsidR="00963FF3" w:rsidRPr="005E580E">
        <w:t xml:space="preserve">, </w:t>
      </w:r>
      <w:hyperlink r:id="rId163" w:history="1">
        <w:r w:rsidR="00963FF3" w:rsidRPr="005E580E">
          <w:rPr>
            <w:rStyle w:val="Hyperlink"/>
            <w:rFonts w:cs="Calibri Light"/>
          </w:rPr>
          <w:t>https://vpsc.vic.gov.au/about-public-sector/register-of-instruments/orders/section-11-administrative-offices/</w:t>
        </w:r>
      </w:hyperlink>
      <w:r w:rsidR="00963FF3" w:rsidRPr="005E580E">
        <w:t xml:space="preserve">, </w:t>
      </w:r>
      <w:r w:rsidR="006B34D4">
        <w:t xml:space="preserve">last </w:t>
      </w:r>
      <w:r w:rsidR="00963FF3" w:rsidRPr="005E580E">
        <w:t>reviewed 30 April 2024.</w:t>
      </w:r>
    </w:p>
    <w:p w14:paraId="5D8464A2" w14:textId="2075F54C" w:rsidR="005B47C4" w:rsidRPr="005E580E" w:rsidRDefault="005B47C4" w:rsidP="00DC4486">
      <w:pPr>
        <w:pStyle w:val="05Paragraph"/>
      </w:pPr>
      <w:r w:rsidRPr="005E580E">
        <w:t>——— (2024</w:t>
      </w:r>
      <w:r w:rsidR="0023227F">
        <w:t>f</w:t>
      </w:r>
      <w:r w:rsidRPr="005E580E">
        <w:t xml:space="preserve">), </w:t>
      </w:r>
      <w:r w:rsidRPr="005E580E">
        <w:rPr>
          <w:i/>
        </w:rPr>
        <w:t>Strategic plan 2023-2026</w:t>
      </w:r>
      <w:r w:rsidR="00807DB1" w:rsidRPr="005E580E">
        <w:t xml:space="preserve">, </w:t>
      </w:r>
      <w:hyperlink r:id="rId164" w:history="1">
        <w:r w:rsidR="00807DB1" w:rsidRPr="005E580E">
          <w:rPr>
            <w:rStyle w:val="Hyperlink"/>
            <w:rFonts w:cs="Calibri Light"/>
          </w:rPr>
          <w:t>https://vpsc.vic.gov.au/about-vpsc/strategic-plan-2023-2026/</w:t>
        </w:r>
      </w:hyperlink>
      <w:r w:rsidR="00807DB1" w:rsidRPr="005E580E">
        <w:t xml:space="preserve">, </w:t>
      </w:r>
      <w:r w:rsidR="009F01C4">
        <w:t xml:space="preserve">last </w:t>
      </w:r>
      <w:r w:rsidR="00807DB1" w:rsidRPr="005E580E">
        <w:t>reviewed 5 March 2024.</w:t>
      </w:r>
    </w:p>
    <w:p w14:paraId="2A9228A6" w14:textId="0AC03DDB" w:rsidR="00300F17" w:rsidRPr="005E580E" w:rsidRDefault="00300F17" w:rsidP="00DC4486">
      <w:pPr>
        <w:pStyle w:val="05Paragraph"/>
      </w:pPr>
      <w:r w:rsidRPr="005E580E">
        <w:t>——— (2024</w:t>
      </w:r>
      <w:r w:rsidR="0023227F">
        <w:t>g</w:t>
      </w:r>
      <w:r w:rsidRPr="005E580E">
        <w:t xml:space="preserve">), </w:t>
      </w:r>
      <w:r w:rsidRPr="005E580E">
        <w:rPr>
          <w:i/>
          <w:iCs/>
        </w:rPr>
        <w:t>The Victorian public sector</w:t>
      </w:r>
      <w:r w:rsidRPr="005E580E">
        <w:t xml:space="preserve">, </w:t>
      </w:r>
      <w:hyperlink r:id="rId165" w:history="1">
        <w:r w:rsidR="009F01C4" w:rsidRPr="006D174F">
          <w:rPr>
            <w:rStyle w:val="Hyperlink"/>
          </w:rPr>
          <w:t>https://vpsc.vic.gov.au/about-public-sector/the-victorian-public-sector/</w:t>
        </w:r>
      </w:hyperlink>
      <w:r w:rsidRPr="005E580E">
        <w:t>, last reviewed 30 April 2024.</w:t>
      </w:r>
    </w:p>
    <w:p w14:paraId="66455808" w14:textId="4C9F9F32" w:rsidR="0012548A" w:rsidRDefault="0012548A" w:rsidP="00DC4486">
      <w:pPr>
        <w:pStyle w:val="05Paragraph"/>
      </w:pPr>
      <w:r w:rsidRPr="005E580E">
        <w:t>——— (2024</w:t>
      </w:r>
      <w:r w:rsidR="0023227F">
        <w:t>h</w:t>
      </w:r>
      <w:r w:rsidRPr="005E580E">
        <w:t xml:space="preserve">), </w:t>
      </w:r>
      <w:r w:rsidRPr="005E580E">
        <w:rPr>
          <w:i/>
        </w:rPr>
        <w:t>Victorian Public Se</w:t>
      </w:r>
      <w:r w:rsidR="00F1522A" w:rsidRPr="005E580E">
        <w:rPr>
          <w:i/>
        </w:rPr>
        <w:t>rvice Executive Classification Framework</w:t>
      </w:r>
      <w:r w:rsidR="00F1522A" w:rsidRPr="005E580E">
        <w:t xml:space="preserve">, </w:t>
      </w:r>
      <w:hyperlink r:id="rId166" w:history="1">
        <w:r w:rsidR="00F1522A" w:rsidRPr="005E580E">
          <w:rPr>
            <w:rStyle w:val="Hyperlink"/>
            <w:rFonts w:cs="Calibri Light"/>
          </w:rPr>
          <w:t>https://vpsc.vic.gov.au/executive-employment/victorian-public-service-</w:t>
        </w:r>
        <w:r w:rsidR="00F1522A" w:rsidRPr="005E580E">
          <w:rPr>
            <w:rStyle w:val="Hyperlink"/>
            <w:rFonts w:cs="Calibri Light"/>
          </w:rPr>
          <w:lastRenderedPageBreak/>
          <w:t>executive-employment/vps-executive-classification/vps-executive-classification-framework/</w:t>
        </w:r>
      </w:hyperlink>
      <w:r w:rsidR="00F1522A" w:rsidRPr="005E580E">
        <w:t xml:space="preserve">, </w:t>
      </w:r>
      <w:r w:rsidR="00BD4B8C" w:rsidRPr="005E580E">
        <w:t>last reviewed 4 April 2024.</w:t>
      </w:r>
    </w:p>
    <w:p w14:paraId="720DD617" w14:textId="39F3E855" w:rsidR="00C559C6" w:rsidRDefault="00C559C6" w:rsidP="00DC4486">
      <w:pPr>
        <w:pStyle w:val="05Paragraph"/>
      </w:pPr>
      <w:r>
        <w:t>VSB (Victorian Secretaries Board)</w:t>
      </w:r>
      <w:r w:rsidR="00F314FD" w:rsidRPr="00F314FD">
        <w:t xml:space="preserve"> (2023), </w:t>
      </w:r>
      <w:r w:rsidR="00DD58E2" w:rsidRPr="00CB2E16">
        <w:rPr>
          <w:i/>
          <w:iCs/>
        </w:rPr>
        <w:t>2023 Integrity Statement from the Victorian Secretaries’ Board</w:t>
      </w:r>
      <w:r w:rsidR="00DD58E2">
        <w:t>,</w:t>
      </w:r>
      <w:r w:rsidR="00DD58E2" w:rsidRPr="00DD58E2">
        <w:t xml:space="preserve"> </w:t>
      </w:r>
      <w:hyperlink r:id="rId167" w:history="1">
        <w:r w:rsidR="001A0600" w:rsidRPr="00066802">
          <w:rPr>
            <w:rStyle w:val="Hyperlink"/>
            <w:rFonts w:cs="Calibri Light"/>
          </w:rPr>
          <w:t>https://www.vic.gov.au/2023-integrity-statement-victorian-secretaries-board</w:t>
        </w:r>
      </w:hyperlink>
      <w:r w:rsidR="00F314FD" w:rsidRPr="00F314FD">
        <w:t>,</w:t>
      </w:r>
      <w:r w:rsidR="001A0600">
        <w:t xml:space="preserve"> </w:t>
      </w:r>
      <w:r w:rsidR="0067298A">
        <w:t>last</w:t>
      </w:r>
      <w:r w:rsidR="001A0600">
        <w:t xml:space="preserve"> updated 23 November 2023.</w:t>
      </w:r>
    </w:p>
    <w:p w14:paraId="5DD8AC8A" w14:textId="40FA3699" w:rsidR="00300F17" w:rsidRPr="00E73BC2" w:rsidRDefault="00300F17" w:rsidP="00DC4486">
      <w:pPr>
        <w:pStyle w:val="05Paragraph"/>
      </w:pPr>
      <w:r w:rsidRPr="00E73BC2">
        <w:t>Victorian Skills Authority (2024),</w:t>
      </w:r>
      <w:r w:rsidR="00E73BC2">
        <w:t xml:space="preserve"> </w:t>
      </w:r>
      <w:r w:rsidRPr="00CB2E16">
        <w:rPr>
          <w:i/>
          <w:iCs/>
        </w:rPr>
        <w:t>About the Victorian Skills Authority</w:t>
      </w:r>
      <w:r w:rsidRPr="00E73BC2">
        <w:t xml:space="preserve">, </w:t>
      </w:r>
      <w:hyperlink r:id="rId168" w:history="1">
        <w:r w:rsidR="009F01C4" w:rsidRPr="006D174F">
          <w:rPr>
            <w:rStyle w:val="Hyperlink"/>
          </w:rPr>
          <w:t>https://www.vic.gov.au/about-victorian-skills-authority</w:t>
        </w:r>
      </w:hyperlink>
      <w:r w:rsidRPr="00E73BC2">
        <w:t>,</w:t>
      </w:r>
      <w:r w:rsidRPr="0025462A">
        <w:rPr>
          <w:spacing w:val="-4"/>
        </w:rPr>
        <w:t xml:space="preserve"> last updated 17 May 2024.</w:t>
      </w:r>
    </w:p>
    <w:p w14:paraId="12ABBB4A" w14:textId="0257EFC4" w:rsidR="00CA257A" w:rsidRDefault="00CA257A" w:rsidP="00300F17">
      <w:pPr>
        <w:spacing w:before="0" w:after="80" w:line="240" w:lineRule="auto"/>
        <w:jc w:val="left"/>
        <w:rPr>
          <w:color w:val="auto"/>
          <w:highlight w:val="yellow"/>
        </w:rPr>
      </w:pPr>
    </w:p>
    <w:sectPr w:rsidR="00CA257A" w:rsidSect="00A30477">
      <w:pgSz w:w="11906" w:h="16838"/>
      <w:pgMar w:top="1701" w:right="1701" w:bottom="993"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DFCDD2" w14:textId="77777777" w:rsidR="00483256" w:rsidRDefault="00483256" w:rsidP="0041202E">
      <w:pPr>
        <w:spacing w:after="0"/>
      </w:pPr>
      <w:r>
        <w:separator/>
      </w:r>
    </w:p>
  </w:endnote>
  <w:endnote w:type="continuationSeparator" w:id="0">
    <w:p w14:paraId="06D286DC" w14:textId="77777777" w:rsidR="00483256" w:rsidRDefault="00483256" w:rsidP="0041202E">
      <w:pPr>
        <w:spacing w:after="0"/>
      </w:pPr>
      <w:r>
        <w:continuationSeparator/>
      </w:r>
    </w:p>
  </w:endnote>
  <w:endnote w:type="continuationNotice" w:id="1">
    <w:p w14:paraId="03B056D8" w14:textId="77777777" w:rsidR="00483256" w:rsidRDefault="0048325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GPGothicE">
    <w:altName w:val="HGPｺﾞｼｯｸE"/>
    <w:charset w:val="80"/>
    <w:family w:val="swiss"/>
    <w:pitch w:val="variable"/>
    <w:sig w:usb0="E00002FF" w:usb1="2AC7EDFE" w:usb2="00000012" w:usb3="00000000" w:csb0="00020001" w:csb1="00000000"/>
  </w:font>
  <w:font w:name="Times New Roman (Headings CS)">
    <w:altName w:val="Times New Roman"/>
    <w:charset w:val="00"/>
    <w:family w:val="roman"/>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HGMinchoB">
    <w:altName w:val="HG明朝B"/>
    <w:panose1 w:val="00000000000000000000"/>
    <w:charset w:val="80"/>
    <w:family w:val="roman"/>
    <w:notTrueType/>
    <w:pitch w:val="default"/>
  </w:font>
  <w:font w:name="Times New Roman (Body CS)">
    <w:altName w:val="Times New Roman"/>
    <w:charset w:val="00"/>
    <w:family w:val="roman"/>
    <w:pitch w:val="variable"/>
    <w:sig w:usb0="E0002AEF" w:usb1="C0007841"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PMincho">
    <w:altName w:val="@Yu Gothic"/>
    <w:charset w:val="80"/>
    <w:family w:val="roman"/>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0D33FF" w14:textId="24EFBEA8" w:rsidR="00422BA7" w:rsidRDefault="002A3B10">
    <w:pPr>
      <w:pStyle w:val="Footer"/>
    </w:pPr>
    <w:r>
      <w:rPr>
        <w:noProof/>
      </w:rPr>
      <mc:AlternateContent>
        <mc:Choice Requires="wps">
          <w:drawing>
            <wp:anchor distT="0" distB="0" distL="0" distR="0" simplePos="0" relativeHeight="251657728" behindDoc="0" locked="0" layoutInCell="1" allowOverlap="1" wp14:anchorId="6AA31482" wp14:editId="567C2AEF">
              <wp:simplePos x="635" y="635"/>
              <wp:positionH relativeFrom="page">
                <wp:align>left</wp:align>
              </wp:positionH>
              <wp:positionV relativeFrom="page">
                <wp:align>bottom</wp:align>
              </wp:positionV>
              <wp:extent cx="443865" cy="443865"/>
              <wp:effectExtent l="0" t="0" r="18415" b="0"/>
              <wp:wrapNone/>
              <wp:docPr id="974634425" name="Text Box 2"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0530EB" w14:textId="03325D53" w:rsidR="002A3B10" w:rsidRPr="002A3B10" w:rsidRDefault="002A3B10" w:rsidP="002A3B10">
                          <w:pPr>
                            <w:spacing w:after="0"/>
                            <w:rPr>
                              <w:rFonts w:ascii="Calibri" w:eastAsia="Calibri" w:hAnsi="Calibri" w:cs="Calibri"/>
                              <w:noProof/>
                              <w:color w:val="000000"/>
                              <w:sz w:val="22"/>
                            </w:rPr>
                          </w:pPr>
                          <w:r w:rsidRPr="002A3B10">
                            <w:rPr>
                              <w:rFonts w:ascii="Calibri" w:eastAsia="Calibri" w:hAnsi="Calibri" w:cs="Calibri"/>
                              <w:noProof/>
                              <w:color w:val="000000"/>
                              <w:sz w:val="22"/>
                            </w:rPr>
                            <w:t>OFFICIAL: Sensitive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AA31482" id="_x0000_t202" coordsize="21600,21600" o:spt="202" path="m,l,21600r21600,l21600,xe">
              <v:stroke joinstyle="miter"/>
              <v:path gradientshapeok="t" o:connecttype="rect"/>
            </v:shapetype>
            <v:shape id="_x0000_s1044" type="#_x0000_t202" alt="OFFICIAL: Sensitive" style="position:absolute;left:0;text-align:left;margin-left:0;margin-top:0;width:34.95pt;height:34.95pt;z-index:25165772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YvUncQAgAAIQQA&#10;AA4AAAAAAAAAAAAAAAAALgIAAGRycy9lMm9Eb2MueG1sUEsBAi0AFAAGAAgAAAAhANhtPP7XAAAA&#10;AwEAAA8AAAAAAAAAAAAAAAAAagQAAGRycy9kb3ducmV2LnhtbFBLBQYAAAAABAAEAPMAAABuBQAA&#10;AAA=&#10;" filled="f" stroked="f">
              <v:textbox style="mso-fit-shape-to-text:t" inset="20pt,0,0,15pt">
                <w:txbxContent>
                  <w:p w14:paraId="150530EB" w14:textId="03325D53" w:rsidR="002A3B10" w:rsidRPr="002A3B10" w:rsidRDefault="002A3B10" w:rsidP="002A3B10">
                    <w:pPr>
                      <w:spacing w:after="0"/>
                      <w:rPr>
                        <w:rFonts w:ascii="Calibri" w:eastAsia="Calibri" w:hAnsi="Calibri" w:cs="Calibri"/>
                        <w:noProof/>
                        <w:color w:val="000000"/>
                        <w:sz w:val="22"/>
                      </w:rPr>
                    </w:pPr>
                    <w:r w:rsidRPr="002A3B10">
                      <w:rPr>
                        <w:rFonts w:ascii="Calibri" w:eastAsia="Calibri" w:hAnsi="Calibri" w:cs="Calibri"/>
                        <w:noProof/>
                        <w:color w:val="000000"/>
                        <w:sz w:val="22"/>
                      </w:rPr>
                      <w:t>OFFICIAL: Sensitive</w:t>
                    </w:r>
                  </w:p>
                </w:txbxContent>
              </v:textbox>
              <w10:wrap anchorx="page" anchory="page"/>
            </v:shape>
          </w:pict>
        </mc:Fallback>
      </mc:AlternateContent>
    </w:r>
  </w:p>
  <w:p w14:paraId="7690B080" w14:textId="77777777" w:rsidR="00422BA7" w:rsidRDefault="00422BA7">
    <w:pPr>
      <w:rPr>
        <w:color w:val="auto"/>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520FBF" w14:textId="42A7E4AD" w:rsidR="00AF3606" w:rsidRDefault="002A3B10">
    <w:pPr>
      <w:pStyle w:val="Footer"/>
    </w:pPr>
    <w:r>
      <w:rPr>
        <w:noProof/>
      </w:rPr>
      <mc:AlternateContent>
        <mc:Choice Requires="wps">
          <w:drawing>
            <wp:anchor distT="0" distB="0" distL="0" distR="0" simplePos="0" relativeHeight="251660800" behindDoc="0" locked="0" layoutInCell="1" allowOverlap="1" wp14:anchorId="3DFC9165" wp14:editId="3BB4B043">
              <wp:simplePos x="635" y="635"/>
              <wp:positionH relativeFrom="page">
                <wp:align>left</wp:align>
              </wp:positionH>
              <wp:positionV relativeFrom="page">
                <wp:align>bottom</wp:align>
              </wp:positionV>
              <wp:extent cx="443865" cy="443865"/>
              <wp:effectExtent l="0" t="0" r="18415" b="0"/>
              <wp:wrapNone/>
              <wp:docPr id="215033941" name="Text Box 14"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0EE7E6" w14:textId="55E316A1" w:rsidR="002A3B10" w:rsidRPr="002A3B10" w:rsidRDefault="002A3B10" w:rsidP="002A3B10">
                          <w:pPr>
                            <w:spacing w:after="0"/>
                            <w:rPr>
                              <w:rFonts w:ascii="Calibri" w:eastAsia="Calibri" w:hAnsi="Calibri" w:cs="Calibri"/>
                              <w:noProof/>
                              <w:color w:val="000000"/>
                              <w:sz w:val="22"/>
                            </w:rPr>
                          </w:pPr>
                          <w:r w:rsidRPr="002A3B10">
                            <w:rPr>
                              <w:rFonts w:ascii="Calibri" w:eastAsia="Calibri" w:hAnsi="Calibri" w:cs="Calibri"/>
                              <w:noProof/>
                              <w:color w:val="000000"/>
                              <w:sz w:val="22"/>
                            </w:rPr>
                            <w:t>OFFICIAL: Sensitive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DFC9165" id="_x0000_t202" coordsize="21600,21600" o:spt="202" path="m,l,21600r21600,l21600,xe">
              <v:stroke joinstyle="miter"/>
              <v:path gradientshapeok="t" o:connecttype="rect"/>
            </v:shapetype>
            <v:shape id="Text Box 14" o:spid="_x0000_s1048" type="#_x0000_t202" alt="OFFICIAL: Sensitive" style="position:absolute;left:0;text-align:left;margin-left:0;margin-top:0;width:34.95pt;height:34.95pt;z-index:25166080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UaxzgQAgAAIQQA&#10;AA4AAAAAAAAAAAAAAAAALgIAAGRycy9lMm9Eb2MueG1sUEsBAi0AFAAGAAgAAAAhANhtPP7XAAAA&#10;AwEAAA8AAAAAAAAAAAAAAAAAagQAAGRycy9kb3ducmV2LnhtbFBLBQYAAAAABAAEAPMAAABuBQAA&#10;AAA=&#10;" filled="f" stroked="f">
              <v:textbox style="mso-fit-shape-to-text:t" inset="20pt,0,0,15pt">
                <w:txbxContent>
                  <w:p w14:paraId="0B0EE7E6" w14:textId="55E316A1" w:rsidR="002A3B10" w:rsidRPr="002A3B10" w:rsidRDefault="002A3B10" w:rsidP="002A3B10">
                    <w:pPr>
                      <w:spacing w:after="0"/>
                      <w:rPr>
                        <w:rFonts w:ascii="Calibri" w:eastAsia="Calibri" w:hAnsi="Calibri" w:cs="Calibri"/>
                        <w:noProof/>
                        <w:color w:val="000000"/>
                        <w:sz w:val="22"/>
                      </w:rPr>
                    </w:pPr>
                    <w:r w:rsidRPr="002A3B10">
                      <w:rPr>
                        <w:rFonts w:ascii="Calibri" w:eastAsia="Calibri" w:hAnsi="Calibri" w:cs="Calibri"/>
                        <w:noProof/>
                        <w:color w:val="000000"/>
                        <w:sz w:val="22"/>
                      </w:rPr>
                      <w:t>OFFICIAL: Sensitive</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EEF23F" w14:textId="77777777" w:rsidR="00CA494E" w:rsidRPr="00BC12B4" w:rsidRDefault="003B77A3">
    <w:pPr>
      <w:pStyle w:val="Footer"/>
      <w:jc w:val="center"/>
      <w:rPr>
        <w:color w:val="auto"/>
      </w:rPr>
    </w:pPr>
    <w:sdt>
      <w:sdtPr>
        <w:id w:val="-2072028206"/>
        <w:docPartObj>
          <w:docPartGallery w:val="Page Numbers (Bottom of Page)"/>
          <w:docPartUnique/>
        </w:docPartObj>
      </w:sdtPr>
      <w:sdtEndPr>
        <w:rPr>
          <w:noProof/>
          <w:color w:val="auto"/>
        </w:rPr>
      </w:sdtEndPr>
      <w:sdtContent>
        <w:r w:rsidR="00CA494E" w:rsidRPr="00BC12B4">
          <w:rPr>
            <w:color w:val="auto"/>
          </w:rPr>
          <w:fldChar w:fldCharType="begin"/>
        </w:r>
        <w:r w:rsidR="00CA494E" w:rsidRPr="00BC12B4">
          <w:rPr>
            <w:color w:val="auto"/>
          </w:rPr>
          <w:instrText xml:space="preserve"> PAGE   \* MERGEFORMAT </w:instrText>
        </w:r>
        <w:r w:rsidR="00CA494E" w:rsidRPr="00BC12B4">
          <w:rPr>
            <w:color w:val="auto"/>
          </w:rPr>
          <w:fldChar w:fldCharType="separate"/>
        </w:r>
        <w:r w:rsidR="00CA494E" w:rsidRPr="00BC12B4">
          <w:rPr>
            <w:noProof/>
            <w:color w:val="auto"/>
          </w:rPr>
          <w:t>2</w:t>
        </w:r>
        <w:r w:rsidR="00CA494E" w:rsidRPr="00BC12B4">
          <w:rPr>
            <w:noProof/>
            <w:color w:val="auto"/>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5511A" w14:textId="569905EA" w:rsidR="00CA494E" w:rsidRPr="00BC12B4" w:rsidRDefault="003B77A3" w:rsidP="00B50FBA">
    <w:pPr>
      <w:pStyle w:val="Footer"/>
      <w:jc w:val="center"/>
      <w:rPr>
        <w:color w:val="auto"/>
      </w:rPr>
    </w:pPr>
    <w:sdt>
      <w:sdtPr>
        <w:id w:val="1638911719"/>
        <w:docPartObj>
          <w:docPartGallery w:val="Page Numbers (Bottom of Page)"/>
          <w:docPartUnique/>
        </w:docPartObj>
      </w:sdtPr>
      <w:sdtEndPr>
        <w:rPr>
          <w:noProof/>
          <w:color w:val="auto"/>
        </w:rPr>
      </w:sdtEndPr>
      <w:sdtContent>
        <w:r w:rsidR="00CA494E" w:rsidRPr="00BC12B4">
          <w:rPr>
            <w:color w:val="auto"/>
          </w:rPr>
          <w:fldChar w:fldCharType="begin"/>
        </w:r>
        <w:r w:rsidR="00CA494E" w:rsidRPr="00BC12B4">
          <w:rPr>
            <w:color w:val="auto"/>
          </w:rPr>
          <w:instrText xml:space="preserve"> PAGE   \* MERGEFORMAT </w:instrText>
        </w:r>
        <w:r w:rsidR="00CA494E" w:rsidRPr="00BC12B4">
          <w:rPr>
            <w:color w:val="auto"/>
          </w:rPr>
          <w:fldChar w:fldCharType="separate"/>
        </w:r>
        <w:r w:rsidR="00CA494E" w:rsidRPr="00BC12B4">
          <w:rPr>
            <w:noProof/>
            <w:color w:val="auto"/>
          </w:rPr>
          <w:t>2</w:t>
        </w:r>
        <w:r w:rsidR="00CA494E" w:rsidRPr="00BC12B4">
          <w:rPr>
            <w:noProof/>
            <w:color w:val="auto"/>
          </w:rPr>
          <w:fldChar w:fldCharType="end"/>
        </w:r>
      </w:sdtContent>
    </w:sdt>
  </w:p>
  <w:p w14:paraId="2B9A7715" w14:textId="77777777" w:rsidR="00384E76" w:rsidRDefault="00384E7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9E4E6" w14:textId="77777777" w:rsidR="00C43927" w:rsidRDefault="00C439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F4C791" w14:textId="1C71EA8E" w:rsidR="00422BA7" w:rsidRDefault="002A3B10">
    <w:pPr>
      <w:pStyle w:val="Footer"/>
      <w:jc w:val="center"/>
    </w:pPr>
    <w:r>
      <w:rPr>
        <w:noProof/>
      </w:rPr>
      <mc:AlternateContent>
        <mc:Choice Requires="wps">
          <w:drawing>
            <wp:anchor distT="0" distB="0" distL="0" distR="0" simplePos="0" relativeHeight="251656704" behindDoc="0" locked="0" layoutInCell="1" allowOverlap="1" wp14:anchorId="667631BE" wp14:editId="6A8452F8">
              <wp:simplePos x="635" y="635"/>
              <wp:positionH relativeFrom="page">
                <wp:align>left</wp:align>
              </wp:positionH>
              <wp:positionV relativeFrom="page">
                <wp:align>bottom</wp:align>
              </wp:positionV>
              <wp:extent cx="443865" cy="443865"/>
              <wp:effectExtent l="0" t="0" r="18415" b="0"/>
              <wp:wrapNone/>
              <wp:docPr id="1902706155" name="Text Box 1"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0303AA" w14:textId="1BB071F1" w:rsidR="002A3B10" w:rsidRPr="002A3B10" w:rsidRDefault="002A3B10" w:rsidP="002A3B10">
                          <w:pPr>
                            <w:spacing w:after="0"/>
                            <w:rPr>
                              <w:rFonts w:ascii="Calibri" w:eastAsia="Calibri" w:hAnsi="Calibri" w:cs="Calibri"/>
                              <w:noProof/>
                              <w:color w:val="000000"/>
                              <w:sz w:val="22"/>
                            </w:rPr>
                          </w:pPr>
                          <w:r w:rsidRPr="002A3B10">
                            <w:rPr>
                              <w:rFonts w:ascii="Calibri" w:eastAsia="Calibri" w:hAnsi="Calibri" w:cs="Calibri"/>
                              <w:noProof/>
                              <w:color w:val="000000"/>
                              <w:sz w:val="22"/>
                            </w:rPr>
                            <w:t>OFFICIAL: Sensitive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67631BE" id="_x0000_t202" coordsize="21600,21600" o:spt="202" path="m,l,21600r21600,l21600,xe">
              <v:stroke joinstyle="miter"/>
              <v:path gradientshapeok="t" o:connecttype="rect"/>
            </v:shapetype>
            <v:shape id="_x0000_s1045" type="#_x0000_t202" alt="OFFICIAL: Sensitive" style="position:absolute;left:0;text-align:left;margin-left:0;margin-top:0;width:34.95pt;height:34.95pt;z-index:25165670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R6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QVFh+730N1xqEc9Pv2lm8aLL1lPrwwhwvGOVC04RkP&#10;qaAtKQyIkhrcj7/ZYzzyjl5KWhRMSQ0qmhL1zeA+Zot5nkeBpRsCN4J9AtO7fBH95qgfALU4xWdh&#10;eYIxOKgRSgf6DTW9jtXQxQzHmiXdj/Ah9PLFN8HFep2CUEuWha3ZWR5TR84ioa/dG3N2YD3gup5g&#10;lBQr3pHfx8Y/vV0fA64gbSby27M50I46TLsd3kwU+q/3FHV92aufAA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hIw0eg8CAAAhBAAA&#10;DgAAAAAAAAAAAAAAAAAuAgAAZHJzL2Uyb0RvYy54bWxQSwECLQAUAAYACAAAACEA2G08/tcAAAAD&#10;AQAADwAAAAAAAAAAAAAAAABpBAAAZHJzL2Rvd25yZXYueG1sUEsFBgAAAAAEAAQA8wAAAG0FAAAA&#10;AA==&#10;" filled="f" stroked="f">
              <v:textbox style="mso-fit-shape-to-text:t" inset="20pt,0,0,15pt">
                <w:txbxContent>
                  <w:p w14:paraId="710303AA" w14:textId="1BB071F1" w:rsidR="002A3B10" w:rsidRPr="002A3B10" w:rsidRDefault="002A3B10" w:rsidP="002A3B10">
                    <w:pPr>
                      <w:spacing w:after="0"/>
                      <w:rPr>
                        <w:rFonts w:ascii="Calibri" w:eastAsia="Calibri" w:hAnsi="Calibri" w:cs="Calibri"/>
                        <w:noProof/>
                        <w:color w:val="000000"/>
                        <w:sz w:val="22"/>
                      </w:rPr>
                    </w:pPr>
                    <w:r w:rsidRPr="002A3B10">
                      <w:rPr>
                        <w:rFonts w:ascii="Calibri" w:eastAsia="Calibri" w:hAnsi="Calibri" w:cs="Calibri"/>
                        <w:noProof/>
                        <w:color w:val="000000"/>
                        <w:sz w:val="22"/>
                      </w:rPr>
                      <w:t>OFFICIAL: Sensitive</w:t>
                    </w:r>
                  </w:p>
                </w:txbxContent>
              </v:textbox>
              <w10:wrap anchorx="page" anchory="page"/>
            </v:shape>
          </w:pict>
        </mc:Fallback>
      </mc:AlternateContent>
    </w:r>
    <w:r w:rsidR="00422BA7">
      <w:fldChar w:fldCharType="begin"/>
    </w:r>
    <w:r w:rsidR="00422BA7">
      <w:instrText xml:space="preserve"> PAGE   \* MERGEFORMAT </w:instrText>
    </w:r>
    <w:r w:rsidR="00422BA7">
      <w:fldChar w:fldCharType="separate"/>
    </w:r>
    <w:r w:rsidR="00422BA7">
      <w:rPr>
        <w:noProof/>
      </w:rPr>
      <w:t>2</w:t>
    </w:r>
    <w:r w:rsidR="00422BA7">
      <w:rPr>
        <w:noProof/>
      </w:rPr>
      <w:fldChar w:fldCharType="end"/>
    </w:r>
  </w:p>
  <w:p w14:paraId="1498DF38" w14:textId="77777777" w:rsidR="00422BA7" w:rsidRDefault="00422BA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0B803" w14:textId="4475DADA" w:rsidR="00AF3606" w:rsidRDefault="002A3B10">
    <w:pPr>
      <w:pStyle w:val="Footer"/>
    </w:pPr>
    <w:r>
      <w:rPr>
        <w:noProof/>
      </w:rPr>
      <mc:AlternateContent>
        <mc:Choice Requires="wps">
          <w:drawing>
            <wp:anchor distT="0" distB="0" distL="0" distR="0" simplePos="0" relativeHeight="251658752" behindDoc="0" locked="0" layoutInCell="1" allowOverlap="1" wp14:anchorId="7859ACB1" wp14:editId="5CD6EDAE">
              <wp:simplePos x="635" y="635"/>
              <wp:positionH relativeFrom="page">
                <wp:align>left</wp:align>
              </wp:positionH>
              <wp:positionV relativeFrom="page">
                <wp:align>bottom</wp:align>
              </wp:positionV>
              <wp:extent cx="443865" cy="443865"/>
              <wp:effectExtent l="0" t="0" r="18415" b="0"/>
              <wp:wrapNone/>
              <wp:docPr id="1911208475" name="Text Box 5"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349ACB" w14:textId="25234320" w:rsidR="002A3B10" w:rsidRPr="002A3B10" w:rsidRDefault="002A3B10" w:rsidP="002A3B10">
                          <w:pPr>
                            <w:spacing w:after="0"/>
                            <w:rPr>
                              <w:rFonts w:ascii="Calibri" w:eastAsia="Calibri" w:hAnsi="Calibri" w:cs="Calibri"/>
                              <w:noProof/>
                              <w:color w:val="000000"/>
                              <w:sz w:val="22"/>
                            </w:rPr>
                          </w:pPr>
                          <w:r w:rsidRPr="002A3B10">
                            <w:rPr>
                              <w:rFonts w:ascii="Calibri" w:eastAsia="Calibri" w:hAnsi="Calibri" w:cs="Calibri"/>
                              <w:noProof/>
                              <w:color w:val="000000"/>
                              <w:sz w:val="22"/>
                            </w:rPr>
                            <w:t>OFFICIAL: Sensitive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859ACB1" id="_x0000_t202" coordsize="21600,21600" o:spt="202" path="m,l,21600r21600,l21600,xe">
              <v:stroke joinstyle="miter"/>
              <v:path gradientshapeok="t" o:connecttype="rect"/>
            </v:shapetype>
            <v:shape id="_x0000_s1046" type="#_x0000_t202" alt="OFFICIAL: Sensitive" style="position:absolute;left:0;text-align:left;margin-left:0;margin-top:0;width:34.95pt;height:34.95pt;z-index:25165875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7Xy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R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dAO18g8CAAAhBAAA&#10;DgAAAAAAAAAAAAAAAAAuAgAAZHJzL2Uyb0RvYy54bWxQSwECLQAUAAYACAAAACEA2G08/tcAAAAD&#10;AQAADwAAAAAAAAAAAAAAAABpBAAAZHJzL2Rvd25yZXYueG1sUEsFBgAAAAAEAAQA8wAAAG0FAAAA&#10;AA==&#10;" filled="f" stroked="f">
              <v:textbox style="mso-fit-shape-to-text:t" inset="20pt,0,0,15pt">
                <w:txbxContent>
                  <w:p w14:paraId="48349ACB" w14:textId="25234320" w:rsidR="002A3B10" w:rsidRPr="002A3B10" w:rsidRDefault="002A3B10" w:rsidP="002A3B10">
                    <w:pPr>
                      <w:spacing w:after="0"/>
                      <w:rPr>
                        <w:rFonts w:ascii="Calibri" w:eastAsia="Calibri" w:hAnsi="Calibri" w:cs="Calibri"/>
                        <w:noProof/>
                        <w:color w:val="000000"/>
                        <w:sz w:val="22"/>
                      </w:rPr>
                    </w:pPr>
                    <w:r w:rsidRPr="002A3B10">
                      <w:rPr>
                        <w:rFonts w:ascii="Calibri" w:eastAsia="Calibri" w:hAnsi="Calibri" w:cs="Calibri"/>
                        <w:noProof/>
                        <w:color w:val="000000"/>
                        <w:sz w:val="22"/>
                      </w:rPr>
                      <w:t>OFFICIAL: Sensitive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112883" w14:textId="68425FDA" w:rsidR="004C290F" w:rsidRPr="000D0C8E" w:rsidRDefault="003B77A3">
    <w:pPr>
      <w:pStyle w:val="Footer"/>
      <w:jc w:val="center"/>
      <w:rPr>
        <w:color w:val="auto"/>
      </w:rPr>
    </w:pPr>
    <w:sdt>
      <w:sdtPr>
        <w:id w:val="-428116657"/>
        <w:docPartObj>
          <w:docPartGallery w:val="Page Numbers (Bottom of Page)"/>
          <w:docPartUnique/>
        </w:docPartObj>
      </w:sdtPr>
      <w:sdtEndPr>
        <w:rPr>
          <w:noProof/>
          <w:color w:val="auto"/>
        </w:rPr>
      </w:sdtEndPr>
      <w:sdtContent>
        <w:r w:rsidR="004C290F" w:rsidRPr="000D0C8E">
          <w:rPr>
            <w:color w:val="auto"/>
          </w:rPr>
          <w:fldChar w:fldCharType="begin"/>
        </w:r>
        <w:r w:rsidR="004C290F" w:rsidRPr="000D0C8E">
          <w:rPr>
            <w:color w:val="auto"/>
          </w:rPr>
          <w:instrText xml:space="preserve"> PAGE   \* MERGEFORMAT </w:instrText>
        </w:r>
        <w:r w:rsidR="004C290F" w:rsidRPr="000D0C8E">
          <w:rPr>
            <w:color w:val="auto"/>
          </w:rPr>
          <w:fldChar w:fldCharType="separate"/>
        </w:r>
        <w:r w:rsidR="004C290F" w:rsidRPr="000D0C8E">
          <w:rPr>
            <w:noProof/>
            <w:color w:val="auto"/>
          </w:rPr>
          <w:t>2</w:t>
        </w:r>
        <w:r w:rsidR="004C290F" w:rsidRPr="000D0C8E">
          <w:rPr>
            <w:noProof/>
            <w:color w:val="auto"/>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8CAAF" w14:textId="4CB36246" w:rsidR="004C290F" w:rsidRPr="00283E8D" w:rsidRDefault="003B77A3">
    <w:pPr>
      <w:pStyle w:val="Footer"/>
      <w:jc w:val="center"/>
      <w:rPr>
        <w:color w:val="auto"/>
      </w:rPr>
    </w:pPr>
    <w:sdt>
      <w:sdtPr>
        <w:id w:val="-1026943058"/>
        <w:docPartObj>
          <w:docPartGallery w:val="Page Numbers (Bottom of Page)"/>
          <w:docPartUnique/>
        </w:docPartObj>
      </w:sdtPr>
      <w:sdtEndPr>
        <w:rPr>
          <w:noProof/>
          <w:color w:val="auto"/>
        </w:rPr>
      </w:sdtEndPr>
      <w:sdtContent>
        <w:r w:rsidR="004C290F" w:rsidRPr="00283E8D">
          <w:rPr>
            <w:color w:val="auto"/>
          </w:rPr>
          <w:fldChar w:fldCharType="begin"/>
        </w:r>
        <w:r w:rsidR="004C290F" w:rsidRPr="00283E8D">
          <w:rPr>
            <w:color w:val="auto"/>
          </w:rPr>
          <w:instrText xml:space="preserve"> PAGE   \* MERGEFORMAT </w:instrText>
        </w:r>
        <w:r w:rsidR="004C290F" w:rsidRPr="00283E8D">
          <w:rPr>
            <w:color w:val="auto"/>
          </w:rPr>
          <w:fldChar w:fldCharType="separate"/>
        </w:r>
        <w:r w:rsidR="004C290F" w:rsidRPr="00283E8D">
          <w:rPr>
            <w:noProof/>
            <w:color w:val="auto"/>
          </w:rPr>
          <w:t>2</w:t>
        </w:r>
        <w:r w:rsidR="004C290F" w:rsidRPr="00283E8D">
          <w:rPr>
            <w:noProof/>
            <w:color w:val="auto"/>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ED5D6" w14:textId="7B0D639C" w:rsidR="00AF3606" w:rsidRDefault="002A3B10">
    <w:pPr>
      <w:pStyle w:val="Footer"/>
    </w:pPr>
    <w:r>
      <w:rPr>
        <w:noProof/>
      </w:rPr>
      <mc:AlternateContent>
        <mc:Choice Requires="wps">
          <w:drawing>
            <wp:anchor distT="0" distB="0" distL="0" distR="0" simplePos="0" relativeHeight="251659776" behindDoc="0" locked="0" layoutInCell="1" allowOverlap="1" wp14:anchorId="4BB35939" wp14:editId="5EB7BB9C">
              <wp:simplePos x="635" y="635"/>
              <wp:positionH relativeFrom="page">
                <wp:align>left</wp:align>
              </wp:positionH>
              <wp:positionV relativeFrom="page">
                <wp:align>bottom</wp:align>
              </wp:positionV>
              <wp:extent cx="443865" cy="443865"/>
              <wp:effectExtent l="0" t="0" r="18415" b="0"/>
              <wp:wrapNone/>
              <wp:docPr id="712905745" name="Text Box 11"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990085" w14:textId="7CB5A16A" w:rsidR="002A3B10" w:rsidRPr="002A3B10" w:rsidRDefault="002A3B10" w:rsidP="002A3B10">
                          <w:pPr>
                            <w:spacing w:after="0"/>
                            <w:rPr>
                              <w:rFonts w:ascii="Calibri" w:eastAsia="Calibri" w:hAnsi="Calibri" w:cs="Calibri"/>
                              <w:noProof/>
                              <w:color w:val="000000"/>
                              <w:sz w:val="22"/>
                            </w:rPr>
                          </w:pPr>
                          <w:r w:rsidRPr="002A3B10">
                            <w:rPr>
                              <w:rFonts w:ascii="Calibri" w:eastAsia="Calibri" w:hAnsi="Calibri" w:cs="Calibri"/>
                              <w:noProof/>
                              <w:color w:val="000000"/>
                              <w:sz w:val="22"/>
                            </w:rPr>
                            <w:t>OFFICIAL: Sensitive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BB35939" id="_x0000_t202" coordsize="21600,21600" o:spt="202" path="m,l,21600r21600,l21600,xe">
              <v:stroke joinstyle="miter"/>
              <v:path gradientshapeok="t" o:connecttype="rect"/>
            </v:shapetype>
            <v:shape id="Text Box 11" o:spid="_x0000_s1047" type="#_x0000_t202" alt="OFFICIAL: Sensitive" style="position:absolute;left:0;text-align:left;margin-left:0;margin-top:0;width:34.95pt;height:34.95pt;z-index:2516597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CWVRrAQAgAAIQQA&#10;AA4AAAAAAAAAAAAAAAAALgIAAGRycy9lMm9Eb2MueG1sUEsBAi0AFAAGAAgAAAAhANhtPP7XAAAA&#10;AwEAAA8AAAAAAAAAAAAAAAAAagQAAGRycy9kb3ducmV2LnhtbFBLBQYAAAAABAAEAPMAAABuBQAA&#10;AAA=&#10;" filled="f" stroked="f">
              <v:textbox style="mso-fit-shape-to-text:t" inset="20pt,0,0,15pt">
                <w:txbxContent>
                  <w:p w14:paraId="04990085" w14:textId="7CB5A16A" w:rsidR="002A3B10" w:rsidRPr="002A3B10" w:rsidRDefault="002A3B10" w:rsidP="002A3B10">
                    <w:pPr>
                      <w:spacing w:after="0"/>
                      <w:rPr>
                        <w:rFonts w:ascii="Calibri" w:eastAsia="Calibri" w:hAnsi="Calibri" w:cs="Calibri"/>
                        <w:noProof/>
                        <w:color w:val="000000"/>
                        <w:sz w:val="22"/>
                      </w:rPr>
                    </w:pPr>
                    <w:r w:rsidRPr="002A3B10">
                      <w:rPr>
                        <w:rFonts w:ascii="Calibri" w:eastAsia="Calibri" w:hAnsi="Calibri" w:cs="Calibri"/>
                        <w:noProof/>
                        <w:color w:val="000000"/>
                        <w:sz w:val="22"/>
                      </w:rPr>
                      <w:t>OFFICIAL: Sensitive</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4711B6" w14:textId="3B42A373" w:rsidR="00BF7D4E" w:rsidRPr="00914703" w:rsidRDefault="003B77A3">
    <w:pPr>
      <w:pStyle w:val="Footer"/>
      <w:jc w:val="center"/>
      <w:rPr>
        <w:color w:val="auto"/>
      </w:rPr>
    </w:pPr>
    <w:sdt>
      <w:sdtPr>
        <w:id w:val="690259969"/>
        <w:docPartObj>
          <w:docPartGallery w:val="Page Numbers (Bottom of Page)"/>
          <w:docPartUnique/>
        </w:docPartObj>
      </w:sdtPr>
      <w:sdtEndPr>
        <w:rPr>
          <w:noProof/>
          <w:color w:val="auto"/>
        </w:rPr>
      </w:sdtEndPr>
      <w:sdtContent>
        <w:r w:rsidR="00BF7D4E" w:rsidRPr="00914703">
          <w:rPr>
            <w:color w:val="auto"/>
          </w:rPr>
          <w:fldChar w:fldCharType="begin"/>
        </w:r>
        <w:r w:rsidR="00BF7D4E" w:rsidRPr="00914703">
          <w:rPr>
            <w:color w:val="auto"/>
          </w:rPr>
          <w:instrText xml:space="preserve"> PAGE   \* MERGEFORMAT </w:instrText>
        </w:r>
        <w:r w:rsidR="00BF7D4E" w:rsidRPr="00914703">
          <w:rPr>
            <w:color w:val="auto"/>
          </w:rPr>
          <w:fldChar w:fldCharType="separate"/>
        </w:r>
        <w:r w:rsidR="00BF7D4E" w:rsidRPr="00914703">
          <w:rPr>
            <w:noProof/>
            <w:color w:val="auto"/>
          </w:rPr>
          <w:t>2</w:t>
        </w:r>
        <w:r w:rsidR="00BF7D4E" w:rsidRPr="00914703">
          <w:rPr>
            <w:noProof/>
            <w:color w:val="auto"/>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74D77" w14:textId="6AB32BF5" w:rsidR="00BF7D4E" w:rsidRPr="00914703" w:rsidRDefault="003B77A3">
    <w:pPr>
      <w:pStyle w:val="Footer"/>
      <w:jc w:val="center"/>
      <w:rPr>
        <w:color w:val="auto"/>
      </w:rPr>
    </w:pPr>
    <w:sdt>
      <w:sdtPr>
        <w:id w:val="-1636634897"/>
        <w:docPartObj>
          <w:docPartGallery w:val="Page Numbers (Bottom of Page)"/>
          <w:docPartUnique/>
        </w:docPartObj>
      </w:sdtPr>
      <w:sdtEndPr>
        <w:rPr>
          <w:noProof/>
          <w:color w:val="auto"/>
        </w:rPr>
      </w:sdtEndPr>
      <w:sdtContent>
        <w:r w:rsidR="00BF7D4E" w:rsidRPr="00914703">
          <w:rPr>
            <w:color w:val="auto"/>
          </w:rPr>
          <w:fldChar w:fldCharType="begin"/>
        </w:r>
        <w:r w:rsidR="00BF7D4E" w:rsidRPr="00914703">
          <w:rPr>
            <w:color w:val="auto"/>
          </w:rPr>
          <w:instrText xml:space="preserve"> PAGE   \* MERGEFORMAT </w:instrText>
        </w:r>
        <w:r w:rsidR="00BF7D4E" w:rsidRPr="00914703">
          <w:rPr>
            <w:color w:val="auto"/>
          </w:rPr>
          <w:fldChar w:fldCharType="separate"/>
        </w:r>
        <w:r w:rsidR="00BF7D4E" w:rsidRPr="00914703">
          <w:rPr>
            <w:noProof/>
            <w:color w:val="auto"/>
          </w:rPr>
          <w:t>2</w:t>
        </w:r>
        <w:r w:rsidR="00BF7D4E" w:rsidRPr="00914703">
          <w:rPr>
            <w:noProof/>
            <w:color w:val="auto"/>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4D32D5" w14:textId="77777777" w:rsidR="00483256" w:rsidRDefault="00483256" w:rsidP="0041202E">
      <w:pPr>
        <w:spacing w:after="0"/>
      </w:pPr>
      <w:r>
        <w:separator/>
      </w:r>
    </w:p>
  </w:footnote>
  <w:footnote w:type="continuationSeparator" w:id="0">
    <w:p w14:paraId="4413BB5D" w14:textId="77777777" w:rsidR="00483256" w:rsidRDefault="00483256" w:rsidP="0041202E">
      <w:pPr>
        <w:spacing w:after="0"/>
      </w:pPr>
      <w:r>
        <w:continuationSeparator/>
      </w:r>
    </w:p>
  </w:footnote>
  <w:footnote w:type="continuationNotice" w:id="1">
    <w:p w14:paraId="77A73F44" w14:textId="77777777" w:rsidR="00483256" w:rsidRDefault="00483256">
      <w:pPr>
        <w:spacing w:before="0" w:after="0" w:line="240" w:lineRule="auto"/>
      </w:pPr>
    </w:p>
  </w:footnote>
  <w:footnote w:id="2">
    <w:p w14:paraId="38720FD2" w14:textId="57E4BFDC" w:rsidR="005704EF" w:rsidRPr="00AF61C5" w:rsidRDefault="005704EF" w:rsidP="00286735">
      <w:pPr>
        <w:pStyle w:val="Footnotes"/>
      </w:pPr>
      <w:r w:rsidRPr="00AF61C5">
        <w:rPr>
          <w:rStyle w:val="FootnoteReference"/>
          <w:rFonts w:cs="Calibri Light"/>
          <w:szCs w:val="18"/>
        </w:rPr>
        <w:footnoteRef/>
      </w:r>
      <w:r w:rsidR="00286735">
        <w:tab/>
      </w:r>
      <w:r w:rsidRPr="00AF61C5">
        <w:t>VIRTIPS Act, s 5.</w:t>
      </w:r>
    </w:p>
  </w:footnote>
  <w:footnote w:id="3">
    <w:p w14:paraId="0AD5CC7A" w14:textId="3220A046" w:rsidR="005704EF" w:rsidRPr="00052D06" w:rsidRDefault="005704EF" w:rsidP="005642C2">
      <w:pPr>
        <w:pStyle w:val="Footnotes"/>
      </w:pPr>
      <w:r w:rsidRPr="00BC7F5F">
        <w:rPr>
          <w:rStyle w:val="FootnoteReference"/>
        </w:rPr>
        <w:footnoteRef/>
      </w:r>
      <w:r w:rsidR="00220A5D">
        <w:tab/>
      </w:r>
      <w:r w:rsidRPr="00220A5D">
        <w:t>VIRTIPS</w:t>
      </w:r>
      <w:r w:rsidRPr="00052D06">
        <w:t xml:space="preserve"> Act, s 21(2).</w:t>
      </w:r>
    </w:p>
  </w:footnote>
  <w:footnote w:id="4">
    <w:p w14:paraId="471207FC" w14:textId="4BDF29C5" w:rsidR="005704EF" w:rsidRPr="00052D06" w:rsidRDefault="005704EF" w:rsidP="005642C2">
      <w:pPr>
        <w:pStyle w:val="Footnotes"/>
      </w:pPr>
      <w:r w:rsidRPr="00BC7F5F">
        <w:rPr>
          <w:rStyle w:val="FootnoteReference"/>
        </w:rPr>
        <w:footnoteRef/>
      </w:r>
      <w:r w:rsidR="00220A5D">
        <w:tab/>
      </w:r>
      <w:r w:rsidRPr="00220A5D">
        <w:t>VIRTIPS</w:t>
      </w:r>
      <w:r w:rsidRPr="00052D06">
        <w:t xml:space="preserve"> Act, s 25.</w:t>
      </w:r>
    </w:p>
  </w:footnote>
  <w:footnote w:id="5">
    <w:p w14:paraId="19C93A12" w14:textId="7104143C" w:rsidR="005704EF" w:rsidRPr="00052D06" w:rsidRDefault="005704EF" w:rsidP="005642C2">
      <w:pPr>
        <w:pStyle w:val="Footnotes"/>
      </w:pPr>
      <w:r w:rsidRPr="00BC7F5F">
        <w:rPr>
          <w:rStyle w:val="FootnoteReference"/>
        </w:rPr>
        <w:footnoteRef/>
      </w:r>
      <w:r w:rsidR="00220A5D">
        <w:tab/>
      </w:r>
      <w:r w:rsidRPr="00052D06">
        <w:t xml:space="preserve">VIRTIPS </w:t>
      </w:r>
      <w:r w:rsidRPr="00220A5D">
        <w:t>Act</w:t>
      </w:r>
      <w:r w:rsidRPr="00052D06">
        <w:t>, s 24(3).</w:t>
      </w:r>
    </w:p>
  </w:footnote>
  <w:footnote w:id="6">
    <w:p w14:paraId="57C5911D" w14:textId="15D03E8A" w:rsidR="005704EF" w:rsidRPr="00052D06" w:rsidRDefault="005704EF" w:rsidP="005642C2">
      <w:pPr>
        <w:pStyle w:val="Footnotes"/>
      </w:pPr>
      <w:r w:rsidRPr="00BC7F5F">
        <w:rPr>
          <w:rStyle w:val="FootnoteReference"/>
        </w:rPr>
        <w:footnoteRef/>
      </w:r>
      <w:r w:rsidR="00220A5D">
        <w:tab/>
      </w:r>
      <w:r w:rsidRPr="00052D06">
        <w:t xml:space="preserve">PAA, s </w:t>
      </w:r>
      <w:r w:rsidRPr="00220A5D">
        <w:t>25</w:t>
      </w:r>
      <w:r w:rsidRPr="00052D06">
        <w:t>(4).</w:t>
      </w:r>
    </w:p>
  </w:footnote>
  <w:footnote w:id="7">
    <w:p w14:paraId="515CF7CD" w14:textId="37E2E555" w:rsidR="005704EF" w:rsidRPr="00052D06" w:rsidRDefault="005704EF" w:rsidP="005642C2">
      <w:pPr>
        <w:pStyle w:val="Footnotes"/>
      </w:pPr>
      <w:r w:rsidRPr="00BC7F5F">
        <w:rPr>
          <w:rStyle w:val="FootnoteReference"/>
        </w:rPr>
        <w:footnoteRef/>
      </w:r>
      <w:r w:rsidR="00220A5D">
        <w:tab/>
      </w:r>
      <w:r w:rsidRPr="00052D06">
        <w:t xml:space="preserve">VIRTIPS Act, s 37(1)(b); </w:t>
      </w:r>
      <w:r w:rsidRPr="00220A5D">
        <w:t>PAA</w:t>
      </w:r>
      <w:r w:rsidRPr="00052D06">
        <w:t>, s 25(4)(b).</w:t>
      </w:r>
    </w:p>
  </w:footnote>
  <w:footnote w:id="8">
    <w:p w14:paraId="769B4D62" w14:textId="330DDF0F" w:rsidR="005704EF" w:rsidRPr="00052D06" w:rsidRDefault="005704EF" w:rsidP="005642C2">
      <w:pPr>
        <w:pStyle w:val="Footnotes"/>
      </w:pPr>
      <w:r w:rsidRPr="00BC7F5F">
        <w:rPr>
          <w:rStyle w:val="FootnoteReference"/>
        </w:rPr>
        <w:footnoteRef/>
      </w:r>
      <w:r w:rsidR="00220A5D">
        <w:tab/>
      </w:r>
      <w:r w:rsidR="006C1C08" w:rsidRPr="00D23A9B">
        <w:rPr>
          <w:rStyle w:val="FootnotesChar"/>
        </w:rPr>
        <w:t>VPSC (</w:t>
      </w:r>
      <w:r w:rsidR="006C1C08" w:rsidRPr="00954C59">
        <w:rPr>
          <w:rStyle w:val="FootnotesChar"/>
        </w:rPr>
        <w:t>2021);</w:t>
      </w:r>
      <w:r w:rsidR="006C1C08" w:rsidRPr="00E73E8D">
        <w:rPr>
          <w:rStyle w:val="FootnotesChar"/>
        </w:rPr>
        <w:t xml:space="preserve"> </w:t>
      </w:r>
      <w:r w:rsidR="00DA1E78" w:rsidRPr="00E73E8D">
        <w:rPr>
          <w:rStyle w:val="FootnotesChar"/>
        </w:rPr>
        <w:t>VPSC (2022</w:t>
      </w:r>
      <w:r w:rsidR="00954C59" w:rsidRPr="00E73E8D">
        <w:rPr>
          <w:rStyle w:val="FootnotesChar"/>
        </w:rPr>
        <w:t>e</w:t>
      </w:r>
      <w:r w:rsidR="00DA1E78" w:rsidRPr="00E73E8D">
        <w:rPr>
          <w:rStyle w:val="FootnotesChar"/>
        </w:rPr>
        <w:t>)</w:t>
      </w:r>
      <w:r w:rsidR="006C1C08" w:rsidRPr="00E73E8D">
        <w:rPr>
          <w:rStyle w:val="FootnotesChar"/>
        </w:rPr>
        <w:t>.</w:t>
      </w:r>
    </w:p>
  </w:footnote>
  <w:footnote w:id="9">
    <w:p w14:paraId="3EF4A79B" w14:textId="1E2B208B" w:rsidR="005704EF" w:rsidRPr="00052D06" w:rsidRDefault="005704EF" w:rsidP="005642C2">
      <w:pPr>
        <w:pStyle w:val="Footnotes"/>
      </w:pPr>
      <w:r w:rsidRPr="00EC5AA5">
        <w:rPr>
          <w:rStyle w:val="FootnoteReference"/>
        </w:rPr>
        <w:footnoteRef/>
      </w:r>
      <w:r w:rsidR="009D1AC7">
        <w:tab/>
      </w:r>
      <w:r w:rsidRPr="00DA1E78">
        <w:rPr>
          <w:rStyle w:val="FootnotesChar"/>
        </w:rPr>
        <w:t>PAA, s 4(1).</w:t>
      </w:r>
    </w:p>
  </w:footnote>
  <w:footnote w:id="10">
    <w:p w14:paraId="4ACEBAA7" w14:textId="2AEF6957" w:rsidR="005704EF" w:rsidRPr="00052D06" w:rsidRDefault="005704EF" w:rsidP="005642C2">
      <w:pPr>
        <w:pStyle w:val="Footnotes"/>
      </w:pPr>
      <w:r w:rsidRPr="00EC5AA5">
        <w:rPr>
          <w:rStyle w:val="FootnoteReference"/>
        </w:rPr>
        <w:footnoteRef/>
      </w:r>
      <w:r w:rsidR="009D1AC7" w:rsidRPr="00954C59">
        <w:tab/>
      </w:r>
      <w:r w:rsidRPr="00E73E8D">
        <w:rPr>
          <w:rStyle w:val="FootnotesChar"/>
        </w:rPr>
        <w:t>VPSC</w:t>
      </w:r>
      <w:r w:rsidR="00E91CBD" w:rsidRPr="00E73E8D">
        <w:rPr>
          <w:rStyle w:val="FootnotesChar"/>
        </w:rPr>
        <w:t xml:space="preserve"> (2024</w:t>
      </w:r>
      <w:r w:rsidR="00BE2C26">
        <w:rPr>
          <w:rStyle w:val="FootnotesChar"/>
        </w:rPr>
        <w:t>g</w:t>
      </w:r>
      <w:r w:rsidR="00E91CBD" w:rsidRPr="00E73E8D">
        <w:rPr>
          <w:rStyle w:val="FootnotesChar"/>
        </w:rPr>
        <w:t>)</w:t>
      </w:r>
      <w:r w:rsidR="00443F74" w:rsidRPr="00812FAF">
        <w:rPr>
          <w:rStyle w:val="FootnotesChar"/>
        </w:rPr>
        <w:t>.</w:t>
      </w:r>
    </w:p>
  </w:footnote>
  <w:footnote w:id="11">
    <w:p w14:paraId="77DB6E3C" w14:textId="33BE1109" w:rsidR="005704EF" w:rsidRPr="00052D06" w:rsidRDefault="005704EF" w:rsidP="005642C2">
      <w:pPr>
        <w:pStyle w:val="Footnotes"/>
      </w:pPr>
      <w:r w:rsidRPr="00EC5AA5">
        <w:rPr>
          <w:rStyle w:val="FootnoteReference"/>
        </w:rPr>
        <w:footnoteRef/>
      </w:r>
      <w:r w:rsidR="00AA58E2">
        <w:tab/>
      </w:r>
      <w:r w:rsidRPr="00052D06">
        <w:t>PAA</w:t>
      </w:r>
      <w:r w:rsidR="004572D0">
        <w:t>,</w:t>
      </w:r>
      <w:r w:rsidRPr="00052D06">
        <w:t xml:space="preserve"> s 38.</w:t>
      </w:r>
    </w:p>
  </w:footnote>
  <w:footnote w:id="12">
    <w:p w14:paraId="3820DE45" w14:textId="0DBDC57A" w:rsidR="005704EF" w:rsidRPr="00052D06" w:rsidRDefault="005704EF" w:rsidP="005642C2">
      <w:pPr>
        <w:pStyle w:val="Footnotes"/>
      </w:pPr>
      <w:r w:rsidRPr="00EC5AA5">
        <w:rPr>
          <w:rStyle w:val="FootnoteReference"/>
        </w:rPr>
        <w:footnoteRef/>
      </w:r>
      <w:r w:rsidR="00FC1FBB">
        <w:tab/>
      </w:r>
      <w:r w:rsidRPr="00052D06">
        <w:t>VIRTIPS Act, s 21(1)(a) and ss 24(2)(a)-(d).</w:t>
      </w:r>
    </w:p>
  </w:footnote>
  <w:footnote w:id="13">
    <w:p w14:paraId="5FFBDB40" w14:textId="2AA2F1C3" w:rsidR="005704EF" w:rsidRPr="00052D06" w:rsidRDefault="005704EF" w:rsidP="005642C2">
      <w:pPr>
        <w:pStyle w:val="Footnotes"/>
      </w:pPr>
      <w:r w:rsidRPr="00EC5AA5">
        <w:rPr>
          <w:rStyle w:val="FootnoteReference"/>
        </w:rPr>
        <w:footnoteRef/>
      </w:r>
      <w:r w:rsidR="00FC1FBB">
        <w:tab/>
      </w:r>
      <w:r w:rsidRPr="00052D06">
        <w:t>VIRTIPS Act, s 21(3).</w:t>
      </w:r>
    </w:p>
  </w:footnote>
  <w:footnote w:id="14">
    <w:p w14:paraId="5C170C73" w14:textId="7374A738" w:rsidR="005704EF" w:rsidRPr="00052D06" w:rsidRDefault="005704EF" w:rsidP="005642C2">
      <w:pPr>
        <w:pStyle w:val="Footnotes"/>
      </w:pPr>
      <w:r w:rsidRPr="00EC5AA5">
        <w:rPr>
          <w:rStyle w:val="FootnoteReference"/>
        </w:rPr>
        <w:footnoteRef/>
      </w:r>
      <w:r w:rsidR="00FC1FBB">
        <w:tab/>
      </w:r>
      <w:r w:rsidRPr="00052D06">
        <w:t>VIRTIPS Act, s 36(6).</w:t>
      </w:r>
    </w:p>
  </w:footnote>
  <w:footnote w:id="15">
    <w:p w14:paraId="2F599822" w14:textId="21A6FD52" w:rsidR="00B1165D" w:rsidRPr="007A2C67" w:rsidRDefault="00B1165D" w:rsidP="005642C2">
      <w:pPr>
        <w:pStyle w:val="Footnotes"/>
      </w:pPr>
      <w:r w:rsidRPr="00061A97">
        <w:rPr>
          <w:rStyle w:val="FootnoteReference"/>
        </w:rPr>
        <w:footnoteRef/>
      </w:r>
      <w:r w:rsidR="00531BCC">
        <w:tab/>
      </w:r>
      <w:r w:rsidRPr="00BD6739">
        <w:rPr>
          <w:rStyle w:val="FootnotesChar"/>
        </w:rPr>
        <w:t>VIRTIPS Act, s 21.</w:t>
      </w:r>
    </w:p>
  </w:footnote>
  <w:footnote w:id="16">
    <w:p w14:paraId="1B2E0B2C" w14:textId="73B9C39F" w:rsidR="00B1165D" w:rsidRPr="00812FAF" w:rsidRDefault="00B1165D" w:rsidP="005642C2">
      <w:pPr>
        <w:pStyle w:val="Footnotes"/>
        <w:rPr>
          <w:rStyle w:val="FootnotesChar"/>
          <w:color w:val="4D4D4D" w:themeColor="accent6"/>
        </w:rPr>
      </w:pPr>
      <w:r w:rsidRPr="00812FAF">
        <w:rPr>
          <w:rStyle w:val="FootnoteReference"/>
        </w:rPr>
        <w:footnoteRef/>
      </w:r>
      <w:r w:rsidR="00531BCC" w:rsidRPr="00812FAF">
        <w:tab/>
      </w:r>
      <w:r w:rsidRPr="00812FAF">
        <w:rPr>
          <w:rStyle w:val="FootnotesChar"/>
        </w:rPr>
        <w:t>VPSC</w:t>
      </w:r>
      <w:r w:rsidR="00483CE6" w:rsidRPr="00812FAF">
        <w:rPr>
          <w:rStyle w:val="FootnotesChar"/>
        </w:rPr>
        <w:t xml:space="preserve"> (2022</w:t>
      </w:r>
      <w:r w:rsidR="00DB5512" w:rsidRPr="00812FAF">
        <w:rPr>
          <w:rStyle w:val="FootnotesChar"/>
        </w:rPr>
        <w:t>c</w:t>
      </w:r>
      <w:r w:rsidR="00483CE6" w:rsidRPr="00812FAF">
        <w:rPr>
          <w:rStyle w:val="FootnotesChar"/>
        </w:rPr>
        <w:t>)</w:t>
      </w:r>
      <w:r w:rsidRPr="00812FAF">
        <w:rPr>
          <w:rStyle w:val="FootnotesChar"/>
        </w:rPr>
        <w:t>.</w:t>
      </w:r>
    </w:p>
  </w:footnote>
  <w:footnote w:id="17">
    <w:p w14:paraId="506F6103" w14:textId="79D78F2A" w:rsidR="00B1165D" w:rsidRPr="007A2C67" w:rsidRDefault="00B1165D" w:rsidP="005642C2">
      <w:pPr>
        <w:pStyle w:val="Footnotes"/>
      </w:pPr>
      <w:r w:rsidRPr="00812FAF">
        <w:rPr>
          <w:rStyle w:val="FootnoteReference"/>
        </w:rPr>
        <w:footnoteRef/>
      </w:r>
      <w:r w:rsidR="00531BCC" w:rsidRPr="00812FAF">
        <w:tab/>
      </w:r>
      <w:r w:rsidRPr="00812FAF">
        <w:rPr>
          <w:rStyle w:val="FootnotesChar"/>
        </w:rPr>
        <w:t>VPSC</w:t>
      </w:r>
      <w:r w:rsidR="00483CE6" w:rsidRPr="00812FAF">
        <w:rPr>
          <w:rStyle w:val="FootnotesChar"/>
        </w:rPr>
        <w:t xml:space="preserve"> (2022</w:t>
      </w:r>
      <w:r w:rsidR="00DB5512" w:rsidRPr="00812FAF">
        <w:rPr>
          <w:rStyle w:val="FootnotesChar"/>
        </w:rPr>
        <w:t>b</w:t>
      </w:r>
      <w:r w:rsidR="00483CE6" w:rsidRPr="00812FAF">
        <w:rPr>
          <w:rStyle w:val="FootnotesChar"/>
        </w:rPr>
        <w:t>)</w:t>
      </w:r>
      <w:r w:rsidRPr="00812FAF">
        <w:rPr>
          <w:rStyle w:val="FootnotesChar"/>
        </w:rPr>
        <w:t>.</w:t>
      </w:r>
    </w:p>
  </w:footnote>
  <w:footnote w:id="18">
    <w:p w14:paraId="5BE99B9C" w14:textId="4193FD7C" w:rsidR="00B1165D" w:rsidRDefault="00B1165D" w:rsidP="005642C2">
      <w:pPr>
        <w:pStyle w:val="Footnotes"/>
      </w:pPr>
      <w:r w:rsidRPr="00061A97">
        <w:rPr>
          <w:rStyle w:val="FootnoteReference"/>
        </w:rPr>
        <w:footnoteRef/>
      </w:r>
      <w:r w:rsidR="00531BCC">
        <w:tab/>
      </w:r>
      <w:r w:rsidRPr="00BD6739">
        <w:rPr>
          <w:rStyle w:val="FootnotesChar"/>
        </w:rPr>
        <w:t>PAA, s 4.</w:t>
      </w:r>
    </w:p>
  </w:footnote>
  <w:footnote w:id="19">
    <w:p w14:paraId="2C03A29D" w14:textId="098CD310" w:rsidR="00B1165D" w:rsidRPr="007A2C67" w:rsidRDefault="00B1165D" w:rsidP="00531BCC">
      <w:pPr>
        <w:pStyle w:val="Footnotes"/>
      </w:pPr>
      <w:r w:rsidRPr="00061A97">
        <w:rPr>
          <w:rStyle w:val="FootnoteReference"/>
        </w:rPr>
        <w:footnoteRef/>
      </w:r>
      <w:r w:rsidR="00531BCC">
        <w:tab/>
      </w:r>
      <w:r w:rsidRPr="007A2C67">
        <w:t xml:space="preserve">PAA, ss 12(2), </w:t>
      </w:r>
      <w:r w:rsidRPr="00531BCC">
        <w:t>43</w:t>
      </w:r>
      <w:r w:rsidRPr="007A2C67">
        <w:t>(1).</w:t>
      </w:r>
    </w:p>
  </w:footnote>
  <w:footnote w:id="20">
    <w:p w14:paraId="22822CF1" w14:textId="3D425176" w:rsidR="00B1165D" w:rsidRPr="007A2C67" w:rsidRDefault="00B1165D" w:rsidP="007B2A84">
      <w:pPr>
        <w:pStyle w:val="Footnotes"/>
      </w:pPr>
      <w:r w:rsidRPr="00061A97">
        <w:rPr>
          <w:rStyle w:val="FootnoteReference"/>
        </w:rPr>
        <w:footnoteRef/>
      </w:r>
      <w:r w:rsidR="007B2A84">
        <w:tab/>
      </w:r>
      <w:r w:rsidRPr="00812FAF">
        <w:t>VPSC</w:t>
      </w:r>
      <w:r w:rsidR="009B4305" w:rsidRPr="00812FAF">
        <w:t xml:space="preserve"> (2024</w:t>
      </w:r>
      <w:r w:rsidR="00BE2C26">
        <w:t>g</w:t>
      </w:r>
      <w:r w:rsidR="009B4305" w:rsidRPr="00812FAF">
        <w:t>)</w:t>
      </w:r>
      <w:r w:rsidRPr="00812FAF">
        <w:t>.</w:t>
      </w:r>
    </w:p>
  </w:footnote>
  <w:footnote w:id="21">
    <w:p w14:paraId="7702CD19" w14:textId="55EAED85" w:rsidR="00B1165D" w:rsidRPr="007A2C67" w:rsidRDefault="00B1165D" w:rsidP="007B2A84">
      <w:pPr>
        <w:pStyle w:val="Footnotes"/>
      </w:pPr>
      <w:r w:rsidRPr="00061A97">
        <w:rPr>
          <w:rStyle w:val="FootnoteReference"/>
        </w:rPr>
        <w:footnoteRef/>
      </w:r>
      <w:r w:rsidR="007B2A84">
        <w:tab/>
      </w:r>
      <w:r w:rsidRPr="007A2C67">
        <w:t>PAA, s 13.</w:t>
      </w:r>
    </w:p>
  </w:footnote>
  <w:footnote w:id="22">
    <w:p w14:paraId="41833716" w14:textId="5EB6E22C" w:rsidR="00B1165D" w:rsidRPr="007A2C67" w:rsidRDefault="00B1165D" w:rsidP="007B2A84">
      <w:pPr>
        <w:pStyle w:val="Footnotes"/>
      </w:pPr>
      <w:r w:rsidRPr="00061A97">
        <w:rPr>
          <w:rStyle w:val="FootnoteReference"/>
        </w:rPr>
        <w:footnoteRef/>
      </w:r>
      <w:r w:rsidR="007B2A84">
        <w:tab/>
      </w:r>
      <w:r w:rsidRPr="007A2C67">
        <w:t>PAA, s 20.</w:t>
      </w:r>
    </w:p>
  </w:footnote>
  <w:footnote w:id="23">
    <w:p w14:paraId="61E51C55" w14:textId="56D085AD" w:rsidR="00B1165D" w:rsidRPr="007A2C67" w:rsidRDefault="00B1165D" w:rsidP="007B2A84">
      <w:pPr>
        <w:pStyle w:val="Footnotes"/>
      </w:pPr>
      <w:r w:rsidRPr="00061A97">
        <w:rPr>
          <w:rStyle w:val="FootnoteReference"/>
        </w:rPr>
        <w:footnoteRef/>
      </w:r>
      <w:r w:rsidR="007B2A84">
        <w:tab/>
      </w:r>
      <w:r w:rsidRPr="007A2C67">
        <w:t>FMA, ss 42, 45.</w:t>
      </w:r>
    </w:p>
  </w:footnote>
  <w:footnote w:id="24">
    <w:p w14:paraId="2D7CE4D0" w14:textId="4C4914E0" w:rsidR="00B1165D" w:rsidRDefault="00B1165D" w:rsidP="007B2A84">
      <w:pPr>
        <w:pStyle w:val="Footnotes"/>
      </w:pPr>
      <w:r w:rsidRPr="00061A97">
        <w:rPr>
          <w:rStyle w:val="FootnoteReference"/>
        </w:rPr>
        <w:footnoteRef/>
      </w:r>
      <w:r w:rsidR="007B2A84">
        <w:tab/>
      </w:r>
      <w:r w:rsidR="00411B49">
        <w:t>VPSC submission</w:t>
      </w:r>
      <w:r w:rsidRPr="00D23A9B">
        <w:t>.</w:t>
      </w:r>
    </w:p>
  </w:footnote>
  <w:footnote w:id="25">
    <w:p w14:paraId="2B62C3AD" w14:textId="408659EA" w:rsidR="00B1165D" w:rsidRPr="007A2C67" w:rsidRDefault="00B1165D" w:rsidP="007B2A84">
      <w:pPr>
        <w:pStyle w:val="Footnotes"/>
      </w:pPr>
      <w:r w:rsidRPr="00061A97">
        <w:rPr>
          <w:rStyle w:val="FootnoteReference"/>
        </w:rPr>
        <w:footnoteRef/>
      </w:r>
      <w:r w:rsidR="007B2A84">
        <w:tab/>
      </w:r>
      <w:r w:rsidRPr="005642C2">
        <w:rPr>
          <w:i/>
          <w:iCs/>
        </w:rPr>
        <w:t>Children, Youth and Families Act 2005</w:t>
      </w:r>
      <w:r w:rsidRPr="007A2C67">
        <w:t xml:space="preserve"> (Vic), s 16(1)(b).</w:t>
      </w:r>
    </w:p>
  </w:footnote>
  <w:footnote w:id="26">
    <w:p w14:paraId="06F97B99" w14:textId="7A96FF2B" w:rsidR="00B1165D" w:rsidRPr="00AE4775" w:rsidRDefault="00B1165D" w:rsidP="005642C2">
      <w:pPr>
        <w:pStyle w:val="Footnotes"/>
        <w:rPr>
          <w:rStyle w:val="FootnotesChar"/>
          <w:color w:val="4D4D4D" w:themeColor="accent6"/>
        </w:rPr>
      </w:pPr>
      <w:r w:rsidRPr="00061A97">
        <w:rPr>
          <w:rStyle w:val="FootnoteReference"/>
        </w:rPr>
        <w:footnoteRef/>
      </w:r>
      <w:r w:rsidR="009C66D6">
        <w:tab/>
      </w:r>
      <w:r w:rsidRPr="00AE4775">
        <w:rPr>
          <w:rStyle w:val="FootnotesChar"/>
          <w:i/>
          <w:iCs/>
        </w:rPr>
        <w:t>Children, Youth and Families Act 2005</w:t>
      </w:r>
      <w:r w:rsidRPr="00AE4775">
        <w:rPr>
          <w:rStyle w:val="FootnotesChar"/>
        </w:rPr>
        <w:t xml:space="preserve"> (Vic), Div 2.</w:t>
      </w:r>
    </w:p>
  </w:footnote>
  <w:footnote w:id="27">
    <w:p w14:paraId="2C075574" w14:textId="46289BD8" w:rsidR="00B1165D" w:rsidRPr="007A2C67" w:rsidRDefault="00B1165D" w:rsidP="005642C2">
      <w:pPr>
        <w:pStyle w:val="Footnotes"/>
        <w:rPr>
          <w:szCs w:val="18"/>
        </w:rPr>
      </w:pPr>
      <w:r w:rsidRPr="00061A97">
        <w:rPr>
          <w:rStyle w:val="FootnoteReference"/>
        </w:rPr>
        <w:footnoteRef/>
      </w:r>
      <w:r w:rsidR="009C66D6">
        <w:rPr>
          <w:szCs w:val="18"/>
        </w:rPr>
        <w:tab/>
      </w:r>
      <w:r w:rsidRPr="00AE4775">
        <w:rPr>
          <w:rStyle w:val="FootnotesChar"/>
        </w:rPr>
        <w:t>PAA, s 13.</w:t>
      </w:r>
    </w:p>
  </w:footnote>
  <w:footnote w:id="28">
    <w:p w14:paraId="306617D0" w14:textId="4CD1E147" w:rsidR="00B1165D" w:rsidRPr="007A2C67" w:rsidRDefault="00B1165D" w:rsidP="005642C2">
      <w:pPr>
        <w:pStyle w:val="Footnotes"/>
        <w:rPr>
          <w:szCs w:val="18"/>
        </w:rPr>
      </w:pPr>
      <w:r w:rsidRPr="00061A97">
        <w:rPr>
          <w:rStyle w:val="FootnoteReference"/>
        </w:rPr>
        <w:footnoteRef/>
      </w:r>
      <w:r w:rsidR="009C66D6">
        <w:rPr>
          <w:szCs w:val="18"/>
        </w:rPr>
        <w:tab/>
      </w:r>
      <w:r w:rsidRPr="00AE4775">
        <w:rPr>
          <w:rStyle w:val="FootnotesChar"/>
        </w:rPr>
        <w:t>PAA, s 13A.</w:t>
      </w:r>
    </w:p>
  </w:footnote>
  <w:footnote w:id="29">
    <w:p w14:paraId="57AC43C7" w14:textId="4E520348" w:rsidR="00B1165D" w:rsidRPr="007A2C67" w:rsidRDefault="00B1165D" w:rsidP="005642C2">
      <w:pPr>
        <w:pStyle w:val="Footnotes"/>
        <w:rPr>
          <w:szCs w:val="18"/>
        </w:rPr>
      </w:pPr>
      <w:r w:rsidRPr="00061A97">
        <w:rPr>
          <w:rStyle w:val="FootnoteReference"/>
        </w:rPr>
        <w:footnoteRef/>
      </w:r>
      <w:r w:rsidR="009C66D6">
        <w:rPr>
          <w:szCs w:val="18"/>
        </w:rPr>
        <w:tab/>
      </w:r>
      <w:r w:rsidRPr="00AE4775">
        <w:rPr>
          <w:rStyle w:val="FootnotesChar"/>
        </w:rPr>
        <w:t>PAA, s 13A(2).</w:t>
      </w:r>
    </w:p>
  </w:footnote>
  <w:footnote w:id="30">
    <w:p w14:paraId="06B1127F" w14:textId="2E15BE7B" w:rsidR="00B1165D" w:rsidRDefault="00B1165D" w:rsidP="005642C2">
      <w:pPr>
        <w:pStyle w:val="Footnotes"/>
      </w:pPr>
      <w:r w:rsidRPr="00061A97">
        <w:rPr>
          <w:rStyle w:val="FootnoteReference"/>
        </w:rPr>
        <w:footnoteRef/>
      </w:r>
      <w:r w:rsidR="009C66D6">
        <w:rPr>
          <w:szCs w:val="18"/>
        </w:rPr>
        <w:tab/>
      </w:r>
      <w:r w:rsidRPr="00D23A9B">
        <w:rPr>
          <w:rStyle w:val="FootnotesChar"/>
        </w:rPr>
        <w:t>DTF</w:t>
      </w:r>
      <w:r w:rsidR="009D7DBD" w:rsidRPr="00D23A9B">
        <w:rPr>
          <w:rStyle w:val="FootnotesChar"/>
        </w:rPr>
        <w:t xml:space="preserve"> (2018)</w:t>
      </w:r>
      <w:r w:rsidRPr="00D23A9B">
        <w:rPr>
          <w:rStyle w:val="FootnotesChar"/>
        </w:rPr>
        <w:t xml:space="preserve">, </w:t>
      </w:r>
      <w:r w:rsidR="009D7DBD" w:rsidRPr="00D23A9B">
        <w:rPr>
          <w:rStyle w:val="FootnotesChar"/>
        </w:rPr>
        <w:t>p</w:t>
      </w:r>
      <w:r w:rsidR="001D2DCC">
        <w:rPr>
          <w:rStyle w:val="FootnotesChar"/>
        </w:rPr>
        <w:t>.</w:t>
      </w:r>
      <w:r w:rsidR="009D7DBD" w:rsidRPr="00D23A9B">
        <w:rPr>
          <w:rStyle w:val="FootnotesChar"/>
        </w:rPr>
        <w:t xml:space="preserve"> 18.</w:t>
      </w:r>
    </w:p>
  </w:footnote>
  <w:footnote w:id="31">
    <w:p w14:paraId="521F4683" w14:textId="321876DF" w:rsidR="00B1165D" w:rsidRPr="002069D7" w:rsidRDefault="00B1165D" w:rsidP="005642C2">
      <w:pPr>
        <w:pStyle w:val="Footnotes"/>
        <w:rPr>
          <w:szCs w:val="18"/>
        </w:rPr>
      </w:pPr>
      <w:r w:rsidRPr="00061A97">
        <w:rPr>
          <w:rStyle w:val="FootnoteReference"/>
        </w:rPr>
        <w:footnoteRef/>
      </w:r>
      <w:r w:rsidR="006F5ABD">
        <w:rPr>
          <w:szCs w:val="18"/>
        </w:rPr>
        <w:tab/>
      </w:r>
      <w:r w:rsidRPr="00343A2B">
        <w:rPr>
          <w:rStyle w:val="FootnotesChar"/>
        </w:rPr>
        <w:t>The seven public sector values are responsiveness, integrity, impartiality, accountability, respect, leadership, and human rights. PAA, s 7.</w:t>
      </w:r>
    </w:p>
  </w:footnote>
  <w:footnote w:id="32">
    <w:p w14:paraId="14E0E828" w14:textId="74413EE9" w:rsidR="00B1165D" w:rsidRPr="002069D7" w:rsidRDefault="00B1165D" w:rsidP="005642C2">
      <w:pPr>
        <w:pStyle w:val="Footnotes"/>
        <w:rPr>
          <w:szCs w:val="18"/>
        </w:rPr>
      </w:pPr>
      <w:r w:rsidRPr="00061A97">
        <w:rPr>
          <w:rStyle w:val="FootnoteReference"/>
        </w:rPr>
        <w:footnoteRef/>
      </w:r>
      <w:r w:rsidR="006F5ABD">
        <w:rPr>
          <w:szCs w:val="18"/>
        </w:rPr>
        <w:tab/>
      </w:r>
      <w:r w:rsidRPr="00343A2B">
        <w:rPr>
          <w:rStyle w:val="FootnotesChar"/>
        </w:rPr>
        <w:t>The Victorian Public Sector Commissioner and the Chief Commissioner of Victoria Police are also members of VSB</w:t>
      </w:r>
      <w:r w:rsidR="00B115AA" w:rsidRPr="00F95451">
        <w:rPr>
          <w:rStyle w:val="FootnotesChar"/>
        </w:rPr>
        <w:t>.</w:t>
      </w:r>
      <w:r w:rsidRPr="00343A2B">
        <w:rPr>
          <w:rStyle w:val="FootnotesChar"/>
        </w:rPr>
        <w:t xml:space="preserve"> </w:t>
      </w:r>
      <w:r w:rsidRPr="00812FAF">
        <w:rPr>
          <w:rStyle w:val="FootnotesChar"/>
        </w:rPr>
        <w:t>VPSC</w:t>
      </w:r>
      <w:r w:rsidR="00A571C4" w:rsidRPr="00812FAF">
        <w:rPr>
          <w:rStyle w:val="FootnotesChar"/>
        </w:rPr>
        <w:t xml:space="preserve"> (2024</w:t>
      </w:r>
      <w:r w:rsidR="00BE2C26">
        <w:rPr>
          <w:rStyle w:val="FootnotesChar"/>
        </w:rPr>
        <w:t>g</w:t>
      </w:r>
      <w:r w:rsidR="00A571C4" w:rsidRPr="00812FAF">
        <w:rPr>
          <w:rStyle w:val="FootnotesChar"/>
        </w:rPr>
        <w:t>)</w:t>
      </w:r>
      <w:r w:rsidRPr="00812FAF">
        <w:rPr>
          <w:rStyle w:val="FootnotesChar"/>
        </w:rPr>
        <w:t>.</w:t>
      </w:r>
    </w:p>
  </w:footnote>
  <w:footnote w:id="33">
    <w:p w14:paraId="133714D6" w14:textId="04D3D0C0" w:rsidR="00B1165D" w:rsidRPr="002069D7" w:rsidRDefault="00B1165D" w:rsidP="005642C2">
      <w:pPr>
        <w:pStyle w:val="Footnotes"/>
        <w:rPr>
          <w:szCs w:val="18"/>
        </w:rPr>
      </w:pPr>
      <w:r w:rsidRPr="00061A97">
        <w:rPr>
          <w:rStyle w:val="FootnoteReference"/>
        </w:rPr>
        <w:footnoteRef/>
      </w:r>
      <w:r w:rsidR="006F5ABD">
        <w:rPr>
          <w:szCs w:val="18"/>
        </w:rPr>
        <w:tab/>
      </w:r>
      <w:r w:rsidRPr="00343A2B">
        <w:rPr>
          <w:rStyle w:val="FootnotesChar"/>
        </w:rPr>
        <w:t xml:space="preserve">For example, the Head of </w:t>
      </w:r>
      <w:r w:rsidR="00D814D1">
        <w:rPr>
          <w:rStyle w:val="FootnotesChar"/>
        </w:rPr>
        <w:t xml:space="preserve">the Victorian Infrastructure Delivery Agency </w:t>
      </w:r>
      <w:r w:rsidRPr="00343A2B">
        <w:rPr>
          <w:rStyle w:val="FootnotesChar"/>
        </w:rPr>
        <w:t>is titled Director-General, and the Head of the Local Government Inspectorate is titled Chief Municipal Inspector.</w:t>
      </w:r>
    </w:p>
  </w:footnote>
  <w:footnote w:id="34">
    <w:p w14:paraId="4327021A" w14:textId="32EFB2B3" w:rsidR="00B1165D" w:rsidRDefault="00B1165D" w:rsidP="005642C2">
      <w:pPr>
        <w:pStyle w:val="Footnotes"/>
      </w:pPr>
      <w:r w:rsidRPr="00061A97">
        <w:rPr>
          <w:rStyle w:val="FootnoteReference"/>
        </w:rPr>
        <w:footnoteRef/>
      </w:r>
      <w:r w:rsidR="006F5ABD">
        <w:tab/>
      </w:r>
      <w:r w:rsidRPr="00343A2B">
        <w:rPr>
          <w:rStyle w:val="FootnotesChar"/>
        </w:rPr>
        <w:t>PAA</w:t>
      </w:r>
      <w:r w:rsidR="00216955">
        <w:rPr>
          <w:rStyle w:val="FootnotesChar"/>
        </w:rPr>
        <w:t>,</w:t>
      </w:r>
      <w:r w:rsidRPr="00343A2B">
        <w:rPr>
          <w:rStyle w:val="FootnotesChar"/>
        </w:rPr>
        <w:t xml:space="preserve"> s 14.</w:t>
      </w:r>
    </w:p>
  </w:footnote>
  <w:footnote w:id="35">
    <w:p w14:paraId="4A88674D" w14:textId="01A78D15" w:rsidR="00B1165D" w:rsidRPr="002069D7" w:rsidRDefault="00B1165D" w:rsidP="005642C2">
      <w:pPr>
        <w:pStyle w:val="Footnotes"/>
        <w:rPr>
          <w:szCs w:val="18"/>
        </w:rPr>
      </w:pPr>
      <w:r w:rsidRPr="00061A97">
        <w:rPr>
          <w:rStyle w:val="FootnoteReference"/>
        </w:rPr>
        <w:footnoteRef/>
      </w:r>
      <w:r w:rsidR="006F5ABD" w:rsidRPr="00F95451">
        <w:rPr>
          <w:rStyle w:val="FootnotesChar"/>
        </w:rPr>
        <w:tab/>
      </w:r>
      <w:r w:rsidR="00E32CB5" w:rsidRPr="00812FAF">
        <w:rPr>
          <w:rStyle w:val="FootnotesChar"/>
        </w:rPr>
        <w:t>VPSC</w:t>
      </w:r>
      <w:r w:rsidR="00A571C4" w:rsidRPr="00812FAF">
        <w:rPr>
          <w:rStyle w:val="FootnotesChar"/>
        </w:rPr>
        <w:t xml:space="preserve"> (202</w:t>
      </w:r>
      <w:r w:rsidR="00760C9B" w:rsidRPr="00812FAF">
        <w:rPr>
          <w:rStyle w:val="FootnotesChar"/>
        </w:rPr>
        <w:t>2</w:t>
      </w:r>
      <w:r w:rsidR="00F95451" w:rsidRPr="00812FAF">
        <w:rPr>
          <w:rStyle w:val="FootnotesChar"/>
        </w:rPr>
        <w:t>f</w:t>
      </w:r>
      <w:r w:rsidR="00A571C4" w:rsidRPr="00812FAF">
        <w:rPr>
          <w:rStyle w:val="FootnotesChar"/>
        </w:rPr>
        <w:t>)</w:t>
      </w:r>
      <w:r w:rsidRPr="00812FAF">
        <w:rPr>
          <w:rStyle w:val="FootnotesChar"/>
        </w:rPr>
        <w:t>.</w:t>
      </w:r>
    </w:p>
  </w:footnote>
  <w:footnote w:id="36">
    <w:p w14:paraId="6DEFD63A" w14:textId="30A745DC" w:rsidR="00B1165D" w:rsidRPr="002069D7" w:rsidRDefault="00B1165D" w:rsidP="005642C2">
      <w:pPr>
        <w:pStyle w:val="Footnotes"/>
        <w:rPr>
          <w:szCs w:val="18"/>
        </w:rPr>
      </w:pPr>
      <w:r w:rsidRPr="00061A97">
        <w:rPr>
          <w:rStyle w:val="FootnoteReference"/>
        </w:rPr>
        <w:footnoteRef/>
      </w:r>
      <w:r w:rsidR="00210C2C">
        <w:rPr>
          <w:szCs w:val="18"/>
        </w:rPr>
        <w:tab/>
      </w:r>
      <w:r w:rsidRPr="00343A2B">
        <w:rPr>
          <w:rStyle w:val="FootnotesChar"/>
        </w:rPr>
        <w:t>PAA</w:t>
      </w:r>
      <w:r w:rsidR="00216955">
        <w:rPr>
          <w:rStyle w:val="FootnotesChar"/>
        </w:rPr>
        <w:t>,</w:t>
      </w:r>
      <w:r w:rsidRPr="00343A2B">
        <w:rPr>
          <w:rStyle w:val="FootnotesChar"/>
        </w:rPr>
        <w:t xml:space="preserve"> s</w:t>
      </w:r>
      <w:r w:rsidR="00E32CB5">
        <w:rPr>
          <w:rStyle w:val="FootnotesChar"/>
        </w:rPr>
        <w:t>s</w:t>
      </w:r>
      <w:r w:rsidRPr="00343A2B">
        <w:rPr>
          <w:rStyle w:val="FootnotesChar"/>
        </w:rPr>
        <w:t xml:space="preserve"> 12(2), 14.</w:t>
      </w:r>
    </w:p>
  </w:footnote>
  <w:footnote w:id="37">
    <w:p w14:paraId="24FA666F" w14:textId="409B1686" w:rsidR="00B1165D" w:rsidRPr="002069D7" w:rsidRDefault="00B1165D" w:rsidP="005642C2">
      <w:pPr>
        <w:pStyle w:val="Footnotes"/>
        <w:rPr>
          <w:szCs w:val="18"/>
        </w:rPr>
      </w:pPr>
      <w:r w:rsidRPr="009B48ED">
        <w:rPr>
          <w:rStyle w:val="FootnoteReference"/>
        </w:rPr>
        <w:footnoteRef/>
      </w:r>
      <w:r w:rsidR="00210C2C" w:rsidRPr="00D23A9B">
        <w:rPr>
          <w:rStyle w:val="FootnotesChar"/>
        </w:rPr>
        <w:tab/>
      </w:r>
      <w:r w:rsidR="005F7273" w:rsidRPr="00D23A9B">
        <w:rPr>
          <w:rStyle w:val="FootnotesChar"/>
        </w:rPr>
        <w:t>LGI</w:t>
      </w:r>
      <w:r w:rsidR="00210C2C" w:rsidRPr="00D23A9B">
        <w:rPr>
          <w:rStyle w:val="FootnotesChar"/>
        </w:rPr>
        <w:t xml:space="preserve"> </w:t>
      </w:r>
      <w:r w:rsidR="005F7273" w:rsidRPr="00D23A9B">
        <w:rPr>
          <w:rStyle w:val="FootnotesChar"/>
        </w:rPr>
        <w:t>(2023</w:t>
      </w:r>
      <w:r w:rsidR="009B48ED" w:rsidRPr="00D23A9B">
        <w:rPr>
          <w:rStyle w:val="FootnotesChar"/>
        </w:rPr>
        <w:t>b</w:t>
      </w:r>
      <w:r w:rsidR="005F7273" w:rsidRPr="00D23A9B">
        <w:rPr>
          <w:rStyle w:val="FootnotesChar"/>
        </w:rPr>
        <w:t>)</w:t>
      </w:r>
      <w:r w:rsidRPr="00D23A9B">
        <w:rPr>
          <w:rStyle w:val="FootnotesChar"/>
        </w:rPr>
        <w:t>.</w:t>
      </w:r>
    </w:p>
  </w:footnote>
  <w:footnote w:id="38">
    <w:p w14:paraId="39CCCAEF" w14:textId="273AD7A3" w:rsidR="00F61EFA" w:rsidRDefault="00F61EFA" w:rsidP="005642C2">
      <w:pPr>
        <w:pStyle w:val="Footnotes"/>
      </w:pPr>
      <w:r>
        <w:rPr>
          <w:rStyle w:val="FootnoteReference"/>
        </w:rPr>
        <w:footnoteRef/>
      </w:r>
      <w:r w:rsidR="00210C2C">
        <w:tab/>
      </w:r>
      <w:r w:rsidRPr="00F61EFA">
        <w:t>PAA</w:t>
      </w:r>
      <w:r w:rsidR="003D3D84">
        <w:t>,</w:t>
      </w:r>
      <w:r w:rsidRPr="00F61EFA">
        <w:t xml:space="preserve"> s 38.</w:t>
      </w:r>
    </w:p>
  </w:footnote>
  <w:footnote w:id="39">
    <w:p w14:paraId="35387170" w14:textId="097385F4" w:rsidR="00B1165D" w:rsidRPr="002069D7" w:rsidRDefault="00B1165D" w:rsidP="005642C2">
      <w:pPr>
        <w:pStyle w:val="Footnotes"/>
        <w:rPr>
          <w:szCs w:val="18"/>
        </w:rPr>
      </w:pPr>
      <w:r w:rsidRPr="00061A97">
        <w:rPr>
          <w:rStyle w:val="FootnoteReference"/>
        </w:rPr>
        <w:footnoteRef/>
      </w:r>
      <w:r w:rsidR="00210C2C" w:rsidRPr="00301ED4">
        <w:tab/>
      </w:r>
      <w:r w:rsidRPr="00812FAF">
        <w:rPr>
          <w:rStyle w:val="FootnotesChar"/>
        </w:rPr>
        <w:t>VPSC</w:t>
      </w:r>
      <w:r w:rsidR="005C7DE2" w:rsidRPr="00812FAF">
        <w:rPr>
          <w:rStyle w:val="FootnotesChar"/>
        </w:rPr>
        <w:t xml:space="preserve"> (2024</w:t>
      </w:r>
      <w:r w:rsidR="00EB0461">
        <w:rPr>
          <w:rStyle w:val="FootnotesChar"/>
        </w:rPr>
        <w:t>d</w:t>
      </w:r>
      <w:r w:rsidR="005C7DE2" w:rsidRPr="00812FAF">
        <w:rPr>
          <w:rStyle w:val="FootnotesChar"/>
        </w:rPr>
        <w:t>)</w:t>
      </w:r>
      <w:r w:rsidRPr="00812FAF">
        <w:rPr>
          <w:rStyle w:val="FootnotesChar"/>
        </w:rPr>
        <w:t>.</w:t>
      </w:r>
    </w:p>
  </w:footnote>
  <w:footnote w:id="40">
    <w:p w14:paraId="5164A99B" w14:textId="57E6B276" w:rsidR="00B1165D" w:rsidRPr="002069D7" w:rsidRDefault="00B1165D" w:rsidP="005642C2">
      <w:pPr>
        <w:pStyle w:val="Footnotes"/>
        <w:rPr>
          <w:szCs w:val="18"/>
        </w:rPr>
      </w:pPr>
      <w:r w:rsidRPr="00061A97">
        <w:rPr>
          <w:rStyle w:val="FootnoteReference"/>
        </w:rPr>
        <w:footnoteRef/>
      </w:r>
      <w:r w:rsidR="00135175" w:rsidRPr="00301ED4">
        <w:rPr>
          <w:szCs w:val="18"/>
        </w:rPr>
        <w:tab/>
      </w:r>
      <w:r w:rsidRPr="00812FAF">
        <w:rPr>
          <w:rStyle w:val="FootnotesChar"/>
        </w:rPr>
        <w:t>VPSC</w:t>
      </w:r>
      <w:r w:rsidR="00BD4B8C" w:rsidRPr="00812FAF">
        <w:rPr>
          <w:rStyle w:val="FootnotesChar"/>
        </w:rPr>
        <w:t xml:space="preserve"> (2024</w:t>
      </w:r>
      <w:r w:rsidR="005B5E8A">
        <w:rPr>
          <w:rStyle w:val="FootnotesChar"/>
        </w:rPr>
        <w:t>f</w:t>
      </w:r>
      <w:r w:rsidR="00BD4B8C" w:rsidRPr="00812FAF">
        <w:rPr>
          <w:rStyle w:val="FootnotesChar"/>
        </w:rPr>
        <w:t>)</w:t>
      </w:r>
      <w:r w:rsidRPr="00FF7C14">
        <w:rPr>
          <w:rStyle w:val="FootnotesChar"/>
        </w:rPr>
        <w:t>.</w:t>
      </w:r>
    </w:p>
  </w:footnote>
  <w:footnote w:id="41">
    <w:p w14:paraId="1DCB89EF" w14:textId="5C60BC0B" w:rsidR="00B1165D" w:rsidRPr="00343A2B" w:rsidRDefault="00B1165D" w:rsidP="005642C2">
      <w:pPr>
        <w:pStyle w:val="Footnotes"/>
        <w:rPr>
          <w:rStyle w:val="FootnotesChar"/>
          <w:color w:val="4D4D4D" w:themeColor="accent6"/>
        </w:rPr>
      </w:pPr>
      <w:r>
        <w:rPr>
          <w:rStyle w:val="FootnoteReference"/>
        </w:rPr>
        <w:footnoteRef/>
      </w:r>
      <w:r w:rsidR="00135175" w:rsidRPr="00301ED4">
        <w:tab/>
      </w:r>
      <w:r w:rsidRPr="00FF7C14">
        <w:rPr>
          <w:rStyle w:val="FootnotesChar"/>
        </w:rPr>
        <w:t>VPSC</w:t>
      </w:r>
      <w:r w:rsidR="00BD4B8C" w:rsidRPr="00FF7C14">
        <w:rPr>
          <w:rStyle w:val="FootnotesChar"/>
        </w:rPr>
        <w:t xml:space="preserve"> (2024</w:t>
      </w:r>
      <w:r w:rsidR="00BE2C26">
        <w:rPr>
          <w:rStyle w:val="FootnotesChar"/>
        </w:rPr>
        <w:t>h</w:t>
      </w:r>
      <w:r w:rsidR="00BD4B8C" w:rsidRPr="00FF7C14">
        <w:rPr>
          <w:rStyle w:val="FootnotesChar"/>
        </w:rPr>
        <w:t>)</w:t>
      </w:r>
      <w:r w:rsidRPr="00FF7C14">
        <w:rPr>
          <w:rStyle w:val="FootnotesChar"/>
        </w:rPr>
        <w:t>.</w:t>
      </w:r>
      <w:r w:rsidR="002F3A85">
        <w:rPr>
          <w:rStyle w:val="FootnotesChar"/>
        </w:rPr>
        <w:t xml:space="preserve"> </w:t>
      </w:r>
    </w:p>
  </w:footnote>
  <w:footnote w:id="42">
    <w:p w14:paraId="66E476C3" w14:textId="591A538A" w:rsidR="00B1165D" w:rsidRPr="002069D7" w:rsidRDefault="00B1165D" w:rsidP="002D5C7A">
      <w:pPr>
        <w:pStyle w:val="Footnotes"/>
        <w:rPr>
          <w:szCs w:val="18"/>
        </w:rPr>
      </w:pPr>
      <w:r w:rsidRPr="00061A97">
        <w:rPr>
          <w:rStyle w:val="FootnoteReference"/>
        </w:rPr>
        <w:footnoteRef/>
      </w:r>
      <w:r w:rsidR="00066E06">
        <w:rPr>
          <w:szCs w:val="18"/>
        </w:rPr>
        <w:tab/>
      </w:r>
      <w:r w:rsidRPr="00FF7C14">
        <w:rPr>
          <w:rStyle w:val="FootnotesChar"/>
        </w:rPr>
        <w:t>VPSC</w:t>
      </w:r>
      <w:r w:rsidR="0062229D" w:rsidRPr="00FF7C14">
        <w:rPr>
          <w:rStyle w:val="FootnotesChar"/>
        </w:rPr>
        <w:t xml:space="preserve"> (2024</w:t>
      </w:r>
      <w:r w:rsidR="00D63138">
        <w:rPr>
          <w:rStyle w:val="FootnotesChar"/>
        </w:rPr>
        <w:t>h</w:t>
      </w:r>
      <w:r w:rsidR="0062229D" w:rsidRPr="00FF7C14">
        <w:rPr>
          <w:rStyle w:val="FootnotesChar"/>
        </w:rPr>
        <w:t>)</w:t>
      </w:r>
      <w:r w:rsidRPr="00FF7C14">
        <w:rPr>
          <w:rStyle w:val="FootnotesChar"/>
        </w:rPr>
        <w:t>.</w:t>
      </w:r>
    </w:p>
  </w:footnote>
  <w:footnote w:id="43">
    <w:p w14:paraId="65ACF360" w14:textId="2F11ADF4" w:rsidR="00B1165D" w:rsidRDefault="00B1165D" w:rsidP="009C3A49">
      <w:pPr>
        <w:pStyle w:val="Footnotes"/>
      </w:pPr>
      <w:r w:rsidRPr="0074482D">
        <w:rPr>
          <w:rStyle w:val="FootnoteReference"/>
        </w:rPr>
        <w:footnoteRef/>
      </w:r>
      <w:r w:rsidR="001E3646">
        <w:tab/>
      </w:r>
      <w:r w:rsidRPr="00B57F3B">
        <w:rPr>
          <w:rStyle w:val="FootnotesChar"/>
        </w:rPr>
        <w:t xml:space="preserve">The 2020 </w:t>
      </w:r>
      <w:r w:rsidR="00774B05">
        <w:rPr>
          <w:rStyle w:val="FootnotesChar"/>
        </w:rPr>
        <w:t xml:space="preserve">VPS </w:t>
      </w:r>
      <w:r w:rsidRPr="00B57F3B">
        <w:rPr>
          <w:rStyle w:val="FootnotesChar"/>
        </w:rPr>
        <w:t>Determination was published in May 2020. Consequently, it relied on 2019 data because 2020 data was not yet available.</w:t>
      </w:r>
    </w:p>
  </w:footnote>
  <w:footnote w:id="44">
    <w:p w14:paraId="3701903A" w14:textId="0EA06DE7" w:rsidR="00B1165D" w:rsidRPr="001E40F3" w:rsidRDefault="00B1165D" w:rsidP="009C3A49">
      <w:pPr>
        <w:pStyle w:val="Footnotes"/>
        <w:rPr>
          <w:rStyle w:val="FootnotesChar"/>
          <w:color w:val="4D4D4D" w:themeColor="accent6"/>
        </w:rPr>
      </w:pPr>
      <w:r w:rsidRPr="00061A97">
        <w:rPr>
          <w:rStyle w:val="FootnoteReference"/>
        </w:rPr>
        <w:footnoteRef/>
      </w:r>
      <w:r w:rsidR="001E3646">
        <w:tab/>
      </w:r>
      <w:r w:rsidRPr="00D23A9B">
        <w:rPr>
          <w:rStyle w:val="FootnotesChar"/>
        </w:rPr>
        <w:t>DFFH</w:t>
      </w:r>
      <w:r w:rsidR="0076143F" w:rsidRPr="00D23A9B">
        <w:rPr>
          <w:rStyle w:val="FootnotesChar"/>
        </w:rPr>
        <w:t xml:space="preserve"> (2024</w:t>
      </w:r>
      <w:r w:rsidR="00E17CB6" w:rsidRPr="00D23A9B">
        <w:rPr>
          <w:rStyle w:val="FootnotesChar"/>
        </w:rPr>
        <w:t>a</w:t>
      </w:r>
      <w:r w:rsidR="0076143F" w:rsidRPr="00D23A9B">
        <w:rPr>
          <w:rStyle w:val="FootnotesChar"/>
        </w:rPr>
        <w:t>)</w:t>
      </w:r>
      <w:r w:rsidRPr="00D23A9B">
        <w:rPr>
          <w:rStyle w:val="FootnotesChar"/>
        </w:rPr>
        <w:t>.</w:t>
      </w:r>
    </w:p>
  </w:footnote>
  <w:footnote w:id="45">
    <w:p w14:paraId="5206DF8E" w14:textId="0CAA0D4E" w:rsidR="00B1165D" w:rsidRPr="001E40F3" w:rsidRDefault="00B1165D" w:rsidP="009C3A49">
      <w:pPr>
        <w:pStyle w:val="Footnotes"/>
      </w:pPr>
      <w:r w:rsidRPr="001E40F3">
        <w:rPr>
          <w:rStyle w:val="FootnoteReference"/>
        </w:rPr>
        <w:footnoteRef/>
      </w:r>
      <w:r w:rsidR="001E3646" w:rsidRPr="001E40F3">
        <w:tab/>
      </w:r>
      <w:r w:rsidRPr="00D23A9B">
        <w:rPr>
          <w:rStyle w:val="FootnotesChar"/>
        </w:rPr>
        <w:t>DGS</w:t>
      </w:r>
      <w:r w:rsidR="0076143F" w:rsidRPr="00D23A9B">
        <w:rPr>
          <w:rStyle w:val="FootnotesChar"/>
        </w:rPr>
        <w:t xml:space="preserve"> (2024</w:t>
      </w:r>
      <w:r w:rsidR="001E40F3" w:rsidRPr="00D23A9B">
        <w:rPr>
          <w:rStyle w:val="FootnotesChar"/>
        </w:rPr>
        <w:t>a</w:t>
      </w:r>
      <w:r w:rsidR="0076143F" w:rsidRPr="00D23A9B">
        <w:rPr>
          <w:rStyle w:val="FootnotesChar"/>
        </w:rPr>
        <w:t>)</w:t>
      </w:r>
      <w:r w:rsidRPr="00D23A9B">
        <w:rPr>
          <w:rStyle w:val="FootnotesChar"/>
        </w:rPr>
        <w:t>.</w:t>
      </w:r>
    </w:p>
  </w:footnote>
  <w:footnote w:id="46">
    <w:p w14:paraId="6CBB264C" w14:textId="536E2AA5" w:rsidR="00B1165D" w:rsidRPr="002069D7" w:rsidRDefault="00B1165D" w:rsidP="009C3A49">
      <w:pPr>
        <w:pStyle w:val="Footnotes"/>
        <w:rPr>
          <w:szCs w:val="18"/>
        </w:rPr>
      </w:pPr>
      <w:r w:rsidRPr="001E40F3">
        <w:rPr>
          <w:rStyle w:val="FootnoteReference"/>
        </w:rPr>
        <w:footnoteRef/>
      </w:r>
      <w:r w:rsidR="00F94C6B" w:rsidRPr="001E40F3">
        <w:tab/>
      </w:r>
      <w:r w:rsidRPr="001E40F3">
        <w:rPr>
          <w:rStyle w:val="FootnotesChar"/>
        </w:rPr>
        <w:t xml:space="preserve">The changes to AOs since the Tribunal’s 2020 </w:t>
      </w:r>
      <w:r w:rsidR="00774B05" w:rsidRPr="001E40F3">
        <w:rPr>
          <w:rStyle w:val="FootnotesChar"/>
        </w:rPr>
        <w:t xml:space="preserve">VPS </w:t>
      </w:r>
      <w:r w:rsidRPr="001E40F3">
        <w:rPr>
          <w:rStyle w:val="FootnotesChar"/>
        </w:rPr>
        <w:t>Determination are: Victorian Agency</w:t>
      </w:r>
      <w:r w:rsidRPr="00B57F3B">
        <w:rPr>
          <w:rStyle w:val="FootnotesChar"/>
        </w:rPr>
        <w:t xml:space="preserve"> for Health Information – abolished on 1 February 2021; Mental Health Reform Victoria – abolished on 1 July 2021; Family Safety Victoria – abolished on 1 November 2021; Suburban Rail Loop Authority – abolished on 1 December 2021, and established as a public entity on 1 December 2021; Bushfire Recovery Victoria – abolished on 18 October 2022; Invest Victoria – established on 8 December 2020; Victorian Skills Authority – established on 1 July 2021; VicGrid – established on 1 March 2024.</w:t>
      </w:r>
      <w:r w:rsidR="00F94C6B">
        <w:rPr>
          <w:rStyle w:val="FootnotesChar"/>
        </w:rPr>
        <w:t xml:space="preserve"> </w:t>
      </w:r>
      <w:r w:rsidR="00963FF3" w:rsidRPr="00FF7C14">
        <w:rPr>
          <w:rStyle w:val="FootnotesChar"/>
        </w:rPr>
        <w:t>VPSC (2024</w:t>
      </w:r>
      <w:r w:rsidR="005B5E8A">
        <w:rPr>
          <w:rStyle w:val="FootnotesChar"/>
        </w:rPr>
        <w:t>e</w:t>
      </w:r>
      <w:r w:rsidR="00963FF3" w:rsidRPr="00FF7C14">
        <w:rPr>
          <w:rStyle w:val="FootnotesChar"/>
        </w:rPr>
        <w:t>)</w:t>
      </w:r>
      <w:r w:rsidR="00EF4F1E" w:rsidRPr="00FF7C14">
        <w:rPr>
          <w:rStyle w:val="FootnotesChar"/>
        </w:rPr>
        <w:t>.</w:t>
      </w:r>
    </w:p>
  </w:footnote>
  <w:footnote w:id="47">
    <w:p w14:paraId="62B91809" w14:textId="15661147" w:rsidR="00B1165D" w:rsidRPr="00423E45" w:rsidRDefault="00B1165D" w:rsidP="009C3A49">
      <w:pPr>
        <w:pStyle w:val="Footnotes"/>
      </w:pPr>
      <w:r>
        <w:rPr>
          <w:rStyle w:val="FootnoteReference"/>
        </w:rPr>
        <w:footnoteRef/>
      </w:r>
      <w:r w:rsidR="00F94C6B">
        <w:tab/>
      </w:r>
      <w:r w:rsidRPr="00D23A9B">
        <w:rPr>
          <w:rStyle w:val="FootnotesChar"/>
        </w:rPr>
        <w:t>DEECA</w:t>
      </w:r>
      <w:r w:rsidR="00CE486F" w:rsidRPr="00D23A9B">
        <w:rPr>
          <w:rStyle w:val="FootnotesChar"/>
        </w:rPr>
        <w:t xml:space="preserve"> (2023</w:t>
      </w:r>
      <w:r w:rsidR="001E40F3" w:rsidRPr="00D23A9B">
        <w:rPr>
          <w:rStyle w:val="FootnotesChar"/>
        </w:rPr>
        <w:t>b</w:t>
      </w:r>
      <w:r w:rsidR="00CE486F" w:rsidRPr="00D23A9B">
        <w:rPr>
          <w:rStyle w:val="FootnotesChar"/>
        </w:rPr>
        <w:t>)</w:t>
      </w:r>
      <w:r w:rsidRPr="00D23A9B">
        <w:rPr>
          <w:rStyle w:val="FootnotesChar"/>
        </w:rPr>
        <w:t>; DH</w:t>
      </w:r>
      <w:r w:rsidR="00CE486F" w:rsidRPr="00D23A9B">
        <w:rPr>
          <w:rStyle w:val="FootnotesChar"/>
        </w:rPr>
        <w:t xml:space="preserve"> (2024</w:t>
      </w:r>
      <w:r w:rsidR="00AD3809" w:rsidRPr="00D23A9B">
        <w:rPr>
          <w:rStyle w:val="FootnotesChar"/>
        </w:rPr>
        <w:t>a</w:t>
      </w:r>
      <w:r w:rsidR="00CE486F" w:rsidRPr="00D23A9B">
        <w:rPr>
          <w:rStyle w:val="FootnotesChar"/>
        </w:rPr>
        <w:t>)</w:t>
      </w:r>
      <w:r w:rsidRPr="00D23A9B">
        <w:rPr>
          <w:rStyle w:val="FootnotesChar"/>
        </w:rPr>
        <w:t>.</w:t>
      </w:r>
    </w:p>
  </w:footnote>
  <w:footnote w:id="48">
    <w:p w14:paraId="71DBF6CB" w14:textId="16887125" w:rsidR="00B1165D" w:rsidRDefault="00B1165D" w:rsidP="009C3A49">
      <w:pPr>
        <w:pStyle w:val="Footnotes"/>
      </w:pPr>
      <w:r w:rsidRPr="00423E45">
        <w:rPr>
          <w:rStyle w:val="FootnoteReference"/>
        </w:rPr>
        <w:footnoteRef/>
      </w:r>
      <w:r w:rsidR="00F94C6B" w:rsidRPr="00423E45">
        <w:tab/>
      </w:r>
      <w:r w:rsidRPr="00D23A9B">
        <w:rPr>
          <w:rStyle w:val="FootnotesChar"/>
        </w:rPr>
        <w:t>DFFH</w:t>
      </w:r>
      <w:r w:rsidR="00666495" w:rsidRPr="00D23A9B">
        <w:rPr>
          <w:rStyle w:val="FootnotesChar"/>
        </w:rPr>
        <w:t xml:space="preserve"> (2022)</w:t>
      </w:r>
      <w:r w:rsidRPr="00D23A9B">
        <w:rPr>
          <w:rStyle w:val="FootnotesChar"/>
        </w:rPr>
        <w:t>.</w:t>
      </w:r>
    </w:p>
  </w:footnote>
  <w:footnote w:id="49">
    <w:p w14:paraId="1E97CEAC" w14:textId="6FB48C8C" w:rsidR="00B1165D" w:rsidRPr="00D23A9B" w:rsidRDefault="00B1165D" w:rsidP="009C3A49">
      <w:pPr>
        <w:pStyle w:val="Footnotes"/>
      </w:pPr>
      <w:r w:rsidRPr="00D23A9B">
        <w:rPr>
          <w:rStyle w:val="FootnoteReference"/>
        </w:rPr>
        <w:footnoteRef/>
      </w:r>
      <w:r w:rsidR="006F410E" w:rsidRPr="00D23A9B">
        <w:tab/>
      </w:r>
      <w:r w:rsidRPr="00D23A9B">
        <w:rPr>
          <w:rStyle w:val="FootnotesChar"/>
        </w:rPr>
        <w:t>DTF</w:t>
      </w:r>
      <w:r w:rsidR="009534D9" w:rsidRPr="00D23A9B">
        <w:rPr>
          <w:rStyle w:val="FootnotesChar"/>
        </w:rPr>
        <w:t xml:space="preserve"> (202</w:t>
      </w:r>
      <w:r w:rsidR="00656FFC" w:rsidRPr="00D23A9B">
        <w:rPr>
          <w:rStyle w:val="FootnotesChar"/>
        </w:rPr>
        <w:t>1</w:t>
      </w:r>
      <w:r w:rsidR="009534D9" w:rsidRPr="00D23A9B">
        <w:rPr>
          <w:rStyle w:val="FootnotesChar"/>
        </w:rPr>
        <w:t>)</w:t>
      </w:r>
      <w:r w:rsidRPr="00D23A9B">
        <w:rPr>
          <w:rStyle w:val="FootnotesChar"/>
        </w:rPr>
        <w:t>, pp</w:t>
      </w:r>
      <w:r w:rsidR="00FA6935">
        <w:rPr>
          <w:rStyle w:val="FootnotesChar"/>
        </w:rPr>
        <w:t>.</w:t>
      </w:r>
      <w:r w:rsidRPr="00D23A9B">
        <w:rPr>
          <w:rStyle w:val="FootnotesChar"/>
        </w:rPr>
        <w:t xml:space="preserve"> 1, 59-65.</w:t>
      </w:r>
      <w:r w:rsidRPr="00D23A9B">
        <w:t xml:space="preserve"> </w:t>
      </w:r>
    </w:p>
  </w:footnote>
  <w:footnote w:id="50">
    <w:p w14:paraId="40E058F4" w14:textId="616FDE4F" w:rsidR="00B1165D" w:rsidRPr="00656FFC" w:rsidRDefault="00B1165D" w:rsidP="009C3A49">
      <w:pPr>
        <w:pStyle w:val="Footnotes"/>
        <w:rPr>
          <w:highlight w:val="yellow"/>
        </w:rPr>
      </w:pPr>
      <w:r w:rsidRPr="00D23A9B">
        <w:rPr>
          <w:rStyle w:val="FootnoteReference"/>
        </w:rPr>
        <w:footnoteRef/>
      </w:r>
      <w:r w:rsidR="006F410E" w:rsidRPr="00D23A9B">
        <w:tab/>
      </w:r>
      <w:r w:rsidRPr="00D23A9B">
        <w:rPr>
          <w:rStyle w:val="FootnotesChar"/>
        </w:rPr>
        <w:t>DTF</w:t>
      </w:r>
      <w:r w:rsidR="009534D9" w:rsidRPr="00D23A9B">
        <w:rPr>
          <w:rStyle w:val="FootnotesChar"/>
        </w:rPr>
        <w:t xml:space="preserve"> (202</w:t>
      </w:r>
      <w:r w:rsidR="00B834DB" w:rsidRPr="00D23A9B">
        <w:rPr>
          <w:rStyle w:val="FootnotesChar"/>
        </w:rPr>
        <w:t>2</w:t>
      </w:r>
      <w:r w:rsidR="009534D9" w:rsidRPr="00D23A9B">
        <w:rPr>
          <w:rStyle w:val="FootnotesChar"/>
        </w:rPr>
        <w:t>)</w:t>
      </w:r>
      <w:r w:rsidRPr="00D23A9B">
        <w:rPr>
          <w:rStyle w:val="FootnotesChar"/>
        </w:rPr>
        <w:t>, pp</w:t>
      </w:r>
      <w:r w:rsidR="00FA6935">
        <w:rPr>
          <w:rStyle w:val="FootnotesChar"/>
        </w:rPr>
        <w:t>.</w:t>
      </w:r>
      <w:r w:rsidRPr="00D23A9B">
        <w:rPr>
          <w:rStyle w:val="FootnotesChar"/>
        </w:rPr>
        <w:t xml:space="preserve"> 1, 54-65, 72-87; </w:t>
      </w:r>
      <w:r w:rsidR="00E32B3B" w:rsidRPr="00D23A9B">
        <w:rPr>
          <w:rStyle w:val="FootnotesChar"/>
        </w:rPr>
        <w:t>State Government of Victoria (2023</w:t>
      </w:r>
      <w:r w:rsidR="00061D9E" w:rsidRPr="00D23A9B">
        <w:rPr>
          <w:rStyle w:val="FootnotesChar"/>
        </w:rPr>
        <w:t>c</w:t>
      </w:r>
      <w:r w:rsidR="00E32B3B" w:rsidRPr="00D23A9B">
        <w:rPr>
          <w:rStyle w:val="FootnotesChar"/>
        </w:rPr>
        <w:t>)</w:t>
      </w:r>
      <w:r w:rsidRPr="00D23A9B">
        <w:rPr>
          <w:rStyle w:val="FootnotesChar"/>
        </w:rPr>
        <w:t>.</w:t>
      </w:r>
    </w:p>
  </w:footnote>
  <w:footnote w:id="51">
    <w:p w14:paraId="79C15284" w14:textId="66CAD81D" w:rsidR="00B1165D" w:rsidRPr="007E3605" w:rsidRDefault="00B1165D" w:rsidP="009C3A49">
      <w:pPr>
        <w:pStyle w:val="Footnotes"/>
      </w:pPr>
      <w:r w:rsidRPr="007E3605">
        <w:rPr>
          <w:rStyle w:val="FootnoteReference"/>
        </w:rPr>
        <w:footnoteRef/>
      </w:r>
      <w:r w:rsidR="006F410E" w:rsidRPr="007E3605">
        <w:tab/>
      </w:r>
      <w:r w:rsidRPr="007E3605">
        <w:rPr>
          <w:rStyle w:val="FootnotesChar"/>
        </w:rPr>
        <w:t>DTF</w:t>
      </w:r>
      <w:r w:rsidR="00844FD9" w:rsidRPr="007E3605">
        <w:rPr>
          <w:rStyle w:val="FootnotesChar"/>
        </w:rPr>
        <w:t xml:space="preserve"> (2023</w:t>
      </w:r>
      <w:r w:rsidR="004D2445" w:rsidRPr="007E3605">
        <w:rPr>
          <w:rStyle w:val="FootnotesChar"/>
        </w:rPr>
        <w:t>c</w:t>
      </w:r>
      <w:r w:rsidR="00844FD9" w:rsidRPr="007E3605">
        <w:rPr>
          <w:rStyle w:val="FootnotesChar"/>
        </w:rPr>
        <w:t>)</w:t>
      </w:r>
      <w:r w:rsidRPr="007E3605">
        <w:rPr>
          <w:rStyle w:val="FootnotesChar"/>
        </w:rPr>
        <w:t>, pp</w:t>
      </w:r>
      <w:r w:rsidR="001677F0" w:rsidRPr="007E3605">
        <w:rPr>
          <w:rStyle w:val="FootnotesChar"/>
        </w:rPr>
        <w:t>.</w:t>
      </w:r>
      <w:r w:rsidRPr="007E3605">
        <w:rPr>
          <w:rStyle w:val="FootnotesChar"/>
        </w:rPr>
        <w:t xml:space="preserve"> 1, 11-21, 54-65.</w:t>
      </w:r>
    </w:p>
  </w:footnote>
  <w:footnote w:id="52">
    <w:p w14:paraId="088795E8" w14:textId="7F6A4EC5" w:rsidR="00B1165D" w:rsidRPr="00440962" w:rsidRDefault="00B1165D" w:rsidP="009C3A49">
      <w:pPr>
        <w:pStyle w:val="Footnotes"/>
        <w:rPr>
          <w:szCs w:val="18"/>
        </w:rPr>
      </w:pPr>
      <w:r w:rsidRPr="00440962">
        <w:rPr>
          <w:rStyle w:val="FootnoteReference"/>
        </w:rPr>
        <w:footnoteRef/>
      </w:r>
      <w:r w:rsidR="006F410E" w:rsidRPr="00440962">
        <w:tab/>
      </w:r>
      <w:r w:rsidRPr="00440962">
        <w:rPr>
          <w:rStyle w:val="FootnotesChar"/>
        </w:rPr>
        <w:t>DTF</w:t>
      </w:r>
      <w:r w:rsidR="00844FD9" w:rsidRPr="00440962">
        <w:rPr>
          <w:rStyle w:val="FootnotesChar"/>
        </w:rPr>
        <w:t xml:space="preserve"> (2024</w:t>
      </w:r>
      <w:r w:rsidR="004D2445" w:rsidRPr="00440962">
        <w:rPr>
          <w:rStyle w:val="FootnotesChar"/>
        </w:rPr>
        <w:t>e</w:t>
      </w:r>
      <w:r w:rsidR="00844FD9" w:rsidRPr="00440962">
        <w:rPr>
          <w:rStyle w:val="FootnotesChar"/>
        </w:rPr>
        <w:t>)</w:t>
      </w:r>
      <w:r w:rsidRPr="00440962">
        <w:rPr>
          <w:rStyle w:val="FootnotesChar"/>
        </w:rPr>
        <w:t>, pp</w:t>
      </w:r>
      <w:r w:rsidR="001677F0" w:rsidRPr="00440962">
        <w:rPr>
          <w:rStyle w:val="FootnotesChar"/>
        </w:rPr>
        <w:t>.</w:t>
      </w:r>
      <w:r w:rsidRPr="00440962">
        <w:rPr>
          <w:rStyle w:val="FootnotesChar"/>
        </w:rPr>
        <w:t xml:space="preserve"> 1, 46-54.</w:t>
      </w:r>
    </w:p>
  </w:footnote>
  <w:footnote w:id="53">
    <w:p w14:paraId="548E93D0" w14:textId="6A32BC36" w:rsidR="00B1165D" w:rsidRPr="00177736" w:rsidRDefault="00B1165D" w:rsidP="009C3A49">
      <w:pPr>
        <w:pStyle w:val="Footnotes"/>
      </w:pPr>
      <w:r w:rsidRPr="00440962">
        <w:rPr>
          <w:rStyle w:val="FootnoteReference"/>
        </w:rPr>
        <w:footnoteRef/>
      </w:r>
      <w:r w:rsidR="006F410E" w:rsidRPr="00440962">
        <w:tab/>
      </w:r>
      <w:r w:rsidRPr="00440962">
        <w:rPr>
          <w:rStyle w:val="FootnotesChar"/>
        </w:rPr>
        <w:t>DTF</w:t>
      </w:r>
      <w:r w:rsidR="00DB29F9" w:rsidRPr="00440962">
        <w:rPr>
          <w:rStyle w:val="FootnotesChar"/>
        </w:rPr>
        <w:t xml:space="preserve"> (2024</w:t>
      </w:r>
      <w:r w:rsidR="00514132" w:rsidRPr="00440962">
        <w:rPr>
          <w:rStyle w:val="FootnotesChar"/>
        </w:rPr>
        <w:t>c</w:t>
      </w:r>
      <w:r w:rsidR="00DB29F9" w:rsidRPr="00440962">
        <w:rPr>
          <w:rStyle w:val="FootnotesChar"/>
        </w:rPr>
        <w:t>)</w:t>
      </w:r>
      <w:r w:rsidR="00440962">
        <w:rPr>
          <w:rStyle w:val="FootnotesChar"/>
        </w:rPr>
        <w:t>;</w:t>
      </w:r>
      <w:r w:rsidRPr="00440962">
        <w:rPr>
          <w:rStyle w:val="FootnotesChar"/>
        </w:rPr>
        <w:t xml:space="preserve"> </w:t>
      </w:r>
      <w:r w:rsidR="00F9359C" w:rsidRPr="00493893">
        <w:rPr>
          <w:rStyle w:val="FootnotesChar"/>
        </w:rPr>
        <w:t>DTF (2024</w:t>
      </w:r>
      <w:r w:rsidR="00514132" w:rsidRPr="00493893">
        <w:rPr>
          <w:rStyle w:val="FootnotesChar"/>
        </w:rPr>
        <w:t>d</w:t>
      </w:r>
      <w:r w:rsidR="00F9359C" w:rsidRPr="00493893">
        <w:rPr>
          <w:rStyle w:val="FootnotesChar"/>
        </w:rPr>
        <w:t>), p</w:t>
      </w:r>
      <w:r w:rsidR="001677F0" w:rsidRPr="00493893">
        <w:rPr>
          <w:rStyle w:val="FootnotesChar"/>
        </w:rPr>
        <w:t>.</w:t>
      </w:r>
      <w:r w:rsidR="00F9359C" w:rsidRPr="00493893">
        <w:rPr>
          <w:rStyle w:val="FootnotesChar"/>
        </w:rPr>
        <w:t xml:space="preserve"> 53.</w:t>
      </w:r>
    </w:p>
  </w:footnote>
  <w:footnote w:id="54">
    <w:p w14:paraId="7CC964AE" w14:textId="0AD70BA1" w:rsidR="00B1165D" w:rsidRDefault="00B1165D" w:rsidP="009C3A49">
      <w:pPr>
        <w:pStyle w:val="Footnotes"/>
      </w:pPr>
      <w:r w:rsidRPr="005B79AE">
        <w:rPr>
          <w:rStyle w:val="FootnoteReference"/>
        </w:rPr>
        <w:footnoteRef/>
      </w:r>
      <w:r w:rsidR="006F410E" w:rsidRPr="00C6698B">
        <w:rPr>
          <w:szCs w:val="18"/>
        </w:rPr>
        <w:tab/>
      </w:r>
      <w:r w:rsidRPr="00C6698B">
        <w:rPr>
          <w:rStyle w:val="FootnotesChar"/>
        </w:rPr>
        <w:t>DTF</w:t>
      </w:r>
      <w:r w:rsidR="00844FD9" w:rsidRPr="00C6698B">
        <w:rPr>
          <w:rStyle w:val="FootnotesChar"/>
        </w:rPr>
        <w:t xml:space="preserve"> (2024</w:t>
      </w:r>
      <w:r w:rsidR="00FB1B64" w:rsidRPr="00C6698B">
        <w:rPr>
          <w:rStyle w:val="FootnotesChar"/>
        </w:rPr>
        <w:t>d</w:t>
      </w:r>
      <w:r w:rsidR="00844FD9" w:rsidRPr="00C6698B">
        <w:rPr>
          <w:rStyle w:val="FootnotesChar"/>
        </w:rPr>
        <w:t>)</w:t>
      </w:r>
      <w:r w:rsidRPr="00C6698B">
        <w:rPr>
          <w:rStyle w:val="FootnotesChar"/>
        </w:rPr>
        <w:t>, p</w:t>
      </w:r>
      <w:r w:rsidR="00C6698B">
        <w:rPr>
          <w:rStyle w:val="FootnotesChar"/>
        </w:rPr>
        <w:t>p</w:t>
      </w:r>
      <w:r w:rsidR="001677F0" w:rsidRPr="00C6698B">
        <w:rPr>
          <w:rStyle w:val="FootnotesChar"/>
        </w:rPr>
        <w:t>.</w:t>
      </w:r>
      <w:r w:rsidRPr="00C6698B">
        <w:rPr>
          <w:rStyle w:val="FootnotesChar"/>
        </w:rPr>
        <w:t xml:space="preserve"> </w:t>
      </w:r>
      <w:r w:rsidR="00C6698B">
        <w:rPr>
          <w:rStyle w:val="FootnotesChar"/>
        </w:rPr>
        <w:t>46-</w:t>
      </w:r>
      <w:r w:rsidRPr="004E7A1C">
        <w:rPr>
          <w:rStyle w:val="FootnotesChar"/>
        </w:rPr>
        <w:t>47.</w:t>
      </w:r>
    </w:p>
  </w:footnote>
  <w:footnote w:id="55">
    <w:p w14:paraId="55286A69" w14:textId="0679C288" w:rsidR="00B1165D" w:rsidRDefault="00B1165D" w:rsidP="009C3A49">
      <w:pPr>
        <w:pStyle w:val="Footnotes"/>
      </w:pPr>
      <w:r w:rsidRPr="004E7A1C">
        <w:rPr>
          <w:rStyle w:val="FootnoteReference"/>
        </w:rPr>
        <w:footnoteRef/>
      </w:r>
      <w:r w:rsidR="006F410E" w:rsidRPr="004E7A1C">
        <w:tab/>
      </w:r>
      <w:r w:rsidRPr="004E7A1C">
        <w:rPr>
          <w:rStyle w:val="FootnotesChar"/>
        </w:rPr>
        <w:t>DTF</w:t>
      </w:r>
      <w:r w:rsidR="00033627" w:rsidRPr="004E7A1C">
        <w:rPr>
          <w:rStyle w:val="FootnotesChar"/>
        </w:rPr>
        <w:t xml:space="preserve"> (202</w:t>
      </w:r>
      <w:r w:rsidR="00493893" w:rsidRPr="004E7A1C">
        <w:rPr>
          <w:rStyle w:val="FootnotesChar"/>
        </w:rPr>
        <w:t>4f</w:t>
      </w:r>
      <w:r w:rsidR="00033627" w:rsidRPr="004E7A1C">
        <w:rPr>
          <w:rStyle w:val="FootnotesChar"/>
        </w:rPr>
        <w:t>)</w:t>
      </w:r>
      <w:r w:rsidRPr="004E7A1C">
        <w:rPr>
          <w:rStyle w:val="FootnotesChar"/>
        </w:rPr>
        <w:t>, pp</w:t>
      </w:r>
      <w:r w:rsidR="001677F0" w:rsidRPr="004E7A1C">
        <w:rPr>
          <w:rStyle w:val="FootnotesChar"/>
        </w:rPr>
        <w:t>.</w:t>
      </w:r>
      <w:r w:rsidRPr="004E7A1C">
        <w:rPr>
          <w:rStyle w:val="FootnotesChar"/>
        </w:rPr>
        <w:t xml:space="preserve"> 7-22.</w:t>
      </w:r>
    </w:p>
  </w:footnote>
  <w:footnote w:id="56">
    <w:p w14:paraId="0A871A16" w14:textId="1C3E25E8" w:rsidR="00B1165D" w:rsidRPr="006D6BBB" w:rsidRDefault="00B1165D" w:rsidP="009C3A49">
      <w:pPr>
        <w:pStyle w:val="Footnotes"/>
        <w:rPr>
          <w:szCs w:val="18"/>
        </w:rPr>
      </w:pPr>
      <w:r w:rsidRPr="000B2278">
        <w:rPr>
          <w:rStyle w:val="FootnoteReference"/>
        </w:rPr>
        <w:footnoteRef/>
      </w:r>
      <w:r w:rsidR="003F7CA4">
        <w:tab/>
      </w:r>
      <w:r w:rsidRPr="00B57F3B">
        <w:rPr>
          <w:rStyle w:val="FootnotesChar"/>
        </w:rPr>
        <w:t xml:space="preserve">These savings are intended to be achieved through reducing corporate and back-office functions and spending less on consultants and labour hire; </w:t>
      </w:r>
      <w:r w:rsidR="004A20B3" w:rsidRPr="006D6BBB">
        <w:rPr>
          <w:rStyle w:val="FootnotesChar"/>
        </w:rPr>
        <w:t>DTF (2003</w:t>
      </w:r>
      <w:r w:rsidR="00DF5E97" w:rsidRPr="006D6BBB">
        <w:rPr>
          <w:rStyle w:val="FootnotesChar"/>
        </w:rPr>
        <w:t>d</w:t>
      </w:r>
      <w:r w:rsidR="004A20B3" w:rsidRPr="006D6BBB">
        <w:rPr>
          <w:rStyle w:val="FootnotesChar"/>
        </w:rPr>
        <w:t>)</w:t>
      </w:r>
      <w:r w:rsidR="00DF5E97" w:rsidRPr="006D6BBB">
        <w:rPr>
          <w:rStyle w:val="FootnotesChar"/>
        </w:rPr>
        <w:t>,</w:t>
      </w:r>
      <w:r w:rsidR="004A20B3" w:rsidRPr="006D6BBB">
        <w:rPr>
          <w:rStyle w:val="FootnotesChar"/>
        </w:rPr>
        <w:t xml:space="preserve"> pp</w:t>
      </w:r>
      <w:r w:rsidR="00FA6935" w:rsidRPr="006D6BBB">
        <w:rPr>
          <w:rStyle w:val="FootnotesChar"/>
        </w:rPr>
        <w:t>.</w:t>
      </w:r>
      <w:r w:rsidR="004A20B3" w:rsidRPr="006D6BBB">
        <w:rPr>
          <w:rStyle w:val="FootnotesChar"/>
        </w:rPr>
        <w:t xml:space="preserve"> 19</w:t>
      </w:r>
      <w:r w:rsidR="004E7A1C">
        <w:rPr>
          <w:rStyle w:val="FootnotesChar"/>
        </w:rPr>
        <w:t>-</w:t>
      </w:r>
      <w:r w:rsidR="004A20B3" w:rsidRPr="006D6BBB">
        <w:rPr>
          <w:rStyle w:val="FootnotesChar"/>
        </w:rPr>
        <w:t>20</w:t>
      </w:r>
      <w:r w:rsidR="00033627" w:rsidRPr="006D6BBB">
        <w:rPr>
          <w:rStyle w:val="FootnotesChar"/>
        </w:rPr>
        <w:t>.</w:t>
      </w:r>
      <w:r w:rsidR="004A20B3" w:rsidRPr="006D6BBB">
        <w:rPr>
          <w:rStyle w:val="FootnotesChar"/>
        </w:rPr>
        <w:t xml:space="preserve"> </w:t>
      </w:r>
    </w:p>
  </w:footnote>
  <w:footnote w:id="57">
    <w:p w14:paraId="7C006C98" w14:textId="7D716BB6" w:rsidR="00B1165D" w:rsidRPr="004B16CE" w:rsidRDefault="00B1165D" w:rsidP="009C3A49">
      <w:pPr>
        <w:pStyle w:val="Footnotes"/>
        <w:rPr>
          <w:rStyle w:val="FootnotesChar"/>
        </w:rPr>
      </w:pPr>
      <w:r w:rsidRPr="004B16CE">
        <w:rPr>
          <w:rStyle w:val="FootnoteReference"/>
        </w:rPr>
        <w:footnoteRef/>
      </w:r>
      <w:r w:rsidR="003F7CA4" w:rsidRPr="004B16CE">
        <w:tab/>
      </w:r>
      <w:r w:rsidRPr="004B16CE">
        <w:rPr>
          <w:rStyle w:val="FootnotesChar"/>
        </w:rPr>
        <w:t>DTF</w:t>
      </w:r>
      <w:r w:rsidR="004E710C" w:rsidRPr="004B16CE">
        <w:rPr>
          <w:rStyle w:val="FootnotesChar"/>
        </w:rPr>
        <w:t xml:space="preserve"> (2023</w:t>
      </w:r>
      <w:r w:rsidR="004E4778" w:rsidRPr="004B16CE">
        <w:rPr>
          <w:rStyle w:val="FootnotesChar"/>
        </w:rPr>
        <w:t>c</w:t>
      </w:r>
      <w:r w:rsidR="004E710C" w:rsidRPr="004B16CE">
        <w:rPr>
          <w:rStyle w:val="FootnotesChar"/>
        </w:rPr>
        <w:t>)</w:t>
      </w:r>
      <w:r w:rsidRPr="004B16CE">
        <w:rPr>
          <w:rStyle w:val="FootnotesChar"/>
        </w:rPr>
        <w:t>, p</w:t>
      </w:r>
      <w:r w:rsidR="00FA6935" w:rsidRPr="004B16CE">
        <w:rPr>
          <w:rStyle w:val="FootnotesChar"/>
        </w:rPr>
        <w:t>.</w:t>
      </w:r>
      <w:r w:rsidRPr="004B16CE">
        <w:rPr>
          <w:rStyle w:val="FootnotesChar"/>
        </w:rPr>
        <w:t xml:space="preserve"> 118.</w:t>
      </w:r>
    </w:p>
  </w:footnote>
  <w:footnote w:id="58">
    <w:p w14:paraId="375302AC" w14:textId="3ADE4DD9" w:rsidR="00B1165D" w:rsidRPr="009C3A49" w:rsidRDefault="00B1165D" w:rsidP="009C3A49">
      <w:pPr>
        <w:pStyle w:val="Footnotes"/>
        <w:rPr>
          <w:highlight w:val="yellow"/>
        </w:rPr>
      </w:pPr>
      <w:r w:rsidRPr="004B16CE">
        <w:rPr>
          <w:rStyle w:val="FootnoteReference"/>
        </w:rPr>
        <w:footnoteRef/>
      </w:r>
      <w:r w:rsidR="003F7CA4" w:rsidRPr="004B16CE">
        <w:tab/>
      </w:r>
      <w:r w:rsidRPr="004B16CE">
        <w:rPr>
          <w:rStyle w:val="FootnotesChar"/>
        </w:rPr>
        <w:t>DTF</w:t>
      </w:r>
      <w:r w:rsidR="004E710C" w:rsidRPr="004B16CE">
        <w:rPr>
          <w:rStyle w:val="FootnotesChar"/>
        </w:rPr>
        <w:t xml:space="preserve"> (2024</w:t>
      </w:r>
      <w:r w:rsidR="00DF5E97" w:rsidRPr="004B16CE">
        <w:rPr>
          <w:rStyle w:val="FootnotesChar"/>
        </w:rPr>
        <w:t>e</w:t>
      </w:r>
      <w:r w:rsidR="004E710C" w:rsidRPr="004B16CE">
        <w:rPr>
          <w:rStyle w:val="FootnotesChar"/>
        </w:rPr>
        <w:t>)</w:t>
      </w:r>
      <w:r w:rsidRPr="004B16CE">
        <w:rPr>
          <w:rStyle w:val="FootnotesChar"/>
        </w:rPr>
        <w:t>, p</w:t>
      </w:r>
      <w:r w:rsidR="00FA6935" w:rsidRPr="004B16CE">
        <w:rPr>
          <w:rStyle w:val="FootnotesChar"/>
        </w:rPr>
        <w:t>.</w:t>
      </w:r>
      <w:r w:rsidRPr="004B16CE">
        <w:rPr>
          <w:rStyle w:val="FootnotesChar"/>
        </w:rPr>
        <w:t xml:space="preserve"> 92.</w:t>
      </w:r>
    </w:p>
  </w:footnote>
  <w:footnote w:id="59">
    <w:p w14:paraId="74C7F492" w14:textId="3F69D6C4" w:rsidR="00B1165D" w:rsidRDefault="00B1165D" w:rsidP="009C3A49">
      <w:pPr>
        <w:pStyle w:val="Footnotes"/>
      </w:pPr>
      <w:r>
        <w:rPr>
          <w:rStyle w:val="FootnoteReference"/>
        </w:rPr>
        <w:footnoteRef/>
      </w:r>
      <w:r w:rsidR="003F7CA4">
        <w:tab/>
      </w:r>
      <w:r w:rsidR="002306D8" w:rsidRPr="002306D8">
        <w:t>Tribunal consultation with department Secretaries.</w:t>
      </w:r>
    </w:p>
  </w:footnote>
  <w:footnote w:id="60">
    <w:p w14:paraId="7DC3AA71" w14:textId="709B833F" w:rsidR="00B1165D" w:rsidRPr="00F9255F" w:rsidRDefault="00B1165D" w:rsidP="009C3A49">
      <w:pPr>
        <w:pStyle w:val="Footnotes"/>
        <w:rPr>
          <w:szCs w:val="18"/>
        </w:rPr>
      </w:pPr>
      <w:r w:rsidRPr="00772F4E">
        <w:rPr>
          <w:rStyle w:val="FootnoteReference"/>
        </w:rPr>
        <w:footnoteRef/>
      </w:r>
      <w:r w:rsidR="00B61111">
        <w:tab/>
      </w:r>
      <w:r w:rsidRPr="00B57F3B">
        <w:rPr>
          <w:rStyle w:val="FootnotesChar"/>
        </w:rPr>
        <w:t xml:space="preserve">49 per cent of VPS employees who took part in the 2023 </w:t>
      </w:r>
      <w:r w:rsidRPr="00BF68AA">
        <w:rPr>
          <w:rStyle w:val="FootnotesChar"/>
          <w:i/>
        </w:rPr>
        <w:t>People matter</w:t>
      </w:r>
      <w:r w:rsidRPr="00B57F3B">
        <w:rPr>
          <w:rStyle w:val="FootnotesChar"/>
        </w:rPr>
        <w:t xml:space="preserve"> survey selected ‘working from an alternative location’ as one of their flexible work arrangements</w:t>
      </w:r>
      <w:r w:rsidR="001F1FDB" w:rsidRPr="00BF68AA">
        <w:rPr>
          <w:rStyle w:val="FootnotesChar"/>
        </w:rPr>
        <w:t>.</w:t>
      </w:r>
      <w:r w:rsidRPr="00B57F3B">
        <w:rPr>
          <w:rStyle w:val="FootnotesChar"/>
        </w:rPr>
        <w:t xml:space="preserve"> </w:t>
      </w:r>
      <w:r w:rsidRPr="00BF68AA">
        <w:rPr>
          <w:rStyle w:val="FootnotesChar"/>
        </w:rPr>
        <w:t>VPSC</w:t>
      </w:r>
      <w:r w:rsidR="00BF68AA" w:rsidRPr="00BF68AA">
        <w:rPr>
          <w:rStyle w:val="FootnotesChar"/>
        </w:rPr>
        <w:t xml:space="preserve"> (2024a)</w:t>
      </w:r>
      <w:r w:rsidRPr="00BF68AA">
        <w:rPr>
          <w:rStyle w:val="FootnotesChar"/>
        </w:rPr>
        <w:t>.</w:t>
      </w:r>
    </w:p>
  </w:footnote>
  <w:footnote w:id="61">
    <w:p w14:paraId="566E9EE5" w14:textId="68617DF6" w:rsidR="00B1165D" w:rsidRPr="00E33071" w:rsidRDefault="00B1165D" w:rsidP="009C3A49">
      <w:pPr>
        <w:pStyle w:val="Footnotes"/>
        <w:rPr>
          <w:rStyle w:val="FootnotesChar"/>
          <w:color w:val="4D4D4D" w:themeColor="accent6"/>
        </w:rPr>
      </w:pPr>
      <w:r w:rsidRPr="00E33071">
        <w:rPr>
          <w:rStyle w:val="FootnoteReference"/>
        </w:rPr>
        <w:footnoteRef/>
      </w:r>
      <w:r w:rsidR="00B61111" w:rsidRPr="00E33071">
        <w:rPr>
          <w:szCs w:val="18"/>
        </w:rPr>
        <w:tab/>
      </w:r>
      <w:r w:rsidRPr="00E33071">
        <w:rPr>
          <w:rStyle w:val="FootnotesChar"/>
        </w:rPr>
        <w:t>VPSC</w:t>
      </w:r>
      <w:r w:rsidR="006A3C5B" w:rsidRPr="00E33071">
        <w:rPr>
          <w:rStyle w:val="FootnotesChar"/>
        </w:rPr>
        <w:t xml:space="preserve"> (2022</w:t>
      </w:r>
      <w:r w:rsidR="00D93E78" w:rsidRPr="00E33071">
        <w:rPr>
          <w:rStyle w:val="FootnotesChar"/>
        </w:rPr>
        <w:t>a</w:t>
      </w:r>
      <w:r w:rsidR="006A3C5B" w:rsidRPr="00E33071">
        <w:rPr>
          <w:rStyle w:val="FootnotesChar"/>
        </w:rPr>
        <w:t>)</w:t>
      </w:r>
      <w:r w:rsidRPr="00E33071">
        <w:rPr>
          <w:rStyle w:val="FootnotesChar"/>
        </w:rPr>
        <w:t>.</w:t>
      </w:r>
    </w:p>
  </w:footnote>
  <w:footnote w:id="62">
    <w:p w14:paraId="6CD29C1E" w14:textId="1C2DB6D1" w:rsidR="00B1165D" w:rsidRPr="00656FFC" w:rsidRDefault="00B1165D" w:rsidP="009C3A49">
      <w:pPr>
        <w:pStyle w:val="Footnotes"/>
        <w:rPr>
          <w:szCs w:val="18"/>
          <w:highlight w:val="yellow"/>
        </w:rPr>
      </w:pPr>
      <w:r w:rsidRPr="00E33071">
        <w:rPr>
          <w:rStyle w:val="FootnoteReference"/>
        </w:rPr>
        <w:footnoteRef/>
      </w:r>
      <w:r w:rsidR="00B61111" w:rsidRPr="00E33071">
        <w:tab/>
      </w:r>
      <w:r w:rsidRPr="00E33071">
        <w:rPr>
          <w:rStyle w:val="FootnotesChar"/>
        </w:rPr>
        <w:t>VPSC</w:t>
      </w:r>
      <w:r w:rsidR="006A3C5B" w:rsidRPr="00E33071">
        <w:rPr>
          <w:rStyle w:val="FootnotesChar"/>
        </w:rPr>
        <w:t xml:space="preserve"> (2022</w:t>
      </w:r>
      <w:r w:rsidR="00D93E78" w:rsidRPr="00E33071">
        <w:rPr>
          <w:rStyle w:val="FootnotesChar"/>
        </w:rPr>
        <w:t>a</w:t>
      </w:r>
      <w:r w:rsidR="006A3C5B" w:rsidRPr="00E33071">
        <w:rPr>
          <w:rStyle w:val="FootnotesChar"/>
        </w:rPr>
        <w:t>)</w:t>
      </w:r>
      <w:r w:rsidRPr="00543285">
        <w:rPr>
          <w:rStyle w:val="FootnotesChar"/>
        </w:rPr>
        <w:t>.</w:t>
      </w:r>
      <w:r w:rsidRPr="00543285">
        <w:rPr>
          <w:szCs w:val="18"/>
        </w:rPr>
        <w:t xml:space="preserve"> </w:t>
      </w:r>
    </w:p>
  </w:footnote>
  <w:footnote w:id="63">
    <w:p w14:paraId="66BC1E70" w14:textId="379847D0" w:rsidR="00B1165D" w:rsidRPr="00F9255F" w:rsidRDefault="00B1165D" w:rsidP="009C3A49">
      <w:pPr>
        <w:pStyle w:val="Footnotes"/>
        <w:rPr>
          <w:szCs w:val="18"/>
        </w:rPr>
      </w:pPr>
      <w:r w:rsidRPr="00D23A9B">
        <w:rPr>
          <w:rStyle w:val="FootnoteReference"/>
        </w:rPr>
        <w:footnoteRef/>
      </w:r>
      <w:r w:rsidR="00B61111" w:rsidRPr="00D23A9B">
        <w:tab/>
      </w:r>
      <w:r w:rsidRPr="00D23A9B">
        <w:rPr>
          <w:rStyle w:val="FootnotesChar"/>
        </w:rPr>
        <w:t>OECD</w:t>
      </w:r>
      <w:r w:rsidR="007F08E8" w:rsidRPr="00D23A9B">
        <w:rPr>
          <w:rStyle w:val="FootnotesChar"/>
        </w:rPr>
        <w:t xml:space="preserve"> (2023).</w:t>
      </w:r>
    </w:p>
  </w:footnote>
  <w:footnote w:id="64">
    <w:p w14:paraId="59E88C1F" w14:textId="65095AF7" w:rsidR="00B1165D" w:rsidRPr="00656FFC" w:rsidRDefault="00B1165D" w:rsidP="009C3A49">
      <w:pPr>
        <w:pStyle w:val="Footnotes"/>
        <w:rPr>
          <w:szCs w:val="18"/>
          <w:highlight w:val="yellow"/>
        </w:rPr>
      </w:pPr>
      <w:r w:rsidRPr="00D23A9B">
        <w:rPr>
          <w:rStyle w:val="FootnoteReference"/>
        </w:rPr>
        <w:footnoteRef/>
      </w:r>
      <w:r w:rsidR="006356DC" w:rsidRPr="00D23A9B">
        <w:tab/>
      </w:r>
      <w:r w:rsidRPr="00D23A9B">
        <w:rPr>
          <w:rStyle w:val="FootnotesChar"/>
        </w:rPr>
        <w:t>Deloitte</w:t>
      </w:r>
      <w:r w:rsidR="001C2B92" w:rsidRPr="00D23A9B">
        <w:rPr>
          <w:rStyle w:val="FootnotesChar"/>
        </w:rPr>
        <w:t xml:space="preserve"> (2022</w:t>
      </w:r>
      <w:r w:rsidR="002306D8" w:rsidRPr="00D23A9B">
        <w:rPr>
          <w:rStyle w:val="FootnotesChar"/>
        </w:rPr>
        <w:t>).</w:t>
      </w:r>
    </w:p>
  </w:footnote>
  <w:footnote w:id="65">
    <w:p w14:paraId="49546E82" w14:textId="4E608FCC" w:rsidR="00B1165D" w:rsidRDefault="00B1165D" w:rsidP="009C3A49">
      <w:pPr>
        <w:pStyle w:val="Footnotes"/>
      </w:pPr>
      <w:r w:rsidRPr="00D23A9B">
        <w:rPr>
          <w:rStyle w:val="FootnoteReference"/>
        </w:rPr>
        <w:footnoteRef/>
      </w:r>
      <w:r w:rsidR="006356DC" w:rsidRPr="00D23A9B">
        <w:tab/>
      </w:r>
      <w:r w:rsidRPr="00D23A9B">
        <w:rPr>
          <w:rStyle w:val="FootnotesChar"/>
        </w:rPr>
        <w:t>DFFH</w:t>
      </w:r>
      <w:r w:rsidR="001C2B92" w:rsidRPr="00D23A9B">
        <w:rPr>
          <w:rStyle w:val="FootnotesChar"/>
        </w:rPr>
        <w:t xml:space="preserve"> (2023</w:t>
      </w:r>
      <w:r w:rsidR="007F08E8" w:rsidRPr="00D23A9B">
        <w:rPr>
          <w:rStyle w:val="FootnotesChar"/>
        </w:rPr>
        <w:t>b</w:t>
      </w:r>
      <w:r w:rsidR="001C2B92" w:rsidRPr="00D23A9B">
        <w:rPr>
          <w:rStyle w:val="FootnotesChar"/>
        </w:rPr>
        <w:t>)</w:t>
      </w:r>
      <w:r w:rsidRPr="00D23A9B">
        <w:rPr>
          <w:rStyle w:val="FootnotesChar"/>
        </w:rPr>
        <w:t>.</w:t>
      </w:r>
    </w:p>
  </w:footnote>
  <w:footnote w:id="66">
    <w:p w14:paraId="4720449F" w14:textId="5D15E16E" w:rsidR="00B1165D" w:rsidRDefault="00B1165D" w:rsidP="009C3A49">
      <w:pPr>
        <w:pStyle w:val="Footnotes"/>
      </w:pPr>
      <w:r>
        <w:rPr>
          <w:rStyle w:val="FootnoteReference"/>
        </w:rPr>
        <w:footnoteRef/>
      </w:r>
      <w:r w:rsidR="006356DC">
        <w:tab/>
      </w:r>
      <w:r w:rsidRPr="00AB2960">
        <w:rPr>
          <w:rStyle w:val="FootnotesChar"/>
        </w:rPr>
        <w:t>GE Act, ss 10, 19.</w:t>
      </w:r>
    </w:p>
  </w:footnote>
  <w:footnote w:id="67">
    <w:p w14:paraId="3BF567F8" w14:textId="0265DC30" w:rsidR="00B1165D" w:rsidRDefault="00B1165D" w:rsidP="009C3A49">
      <w:pPr>
        <w:pStyle w:val="Footnotes"/>
      </w:pPr>
      <w:r w:rsidRPr="000B2278">
        <w:rPr>
          <w:rStyle w:val="FootnoteReference"/>
        </w:rPr>
        <w:footnoteRef/>
      </w:r>
      <w:r w:rsidR="006356DC">
        <w:tab/>
      </w:r>
      <w:r w:rsidRPr="00AB08EE">
        <w:rPr>
          <w:rStyle w:val="FootnotesChar"/>
        </w:rPr>
        <w:t>DFFH</w:t>
      </w:r>
      <w:r w:rsidR="00362354" w:rsidRPr="00AB08EE">
        <w:rPr>
          <w:rStyle w:val="FootnotesChar"/>
        </w:rPr>
        <w:t xml:space="preserve"> (2023</w:t>
      </w:r>
      <w:r w:rsidR="009A097F" w:rsidRPr="00AB08EE">
        <w:rPr>
          <w:rStyle w:val="FootnotesChar"/>
        </w:rPr>
        <w:t>b</w:t>
      </w:r>
      <w:r w:rsidR="00362354" w:rsidRPr="00AB08EE">
        <w:rPr>
          <w:rStyle w:val="FootnotesChar"/>
        </w:rPr>
        <w:t>)</w:t>
      </w:r>
      <w:r w:rsidRPr="00AB08EE">
        <w:rPr>
          <w:rStyle w:val="FootnotesChar"/>
        </w:rPr>
        <w:t>.</w:t>
      </w:r>
    </w:p>
  </w:footnote>
  <w:footnote w:id="68">
    <w:p w14:paraId="787D14D7" w14:textId="42BEE827" w:rsidR="00B1165D" w:rsidRPr="006617A2" w:rsidRDefault="00B1165D" w:rsidP="009C3A49">
      <w:pPr>
        <w:pStyle w:val="Footnotes"/>
      </w:pPr>
      <w:r w:rsidRPr="000B2278">
        <w:rPr>
          <w:rStyle w:val="FootnoteReference"/>
        </w:rPr>
        <w:footnoteRef/>
      </w:r>
      <w:r w:rsidR="009D2CF6">
        <w:tab/>
      </w:r>
      <w:r w:rsidR="00CE4F47" w:rsidRPr="00C26038">
        <w:rPr>
          <w:rStyle w:val="FootnotesChar"/>
        </w:rPr>
        <w:t>Coate J (AO) (2020)</w:t>
      </w:r>
      <w:r w:rsidRPr="00C26038">
        <w:rPr>
          <w:rStyle w:val="FootnotesChar"/>
        </w:rPr>
        <w:t>.</w:t>
      </w:r>
    </w:p>
  </w:footnote>
  <w:footnote w:id="69">
    <w:p w14:paraId="719575C9" w14:textId="2DE45DD9" w:rsidR="00B1165D" w:rsidRPr="006617A2" w:rsidRDefault="00B1165D" w:rsidP="009C3A49">
      <w:pPr>
        <w:pStyle w:val="Footnotes"/>
        <w:rPr>
          <w:szCs w:val="18"/>
        </w:rPr>
      </w:pPr>
      <w:r w:rsidRPr="006617A2">
        <w:rPr>
          <w:rStyle w:val="FootnoteReference"/>
        </w:rPr>
        <w:footnoteRef/>
      </w:r>
      <w:r w:rsidR="009D2CF6" w:rsidRPr="006617A2">
        <w:tab/>
      </w:r>
      <w:r w:rsidR="00BB7A86" w:rsidRPr="00C26038">
        <w:t>Commonwealth of Australia (2019)</w:t>
      </w:r>
      <w:r w:rsidRPr="00C26038">
        <w:rPr>
          <w:rStyle w:val="FootnotesChar"/>
        </w:rPr>
        <w:t>.</w:t>
      </w:r>
    </w:p>
  </w:footnote>
  <w:footnote w:id="70">
    <w:p w14:paraId="0DD49FA0" w14:textId="5B103C3D" w:rsidR="00B1165D" w:rsidRPr="006617A2" w:rsidRDefault="00B1165D" w:rsidP="009C3A49">
      <w:pPr>
        <w:pStyle w:val="Footnotes"/>
        <w:rPr>
          <w:szCs w:val="18"/>
        </w:rPr>
      </w:pPr>
      <w:r w:rsidRPr="006617A2">
        <w:rPr>
          <w:rStyle w:val="FootnoteReference"/>
        </w:rPr>
        <w:footnoteRef/>
      </w:r>
      <w:r w:rsidR="009D2CF6" w:rsidRPr="006617A2">
        <w:tab/>
      </w:r>
      <w:r w:rsidR="00C1578A" w:rsidRPr="00C26038">
        <w:t>Commonwealth of Australia (2023</w:t>
      </w:r>
      <w:r w:rsidR="00C21EC9" w:rsidRPr="00C26038">
        <w:t>b</w:t>
      </w:r>
      <w:r w:rsidR="00C1578A" w:rsidRPr="00C26038">
        <w:t>)</w:t>
      </w:r>
      <w:r w:rsidR="000375C8" w:rsidRPr="006617A2">
        <w:t>;</w:t>
      </w:r>
      <w:r w:rsidR="005549EA" w:rsidRPr="006617A2">
        <w:t xml:space="preserve"> IBAC and Victorian Ombudsman (2022).</w:t>
      </w:r>
    </w:p>
  </w:footnote>
  <w:footnote w:id="71">
    <w:p w14:paraId="30FC7D7D" w14:textId="29CEC556" w:rsidR="00B1165D" w:rsidRPr="00F9255F" w:rsidRDefault="00B1165D" w:rsidP="009C3A49">
      <w:pPr>
        <w:pStyle w:val="Footnotes"/>
        <w:rPr>
          <w:szCs w:val="18"/>
        </w:rPr>
      </w:pPr>
      <w:r w:rsidRPr="006617A2">
        <w:rPr>
          <w:rStyle w:val="FootnoteReference"/>
        </w:rPr>
        <w:footnoteRef/>
      </w:r>
      <w:r w:rsidR="009D2CF6" w:rsidRPr="006617A2">
        <w:tab/>
      </w:r>
      <w:r w:rsidR="00F109E3" w:rsidRPr="00C26038">
        <w:t>Commonwealth of Australia (2023</w:t>
      </w:r>
      <w:r w:rsidR="006617A2" w:rsidRPr="00C26038">
        <w:t>b</w:t>
      </w:r>
      <w:r w:rsidR="00B1398A">
        <w:t>)</w:t>
      </w:r>
      <w:r w:rsidRPr="006617A2">
        <w:rPr>
          <w:rStyle w:val="FootnotesChar"/>
        </w:rPr>
        <w:t>.</w:t>
      </w:r>
    </w:p>
  </w:footnote>
  <w:footnote w:id="72">
    <w:p w14:paraId="6166FF5F" w14:textId="19AFB3B1" w:rsidR="00B1165D" w:rsidRPr="00AB2960" w:rsidRDefault="00B1165D" w:rsidP="009C3A49">
      <w:pPr>
        <w:pStyle w:val="Footnotes"/>
        <w:rPr>
          <w:rStyle w:val="FootnotesChar"/>
          <w:color w:val="4D4D4D" w:themeColor="accent6"/>
        </w:rPr>
      </w:pPr>
      <w:r>
        <w:rPr>
          <w:rStyle w:val="FootnoteReference"/>
        </w:rPr>
        <w:footnoteRef/>
      </w:r>
      <w:r w:rsidR="009D2CF6" w:rsidRPr="003F3DF2">
        <w:rPr>
          <w:szCs w:val="18"/>
        </w:rPr>
        <w:tab/>
      </w:r>
      <w:r w:rsidRPr="00543285">
        <w:rPr>
          <w:rStyle w:val="FootnotesChar"/>
        </w:rPr>
        <w:t>VPSC (2022</w:t>
      </w:r>
      <w:r w:rsidR="003F3DF2" w:rsidRPr="00543285">
        <w:rPr>
          <w:rStyle w:val="FootnotesChar"/>
        </w:rPr>
        <w:t>c</w:t>
      </w:r>
      <w:r w:rsidRPr="00543285">
        <w:rPr>
          <w:rStyle w:val="FootnotesChar"/>
        </w:rPr>
        <w:t>).</w:t>
      </w:r>
      <w:r w:rsidRPr="00AB2960">
        <w:rPr>
          <w:rStyle w:val="FootnotesChar"/>
        </w:rPr>
        <w:t xml:space="preserve">  </w:t>
      </w:r>
    </w:p>
  </w:footnote>
  <w:footnote w:id="73">
    <w:p w14:paraId="475FCCFB" w14:textId="13CB8C7F" w:rsidR="00B1165D" w:rsidRPr="00C26038" w:rsidRDefault="00B1165D" w:rsidP="009C3A49">
      <w:pPr>
        <w:pStyle w:val="Footnotes"/>
      </w:pPr>
      <w:r w:rsidRPr="001123A3">
        <w:rPr>
          <w:rStyle w:val="FootnoteReference"/>
        </w:rPr>
        <w:footnoteRef/>
      </w:r>
      <w:r w:rsidR="00C559C6" w:rsidRPr="001123A3">
        <w:tab/>
      </w:r>
      <w:r w:rsidRPr="00C26038">
        <w:rPr>
          <w:rStyle w:val="FootnotesChar"/>
        </w:rPr>
        <w:t xml:space="preserve">VSB </w:t>
      </w:r>
      <w:r w:rsidR="009E2FDA" w:rsidRPr="00C26038">
        <w:rPr>
          <w:rStyle w:val="FootnotesChar"/>
        </w:rPr>
        <w:t>(</w:t>
      </w:r>
      <w:r w:rsidR="00F53E2E" w:rsidRPr="001123A3">
        <w:rPr>
          <w:rStyle w:val="FootnotesChar"/>
        </w:rPr>
        <w:t>2023)</w:t>
      </w:r>
      <w:r w:rsidR="001123A3" w:rsidRPr="001123A3">
        <w:rPr>
          <w:rStyle w:val="FootnotesChar"/>
        </w:rPr>
        <w:t>.</w:t>
      </w:r>
    </w:p>
  </w:footnote>
  <w:footnote w:id="74">
    <w:p w14:paraId="4147A17C" w14:textId="63F870E9" w:rsidR="00B1165D" w:rsidRDefault="00B1165D" w:rsidP="009C3A49">
      <w:pPr>
        <w:pStyle w:val="Footnotes"/>
      </w:pPr>
      <w:r w:rsidRPr="00C26038">
        <w:rPr>
          <w:rStyle w:val="FootnoteReference"/>
        </w:rPr>
        <w:footnoteRef/>
      </w:r>
      <w:r w:rsidR="00C559C6" w:rsidRPr="00C26038">
        <w:tab/>
      </w:r>
      <w:r w:rsidRPr="00C26038">
        <w:rPr>
          <w:rStyle w:val="FootnotesChar"/>
        </w:rPr>
        <w:t>VSB</w:t>
      </w:r>
      <w:r w:rsidR="00C559C6" w:rsidRPr="00C26038">
        <w:rPr>
          <w:rStyle w:val="FootnotesChar"/>
        </w:rPr>
        <w:t xml:space="preserve"> (</w:t>
      </w:r>
      <w:r w:rsidRPr="00C26038">
        <w:rPr>
          <w:rStyle w:val="FootnotesChar"/>
        </w:rPr>
        <w:t>2023</w:t>
      </w:r>
      <w:r w:rsidR="00C559C6" w:rsidRPr="00C26038">
        <w:rPr>
          <w:rStyle w:val="FootnotesChar"/>
        </w:rPr>
        <w:t>)</w:t>
      </w:r>
      <w:r w:rsidR="001123A3" w:rsidRPr="00C26038">
        <w:rPr>
          <w:rStyle w:val="FootnotesChar"/>
        </w:rPr>
        <w:t>.</w:t>
      </w:r>
      <w:r w:rsidRPr="00C26038">
        <w:rPr>
          <w:rStyle w:val="FootnotesChar"/>
        </w:rPr>
        <w:t xml:space="preserve"> </w:t>
      </w:r>
    </w:p>
  </w:footnote>
  <w:footnote w:id="75">
    <w:p w14:paraId="61223F7B" w14:textId="1F660883" w:rsidR="00B1165D" w:rsidRPr="00E5236D" w:rsidRDefault="00B1165D" w:rsidP="00EE7916">
      <w:pPr>
        <w:pStyle w:val="Footnotes"/>
      </w:pPr>
      <w:r w:rsidRPr="00E5236D">
        <w:rPr>
          <w:rStyle w:val="FootnoteReference"/>
        </w:rPr>
        <w:footnoteRef/>
      </w:r>
      <w:r w:rsidR="00277980" w:rsidRPr="00E5236D">
        <w:tab/>
      </w:r>
      <w:r w:rsidRPr="00E5236D">
        <w:rPr>
          <w:rStyle w:val="FootnotesChar"/>
        </w:rPr>
        <w:t>Tribunal consultation with department Secretaries.</w:t>
      </w:r>
    </w:p>
  </w:footnote>
  <w:footnote w:id="76">
    <w:p w14:paraId="2AF2DE8E" w14:textId="7C2F7413" w:rsidR="00B1165D" w:rsidRPr="00F9255F" w:rsidRDefault="00B1165D" w:rsidP="00277980">
      <w:pPr>
        <w:pStyle w:val="Footnotes"/>
        <w:rPr>
          <w:szCs w:val="18"/>
        </w:rPr>
      </w:pPr>
      <w:r w:rsidRPr="000B2278">
        <w:rPr>
          <w:rStyle w:val="FootnoteReference"/>
        </w:rPr>
        <w:footnoteRef/>
      </w:r>
      <w:r w:rsidR="00277980">
        <w:tab/>
      </w:r>
      <w:r w:rsidRPr="00277980">
        <w:rPr>
          <w:rStyle w:val="FootnotesChar"/>
        </w:rPr>
        <w:t>Parliament</w:t>
      </w:r>
      <w:r w:rsidRPr="00AB2960">
        <w:rPr>
          <w:rStyle w:val="FootnotesChar"/>
        </w:rPr>
        <w:t xml:space="preserve"> of Victoria</w:t>
      </w:r>
      <w:r w:rsidR="002D5C7A">
        <w:rPr>
          <w:rStyle w:val="FootnotesChar"/>
        </w:rPr>
        <w:t xml:space="preserve"> (2024).</w:t>
      </w:r>
    </w:p>
  </w:footnote>
  <w:footnote w:id="77">
    <w:p w14:paraId="2EA681CA" w14:textId="084B0721" w:rsidR="00B1165D" w:rsidRPr="00C26038" w:rsidRDefault="00B1165D" w:rsidP="00EE7916">
      <w:pPr>
        <w:pStyle w:val="Footnotes"/>
      </w:pPr>
      <w:r w:rsidRPr="00C26038">
        <w:rPr>
          <w:rStyle w:val="FootnoteReference"/>
        </w:rPr>
        <w:footnoteRef/>
      </w:r>
      <w:r w:rsidR="00277980" w:rsidRPr="00C26038">
        <w:tab/>
      </w:r>
      <w:r w:rsidR="00E5236D" w:rsidRPr="00C26038">
        <w:rPr>
          <w:rStyle w:val="FootnotesChar"/>
        </w:rPr>
        <w:t>Tribunal consultation with department Secretaries.</w:t>
      </w:r>
    </w:p>
  </w:footnote>
  <w:footnote w:id="78">
    <w:p w14:paraId="023420E6" w14:textId="043D8F44" w:rsidR="006F5714" w:rsidRDefault="006F5714" w:rsidP="00EE7916">
      <w:pPr>
        <w:pStyle w:val="Footnotes"/>
      </w:pPr>
      <w:r w:rsidRPr="00C26038">
        <w:rPr>
          <w:rStyle w:val="FootnoteReference"/>
        </w:rPr>
        <w:footnoteRef/>
      </w:r>
      <w:r w:rsidR="00277980" w:rsidRPr="00C26038">
        <w:tab/>
      </w:r>
      <w:r w:rsidR="00E5236D" w:rsidRPr="00C26038">
        <w:t>Tribunal</w:t>
      </w:r>
      <w:r w:rsidR="00E5236D" w:rsidRPr="00E5236D">
        <w:t xml:space="preserve"> consultation with department Secretaries.</w:t>
      </w:r>
    </w:p>
  </w:footnote>
  <w:footnote w:id="79">
    <w:p w14:paraId="5DBF4424" w14:textId="03E34F59" w:rsidR="00B1165D" w:rsidRPr="00F9255F" w:rsidRDefault="00B1165D" w:rsidP="00115DD9">
      <w:pPr>
        <w:pStyle w:val="Footnotes"/>
        <w:rPr>
          <w:szCs w:val="18"/>
        </w:rPr>
      </w:pPr>
      <w:r w:rsidRPr="00772F4E">
        <w:rPr>
          <w:rStyle w:val="FootnoteReference"/>
        </w:rPr>
        <w:footnoteRef/>
      </w:r>
      <w:r w:rsidR="00B721DD">
        <w:rPr>
          <w:rStyle w:val="FootnotesChar"/>
        </w:rPr>
        <w:tab/>
      </w:r>
      <w:r w:rsidRPr="00AB2960">
        <w:rPr>
          <w:rStyle w:val="FootnotesChar"/>
        </w:rPr>
        <w:t>ASD</w:t>
      </w:r>
      <w:r w:rsidR="00F838E1">
        <w:rPr>
          <w:rStyle w:val="FootnotesChar"/>
        </w:rPr>
        <w:t xml:space="preserve"> (2023)</w:t>
      </w:r>
      <w:r w:rsidRPr="00AB2960">
        <w:rPr>
          <w:rStyle w:val="FootnotesChar"/>
        </w:rPr>
        <w:t>.</w:t>
      </w:r>
    </w:p>
  </w:footnote>
  <w:footnote w:id="80">
    <w:p w14:paraId="0DA5FF5C" w14:textId="763A8579" w:rsidR="00B1165D" w:rsidRPr="00F9255F" w:rsidRDefault="00B1165D" w:rsidP="00115DD9">
      <w:pPr>
        <w:pStyle w:val="Footnotes"/>
        <w:rPr>
          <w:szCs w:val="18"/>
        </w:rPr>
      </w:pPr>
      <w:r w:rsidRPr="00772F4E">
        <w:rPr>
          <w:rStyle w:val="FootnoteReference"/>
        </w:rPr>
        <w:footnoteRef/>
      </w:r>
      <w:r w:rsidR="00B721DD">
        <w:tab/>
      </w:r>
      <w:r w:rsidR="007D24CB">
        <w:rPr>
          <w:rStyle w:val="FootnotesChar"/>
        </w:rPr>
        <w:t>CSIRO (</w:t>
      </w:r>
      <w:r w:rsidRPr="00AB2960">
        <w:rPr>
          <w:rStyle w:val="FootnotesChar"/>
        </w:rPr>
        <w:t>n.d.</w:t>
      </w:r>
      <w:r w:rsidR="007D24CB">
        <w:rPr>
          <w:rStyle w:val="FootnotesChar"/>
        </w:rPr>
        <w:t>).</w:t>
      </w:r>
    </w:p>
  </w:footnote>
  <w:footnote w:id="81">
    <w:p w14:paraId="34421D93" w14:textId="7476499E" w:rsidR="00B1165D" w:rsidRDefault="00B1165D" w:rsidP="00115DD9">
      <w:pPr>
        <w:pStyle w:val="Footnotes"/>
      </w:pPr>
      <w:r w:rsidRPr="00772F4E">
        <w:rPr>
          <w:rStyle w:val="FootnoteReference"/>
        </w:rPr>
        <w:footnoteRef/>
      </w:r>
      <w:r w:rsidR="00B721DD">
        <w:tab/>
      </w:r>
      <w:r w:rsidRPr="00AB2960">
        <w:rPr>
          <w:rStyle w:val="FootnotesChar"/>
        </w:rPr>
        <w:t>PC</w:t>
      </w:r>
      <w:r w:rsidR="00504852">
        <w:rPr>
          <w:rStyle w:val="FootnotesChar"/>
        </w:rPr>
        <w:t xml:space="preserve"> (2024a)</w:t>
      </w:r>
      <w:r w:rsidR="00115DD9">
        <w:rPr>
          <w:rStyle w:val="FootnotesChar"/>
        </w:rPr>
        <w:t>;</w:t>
      </w:r>
      <w:r w:rsidR="00504852">
        <w:rPr>
          <w:rStyle w:val="FootnotesChar"/>
        </w:rPr>
        <w:t xml:space="preserve"> PC </w:t>
      </w:r>
      <w:r w:rsidR="00ED2C4A">
        <w:rPr>
          <w:rStyle w:val="FootnotesChar"/>
        </w:rPr>
        <w:t>(</w:t>
      </w:r>
      <w:r w:rsidR="00504852">
        <w:rPr>
          <w:rStyle w:val="FootnotesChar"/>
        </w:rPr>
        <w:t>2024b).</w:t>
      </w:r>
      <w:r w:rsidRPr="00F9255F">
        <w:rPr>
          <w:szCs w:val="18"/>
        </w:rPr>
        <w:t xml:space="preserve"> </w:t>
      </w:r>
    </w:p>
  </w:footnote>
  <w:footnote w:id="82">
    <w:p w14:paraId="6775703C" w14:textId="6808AC53" w:rsidR="00B1165D" w:rsidRDefault="00B1165D" w:rsidP="00115DD9">
      <w:pPr>
        <w:pStyle w:val="Footnotes"/>
      </w:pPr>
      <w:r>
        <w:rPr>
          <w:rStyle w:val="FootnoteReference"/>
        </w:rPr>
        <w:footnoteRef/>
      </w:r>
      <w:r w:rsidR="00B721DD">
        <w:tab/>
      </w:r>
      <w:r w:rsidRPr="00E35E1E">
        <w:rPr>
          <w:rStyle w:val="FootnotesChar"/>
        </w:rPr>
        <w:t>OVIC (</w:t>
      </w:r>
      <w:r w:rsidR="00B14A84">
        <w:rPr>
          <w:rStyle w:val="FootnotesChar"/>
        </w:rPr>
        <w:t>2018)</w:t>
      </w:r>
      <w:r w:rsidRPr="00E35E1E">
        <w:rPr>
          <w:rStyle w:val="FootnotesChar"/>
        </w:rPr>
        <w:t>; IABAC (2023</w:t>
      </w:r>
      <w:r w:rsidR="00B14A84">
        <w:rPr>
          <w:rStyle w:val="FootnotesChar"/>
        </w:rPr>
        <w:t>)</w:t>
      </w:r>
      <w:r w:rsidRPr="00E35E1E">
        <w:rPr>
          <w:rStyle w:val="FootnotesChar"/>
        </w:rPr>
        <w:t>.</w:t>
      </w:r>
    </w:p>
  </w:footnote>
  <w:footnote w:id="83">
    <w:p w14:paraId="1F5F93DA" w14:textId="57DDE938" w:rsidR="00B1165D" w:rsidRDefault="00B1165D" w:rsidP="00115DD9">
      <w:pPr>
        <w:pStyle w:val="Footnotes"/>
      </w:pPr>
      <w:r>
        <w:rPr>
          <w:rStyle w:val="FootnoteReference"/>
        </w:rPr>
        <w:footnoteRef/>
      </w:r>
      <w:r w:rsidR="00B721DD">
        <w:tab/>
      </w:r>
      <w:r w:rsidR="00EA5B8A" w:rsidRPr="00EA5B8A">
        <w:t>O’Connor R et al (2024)</w:t>
      </w:r>
      <w:r w:rsidR="005212B5">
        <w:t xml:space="preserve">, </w:t>
      </w:r>
      <w:r w:rsidR="001F5B62">
        <w:t>p</w:t>
      </w:r>
      <w:r w:rsidR="00ED2C4A">
        <w:t>.</w:t>
      </w:r>
      <w:r w:rsidR="001F5B62">
        <w:t xml:space="preserve"> 2</w:t>
      </w:r>
      <w:r w:rsidR="00EA5B8A">
        <w:t>.</w:t>
      </w:r>
    </w:p>
  </w:footnote>
  <w:footnote w:id="84">
    <w:p w14:paraId="30B7D4CF" w14:textId="1A6ACA0A" w:rsidR="00B1165D" w:rsidRDefault="00B1165D" w:rsidP="00115DD9">
      <w:pPr>
        <w:pStyle w:val="Footnotes"/>
      </w:pPr>
      <w:r>
        <w:rPr>
          <w:rStyle w:val="FootnoteReference"/>
        </w:rPr>
        <w:footnoteRef/>
      </w:r>
      <w:r w:rsidR="00B721DD">
        <w:tab/>
      </w:r>
      <w:r w:rsidR="00E32B3B" w:rsidRPr="00E32B3B">
        <w:t>State Government of Victoria (2023</w:t>
      </w:r>
      <w:r w:rsidR="00EF6D4C">
        <w:t>b</w:t>
      </w:r>
      <w:r w:rsidR="00E32B3B">
        <w:t>)</w:t>
      </w:r>
      <w:r w:rsidRPr="00E35E1E">
        <w:rPr>
          <w:rStyle w:val="FootnotesChar"/>
        </w:rPr>
        <w:t>.</w:t>
      </w:r>
    </w:p>
  </w:footnote>
  <w:footnote w:id="85">
    <w:p w14:paraId="176BCF09" w14:textId="31DC5E68" w:rsidR="00B1165D" w:rsidRPr="00981B2F" w:rsidRDefault="00B1165D" w:rsidP="00115DD9">
      <w:pPr>
        <w:pStyle w:val="Footnotes"/>
        <w:rPr>
          <w:rStyle w:val="FootnotesChar"/>
          <w:highlight w:val="yellow"/>
        </w:rPr>
      </w:pPr>
      <w:r>
        <w:rPr>
          <w:rStyle w:val="FootnoteReference"/>
        </w:rPr>
        <w:footnoteRef/>
      </w:r>
      <w:r w:rsidR="00B721DD">
        <w:tab/>
      </w:r>
      <w:r w:rsidR="00E5236D" w:rsidRPr="00E5236D">
        <w:t>Tribunal consultation with department Secretaries.</w:t>
      </w:r>
    </w:p>
  </w:footnote>
  <w:footnote w:id="86">
    <w:p w14:paraId="1DF24AD6" w14:textId="7A7FA83F" w:rsidR="00B1165D" w:rsidRDefault="00B1165D" w:rsidP="00115DD9">
      <w:pPr>
        <w:pStyle w:val="Footnotes"/>
      </w:pPr>
      <w:r w:rsidRPr="00C26038">
        <w:rPr>
          <w:rStyle w:val="FootnoteReference"/>
        </w:rPr>
        <w:footnoteRef/>
      </w:r>
      <w:r w:rsidR="00B721DD" w:rsidRPr="00C26038">
        <w:tab/>
      </w:r>
      <w:r w:rsidR="00E5236D" w:rsidRPr="00C26038">
        <w:t>Tribunal</w:t>
      </w:r>
      <w:r w:rsidR="00E5236D" w:rsidRPr="00E5236D">
        <w:t xml:space="preserve"> consultation with department Secretaries.</w:t>
      </w:r>
    </w:p>
  </w:footnote>
  <w:footnote w:id="87">
    <w:p w14:paraId="732DC0EA" w14:textId="01CE11D0" w:rsidR="00B1165D" w:rsidRDefault="00B1165D" w:rsidP="00115DD9">
      <w:pPr>
        <w:pStyle w:val="Footnotes"/>
      </w:pPr>
      <w:r>
        <w:rPr>
          <w:rStyle w:val="FootnoteReference"/>
        </w:rPr>
        <w:footnoteRef/>
      </w:r>
      <w:r w:rsidR="00B721DD">
        <w:tab/>
      </w:r>
      <w:r w:rsidRPr="00E35E1E">
        <w:rPr>
          <w:rStyle w:val="FootnotesChar"/>
        </w:rPr>
        <w:t xml:space="preserve">Parliament of Victoria </w:t>
      </w:r>
      <w:r w:rsidR="00837990">
        <w:rPr>
          <w:rStyle w:val="FootnotesChar"/>
        </w:rPr>
        <w:t>(</w:t>
      </w:r>
      <w:r w:rsidRPr="00E35E1E">
        <w:rPr>
          <w:rStyle w:val="FootnotesChar"/>
        </w:rPr>
        <w:t>2023</w:t>
      </w:r>
      <w:r w:rsidR="00AB0277">
        <w:rPr>
          <w:rStyle w:val="FootnotesChar"/>
        </w:rPr>
        <w:t>)</w:t>
      </w:r>
      <w:r w:rsidRPr="00E35E1E">
        <w:rPr>
          <w:rStyle w:val="FootnotesChar"/>
        </w:rPr>
        <w:t>.</w:t>
      </w:r>
    </w:p>
  </w:footnote>
  <w:footnote w:id="88">
    <w:p w14:paraId="3ECFEEC6" w14:textId="79148DA7" w:rsidR="00BF7D4E" w:rsidRPr="00545DED" w:rsidRDefault="00BF7D4E" w:rsidP="00FD268C">
      <w:pPr>
        <w:pStyle w:val="Footnotes"/>
      </w:pPr>
      <w:r w:rsidRPr="00545DED">
        <w:rPr>
          <w:rStyle w:val="FootnoteReference"/>
          <w:szCs w:val="18"/>
        </w:rPr>
        <w:footnoteRef/>
      </w:r>
      <w:r w:rsidR="00365F3D">
        <w:tab/>
      </w:r>
      <w:r w:rsidRPr="00545DED">
        <w:t>VIRTIPS Act, s 21.</w:t>
      </w:r>
    </w:p>
  </w:footnote>
  <w:footnote w:id="89">
    <w:p w14:paraId="4A08012A" w14:textId="0F2B7079" w:rsidR="00BF7D4E" w:rsidRPr="00545DED" w:rsidRDefault="00BF7D4E" w:rsidP="00FD268C">
      <w:pPr>
        <w:pStyle w:val="Footnotes"/>
        <w:rPr>
          <w:szCs w:val="18"/>
        </w:rPr>
      </w:pPr>
      <w:r w:rsidRPr="00545DED">
        <w:rPr>
          <w:rStyle w:val="FootnoteReference"/>
          <w:szCs w:val="18"/>
        </w:rPr>
        <w:footnoteRef/>
      </w:r>
      <w:r w:rsidR="00365F3D">
        <w:rPr>
          <w:szCs w:val="18"/>
        </w:rPr>
        <w:tab/>
      </w:r>
      <w:r w:rsidRPr="00543285">
        <w:rPr>
          <w:szCs w:val="18"/>
        </w:rPr>
        <w:t>VPSC</w:t>
      </w:r>
      <w:r w:rsidR="00EC48D7" w:rsidRPr="00543285">
        <w:rPr>
          <w:szCs w:val="18"/>
        </w:rPr>
        <w:t xml:space="preserve"> (2022</w:t>
      </w:r>
      <w:r w:rsidR="004A3F78" w:rsidRPr="00543285">
        <w:rPr>
          <w:szCs w:val="18"/>
        </w:rPr>
        <w:t>e</w:t>
      </w:r>
      <w:r w:rsidR="00EC48D7" w:rsidRPr="00543285">
        <w:rPr>
          <w:szCs w:val="18"/>
        </w:rPr>
        <w:t>)</w:t>
      </w:r>
      <w:r w:rsidRPr="00543285">
        <w:rPr>
          <w:szCs w:val="18"/>
        </w:rPr>
        <w:t>.</w:t>
      </w:r>
    </w:p>
  </w:footnote>
  <w:footnote w:id="90">
    <w:p w14:paraId="30217CEE" w14:textId="37E42AFA" w:rsidR="00BF7D4E" w:rsidRPr="00545DED" w:rsidRDefault="00BF7D4E" w:rsidP="00FD268C">
      <w:pPr>
        <w:pStyle w:val="Footnotes"/>
      </w:pPr>
      <w:r w:rsidRPr="00545DED">
        <w:rPr>
          <w:rStyle w:val="FootnoteReference"/>
          <w:szCs w:val="18"/>
        </w:rPr>
        <w:footnoteRef/>
      </w:r>
      <w:r w:rsidR="00365F3D">
        <w:tab/>
      </w:r>
      <w:r w:rsidRPr="00545DED">
        <w:t>DPC has primary responsibility for whole-of-government executive workforce policy and for the employment conditions set out in the contract.</w:t>
      </w:r>
    </w:p>
  </w:footnote>
  <w:footnote w:id="91">
    <w:p w14:paraId="0FC273AE" w14:textId="6E59278C" w:rsidR="00BF7D4E" w:rsidRDefault="00BF7D4E" w:rsidP="00FD268C">
      <w:pPr>
        <w:pStyle w:val="Footnotes"/>
      </w:pPr>
      <w:r w:rsidRPr="00545DED">
        <w:rPr>
          <w:rStyle w:val="FootnoteReference"/>
          <w:szCs w:val="18"/>
        </w:rPr>
        <w:footnoteRef/>
      </w:r>
      <w:r w:rsidR="00365F3D" w:rsidRPr="004A3F78">
        <w:tab/>
      </w:r>
      <w:r w:rsidRPr="00543285">
        <w:t>VPSC</w:t>
      </w:r>
      <w:r w:rsidR="00703100" w:rsidRPr="00543285">
        <w:t xml:space="preserve"> (2022</w:t>
      </w:r>
      <w:r w:rsidR="004A3F78" w:rsidRPr="00543285">
        <w:t>e</w:t>
      </w:r>
      <w:r w:rsidR="00703100" w:rsidRPr="00543285">
        <w:t>)</w:t>
      </w:r>
      <w:r w:rsidRPr="00543285">
        <w:t>.</w:t>
      </w:r>
    </w:p>
  </w:footnote>
  <w:footnote w:id="92">
    <w:p w14:paraId="31DC9D0C" w14:textId="0D79CD87" w:rsidR="00BF7D4E" w:rsidRPr="00545DED" w:rsidRDefault="00BF7D4E" w:rsidP="00FD268C">
      <w:pPr>
        <w:pStyle w:val="Footnotes"/>
      </w:pPr>
      <w:r w:rsidRPr="00545DED">
        <w:rPr>
          <w:rStyle w:val="FootnoteReference"/>
          <w:szCs w:val="18"/>
        </w:rPr>
        <w:footnoteRef/>
      </w:r>
      <w:r w:rsidR="00CF34A8">
        <w:tab/>
      </w:r>
      <w:r w:rsidRPr="00545DED">
        <w:t>In July 2021, the standard contract was updated with an additional two weeks of paid parental leave for primary caregivers. This brought the total to 16 weeks paid parental leave.</w:t>
      </w:r>
    </w:p>
  </w:footnote>
  <w:footnote w:id="93">
    <w:p w14:paraId="7781B018" w14:textId="3E5D9424" w:rsidR="00BF7D4E" w:rsidRPr="00545DED" w:rsidRDefault="00BF7D4E" w:rsidP="00FD268C">
      <w:pPr>
        <w:pStyle w:val="Footnotes"/>
      </w:pPr>
      <w:r w:rsidRPr="00545DED">
        <w:rPr>
          <w:rStyle w:val="FootnoteReference"/>
          <w:szCs w:val="18"/>
        </w:rPr>
        <w:footnoteRef/>
      </w:r>
      <w:r w:rsidR="00CF34A8">
        <w:tab/>
      </w:r>
      <w:r w:rsidRPr="00545DED">
        <w:t>VPS EA 2020.</w:t>
      </w:r>
    </w:p>
  </w:footnote>
  <w:footnote w:id="94">
    <w:p w14:paraId="454D87A6" w14:textId="6864017E" w:rsidR="00BF7D4E" w:rsidRPr="00545DED" w:rsidRDefault="00BF7D4E" w:rsidP="00FD268C">
      <w:pPr>
        <w:pStyle w:val="Footnotes"/>
      </w:pPr>
      <w:r w:rsidRPr="00545DED">
        <w:rPr>
          <w:rStyle w:val="FootnoteReference"/>
          <w:szCs w:val="18"/>
        </w:rPr>
        <w:footnoteRef/>
      </w:r>
      <w:r w:rsidR="00CF34A8">
        <w:tab/>
      </w:r>
      <w:r w:rsidRPr="00545DED">
        <w:t>VPS EA 2020, clause 45.4.</w:t>
      </w:r>
    </w:p>
  </w:footnote>
  <w:footnote w:id="95">
    <w:p w14:paraId="4A59B9C1" w14:textId="148DC4DA" w:rsidR="00BF7D4E" w:rsidRPr="00545DED" w:rsidRDefault="00BF7D4E" w:rsidP="00FD268C">
      <w:pPr>
        <w:pStyle w:val="Footnotes"/>
      </w:pPr>
      <w:r w:rsidRPr="00545DED">
        <w:rPr>
          <w:rStyle w:val="FootnoteReference"/>
          <w:szCs w:val="18"/>
        </w:rPr>
        <w:footnoteRef/>
      </w:r>
      <w:r w:rsidR="00322355">
        <w:tab/>
      </w:r>
      <w:r w:rsidRPr="00545DED">
        <w:t>VPS EA 2020.</w:t>
      </w:r>
    </w:p>
  </w:footnote>
  <w:footnote w:id="96">
    <w:p w14:paraId="6F3801C5" w14:textId="4A695864" w:rsidR="00BF7D4E" w:rsidRDefault="00BF7D4E" w:rsidP="00FD268C">
      <w:pPr>
        <w:pStyle w:val="Footnotes"/>
      </w:pPr>
      <w:r w:rsidRPr="002869FC">
        <w:rPr>
          <w:rStyle w:val="FootnoteReference"/>
          <w:szCs w:val="18"/>
        </w:rPr>
        <w:footnoteRef/>
      </w:r>
      <w:r w:rsidR="00322355" w:rsidRPr="002869FC">
        <w:tab/>
      </w:r>
      <w:r w:rsidRPr="00C26038">
        <w:t>VPSC</w:t>
      </w:r>
      <w:r w:rsidR="00600752" w:rsidRPr="00C26038">
        <w:t xml:space="preserve"> (2021)</w:t>
      </w:r>
      <w:r w:rsidR="002869FC" w:rsidRPr="00C26038">
        <w:t>.</w:t>
      </w:r>
    </w:p>
  </w:footnote>
  <w:footnote w:id="97">
    <w:p w14:paraId="52A8C88B" w14:textId="60609539" w:rsidR="00BF7D4E" w:rsidRDefault="00BF7D4E" w:rsidP="00FD268C">
      <w:pPr>
        <w:pStyle w:val="Footnotes"/>
      </w:pPr>
      <w:r w:rsidRPr="00AD48EA">
        <w:rPr>
          <w:rStyle w:val="FootnoteReference"/>
          <w:szCs w:val="18"/>
        </w:rPr>
        <w:footnoteRef/>
      </w:r>
      <w:r w:rsidR="007469BD">
        <w:tab/>
      </w:r>
      <w:r w:rsidRPr="00E44BF6">
        <w:t xml:space="preserve">The work level standards are </w:t>
      </w:r>
      <w:r w:rsidR="00903125" w:rsidRPr="00E44BF6">
        <w:t xml:space="preserve">summarised </w:t>
      </w:r>
      <w:r w:rsidRPr="00E44BF6">
        <w:t xml:space="preserve">in </w:t>
      </w:r>
      <w:r w:rsidR="00A050C9" w:rsidRPr="00E44BF6">
        <w:t>C</w:t>
      </w:r>
      <w:r w:rsidRPr="00E44BF6">
        <w:t>hapter 2.</w:t>
      </w:r>
    </w:p>
  </w:footnote>
  <w:footnote w:id="98">
    <w:p w14:paraId="30225E94" w14:textId="3FBC3538" w:rsidR="00BF7D4E" w:rsidRDefault="00BF7D4E" w:rsidP="00FD268C">
      <w:pPr>
        <w:pStyle w:val="Footnotes"/>
      </w:pPr>
      <w:r w:rsidRPr="004002E1">
        <w:rPr>
          <w:rStyle w:val="FootnoteReference"/>
          <w:szCs w:val="18"/>
        </w:rPr>
        <w:footnoteRef/>
      </w:r>
      <w:r w:rsidR="007469BD">
        <w:tab/>
      </w:r>
      <w:r w:rsidRPr="00543285">
        <w:t>VPSC</w:t>
      </w:r>
      <w:r w:rsidR="00427E24" w:rsidRPr="00543285">
        <w:t xml:space="preserve"> (2024</w:t>
      </w:r>
      <w:r w:rsidR="00D63138">
        <w:t>h</w:t>
      </w:r>
      <w:r w:rsidR="00427E24" w:rsidRPr="00543285">
        <w:t>)</w:t>
      </w:r>
      <w:r w:rsidRPr="00543285">
        <w:t>.</w:t>
      </w:r>
    </w:p>
  </w:footnote>
  <w:footnote w:id="99">
    <w:p w14:paraId="319324B0" w14:textId="6B99F37C" w:rsidR="00BF7D4E" w:rsidRDefault="00BF7D4E" w:rsidP="00FD268C">
      <w:pPr>
        <w:pStyle w:val="Footnotes"/>
      </w:pPr>
      <w:r w:rsidRPr="004667AB">
        <w:rPr>
          <w:rStyle w:val="FootnoteReference"/>
          <w:szCs w:val="18"/>
        </w:rPr>
        <w:footnoteRef/>
      </w:r>
      <w:r w:rsidR="007B3BED">
        <w:tab/>
      </w:r>
      <w:r w:rsidRPr="00952164">
        <w:t>VPSC</w:t>
      </w:r>
      <w:r w:rsidR="007B3BED" w:rsidRPr="00952164">
        <w:t xml:space="preserve"> (2022</w:t>
      </w:r>
      <w:r w:rsidR="006221F5" w:rsidRPr="00952164">
        <w:t>e</w:t>
      </w:r>
      <w:r w:rsidR="007B3BED" w:rsidRPr="00952164">
        <w:t>)</w:t>
      </w:r>
      <w:r w:rsidRPr="00952164">
        <w:t>.</w:t>
      </w:r>
    </w:p>
  </w:footnote>
  <w:footnote w:id="100">
    <w:p w14:paraId="74F3545E" w14:textId="0B69856C" w:rsidR="00BF7D4E" w:rsidRPr="00CB09E6" w:rsidRDefault="00BF7D4E" w:rsidP="00FD268C">
      <w:pPr>
        <w:pStyle w:val="Footnotes"/>
      </w:pPr>
      <w:r w:rsidRPr="00CB09E6">
        <w:rPr>
          <w:rStyle w:val="FootnoteReference"/>
          <w:szCs w:val="18"/>
        </w:rPr>
        <w:footnoteRef/>
      </w:r>
      <w:r w:rsidR="00E7223B">
        <w:tab/>
        <w:t>Tribunal (2020</w:t>
      </w:r>
      <w:r w:rsidR="00897D44">
        <w:t>a</w:t>
      </w:r>
      <w:r w:rsidR="00E7223B">
        <w:t>)</w:t>
      </w:r>
      <w:r w:rsidRPr="00CB09E6">
        <w:t>.</w:t>
      </w:r>
    </w:p>
  </w:footnote>
  <w:footnote w:id="101">
    <w:p w14:paraId="35F89196" w14:textId="0D220285" w:rsidR="00BF7D4E" w:rsidRDefault="00BF7D4E" w:rsidP="00FD268C">
      <w:pPr>
        <w:pStyle w:val="Footnotes"/>
      </w:pPr>
      <w:r w:rsidRPr="00CB09E6">
        <w:rPr>
          <w:rStyle w:val="FootnoteReference"/>
          <w:szCs w:val="18"/>
        </w:rPr>
        <w:footnoteRef/>
      </w:r>
      <w:r w:rsidR="00E7223B">
        <w:tab/>
        <w:t>Tribunal (2020</w:t>
      </w:r>
      <w:r w:rsidR="00897D44">
        <w:t>a</w:t>
      </w:r>
      <w:r w:rsidR="00E7223B">
        <w:t>)</w:t>
      </w:r>
      <w:r w:rsidRPr="00CB09E6">
        <w:t>.</w:t>
      </w:r>
    </w:p>
  </w:footnote>
  <w:footnote w:id="102">
    <w:p w14:paraId="1BF5EFA7" w14:textId="4078477D" w:rsidR="00BF7D4E" w:rsidRPr="00CB09E6" w:rsidRDefault="00BF7D4E" w:rsidP="00FD268C">
      <w:pPr>
        <w:pStyle w:val="Footnotes"/>
      </w:pPr>
      <w:r w:rsidRPr="00CB09E6">
        <w:rPr>
          <w:rStyle w:val="FootnoteReference"/>
          <w:szCs w:val="18"/>
        </w:rPr>
        <w:footnoteRef/>
      </w:r>
      <w:r w:rsidR="0001315E">
        <w:tab/>
      </w:r>
      <w:r w:rsidR="00E04463">
        <w:t>Tribunal</w:t>
      </w:r>
      <w:r w:rsidR="0001315E">
        <w:t xml:space="preserve"> (2020</w:t>
      </w:r>
      <w:r w:rsidR="00897D44">
        <w:t>a</w:t>
      </w:r>
      <w:r w:rsidR="0001315E">
        <w:t>)</w:t>
      </w:r>
      <w:r w:rsidRPr="00CB09E6">
        <w:t>, pp</w:t>
      </w:r>
      <w:r w:rsidR="001D09A5">
        <w:t>.</w:t>
      </w:r>
      <w:r>
        <w:t> </w:t>
      </w:r>
      <w:r w:rsidRPr="00CB09E6">
        <w:t>47-48.</w:t>
      </w:r>
    </w:p>
  </w:footnote>
  <w:footnote w:id="103">
    <w:p w14:paraId="44F78A12" w14:textId="5734BAE4" w:rsidR="00BF7D4E" w:rsidRDefault="00BF7D4E" w:rsidP="00FD268C">
      <w:pPr>
        <w:pStyle w:val="Footnotes"/>
      </w:pPr>
      <w:r w:rsidRPr="00CB09E6">
        <w:rPr>
          <w:rStyle w:val="FootnoteReference"/>
          <w:szCs w:val="18"/>
        </w:rPr>
        <w:footnoteRef/>
      </w:r>
      <w:r w:rsidR="0001315E">
        <w:tab/>
        <w:t>Tribunal (2020</w:t>
      </w:r>
      <w:r w:rsidR="00897D44">
        <w:t>a</w:t>
      </w:r>
      <w:r w:rsidR="0001315E">
        <w:t>)</w:t>
      </w:r>
      <w:r w:rsidRPr="00CB09E6">
        <w:t>, p</w:t>
      </w:r>
      <w:r w:rsidR="001D09A5">
        <w:t>.</w:t>
      </w:r>
      <w:r>
        <w:t> </w:t>
      </w:r>
      <w:r w:rsidRPr="00CB09E6">
        <w:t>94.</w:t>
      </w:r>
    </w:p>
  </w:footnote>
  <w:footnote w:id="104">
    <w:p w14:paraId="6778BB6A" w14:textId="09B975E7" w:rsidR="00BF7D4E" w:rsidRPr="00CB09E6" w:rsidRDefault="00BF7D4E" w:rsidP="00FD268C">
      <w:pPr>
        <w:pStyle w:val="Footnotes"/>
      </w:pPr>
      <w:r w:rsidRPr="00CB09E6">
        <w:rPr>
          <w:rStyle w:val="FootnoteReference"/>
          <w:szCs w:val="18"/>
        </w:rPr>
        <w:footnoteRef/>
      </w:r>
      <w:r w:rsidR="0034786B">
        <w:tab/>
      </w:r>
      <w:r w:rsidRPr="00CB09E6">
        <w:t>PAA, s 25(4)(b).</w:t>
      </w:r>
    </w:p>
  </w:footnote>
  <w:footnote w:id="105">
    <w:p w14:paraId="1DBABA69" w14:textId="685CCAD4" w:rsidR="00BF7D4E" w:rsidRPr="00CB09E6" w:rsidRDefault="00BF7D4E" w:rsidP="00FD268C">
      <w:pPr>
        <w:pStyle w:val="Footnotes"/>
      </w:pPr>
      <w:r w:rsidRPr="00CB09E6">
        <w:rPr>
          <w:rStyle w:val="FootnoteReference"/>
          <w:szCs w:val="18"/>
        </w:rPr>
        <w:footnoteRef/>
      </w:r>
      <w:r w:rsidR="0034786B">
        <w:tab/>
      </w:r>
      <w:r w:rsidRPr="00CB09E6">
        <w:t>VIRTIPS Act, s 6(1)(h).</w:t>
      </w:r>
    </w:p>
  </w:footnote>
  <w:footnote w:id="106">
    <w:p w14:paraId="1F8E0D03" w14:textId="6ABBA1BE" w:rsidR="00BF7D4E" w:rsidRPr="00CB09E6" w:rsidRDefault="00BF7D4E" w:rsidP="00FD268C">
      <w:pPr>
        <w:pStyle w:val="Footnotes"/>
        <w:rPr>
          <w:szCs w:val="18"/>
        </w:rPr>
      </w:pPr>
      <w:r w:rsidRPr="00CB09E6">
        <w:rPr>
          <w:rStyle w:val="FootnoteReference"/>
          <w:szCs w:val="18"/>
        </w:rPr>
        <w:footnoteRef/>
      </w:r>
      <w:r w:rsidR="0034786B">
        <w:rPr>
          <w:szCs w:val="18"/>
        </w:rPr>
        <w:tab/>
        <w:t>Tribunal</w:t>
      </w:r>
      <w:r w:rsidR="00052658">
        <w:rPr>
          <w:szCs w:val="18"/>
        </w:rPr>
        <w:t xml:space="preserve"> (2020b)</w:t>
      </w:r>
      <w:r w:rsidR="00C6076F">
        <w:rPr>
          <w:szCs w:val="18"/>
        </w:rPr>
        <w:t>.</w:t>
      </w:r>
    </w:p>
  </w:footnote>
  <w:footnote w:id="107">
    <w:p w14:paraId="2795EEC7" w14:textId="03DED375" w:rsidR="00BF7D4E" w:rsidRDefault="00BF7D4E" w:rsidP="00FD268C">
      <w:pPr>
        <w:pStyle w:val="Footnotes"/>
      </w:pPr>
      <w:r w:rsidRPr="00CB09E6">
        <w:rPr>
          <w:rStyle w:val="FootnoteReference"/>
          <w:szCs w:val="18"/>
        </w:rPr>
        <w:footnoteRef/>
      </w:r>
      <w:r w:rsidR="0034786B">
        <w:tab/>
      </w:r>
      <w:r w:rsidRPr="00952164">
        <w:t>VPSC</w:t>
      </w:r>
      <w:r w:rsidR="0034786B" w:rsidRPr="00952164">
        <w:t xml:space="preserve"> (2022</w:t>
      </w:r>
      <w:r w:rsidR="006221F5" w:rsidRPr="00952164">
        <w:t>e</w:t>
      </w:r>
      <w:r w:rsidR="0034786B" w:rsidRPr="00952164">
        <w:t>)</w:t>
      </w:r>
      <w:r w:rsidRPr="00952164">
        <w:t>.</w:t>
      </w:r>
    </w:p>
  </w:footnote>
  <w:footnote w:id="108">
    <w:p w14:paraId="3DF61518" w14:textId="07289D89" w:rsidR="00BF7D4E" w:rsidRPr="00952164" w:rsidRDefault="00BF7D4E" w:rsidP="00FD268C">
      <w:pPr>
        <w:pStyle w:val="Footnotes"/>
      </w:pPr>
      <w:r w:rsidRPr="00CB09E6">
        <w:rPr>
          <w:rStyle w:val="FootnoteReference"/>
          <w:szCs w:val="18"/>
        </w:rPr>
        <w:footnoteRef/>
      </w:r>
      <w:r w:rsidR="00286B61" w:rsidRPr="00952164">
        <w:tab/>
      </w:r>
      <w:r w:rsidRPr="00952164">
        <w:t>VPSC</w:t>
      </w:r>
      <w:r w:rsidR="00BD5CA2" w:rsidRPr="00952164">
        <w:t xml:space="preserve"> (2021)</w:t>
      </w:r>
      <w:r w:rsidRPr="00952164">
        <w:t>.</w:t>
      </w:r>
    </w:p>
  </w:footnote>
  <w:footnote w:id="109">
    <w:p w14:paraId="24941A87" w14:textId="138215B7" w:rsidR="00BF7D4E" w:rsidRPr="00CB09E6" w:rsidRDefault="00BF7D4E" w:rsidP="00FD268C">
      <w:pPr>
        <w:pStyle w:val="Footnotes"/>
      </w:pPr>
      <w:r w:rsidRPr="0040773A">
        <w:rPr>
          <w:rStyle w:val="FootnoteReference"/>
          <w:szCs w:val="18"/>
        </w:rPr>
        <w:footnoteRef/>
      </w:r>
      <w:r w:rsidR="00286B61" w:rsidRPr="0040773A">
        <w:tab/>
      </w:r>
      <w:r w:rsidRPr="0040773A">
        <w:t>VPSC</w:t>
      </w:r>
      <w:r w:rsidR="009C50F5" w:rsidRPr="0040773A">
        <w:t xml:space="preserve"> (2022</w:t>
      </w:r>
      <w:r w:rsidR="00EF0933" w:rsidRPr="0040773A">
        <w:t>e</w:t>
      </w:r>
      <w:r w:rsidR="009C50F5" w:rsidRPr="0040773A">
        <w:t>)</w:t>
      </w:r>
      <w:r w:rsidRPr="0040773A">
        <w:t>.</w:t>
      </w:r>
    </w:p>
  </w:footnote>
  <w:footnote w:id="110">
    <w:p w14:paraId="60CA7A98" w14:textId="6C09A9C6" w:rsidR="00BF7D4E" w:rsidRDefault="00BF7D4E" w:rsidP="00FD268C">
      <w:pPr>
        <w:pStyle w:val="Footnotes"/>
      </w:pPr>
      <w:r w:rsidRPr="00CB09E6">
        <w:rPr>
          <w:rStyle w:val="FootnoteReference"/>
          <w:szCs w:val="18"/>
        </w:rPr>
        <w:footnoteRef/>
      </w:r>
      <w:r w:rsidR="00286B61">
        <w:tab/>
      </w:r>
      <w:r w:rsidRPr="00CB09E6">
        <w:t>VIRTIPS Act, s 37.</w:t>
      </w:r>
    </w:p>
  </w:footnote>
  <w:footnote w:id="111">
    <w:p w14:paraId="5595A975" w14:textId="6EF3D8D8" w:rsidR="00FB0FCD" w:rsidRDefault="00FB0FCD" w:rsidP="00D647B8">
      <w:pPr>
        <w:pStyle w:val="Footnotes"/>
      </w:pPr>
      <w:r>
        <w:rPr>
          <w:rStyle w:val="FootnoteReference"/>
        </w:rPr>
        <w:footnoteRef/>
      </w:r>
      <w:r w:rsidR="00195648">
        <w:tab/>
      </w:r>
      <w:r>
        <w:t>Bank for International Settlements</w:t>
      </w:r>
      <w:r w:rsidR="00CD0E70">
        <w:t xml:space="preserve"> (2023)</w:t>
      </w:r>
      <w:r w:rsidRPr="00303ACA">
        <w:t>.</w:t>
      </w:r>
    </w:p>
  </w:footnote>
  <w:footnote w:id="112">
    <w:p w14:paraId="59C231E8" w14:textId="438BA002" w:rsidR="000B5528" w:rsidRDefault="000B5528" w:rsidP="00D647B8">
      <w:pPr>
        <w:pStyle w:val="Footnotes"/>
      </w:pPr>
      <w:r>
        <w:rPr>
          <w:rStyle w:val="FootnoteReference"/>
        </w:rPr>
        <w:footnoteRef/>
      </w:r>
      <w:r w:rsidR="00195648">
        <w:tab/>
      </w:r>
      <w:r w:rsidR="00E90FB2">
        <w:t>Bank for International Settlements (2023)</w:t>
      </w:r>
      <w:r w:rsidR="00E90FB2" w:rsidRPr="00303ACA">
        <w:t>.</w:t>
      </w:r>
    </w:p>
  </w:footnote>
  <w:footnote w:id="113">
    <w:p w14:paraId="5CCC2568" w14:textId="7C21A00F" w:rsidR="005F4DD5" w:rsidRDefault="005F4DD5" w:rsidP="00D647B8">
      <w:pPr>
        <w:pStyle w:val="Footnotes"/>
      </w:pPr>
      <w:r>
        <w:rPr>
          <w:rStyle w:val="FootnoteReference"/>
        </w:rPr>
        <w:footnoteRef/>
      </w:r>
      <w:r w:rsidR="00157339">
        <w:tab/>
      </w:r>
      <w:r w:rsidR="00306B9C">
        <w:t>DTF (2024</w:t>
      </w:r>
      <w:r w:rsidR="00D46AC9">
        <w:t>d</w:t>
      </w:r>
      <w:r w:rsidR="00306B9C">
        <w:t>),</w:t>
      </w:r>
      <w:r>
        <w:t xml:space="preserve"> p. 27.</w:t>
      </w:r>
    </w:p>
  </w:footnote>
  <w:footnote w:id="114">
    <w:p w14:paraId="752F2225" w14:textId="5DE35A4D" w:rsidR="000B5528" w:rsidRDefault="000B5528" w:rsidP="00D647B8">
      <w:pPr>
        <w:pStyle w:val="Footnotes"/>
      </w:pPr>
      <w:r>
        <w:rPr>
          <w:rStyle w:val="FootnoteReference"/>
        </w:rPr>
        <w:footnoteRef/>
      </w:r>
      <w:r w:rsidR="00157339">
        <w:tab/>
      </w:r>
      <w:r>
        <w:t>RBA (2024</w:t>
      </w:r>
      <w:r w:rsidR="00D50C82">
        <w:t>a</w:t>
      </w:r>
      <w:r>
        <w:t>), p. 23.</w:t>
      </w:r>
    </w:p>
  </w:footnote>
  <w:footnote w:id="115">
    <w:p w14:paraId="2C3DD47D" w14:textId="550564BC" w:rsidR="000B5528" w:rsidRDefault="000B5528" w:rsidP="00D647B8">
      <w:pPr>
        <w:pStyle w:val="Footnotes"/>
      </w:pPr>
      <w:r>
        <w:rPr>
          <w:rStyle w:val="FootnoteReference"/>
        </w:rPr>
        <w:footnoteRef/>
      </w:r>
      <w:r w:rsidR="00157339">
        <w:tab/>
      </w:r>
      <w:r>
        <w:t>ABS (2024</w:t>
      </w:r>
      <w:r w:rsidR="00D50C82">
        <w:t>g</w:t>
      </w:r>
      <w:r>
        <w:t>)</w:t>
      </w:r>
      <w:r w:rsidR="00D50C82">
        <w:t>.</w:t>
      </w:r>
    </w:p>
  </w:footnote>
  <w:footnote w:id="116">
    <w:p w14:paraId="2F1CB335" w14:textId="12B46956" w:rsidR="000B5528" w:rsidRDefault="000B5528" w:rsidP="00D647B8">
      <w:pPr>
        <w:pStyle w:val="Footnotes"/>
      </w:pPr>
      <w:r>
        <w:rPr>
          <w:rStyle w:val="FootnoteReference"/>
        </w:rPr>
        <w:footnoteRef/>
      </w:r>
      <w:r w:rsidR="00157339">
        <w:tab/>
      </w:r>
      <w:r w:rsidR="00E1487F" w:rsidRPr="00E1487F">
        <w:t xml:space="preserve">Jobs and Skills Australia (2024c), </w:t>
      </w:r>
      <w:r w:rsidR="00E1487F">
        <w:t>p</w:t>
      </w:r>
      <w:r w:rsidR="00944C86">
        <w:t xml:space="preserve">. </w:t>
      </w:r>
      <w:r w:rsidR="00341B0B">
        <w:t>3</w:t>
      </w:r>
      <w:r w:rsidR="00944C86">
        <w:t>.</w:t>
      </w:r>
    </w:p>
  </w:footnote>
  <w:footnote w:id="117">
    <w:p w14:paraId="7B13B52B" w14:textId="1FD6C237" w:rsidR="000B5528" w:rsidRDefault="000B5528" w:rsidP="00D647B8">
      <w:pPr>
        <w:pStyle w:val="Footnotes"/>
      </w:pPr>
      <w:r>
        <w:rPr>
          <w:rStyle w:val="FootnoteReference"/>
        </w:rPr>
        <w:footnoteRef/>
      </w:r>
      <w:r w:rsidR="00157339">
        <w:tab/>
      </w:r>
      <w:r w:rsidR="00133247">
        <w:t>Commonwealth of Australia (2023</w:t>
      </w:r>
      <w:r w:rsidR="00535ABB">
        <w:t>a</w:t>
      </w:r>
      <w:r w:rsidR="00133247">
        <w:t>)</w:t>
      </w:r>
      <w:r w:rsidR="00CB2748">
        <w:t xml:space="preserve">, </w:t>
      </w:r>
      <w:r w:rsidR="00FC1467">
        <w:t>pp. 42-51.</w:t>
      </w:r>
    </w:p>
  </w:footnote>
  <w:footnote w:id="118">
    <w:p w14:paraId="3E1A2650" w14:textId="64DF65F9" w:rsidR="000B5528" w:rsidRPr="003007C5" w:rsidRDefault="000B5528" w:rsidP="000B5528">
      <w:pPr>
        <w:pStyle w:val="FootnoteText"/>
        <w:rPr>
          <w:rStyle w:val="FootnotesChar"/>
        </w:rPr>
      </w:pPr>
      <w:r>
        <w:rPr>
          <w:rStyle w:val="FootnoteReference"/>
        </w:rPr>
        <w:footnoteRef/>
      </w:r>
      <w:r w:rsidR="00643A61">
        <w:tab/>
      </w:r>
      <w:r w:rsidR="00F21511">
        <w:t>Tribunal</w:t>
      </w:r>
      <w:r w:rsidR="00422AFE">
        <w:t xml:space="preserve"> </w:t>
      </w:r>
      <w:r w:rsidR="00326ECC">
        <w:t>(2020</w:t>
      </w:r>
      <w:r w:rsidR="0027688D">
        <w:t>a</w:t>
      </w:r>
      <w:r w:rsidR="00326ECC">
        <w:t>)</w:t>
      </w:r>
      <w:r w:rsidR="00326ECC" w:rsidRPr="003007C5">
        <w:rPr>
          <w:rStyle w:val="FootnotesChar"/>
        </w:rPr>
        <w:t>, p. 61.</w:t>
      </w:r>
    </w:p>
  </w:footnote>
  <w:footnote w:id="119">
    <w:p w14:paraId="0C3C8FED" w14:textId="6FD3C409" w:rsidR="000B5528" w:rsidRDefault="000B5528" w:rsidP="003007C5">
      <w:pPr>
        <w:pStyle w:val="Footnotes"/>
      </w:pPr>
      <w:r>
        <w:rPr>
          <w:rStyle w:val="FootnoteReference"/>
        </w:rPr>
        <w:footnoteRef/>
      </w:r>
      <w:r w:rsidR="00643A61">
        <w:tab/>
      </w:r>
      <w:r w:rsidR="0027688D">
        <w:t xml:space="preserve">Tribunal </w:t>
      </w:r>
      <w:r w:rsidR="00326ECC">
        <w:t>(2020</w:t>
      </w:r>
      <w:r w:rsidR="0027688D">
        <w:t>a</w:t>
      </w:r>
      <w:r w:rsidR="00326ECC">
        <w:t>), p. 61.</w:t>
      </w:r>
    </w:p>
  </w:footnote>
  <w:footnote w:id="120">
    <w:p w14:paraId="0A6A27CE" w14:textId="4E2012A6" w:rsidR="000B5528" w:rsidRDefault="000B5528" w:rsidP="003007C5">
      <w:pPr>
        <w:pStyle w:val="Footnotes"/>
      </w:pPr>
      <w:r>
        <w:rPr>
          <w:rStyle w:val="FootnoteReference"/>
        </w:rPr>
        <w:footnoteRef/>
      </w:r>
      <w:r w:rsidR="00643A61">
        <w:tab/>
      </w:r>
      <w:r>
        <w:t xml:space="preserve">The number of executives in public service bodies for the purpose of the 2024 VPS Determination comprises executives employed in Departments, AOs and the VPSC. </w:t>
      </w:r>
      <w:r w:rsidR="00643A61">
        <w:t xml:space="preserve">Tribunal </w:t>
      </w:r>
      <w:r w:rsidR="00422AFE">
        <w:t>(2020</w:t>
      </w:r>
      <w:r w:rsidR="00643A61">
        <w:t>a</w:t>
      </w:r>
      <w:r w:rsidR="00422AFE">
        <w:t>),</w:t>
      </w:r>
      <w:r w:rsidR="00643A61" w:rsidDel="00643A61">
        <w:t xml:space="preserve"> </w:t>
      </w:r>
      <w:r>
        <w:t xml:space="preserve">p. 48; </w:t>
      </w:r>
      <w:r w:rsidRPr="00DC62B9">
        <w:t>Tribunal analysis of VPSC data.</w:t>
      </w:r>
      <w:r>
        <w:t xml:space="preserve"> </w:t>
      </w:r>
    </w:p>
  </w:footnote>
  <w:footnote w:id="121">
    <w:p w14:paraId="2585BFDC" w14:textId="45503708" w:rsidR="000B5528" w:rsidRDefault="000B5528" w:rsidP="003007C5">
      <w:pPr>
        <w:pStyle w:val="Footnotes"/>
      </w:pPr>
      <w:r>
        <w:rPr>
          <w:rStyle w:val="FootnoteReference"/>
        </w:rPr>
        <w:footnoteRef/>
      </w:r>
      <w:r w:rsidR="00643A61">
        <w:tab/>
      </w:r>
      <w:r>
        <w:t>VPSC</w:t>
      </w:r>
      <w:r w:rsidR="00C77DDC">
        <w:t xml:space="preserve"> (202</w:t>
      </w:r>
      <w:r w:rsidR="00305FEC">
        <w:t>3</w:t>
      </w:r>
      <w:r w:rsidR="0084418F">
        <w:t>a</w:t>
      </w:r>
      <w:r w:rsidR="00C77DDC">
        <w:t>)</w:t>
      </w:r>
      <w:r>
        <w:t>.</w:t>
      </w:r>
    </w:p>
  </w:footnote>
  <w:footnote w:id="122">
    <w:p w14:paraId="7CA450F7" w14:textId="70A17B76" w:rsidR="000B5528" w:rsidRDefault="000B5528" w:rsidP="003007C5">
      <w:pPr>
        <w:pStyle w:val="Footnotes"/>
      </w:pPr>
      <w:r>
        <w:rPr>
          <w:rStyle w:val="FootnoteReference"/>
        </w:rPr>
        <w:footnoteRef/>
      </w:r>
      <w:r w:rsidR="00643A61">
        <w:tab/>
      </w:r>
      <w:r w:rsidRPr="009A4F42">
        <w:t>VPSC</w:t>
      </w:r>
      <w:r w:rsidR="00454EE4" w:rsidRPr="009A4F42">
        <w:t xml:space="preserve"> (202</w:t>
      </w:r>
      <w:r w:rsidR="006B31C9" w:rsidRPr="009A4F42">
        <w:t>4</w:t>
      </w:r>
      <w:r w:rsidR="007479AB">
        <w:t>c</w:t>
      </w:r>
      <w:r w:rsidR="00454EE4" w:rsidRPr="009A4F42">
        <w:t>)</w:t>
      </w:r>
      <w:r w:rsidR="006B31C9" w:rsidRPr="0040773A">
        <w:t>.</w:t>
      </w:r>
    </w:p>
  </w:footnote>
  <w:footnote w:id="123">
    <w:p w14:paraId="46C3150E" w14:textId="0EC4EA82" w:rsidR="000B5528" w:rsidRDefault="000B5528" w:rsidP="003007C5">
      <w:pPr>
        <w:pStyle w:val="Footnotes"/>
      </w:pPr>
      <w:r>
        <w:rPr>
          <w:rStyle w:val="FootnoteReference"/>
        </w:rPr>
        <w:footnoteRef/>
      </w:r>
      <w:r w:rsidR="007B508F" w:rsidRPr="00D46AC9">
        <w:tab/>
      </w:r>
      <w:r w:rsidRPr="00D46AC9">
        <w:t>DTF (2023</w:t>
      </w:r>
      <w:r w:rsidR="00D46AC9" w:rsidRPr="00776255">
        <w:t>d</w:t>
      </w:r>
      <w:r w:rsidRPr="00D46AC9">
        <w:t xml:space="preserve">), </w:t>
      </w:r>
      <w:r>
        <w:t>p. 17.</w:t>
      </w:r>
    </w:p>
  </w:footnote>
  <w:footnote w:id="124">
    <w:p w14:paraId="450BA7B5" w14:textId="41904EEE" w:rsidR="000B5528" w:rsidRDefault="000B5528" w:rsidP="003007C5">
      <w:pPr>
        <w:pStyle w:val="Footnotes"/>
      </w:pPr>
      <w:r>
        <w:rPr>
          <w:rStyle w:val="FootnoteReference"/>
        </w:rPr>
        <w:footnoteRef/>
      </w:r>
      <w:r w:rsidR="007B508F">
        <w:tab/>
      </w:r>
      <w:r w:rsidR="006B31C9" w:rsidRPr="00DC62B9">
        <w:t>Tribunal analysis of VPSC data.</w:t>
      </w:r>
    </w:p>
  </w:footnote>
  <w:footnote w:id="125">
    <w:p w14:paraId="6B2D9AA0" w14:textId="6818E5B7" w:rsidR="000B5528" w:rsidRDefault="000B5528" w:rsidP="003007C5">
      <w:pPr>
        <w:pStyle w:val="Footnotes"/>
      </w:pPr>
      <w:r>
        <w:rPr>
          <w:rStyle w:val="FootnoteReference"/>
        </w:rPr>
        <w:footnoteRef/>
      </w:r>
      <w:r w:rsidR="003117CD">
        <w:tab/>
        <w:t>Tribunal</w:t>
      </w:r>
      <w:r>
        <w:t xml:space="preserve"> (2020</w:t>
      </w:r>
      <w:r w:rsidR="003117CD">
        <w:t>a</w:t>
      </w:r>
      <w:r>
        <w:t>)</w:t>
      </w:r>
      <w:r w:rsidR="00514842" w:rsidRPr="00514842">
        <w:t>,</w:t>
      </w:r>
      <w:r>
        <w:t xml:space="preserve"> p. 61.</w:t>
      </w:r>
    </w:p>
  </w:footnote>
  <w:footnote w:id="126">
    <w:p w14:paraId="4F91DE17" w14:textId="6801E3B2" w:rsidR="000B5528" w:rsidRDefault="000B5528" w:rsidP="003007C5">
      <w:pPr>
        <w:pStyle w:val="Footnotes"/>
      </w:pPr>
      <w:r>
        <w:rPr>
          <w:rStyle w:val="FootnoteReference"/>
        </w:rPr>
        <w:footnoteRef/>
      </w:r>
      <w:r w:rsidR="003117CD">
        <w:tab/>
      </w:r>
      <w:r>
        <w:t>J</w:t>
      </w:r>
      <w:r w:rsidR="004C40FF">
        <w:t>SA</w:t>
      </w:r>
      <w:r>
        <w:t xml:space="preserve"> (2024</w:t>
      </w:r>
      <w:r w:rsidR="00042AC2">
        <w:t>b</w:t>
      </w:r>
      <w:r>
        <w:t>),</w:t>
      </w:r>
      <w:r w:rsidR="00042AC2" w:rsidRPr="00042AC2">
        <w:t xml:space="preserve"> p. </w:t>
      </w:r>
      <w:r w:rsidR="002B2EB0">
        <w:t>24</w:t>
      </w:r>
      <w:r>
        <w:t>.</w:t>
      </w:r>
    </w:p>
  </w:footnote>
  <w:footnote w:id="127">
    <w:p w14:paraId="78F8835E" w14:textId="18A3E72E" w:rsidR="000B5528" w:rsidRDefault="000B5528" w:rsidP="003007C5">
      <w:pPr>
        <w:pStyle w:val="Footnotes"/>
      </w:pPr>
      <w:r>
        <w:rPr>
          <w:rStyle w:val="FootnoteReference"/>
        </w:rPr>
        <w:footnoteRef/>
      </w:r>
      <w:r w:rsidR="009379D0">
        <w:tab/>
      </w:r>
      <w:r>
        <w:t>VPSC</w:t>
      </w:r>
      <w:r w:rsidR="007B021C">
        <w:t xml:space="preserve"> (202</w:t>
      </w:r>
      <w:r w:rsidR="007B021C" w:rsidRPr="00970167">
        <w:t>3</w:t>
      </w:r>
      <w:r w:rsidR="00327FF0" w:rsidRPr="00970167">
        <w:t>b</w:t>
      </w:r>
      <w:r w:rsidR="007B021C">
        <w:t>)</w:t>
      </w:r>
      <w:r>
        <w:t xml:space="preserve">, </w:t>
      </w:r>
      <w:r w:rsidRPr="00DB0649">
        <w:rPr>
          <w:i/>
        </w:rPr>
        <w:t>JSE Recruitment Policy</w:t>
      </w:r>
      <w:r>
        <w:t>.</w:t>
      </w:r>
    </w:p>
  </w:footnote>
  <w:footnote w:id="128">
    <w:p w14:paraId="70D49DEA" w14:textId="1B75DE84" w:rsidR="000B5528" w:rsidRDefault="000B5528" w:rsidP="003007C5">
      <w:pPr>
        <w:pStyle w:val="Footnotes"/>
      </w:pPr>
      <w:r>
        <w:rPr>
          <w:rStyle w:val="FootnoteReference"/>
        </w:rPr>
        <w:footnoteRef/>
      </w:r>
      <w:r w:rsidR="005B142F">
        <w:tab/>
      </w:r>
      <w:r>
        <w:t>RBA</w:t>
      </w:r>
      <w:r w:rsidR="006415EB">
        <w:t xml:space="preserve"> (2022)</w:t>
      </w:r>
      <w:r>
        <w:t xml:space="preserve">, </w:t>
      </w:r>
      <w:hyperlink w:history="1"/>
      <w:r w:rsidR="008A55EF">
        <w:t>p. 26</w:t>
      </w:r>
      <w:r>
        <w:t>.</w:t>
      </w:r>
    </w:p>
  </w:footnote>
  <w:footnote w:id="129">
    <w:p w14:paraId="27BB0216" w14:textId="6FC461DF" w:rsidR="000B5528" w:rsidRDefault="000B5528" w:rsidP="003007C5">
      <w:pPr>
        <w:pStyle w:val="Footnotes"/>
      </w:pPr>
      <w:r>
        <w:rPr>
          <w:rStyle w:val="FootnoteReference"/>
        </w:rPr>
        <w:footnoteRef/>
      </w:r>
      <w:r w:rsidR="005B142F">
        <w:tab/>
      </w:r>
      <w:r>
        <w:t>The number of ‘suitable’ applicants does not necessarily equal the number of ‘qualified applicants’ (i.e. those who meet the minimum qualifications for the role). This is because some applicants may meet the minimum qualifications, but lack other attributes sought by the employer (e.g. employability skills, work experience).</w:t>
      </w:r>
    </w:p>
  </w:footnote>
  <w:footnote w:id="130">
    <w:p w14:paraId="4C4BC502" w14:textId="6D744A15" w:rsidR="000B5528" w:rsidRDefault="000B5528" w:rsidP="003007C5">
      <w:pPr>
        <w:pStyle w:val="Footnotes"/>
      </w:pPr>
      <w:r>
        <w:rPr>
          <w:rStyle w:val="FootnoteReference"/>
        </w:rPr>
        <w:footnoteRef/>
      </w:r>
      <w:r w:rsidR="005B142F">
        <w:tab/>
      </w:r>
      <w:r w:rsidR="009B19D0">
        <w:t xml:space="preserve">Tribunal analysis of data </w:t>
      </w:r>
      <w:r w:rsidR="004F6987">
        <w:t>published by</w:t>
      </w:r>
      <w:r w:rsidR="009B19D0">
        <w:t xml:space="preserve"> </w:t>
      </w:r>
      <w:r w:rsidR="003975A2">
        <w:t>JSA</w:t>
      </w:r>
      <w:r w:rsidR="009B19D0">
        <w:t>.</w:t>
      </w:r>
    </w:p>
  </w:footnote>
  <w:footnote w:id="131">
    <w:p w14:paraId="11D1AE5A" w14:textId="02D3CD24" w:rsidR="000B5528" w:rsidRDefault="000B5528" w:rsidP="003007C5">
      <w:pPr>
        <w:pStyle w:val="Footnotes"/>
      </w:pPr>
      <w:r>
        <w:rPr>
          <w:rStyle w:val="FootnoteReference"/>
        </w:rPr>
        <w:footnoteRef/>
      </w:r>
      <w:r w:rsidR="005B142F">
        <w:tab/>
      </w:r>
      <w:r w:rsidR="00363D07">
        <w:t xml:space="preserve">Tribunal </w:t>
      </w:r>
      <w:r w:rsidR="00AC1C69">
        <w:t>(</w:t>
      </w:r>
      <w:r>
        <w:t>2020</w:t>
      </w:r>
      <w:r w:rsidR="00363D07">
        <w:t>a</w:t>
      </w:r>
      <w:r>
        <w:t>),</w:t>
      </w:r>
      <w:r w:rsidR="009C05C4">
        <w:t xml:space="preserve"> </w:t>
      </w:r>
      <w:r w:rsidRPr="009C05C4">
        <w:t>p</w:t>
      </w:r>
      <w:r>
        <w:t>. 62.</w:t>
      </w:r>
    </w:p>
  </w:footnote>
  <w:footnote w:id="132">
    <w:p w14:paraId="6F826B4B" w14:textId="59E27BA5" w:rsidR="00E03524" w:rsidRDefault="00E03524" w:rsidP="00AF4F98">
      <w:pPr>
        <w:pStyle w:val="Footnotes"/>
      </w:pPr>
      <w:r>
        <w:rPr>
          <w:rStyle w:val="FootnoteReference"/>
        </w:rPr>
        <w:footnoteRef/>
      </w:r>
      <w:r w:rsidR="004A0922">
        <w:tab/>
      </w:r>
      <w:r w:rsidR="004A0922" w:rsidRPr="004A0922">
        <w:t>The Australian General Market (AGM) refers to Mercer’s remuneration database for positions within Australia, which is linked to work value. For a given work value score, the ‘nth’ percentile is the TRP value for which ‘n’ percent of positions of similar work value are paid less, and 100 minus ‘n’ per cent are paid more. For example, the 25th percentile is the TRP value for which 25 per cent of positions of similar work value are paid less, and 75 per cent are paid more.</w:t>
      </w:r>
    </w:p>
  </w:footnote>
  <w:footnote w:id="133">
    <w:p w14:paraId="765DDA2B" w14:textId="61C73267" w:rsidR="000B5528" w:rsidRDefault="000B5528" w:rsidP="003007C5">
      <w:pPr>
        <w:pStyle w:val="Footnotes"/>
      </w:pPr>
      <w:r>
        <w:rPr>
          <w:rStyle w:val="FootnoteReference"/>
        </w:rPr>
        <w:footnoteRef/>
      </w:r>
      <w:r w:rsidR="00363D07">
        <w:tab/>
      </w:r>
      <w:r w:rsidR="006F5F2A">
        <w:t>Tribunal</w:t>
      </w:r>
      <w:r>
        <w:t xml:space="preserve"> (2023</w:t>
      </w:r>
      <w:r w:rsidR="00DD26A1">
        <w:t>b</w:t>
      </w:r>
      <w:r>
        <w:t>), p. 24.</w:t>
      </w:r>
    </w:p>
  </w:footnote>
  <w:footnote w:id="134">
    <w:p w14:paraId="0987907F" w14:textId="48056130" w:rsidR="000B5528" w:rsidRDefault="000B5528" w:rsidP="003007C5">
      <w:pPr>
        <w:pStyle w:val="Footnotes"/>
      </w:pPr>
      <w:r>
        <w:rPr>
          <w:rStyle w:val="FootnoteReference"/>
        </w:rPr>
        <w:footnoteRef/>
      </w:r>
      <w:r w:rsidR="00363D07">
        <w:tab/>
      </w:r>
      <w:r w:rsidRPr="00C924AD">
        <w:t>Examples of common VPS</w:t>
      </w:r>
      <w:r w:rsidR="002B01EF">
        <w:t>-</w:t>
      </w:r>
      <w:r w:rsidRPr="00C924AD">
        <w:t>6 role titles are ‘Manager’ and ‘Principal Adviser’.</w:t>
      </w:r>
    </w:p>
  </w:footnote>
  <w:footnote w:id="135">
    <w:p w14:paraId="30BF08C4" w14:textId="48B25239" w:rsidR="000B5528" w:rsidRDefault="000B5528" w:rsidP="003007C5">
      <w:pPr>
        <w:pStyle w:val="Footnotes"/>
      </w:pPr>
      <w:r>
        <w:rPr>
          <w:rStyle w:val="FootnoteReference"/>
        </w:rPr>
        <w:footnoteRef/>
      </w:r>
      <w:r w:rsidR="00363D07">
        <w:tab/>
      </w:r>
      <w:r>
        <w:t xml:space="preserve">This was broadly consistent with a recommendation of the VPSC’s 2016 </w:t>
      </w:r>
      <w:r w:rsidR="001474A0" w:rsidRPr="00397971">
        <w:rPr>
          <w:i/>
          <w:iCs/>
        </w:rPr>
        <w:t>Review of Victoria’s executive officer employment and remuneration framework: summary report</w:t>
      </w:r>
      <w:r w:rsidR="001474A0">
        <w:rPr>
          <w:i/>
          <w:iCs/>
        </w:rPr>
        <w:t xml:space="preserve"> </w:t>
      </w:r>
      <w:r>
        <w:t>which called for the base of the EO-3 (now SES-1) band to be increased to create a ‘clear difference’ between the executive and non-executive remuneration ranges. When the increase to the EO-3 base took effect on 1 July 2016, the resulting remuneration gap was around nine per cent.</w:t>
      </w:r>
    </w:p>
  </w:footnote>
  <w:footnote w:id="136">
    <w:p w14:paraId="2BC01C9F" w14:textId="7C79DE12" w:rsidR="000B5528" w:rsidRDefault="000B5528" w:rsidP="003007C5">
      <w:pPr>
        <w:pStyle w:val="Footnotes"/>
      </w:pPr>
      <w:r>
        <w:rPr>
          <w:rStyle w:val="FootnoteReference"/>
        </w:rPr>
        <w:footnoteRef/>
      </w:r>
      <w:r w:rsidR="00363D07">
        <w:tab/>
      </w:r>
      <w:r w:rsidR="006F5F2A">
        <w:t>Tribunal</w:t>
      </w:r>
      <w:r>
        <w:t xml:space="preserve"> (2020</w:t>
      </w:r>
      <w:r w:rsidR="00AD79E8">
        <w:t>a</w:t>
      </w:r>
      <w:r>
        <w:t>)</w:t>
      </w:r>
      <w:r w:rsidR="00A54A75">
        <w:t xml:space="preserve">, </w:t>
      </w:r>
      <w:r w:rsidRPr="00A54A75">
        <w:t>p</w:t>
      </w:r>
      <w:r>
        <w:t>. 93.</w:t>
      </w:r>
    </w:p>
  </w:footnote>
  <w:footnote w:id="137">
    <w:p w14:paraId="0416DC4D" w14:textId="7E8E5394" w:rsidR="000B5528" w:rsidRDefault="000B5528" w:rsidP="003007C5">
      <w:pPr>
        <w:pStyle w:val="Footnotes"/>
      </w:pPr>
      <w:r>
        <w:rPr>
          <w:rStyle w:val="FootnoteReference"/>
        </w:rPr>
        <w:footnoteRef/>
      </w:r>
      <w:r w:rsidR="00C2226C">
        <w:tab/>
      </w:r>
      <w:r w:rsidRPr="00B02E97">
        <w:t xml:space="preserve">VPS </w:t>
      </w:r>
      <w:r w:rsidR="003726F1" w:rsidRPr="00B02E97">
        <w:t>EA</w:t>
      </w:r>
      <w:r w:rsidRPr="00B02E97">
        <w:t xml:space="preserve"> 2020</w:t>
      </w:r>
      <w:r w:rsidRPr="003726F1">
        <w:t>.</w:t>
      </w:r>
    </w:p>
  </w:footnote>
  <w:footnote w:id="138">
    <w:p w14:paraId="3CDF3171" w14:textId="39D03D2F" w:rsidR="001D3312" w:rsidRDefault="001D3312" w:rsidP="003007C5">
      <w:pPr>
        <w:pStyle w:val="Footnotes"/>
      </w:pPr>
      <w:r>
        <w:rPr>
          <w:rStyle w:val="FootnoteReference"/>
        </w:rPr>
        <w:footnoteRef/>
      </w:r>
      <w:r w:rsidR="00EB2156">
        <w:tab/>
      </w:r>
      <w:r>
        <w:t>VPSC (</w:t>
      </w:r>
      <w:r w:rsidRPr="00B02E97">
        <w:t xml:space="preserve">2016), </w:t>
      </w:r>
      <w:r w:rsidR="002D1FD4" w:rsidRPr="00817EE4">
        <w:t>p. 6</w:t>
      </w:r>
      <w:r w:rsidRPr="00B02E97">
        <w:t>.</w:t>
      </w:r>
    </w:p>
  </w:footnote>
  <w:footnote w:id="139">
    <w:p w14:paraId="0534C984" w14:textId="76063C61" w:rsidR="005C424F" w:rsidRDefault="005C424F" w:rsidP="003007C5">
      <w:pPr>
        <w:pStyle w:val="Footnotes"/>
      </w:pPr>
      <w:r>
        <w:rPr>
          <w:rStyle w:val="FootnoteReference"/>
        </w:rPr>
        <w:footnoteRef/>
      </w:r>
      <w:r w:rsidR="00CE79D4">
        <w:tab/>
      </w:r>
      <w:r>
        <w:t>Mercer (2024), p. 18.</w:t>
      </w:r>
    </w:p>
  </w:footnote>
  <w:footnote w:id="140">
    <w:p w14:paraId="544CA79F" w14:textId="30668253" w:rsidR="003752C8" w:rsidRDefault="003752C8" w:rsidP="003007C5">
      <w:pPr>
        <w:pStyle w:val="Footnotes"/>
      </w:pPr>
      <w:r>
        <w:rPr>
          <w:rStyle w:val="FootnoteReference"/>
        </w:rPr>
        <w:footnoteRef/>
      </w:r>
      <w:r w:rsidR="00874AF6">
        <w:tab/>
      </w:r>
      <w:r w:rsidRPr="003752C8">
        <w:t>Mercer (2024), p</w:t>
      </w:r>
      <w:r>
        <w:t>p</w:t>
      </w:r>
      <w:r w:rsidRPr="003752C8">
        <w:t xml:space="preserve">. </w:t>
      </w:r>
      <w:r>
        <w:t>25, 27</w:t>
      </w:r>
      <w:r w:rsidRPr="003752C8">
        <w:t>.</w:t>
      </w:r>
    </w:p>
  </w:footnote>
  <w:footnote w:id="141">
    <w:p w14:paraId="58A2221A" w14:textId="5CD01B30" w:rsidR="000E2597" w:rsidRDefault="000E2597" w:rsidP="003007C5">
      <w:pPr>
        <w:pStyle w:val="Footnotes"/>
      </w:pPr>
      <w:r>
        <w:rPr>
          <w:rStyle w:val="FootnoteReference"/>
        </w:rPr>
        <w:footnoteRef/>
      </w:r>
      <w:r w:rsidR="00874AF6">
        <w:tab/>
      </w:r>
      <w:r w:rsidRPr="003752C8">
        <w:t xml:space="preserve">Mercer (2024), p. </w:t>
      </w:r>
      <w:r>
        <w:t>25</w:t>
      </w:r>
      <w:r w:rsidRPr="003752C8">
        <w:t>.</w:t>
      </w:r>
    </w:p>
  </w:footnote>
  <w:footnote w:id="142">
    <w:p w14:paraId="687D190C" w14:textId="5340870D" w:rsidR="0024574A" w:rsidRDefault="0024574A" w:rsidP="003007C5">
      <w:pPr>
        <w:pStyle w:val="Footnotes"/>
      </w:pPr>
      <w:r>
        <w:rPr>
          <w:rStyle w:val="FootnoteReference"/>
        </w:rPr>
        <w:footnoteRef/>
      </w:r>
      <w:r w:rsidR="00874AF6">
        <w:tab/>
      </w:r>
      <w:r w:rsidRPr="003752C8">
        <w:t xml:space="preserve">Mercer (2024), p. </w:t>
      </w:r>
      <w:r>
        <w:t>25</w:t>
      </w:r>
      <w:r w:rsidRPr="003752C8">
        <w:t>.</w:t>
      </w:r>
    </w:p>
  </w:footnote>
  <w:footnote w:id="143">
    <w:p w14:paraId="17C8D4CB" w14:textId="2B5FB72C" w:rsidR="0024574A" w:rsidRDefault="0024574A" w:rsidP="003007C5">
      <w:pPr>
        <w:pStyle w:val="Footnotes"/>
      </w:pPr>
      <w:r>
        <w:rPr>
          <w:rStyle w:val="FootnoteReference"/>
        </w:rPr>
        <w:footnoteRef/>
      </w:r>
      <w:r w:rsidR="00874AF6">
        <w:tab/>
      </w:r>
      <w:r w:rsidRPr="0024574A">
        <w:t xml:space="preserve">Mercer (2024), p. </w:t>
      </w:r>
      <w:r>
        <w:t>30</w:t>
      </w:r>
      <w:r w:rsidRPr="0024574A">
        <w:t>.</w:t>
      </w:r>
    </w:p>
  </w:footnote>
  <w:footnote w:id="144">
    <w:p w14:paraId="5CC4653C" w14:textId="226238FA" w:rsidR="002427EF" w:rsidRDefault="002427EF" w:rsidP="003007C5">
      <w:pPr>
        <w:pStyle w:val="Footnotes"/>
      </w:pPr>
      <w:r>
        <w:rPr>
          <w:rStyle w:val="FootnoteReference"/>
        </w:rPr>
        <w:footnoteRef/>
      </w:r>
      <w:r w:rsidR="00874AF6">
        <w:tab/>
      </w:r>
      <w:r w:rsidRPr="002427EF">
        <w:t>Mercer (2024), p. 2</w:t>
      </w:r>
      <w:r>
        <w:t>6</w:t>
      </w:r>
      <w:r w:rsidRPr="002427EF">
        <w:t>.</w:t>
      </w:r>
    </w:p>
  </w:footnote>
  <w:footnote w:id="145">
    <w:p w14:paraId="2DD02AAF" w14:textId="0023E3A7" w:rsidR="00DB216A" w:rsidRDefault="00DB216A" w:rsidP="0049487E">
      <w:pPr>
        <w:pStyle w:val="Footnotes"/>
      </w:pPr>
      <w:r>
        <w:rPr>
          <w:rStyle w:val="FootnoteReference"/>
        </w:rPr>
        <w:footnoteRef/>
      </w:r>
      <w:r w:rsidR="001A1035">
        <w:tab/>
      </w:r>
      <w:r w:rsidRPr="0049487E">
        <w:rPr>
          <w:i/>
          <w:iCs/>
        </w:rPr>
        <w:t>Remuneration Tribunal Act 1973</w:t>
      </w:r>
      <w:r w:rsidR="0015153E">
        <w:t xml:space="preserve"> (Cth), </w:t>
      </w:r>
      <w:r w:rsidR="00C65425">
        <w:t>Division 4</w:t>
      </w:r>
      <w:r w:rsidRPr="00DB216A">
        <w:t>.</w:t>
      </w:r>
      <w:r>
        <w:t xml:space="preserve"> </w:t>
      </w:r>
    </w:p>
  </w:footnote>
  <w:footnote w:id="146">
    <w:p w14:paraId="260237D2" w14:textId="7F96490C" w:rsidR="00DB216A" w:rsidRPr="00397971" w:rsidRDefault="00DB216A" w:rsidP="0049487E">
      <w:pPr>
        <w:pStyle w:val="Footnotes"/>
      </w:pPr>
      <w:r w:rsidRPr="00397971">
        <w:rPr>
          <w:rStyle w:val="FootnoteReference"/>
        </w:rPr>
        <w:footnoteRef/>
      </w:r>
      <w:r w:rsidR="001A1035" w:rsidRPr="00397971">
        <w:tab/>
      </w:r>
      <w:r w:rsidRPr="00397971">
        <w:t xml:space="preserve">Remuneration Tribunal </w:t>
      </w:r>
      <w:r w:rsidR="00C80C35" w:rsidRPr="00397971">
        <w:t xml:space="preserve">(Cth) </w:t>
      </w:r>
      <w:r w:rsidRPr="00397971">
        <w:t>(2023</w:t>
      </w:r>
      <w:r w:rsidR="00C80C35" w:rsidRPr="00397971">
        <w:t>b</w:t>
      </w:r>
      <w:r w:rsidR="00B042B3" w:rsidRPr="00397971">
        <w:t xml:space="preserve">), </w:t>
      </w:r>
      <w:r w:rsidRPr="00397971">
        <w:t>p</w:t>
      </w:r>
      <w:r w:rsidR="00CF3046" w:rsidRPr="00397971">
        <w:t>p</w:t>
      </w:r>
      <w:r w:rsidRPr="00397971">
        <w:t xml:space="preserve">. </w:t>
      </w:r>
      <w:r w:rsidR="00547B3A" w:rsidRPr="00397971">
        <w:t>6</w:t>
      </w:r>
      <w:r w:rsidR="00CF3046" w:rsidRPr="00397971">
        <w:t>-</w:t>
      </w:r>
      <w:r w:rsidR="00547B3A" w:rsidRPr="00397971">
        <w:t>7</w:t>
      </w:r>
      <w:r w:rsidRPr="00397971">
        <w:t xml:space="preserve">. </w:t>
      </w:r>
    </w:p>
  </w:footnote>
  <w:footnote w:id="147">
    <w:p w14:paraId="3E242844" w14:textId="43F82D23" w:rsidR="00DB216A" w:rsidRPr="00DF35EB" w:rsidRDefault="00DB216A" w:rsidP="0049487E">
      <w:pPr>
        <w:pStyle w:val="Footnotes"/>
      </w:pPr>
      <w:r w:rsidRPr="00397971">
        <w:rPr>
          <w:rStyle w:val="FootnoteReference"/>
        </w:rPr>
        <w:footnoteRef/>
      </w:r>
      <w:r w:rsidR="001A1035" w:rsidRPr="00397971">
        <w:tab/>
      </w:r>
      <w:r w:rsidR="002C133E" w:rsidRPr="00397971">
        <w:t>Remuneration Tribunal (Cth) (2023a)</w:t>
      </w:r>
      <w:r w:rsidRPr="00397971">
        <w:t>, p. 1.</w:t>
      </w:r>
      <w:r w:rsidRPr="00DF35EB">
        <w:t xml:space="preserve"> </w:t>
      </w:r>
    </w:p>
  </w:footnote>
  <w:footnote w:id="148">
    <w:p w14:paraId="5975B94F" w14:textId="42105AB2" w:rsidR="00353767" w:rsidRDefault="00353767" w:rsidP="002667F6">
      <w:pPr>
        <w:pStyle w:val="Footnotes"/>
      </w:pPr>
      <w:r w:rsidRPr="00DF35EB">
        <w:rPr>
          <w:rStyle w:val="FootnoteReference"/>
        </w:rPr>
        <w:footnoteRef/>
      </w:r>
      <w:r w:rsidRPr="00DF35EB">
        <w:tab/>
      </w:r>
      <w:r w:rsidR="00741B7A" w:rsidRPr="000451F5">
        <w:t xml:space="preserve">Remuneration Tribunal (Cth) </w:t>
      </w:r>
      <w:r w:rsidR="00741B7A" w:rsidRPr="00DF35EB">
        <w:t>(2024)</w:t>
      </w:r>
      <w:r w:rsidR="00DF35EB" w:rsidRPr="00DF35EB">
        <w:t>.</w:t>
      </w:r>
    </w:p>
  </w:footnote>
  <w:footnote w:id="149">
    <w:p w14:paraId="0C297C4B" w14:textId="37D5A0F0" w:rsidR="00DB216A" w:rsidRPr="00DB216A" w:rsidRDefault="00DB216A" w:rsidP="0049487E">
      <w:pPr>
        <w:pStyle w:val="Footnotes"/>
      </w:pPr>
      <w:r>
        <w:rPr>
          <w:rStyle w:val="FootnoteReference"/>
        </w:rPr>
        <w:footnoteRef/>
      </w:r>
      <w:r w:rsidR="00E052FF">
        <w:tab/>
      </w:r>
      <w:r w:rsidRPr="00D662DD">
        <w:t>Public Service Classification Rules 2000</w:t>
      </w:r>
      <w:r w:rsidRPr="00DB216A">
        <w:t xml:space="preserve"> (Cth).</w:t>
      </w:r>
    </w:p>
  </w:footnote>
  <w:footnote w:id="150">
    <w:p w14:paraId="2E91F694" w14:textId="3359C3A5" w:rsidR="00DB216A" w:rsidRDefault="00DB216A" w:rsidP="0049487E">
      <w:pPr>
        <w:pStyle w:val="Footnotes"/>
      </w:pPr>
      <w:r>
        <w:rPr>
          <w:rStyle w:val="FootnoteReference"/>
        </w:rPr>
        <w:footnoteRef/>
      </w:r>
      <w:r w:rsidR="00E052FF">
        <w:tab/>
      </w:r>
      <w:r w:rsidRPr="00DB216A">
        <w:t>APSC (2013)</w:t>
      </w:r>
      <w:r w:rsidR="00E2680F">
        <w:t>.</w:t>
      </w:r>
      <w:r w:rsidRPr="00DB216A">
        <w:t xml:space="preserve"> </w:t>
      </w:r>
    </w:p>
  </w:footnote>
  <w:footnote w:id="151">
    <w:p w14:paraId="30AD617C" w14:textId="2467B9A3" w:rsidR="00DB216A" w:rsidRPr="00DB216A" w:rsidRDefault="00DB216A" w:rsidP="0049487E">
      <w:pPr>
        <w:pStyle w:val="Footnotes"/>
      </w:pPr>
      <w:r>
        <w:rPr>
          <w:rStyle w:val="FootnoteReference"/>
        </w:rPr>
        <w:footnoteRef/>
      </w:r>
      <w:r w:rsidR="00E052FF">
        <w:tab/>
      </w:r>
      <w:r w:rsidRPr="00DB216A">
        <w:t>APSC (2013), p. 4.</w:t>
      </w:r>
      <w:r w:rsidR="00E2680F" w:rsidRPr="00DB216A" w:rsidDel="00E2680F">
        <w:t xml:space="preserve"> </w:t>
      </w:r>
    </w:p>
  </w:footnote>
  <w:footnote w:id="152">
    <w:p w14:paraId="0681A419" w14:textId="169F7DE6" w:rsidR="00DB216A" w:rsidRPr="00DB216A" w:rsidRDefault="00DB216A" w:rsidP="0049487E">
      <w:pPr>
        <w:pStyle w:val="Footnotes"/>
      </w:pPr>
      <w:r>
        <w:rPr>
          <w:rStyle w:val="FootnoteReference"/>
        </w:rPr>
        <w:footnoteRef/>
      </w:r>
      <w:r w:rsidR="00E052FF">
        <w:tab/>
      </w:r>
      <w:r w:rsidRPr="00DB216A">
        <w:t>APSC (2013), pp. 5-6.</w:t>
      </w:r>
      <w:r w:rsidR="00E2680F" w:rsidRPr="00DB216A" w:rsidDel="00E2680F">
        <w:t xml:space="preserve"> </w:t>
      </w:r>
    </w:p>
  </w:footnote>
  <w:footnote w:id="153">
    <w:p w14:paraId="7EEA47B7" w14:textId="09463917" w:rsidR="000B2457" w:rsidRDefault="000B2457" w:rsidP="0049487E">
      <w:pPr>
        <w:pStyle w:val="Footnotes"/>
      </w:pPr>
      <w:r>
        <w:rPr>
          <w:rStyle w:val="FootnoteReference"/>
        </w:rPr>
        <w:footnoteRef/>
      </w:r>
      <w:r w:rsidR="00E052FF">
        <w:tab/>
      </w:r>
      <w:r w:rsidRPr="00DB216A">
        <w:t>APSC (2013), pp. 5-6</w:t>
      </w:r>
      <w:r w:rsidR="00690C22">
        <w:t>.</w:t>
      </w:r>
    </w:p>
  </w:footnote>
  <w:footnote w:id="154">
    <w:p w14:paraId="36810296" w14:textId="40E0A70D" w:rsidR="00DB216A" w:rsidRDefault="00DB216A" w:rsidP="0049487E">
      <w:pPr>
        <w:pStyle w:val="Footnotes"/>
      </w:pPr>
      <w:r>
        <w:rPr>
          <w:rStyle w:val="FootnoteReference"/>
        </w:rPr>
        <w:footnoteRef/>
      </w:r>
      <w:r w:rsidR="00D86FC2">
        <w:tab/>
      </w:r>
      <w:r w:rsidRPr="00DB216A">
        <w:t>APSC (2013), pp. 6-7.</w:t>
      </w:r>
      <w:r w:rsidR="00690C22" w:rsidRPr="00DB216A" w:rsidDel="00690C22">
        <w:t xml:space="preserve"> </w:t>
      </w:r>
    </w:p>
  </w:footnote>
  <w:footnote w:id="155">
    <w:p w14:paraId="3AF98C52" w14:textId="02101B8C" w:rsidR="0065442D" w:rsidRDefault="0065442D" w:rsidP="0049487E">
      <w:pPr>
        <w:pStyle w:val="Footnotes"/>
      </w:pPr>
      <w:r>
        <w:rPr>
          <w:rStyle w:val="FootnoteReference"/>
        </w:rPr>
        <w:footnoteRef/>
      </w:r>
      <w:r w:rsidR="00D86FC2">
        <w:tab/>
      </w:r>
      <w:r w:rsidRPr="00DB216A">
        <w:t xml:space="preserve">APSC (2013), pp. </w:t>
      </w:r>
      <w:r>
        <w:t xml:space="preserve">7-8. </w:t>
      </w:r>
    </w:p>
  </w:footnote>
  <w:footnote w:id="156">
    <w:p w14:paraId="0E4D147B" w14:textId="459EDF97" w:rsidR="00DB216A" w:rsidRPr="000451F5" w:rsidRDefault="00DB216A" w:rsidP="0049487E">
      <w:pPr>
        <w:pStyle w:val="Footnotes"/>
      </w:pPr>
      <w:r w:rsidRPr="00034508">
        <w:rPr>
          <w:rStyle w:val="FootnoteReference"/>
        </w:rPr>
        <w:footnoteRef/>
      </w:r>
      <w:r w:rsidR="00D86FC2" w:rsidRPr="00034508">
        <w:tab/>
      </w:r>
      <w:r w:rsidRPr="000451F5">
        <w:rPr>
          <w:rFonts w:cs="Calibri Light"/>
        </w:rPr>
        <w:t xml:space="preserve">APSC (2022), </w:t>
      </w:r>
      <w:r w:rsidR="001C1D39" w:rsidRPr="000451F5">
        <w:rPr>
          <w:rFonts w:cs="Calibri Light"/>
        </w:rPr>
        <w:t>p. 1</w:t>
      </w:r>
      <w:r w:rsidRPr="000451F5">
        <w:rPr>
          <w:rFonts w:cs="Calibri Light"/>
        </w:rPr>
        <w:t>.</w:t>
      </w:r>
      <w:r w:rsidRPr="000451F5">
        <w:t xml:space="preserve"> </w:t>
      </w:r>
    </w:p>
  </w:footnote>
  <w:footnote w:id="157">
    <w:p w14:paraId="20E279A6" w14:textId="32807219" w:rsidR="00DB216A" w:rsidRDefault="00DB216A" w:rsidP="0049487E">
      <w:pPr>
        <w:pStyle w:val="Footnotes"/>
      </w:pPr>
      <w:r w:rsidRPr="000451F5">
        <w:rPr>
          <w:rStyle w:val="FootnoteReference"/>
        </w:rPr>
        <w:footnoteRef/>
      </w:r>
      <w:r w:rsidR="00D86FC2" w:rsidRPr="000451F5">
        <w:tab/>
      </w:r>
      <w:r w:rsidRPr="000451F5">
        <w:t xml:space="preserve">APSC (2022), </w:t>
      </w:r>
      <w:r w:rsidR="00A5051B" w:rsidRPr="000451F5">
        <w:t>p. 3</w:t>
      </w:r>
      <w:r w:rsidRPr="000451F5">
        <w:t>.</w:t>
      </w:r>
      <w:r w:rsidR="00D86FC2" w:rsidRPr="00DB216A" w:rsidDel="00D86FC2">
        <w:t xml:space="preserve"> </w:t>
      </w:r>
    </w:p>
  </w:footnote>
  <w:footnote w:id="158">
    <w:p w14:paraId="5AA63159" w14:textId="52AEF55C" w:rsidR="00DB216A" w:rsidRPr="000451F5" w:rsidRDefault="00DB216A" w:rsidP="0042497E">
      <w:pPr>
        <w:pStyle w:val="Footnotes"/>
      </w:pPr>
      <w:r w:rsidRPr="000451F5">
        <w:rPr>
          <w:rStyle w:val="FootnoteReference"/>
        </w:rPr>
        <w:footnoteRef/>
      </w:r>
      <w:r w:rsidR="00C32F7E" w:rsidRPr="000451F5">
        <w:tab/>
      </w:r>
      <w:r w:rsidRPr="000451F5">
        <w:t xml:space="preserve">APSC (2022), </w:t>
      </w:r>
      <w:r w:rsidR="00481440" w:rsidRPr="000451F5">
        <w:t>p. 1</w:t>
      </w:r>
      <w:r w:rsidRPr="000451F5">
        <w:t>.</w:t>
      </w:r>
    </w:p>
  </w:footnote>
  <w:footnote w:id="159">
    <w:p w14:paraId="34C01406" w14:textId="2D00D4A7" w:rsidR="00DB216A" w:rsidRPr="000451F5" w:rsidRDefault="00DB216A" w:rsidP="00D540AC">
      <w:pPr>
        <w:pStyle w:val="Footnotes"/>
      </w:pPr>
      <w:r w:rsidRPr="000451F5">
        <w:rPr>
          <w:rStyle w:val="FootnoteReference"/>
        </w:rPr>
        <w:footnoteRef/>
      </w:r>
      <w:r w:rsidR="00C32F7E" w:rsidRPr="000451F5">
        <w:tab/>
        <w:t>APSC (2023</w:t>
      </w:r>
      <w:r w:rsidR="00A76F2F" w:rsidRPr="000451F5">
        <w:t>a</w:t>
      </w:r>
      <w:r w:rsidR="00C32F7E" w:rsidRPr="000451F5">
        <w:t>)</w:t>
      </w:r>
      <w:r w:rsidRPr="000451F5">
        <w:t xml:space="preserve">, p. 6. </w:t>
      </w:r>
    </w:p>
  </w:footnote>
  <w:footnote w:id="160">
    <w:p w14:paraId="47CD0B36" w14:textId="2D2F7C53" w:rsidR="00DB216A" w:rsidRDefault="00DB216A" w:rsidP="00D540AC">
      <w:pPr>
        <w:pStyle w:val="Footnotes"/>
      </w:pPr>
      <w:r w:rsidRPr="000451F5">
        <w:rPr>
          <w:rStyle w:val="FootnoteReference"/>
        </w:rPr>
        <w:footnoteRef/>
      </w:r>
      <w:r w:rsidR="00C32F7E" w:rsidRPr="000451F5">
        <w:tab/>
      </w:r>
      <w:r w:rsidR="002D5396" w:rsidRPr="000451F5">
        <w:t>APSC (2023</w:t>
      </w:r>
      <w:r w:rsidR="004360CE" w:rsidRPr="000451F5">
        <w:t>c</w:t>
      </w:r>
      <w:r w:rsidR="002D5396" w:rsidRPr="000451F5">
        <w:t>)</w:t>
      </w:r>
      <w:r w:rsidRPr="000451F5">
        <w:t>.</w:t>
      </w:r>
      <w:r>
        <w:t xml:space="preserve"> </w:t>
      </w:r>
    </w:p>
  </w:footnote>
  <w:footnote w:id="161">
    <w:p w14:paraId="2033F913" w14:textId="41308C6A" w:rsidR="00DB216A" w:rsidRPr="000451F5" w:rsidRDefault="00DB216A" w:rsidP="00DB216A">
      <w:pPr>
        <w:pStyle w:val="FootnoteText"/>
      </w:pPr>
      <w:r w:rsidRPr="000451F5">
        <w:rPr>
          <w:rStyle w:val="FootnoteReference"/>
        </w:rPr>
        <w:footnoteRef/>
      </w:r>
      <w:r w:rsidR="0066218B" w:rsidRPr="000451F5">
        <w:tab/>
      </w:r>
      <w:r w:rsidRPr="000451F5">
        <w:rPr>
          <w:rFonts w:cs="Calibri Light"/>
        </w:rPr>
        <w:t>APSC (n</w:t>
      </w:r>
      <w:r w:rsidR="00151C3E" w:rsidRPr="000451F5">
        <w:rPr>
          <w:rFonts w:cs="Calibri Light"/>
        </w:rPr>
        <w:t>.</w:t>
      </w:r>
      <w:r w:rsidRPr="000451F5">
        <w:rPr>
          <w:rFonts w:cs="Calibri Light"/>
        </w:rPr>
        <w:t>d</w:t>
      </w:r>
      <w:r w:rsidR="00151C3E" w:rsidRPr="000451F5">
        <w:rPr>
          <w:rFonts w:cs="Calibri Light"/>
        </w:rPr>
        <w:t>.</w:t>
      </w:r>
      <w:r w:rsidRPr="000451F5">
        <w:rPr>
          <w:rFonts w:cs="Calibri Light"/>
        </w:rPr>
        <w:t xml:space="preserve">). </w:t>
      </w:r>
    </w:p>
  </w:footnote>
  <w:footnote w:id="162">
    <w:p w14:paraId="04E71B4F" w14:textId="5AD8F22F" w:rsidR="00DB216A" w:rsidRPr="000451F5" w:rsidRDefault="00DB216A" w:rsidP="0066218B">
      <w:pPr>
        <w:pStyle w:val="Footnotes"/>
      </w:pPr>
      <w:r w:rsidRPr="000451F5">
        <w:rPr>
          <w:rStyle w:val="FootnoteReference"/>
        </w:rPr>
        <w:footnoteRef/>
      </w:r>
      <w:r w:rsidR="0066218B" w:rsidRPr="000451F5">
        <w:tab/>
      </w:r>
      <w:r w:rsidRPr="000451F5">
        <w:t>APSC</w:t>
      </w:r>
      <w:r w:rsidR="00151C3E" w:rsidRPr="000451F5">
        <w:t xml:space="preserve"> (2024).</w:t>
      </w:r>
      <w:r w:rsidRPr="000451F5">
        <w:rPr>
          <w:rFonts w:cs="Calibri Light"/>
        </w:rPr>
        <w:t xml:space="preserve"> </w:t>
      </w:r>
    </w:p>
  </w:footnote>
  <w:footnote w:id="163">
    <w:p w14:paraId="310F4B2A" w14:textId="3AF21479" w:rsidR="00DB216A" w:rsidRPr="000451F5" w:rsidRDefault="00DB216A" w:rsidP="0066218B">
      <w:pPr>
        <w:pStyle w:val="Footnotes"/>
      </w:pPr>
      <w:r w:rsidRPr="000451F5">
        <w:rPr>
          <w:rStyle w:val="FootnoteReference"/>
        </w:rPr>
        <w:footnoteRef/>
      </w:r>
      <w:r w:rsidR="0066218B" w:rsidRPr="000451F5">
        <w:tab/>
      </w:r>
      <w:r w:rsidR="00C24781" w:rsidRPr="000451F5">
        <w:t>APSC (2021)</w:t>
      </w:r>
      <w:r w:rsidR="00A0791F" w:rsidRPr="000451F5">
        <w:t>.</w:t>
      </w:r>
    </w:p>
  </w:footnote>
  <w:footnote w:id="164">
    <w:p w14:paraId="32C35D34" w14:textId="1495335C" w:rsidR="00DB216A" w:rsidRPr="002E0681" w:rsidRDefault="00DB216A" w:rsidP="0066218B">
      <w:pPr>
        <w:pStyle w:val="Footnotes"/>
      </w:pPr>
      <w:r w:rsidRPr="000451F5">
        <w:rPr>
          <w:rStyle w:val="FootnoteReference"/>
        </w:rPr>
        <w:footnoteRef/>
      </w:r>
      <w:r w:rsidR="0066218B" w:rsidRPr="000451F5">
        <w:tab/>
      </w:r>
      <w:r w:rsidRPr="000451F5">
        <w:t>APSC (202</w:t>
      </w:r>
      <w:r w:rsidR="00D540AC" w:rsidRPr="000451F5">
        <w:t>3</w:t>
      </w:r>
      <w:r w:rsidR="00A0791F" w:rsidRPr="000451F5">
        <w:t>b</w:t>
      </w:r>
      <w:r w:rsidRPr="000451F5">
        <w:t>), p 21</w:t>
      </w:r>
      <w:r w:rsidR="009D101C" w:rsidRPr="000451F5">
        <w:t>.</w:t>
      </w:r>
      <w:r w:rsidRPr="002E0681">
        <w:t xml:space="preserve"> </w:t>
      </w:r>
    </w:p>
  </w:footnote>
  <w:footnote w:id="165">
    <w:p w14:paraId="0BDB70A8" w14:textId="7D9C5A05" w:rsidR="00DB216A" w:rsidRDefault="00DB216A" w:rsidP="0066218B">
      <w:pPr>
        <w:pStyle w:val="Footnotes"/>
      </w:pPr>
      <w:r w:rsidRPr="002E0681">
        <w:rPr>
          <w:rStyle w:val="FootnoteReference"/>
        </w:rPr>
        <w:footnoteRef/>
      </w:r>
      <w:r w:rsidR="00902094" w:rsidRPr="002E0681">
        <w:tab/>
      </w:r>
      <w:r w:rsidRPr="002E0681">
        <w:rPr>
          <w:i/>
          <w:iCs/>
        </w:rPr>
        <w:t>Public Service Act</w:t>
      </w:r>
      <w:r w:rsidRPr="002E0681">
        <w:t xml:space="preserve"> 1999 (Cth), ss 38 and 59.</w:t>
      </w:r>
      <w:r>
        <w:t xml:space="preserve"> </w:t>
      </w:r>
    </w:p>
  </w:footnote>
  <w:footnote w:id="166">
    <w:p w14:paraId="7C7D8B8F" w14:textId="4C58B572" w:rsidR="00DB216A" w:rsidRDefault="00DB216A" w:rsidP="0066218B">
      <w:pPr>
        <w:pStyle w:val="Footnotes"/>
      </w:pPr>
      <w:r w:rsidRPr="000451F5">
        <w:rPr>
          <w:rStyle w:val="FootnoteReference"/>
        </w:rPr>
        <w:footnoteRef/>
      </w:r>
      <w:r w:rsidR="00902094" w:rsidRPr="000451F5">
        <w:tab/>
      </w:r>
      <w:r w:rsidRPr="000451F5">
        <w:t>Remuneration Tribunal</w:t>
      </w:r>
      <w:r w:rsidR="002E0681" w:rsidRPr="000451F5">
        <w:t xml:space="preserve"> (Cth)</w:t>
      </w:r>
      <w:r w:rsidRPr="000451F5">
        <w:t xml:space="preserve"> </w:t>
      </w:r>
      <w:r w:rsidR="00C8623D" w:rsidRPr="000451F5">
        <w:t>(2023b)</w:t>
      </w:r>
      <w:r w:rsidRPr="000451F5">
        <w:t>.</w:t>
      </w:r>
      <w:r>
        <w:t xml:space="preserve"> </w:t>
      </w:r>
    </w:p>
  </w:footnote>
  <w:footnote w:id="167">
    <w:p w14:paraId="775FE56E" w14:textId="63DD1453" w:rsidR="00DB216A" w:rsidRPr="00DB216A" w:rsidRDefault="00DB216A" w:rsidP="0066218B">
      <w:pPr>
        <w:pStyle w:val="Footnotes"/>
      </w:pPr>
      <w:r w:rsidRPr="00DB216A">
        <w:rPr>
          <w:rStyle w:val="FootnoteReference"/>
          <w:rFonts w:cs="Calibri"/>
        </w:rPr>
        <w:footnoteRef/>
      </w:r>
      <w:r w:rsidR="00902094">
        <w:tab/>
      </w:r>
      <w:r w:rsidRPr="00DB216A">
        <w:t>P</w:t>
      </w:r>
      <w:r w:rsidR="00C8623D">
        <w:t>AA</w:t>
      </w:r>
      <w:r w:rsidRPr="00DB216A">
        <w:t xml:space="preserve">, s 27. </w:t>
      </w:r>
    </w:p>
  </w:footnote>
  <w:footnote w:id="168">
    <w:p w14:paraId="34F1B029" w14:textId="17A0C5A2" w:rsidR="00DB216A" w:rsidRPr="00DB216A" w:rsidRDefault="00DB216A" w:rsidP="0066218B">
      <w:pPr>
        <w:pStyle w:val="Footnotes"/>
      </w:pPr>
      <w:r w:rsidRPr="00DB216A">
        <w:rPr>
          <w:rStyle w:val="FootnoteReference"/>
          <w:rFonts w:cs="Calibri"/>
        </w:rPr>
        <w:footnoteRef/>
      </w:r>
      <w:r w:rsidR="00371C0B">
        <w:tab/>
      </w:r>
      <w:r w:rsidRPr="00DB216A">
        <w:rPr>
          <w:i/>
          <w:iCs/>
        </w:rPr>
        <w:t>Public Service Act</w:t>
      </w:r>
      <w:r w:rsidRPr="00DB216A">
        <w:t xml:space="preserve"> (Cth) 1999, </w:t>
      </w:r>
      <w:r w:rsidRPr="00DB216A" w:rsidDel="00227D6B">
        <w:t>s</w:t>
      </w:r>
      <w:r w:rsidRPr="00DB216A">
        <w:t xml:space="preserve"> 37. </w:t>
      </w:r>
    </w:p>
  </w:footnote>
  <w:footnote w:id="169">
    <w:p w14:paraId="36FFF0D5" w14:textId="40EA36F0" w:rsidR="00DB216A" w:rsidRPr="00DB216A" w:rsidRDefault="00DB216A" w:rsidP="0066218B">
      <w:pPr>
        <w:pStyle w:val="Footnotes"/>
      </w:pPr>
      <w:r w:rsidRPr="00DB216A">
        <w:rPr>
          <w:rStyle w:val="FootnoteReference"/>
          <w:rFonts w:cs="Calibri"/>
        </w:rPr>
        <w:footnoteRef/>
      </w:r>
      <w:r w:rsidR="00371C0B">
        <w:tab/>
      </w:r>
      <w:r w:rsidRPr="00BB4F89">
        <w:t>Australian Public Service Commissioner's Directions 2022,</w:t>
      </w:r>
      <w:r w:rsidRPr="00DB216A">
        <w:t xml:space="preserve"> cl</w:t>
      </w:r>
      <w:r w:rsidR="00D31473">
        <w:t>.</w:t>
      </w:r>
      <w:r w:rsidRPr="00DB216A">
        <w:t xml:space="preserve"> 66.</w:t>
      </w:r>
    </w:p>
  </w:footnote>
  <w:footnote w:id="170">
    <w:p w14:paraId="13C6F05A" w14:textId="10F461BF" w:rsidR="00DB216A" w:rsidRPr="00DB216A" w:rsidRDefault="00DB216A" w:rsidP="0066218B">
      <w:pPr>
        <w:pStyle w:val="Footnotes"/>
      </w:pPr>
      <w:r w:rsidRPr="00DB216A">
        <w:rPr>
          <w:rStyle w:val="FootnoteReference"/>
          <w:rFonts w:cs="Calibri"/>
        </w:rPr>
        <w:footnoteRef/>
      </w:r>
      <w:r w:rsidR="00371C0B">
        <w:tab/>
      </w:r>
      <w:r w:rsidRPr="00AA4287">
        <w:rPr>
          <w:i/>
          <w:iCs/>
        </w:rPr>
        <w:t>Government Sector Employment Act 2013</w:t>
      </w:r>
      <w:r w:rsidRPr="00DB216A">
        <w:t xml:space="preserve"> (NSW), ss 3</w:t>
      </w:r>
      <w:r w:rsidR="001B0DA6">
        <w:t xml:space="preserve">, </w:t>
      </w:r>
      <w:r w:rsidRPr="00DB216A">
        <w:t>35.</w:t>
      </w:r>
    </w:p>
  </w:footnote>
  <w:footnote w:id="171">
    <w:p w14:paraId="51FF5F6C" w14:textId="39BD996F" w:rsidR="00DB216A" w:rsidRDefault="00DB216A" w:rsidP="0066218B">
      <w:pPr>
        <w:pStyle w:val="Footnotes"/>
      </w:pPr>
      <w:r w:rsidRPr="00DB216A">
        <w:rPr>
          <w:rStyle w:val="FootnoteReference"/>
          <w:rFonts w:cs="Calibri"/>
        </w:rPr>
        <w:footnoteRef/>
      </w:r>
      <w:r w:rsidR="00371C0B">
        <w:tab/>
      </w:r>
      <w:r w:rsidRPr="00DB216A">
        <w:t>Government Sector Employment (Senior Executive Bands) Determination (NSW) 2014.</w:t>
      </w:r>
    </w:p>
  </w:footnote>
  <w:footnote w:id="172">
    <w:p w14:paraId="4CFC8AF3" w14:textId="58C19488" w:rsidR="00DB216A" w:rsidRPr="00B70B0D" w:rsidRDefault="00DB216A" w:rsidP="0066218B">
      <w:pPr>
        <w:pStyle w:val="Footnotes"/>
      </w:pPr>
      <w:r>
        <w:rPr>
          <w:rStyle w:val="FootnoteReference"/>
        </w:rPr>
        <w:footnoteRef/>
      </w:r>
      <w:r w:rsidR="00371C0B">
        <w:tab/>
      </w:r>
      <w:r w:rsidRPr="000451F5">
        <w:rPr>
          <w:rFonts w:cs="Calibri Light"/>
        </w:rPr>
        <w:t xml:space="preserve">NSWPSC </w:t>
      </w:r>
      <w:r w:rsidR="008E54C8" w:rsidRPr="000451F5">
        <w:rPr>
          <w:rFonts w:cs="Calibri Light"/>
        </w:rPr>
        <w:t>(</w:t>
      </w:r>
      <w:r w:rsidR="00EE254C" w:rsidRPr="000451F5">
        <w:rPr>
          <w:rFonts w:cs="Calibri Light"/>
        </w:rPr>
        <w:t>n.d.</w:t>
      </w:r>
      <w:r w:rsidR="008E54C8" w:rsidRPr="000451F5">
        <w:rPr>
          <w:rFonts w:cs="Calibri Light"/>
        </w:rPr>
        <w:t>)</w:t>
      </w:r>
      <w:r w:rsidR="00CA69EA" w:rsidRPr="000451F5">
        <w:rPr>
          <w:rFonts w:cs="Calibri Light"/>
        </w:rPr>
        <w:t>.</w:t>
      </w:r>
      <w:r w:rsidRPr="00B70B0D">
        <w:rPr>
          <w:rFonts w:cs="Calibri Light"/>
        </w:rPr>
        <w:t xml:space="preserve"> </w:t>
      </w:r>
    </w:p>
  </w:footnote>
  <w:footnote w:id="173">
    <w:p w14:paraId="0F6B6884" w14:textId="5ADE7855" w:rsidR="00DB216A" w:rsidRDefault="00DB216A" w:rsidP="0066218B">
      <w:pPr>
        <w:pStyle w:val="Footnotes"/>
      </w:pPr>
      <w:r w:rsidRPr="00B70B0D">
        <w:rPr>
          <w:rStyle w:val="FootnoteReference"/>
        </w:rPr>
        <w:footnoteRef/>
      </w:r>
      <w:r w:rsidR="00371C0B" w:rsidRPr="00B70B0D">
        <w:tab/>
      </w:r>
      <w:r w:rsidRPr="00B70B0D">
        <w:t>NSWPSC</w:t>
      </w:r>
      <w:r w:rsidR="00367CE3" w:rsidRPr="00B70B0D">
        <w:t xml:space="preserve"> (2014)</w:t>
      </w:r>
      <w:r w:rsidRPr="00B70B0D">
        <w:t xml:space="preserve">, p. </w:t>
      </w:r>
      <w:r w:rsidR="0068779E" w:rsidRPr="00B70B0D">
        <w:t>8</w:t>
      </w:r>
      <w:r w:rsidRPr="00B70B0D">
        <w:t>.</w:t>
      </w:r>
      <w:r w:rsidRPr="00DB216A">
        <w:t xml:space="preserve"> </w:t>
      </w:r>
    </w:p>
  </w:footnote>
  <w:footnote w:id="174">
    <w:p w14:paraId="26955A6F" w14:textId="7CAE8A7F" w:rsidR="00DB216A" w:rsidRDefault="00DB216A" w:rsidP="00F438B1">
      <w:pPr>
        <w:pStyle w:val="Footnotes"/>
      </w:pPr>
      <w:r>
        <w:rPr>
          <w:rStyle w:val="FootnoteReference"/>
        </w:rPr>
        <w:footnoteRef/>
      </w:r>
      <w:r w:rsidR="00367CE3">
        <w:tab/>
      </w:r>
      <w:r w:rsidRPr="00F438B1">
        <w:rPr>
          <w:i/>
          <w:iCs/>
        </w:rPr>
        <w:t>Statutory and Other Offices Remuneration Act 1975</w:t>
      </w:r>
      <w:r w:rsidRPr="00DB216A">
        <w:t xml:space="preserve"> (NSW).</w:t>
      </w:r>
    </w:p>
  </w:footnote>
  <w:footnote w:id="175">
    <w:p w14:paraId="4ABB1CEE" w14:textId="6BC69E7F" w:rsidR="00DB216A" w:rsidRDefault="00DB216A" w:rsidP="00F438B1">
      <w:pPr>
        <w:pStyle w:val="Footnotes"/>
      </w:pPr>
      <w:r>
        <w:rPr>
          <w:rStyle w:val="FootnoteReference"/>
        </w:rPr>
        <w:footnoteRef/>
      </w:r>
      <w:r w:rsidR="00825C33">
        <w:tab/>
      </w:r>
      <w:r w:rsidR="00AC6E35" w:rsidRPr="00AC6E35">
        <w:t>State Government of New South Wales (2023)</w:t>
      </w:r>
      <w:r w:rsidR="00FF5EC1">
        <w:t>.</w:t>
      </w:r>
      <w:r>
        <w:t xml:space="preserve"> </w:t>
      </w:r>
    </w:p>
  </w:footnote>
  <w:footnote w:id="176">
    <w:p w14:paraId="0751B0AE" w14:textId="7A9E98F3" w:rsidR="00DB216A" w:rsidRDefault="00DB216A" w:rsidP="00F438B1">
      <w:pPr>
        <w:pStyle w:val="Footnotes"/>
      </w:pPr>
      <w:r>
        <w:rPr>
          <w:rStyle w:val="FootnoteReference"/>
        </w:rPr>
        <w:footnoteRef/>
      </w:r>
      <w:r w:rsidR="00825C33">
        <w:tab/>
      </w:r>
      <w:r w:rsidRPr="00F438B1">
        <w:rPr>
          <w:i/>
          <w:iCs/>
        </w:rPr>
        <w:t>Statutory and Other Offices Remuneration Act 1975</w:t>
      </w:r>
      <w:r>
        <w:t xml:space="preserve"> (NSW), s 6AA.</w:t>
      </w:r>
    </w:p>
  </w:footnote>
  <w:footnote w:id="177">
    <w:p w14:paraId="63F3AAFF" w14:textId="705B198B" w:rsidR="00DB216A" w:rsidRPr="00FD4F58" w:rsidRDefault="00DB216A" w:rsidP="00F438B1">
      <w:pPr>
        <w:pStyle w:val="Footnotes"/>
      </w:pPr>
      <w:r w:rsidRPr="00FD4F58">
        <w:rPr>
          <w:rStyle w:val="FootnoteReference"/>
        </w:rPr>
        <w:footnoteRef/>
      </w:r>
      <w:r w:rsidR="00825C33" w:rsidRPr="00FD4F58">
        <w:tab/>
      </w:r>
      <w:r w:rsidRPr="000451F5">
        <w:t>SOORT (2023),</w:t>
      </w:r>
      <w:r w:rsidRPr="00FD4F58">
        <w:t xml:space="preserve"> pp. 8-9. </w:t>
      </w:r>
    </w:p>
  </w:footnote>
  <w:footnote w:id="178">
    <w:p w14:paraId="15F3E3C9" w14:textId="4D424CC1" w:rsidR="00DB216A" w:rsidRPr="00FD4F58" w:rsidRDefault="00DB216A" w:rsidP="00F438B1">
      <w:pPr>
        <w:pStyle w:val="Footnotes"/>
      </w:pPr>
      <w:r w:rsidRPr="00FD4F58">
        <w:rPr>
          <w:rStyle w:val="FootnoteReference"/>
        </w:rPr>
        <w:footnoteRef/>
      </w:r>
      <w:r w:rsidR="00825C33" w:rsidRPr="00FD4F58">
        <w:tab/>
      </w:r>
      <w:r w:rsidRPr="000451F5">
        <w:t>NSWPSC</w:t>
      </w:r>
      <w:r w:rsidR="00825C33" w:rsidRPr="000451F5">
        <w:t xml:space="preserve"> (n.d.)</w:t>
      </w:r>
      <w:r w:rsidR="00AC7F8E" w:rsidRPr="00FD4F58">
        <w:t>, p. 13</w:t>
      </w:r>
      <w:r w:rsidRPr="00FD4F58">
        <w:t xml:space="preserve">. </w:t>
      </w:r>
    </w:p>
  </w:footnote>
  <w:footnote w:id="179">
    <w:p w14:paraId="4876661E" w14:textId="123AB534" w:rsidR="00DB216A" w:rsidRDefault="00DB216A" w:rsidP="00F438B1">
      <w:pPr>
        <w:pStyle w:val="Footnotes"/>
      </w:pPr>
      <w:r w:rsidRPr="00FD4F58">
        <w:rPr>
          <w:rStyle w:val="FootnoteReference"/>
        </w:rPr>
        <w:footnoteRef/>
      </w:r>
      <w:r w:rsidR="00825C33" w:rsidRPr="00FD4F58">
        <w:tab/>
      </w:r>
      <w:r w:rsidRPr="000451F5">
        <w:rPr>
          <w:rFonts w:cs="Calibri Light"/>
        </w:rPr>
        <w:t>NSWPSC</w:t>
      </w:r>
      <w:r w:rsidR="00D83F52" w:rsidRPr="000451F5">
        <w:rPr>
          <w:rFonts w:cs="Calibri Light"/>
        </w:rPr>
        <w:t xml:space="preserve"> (n.d.)</w:t>
      </w:r>
      <w:r w:rsidR="00AC7F8E" w:rsidRPr="00FD4F58">
        <w:rPr>
          <w:rFonts w:cs="Calibri Light"/>
        </w:rPr>
        <w:t>, p. 19</w:t>
      </w:r>
      <w:r w:rsidRPr="00FD4F58">
        <w:rPr>
          <w:rFonts w:cs="Calibri Light"/>
        </w:rPr>
        <w:t>.</w:t>
      </w:r>
      <w:r w:rsidRPr="00DB216A">
        <w:rPr>
          <w:rFonts w:cs="Calibri Light"/>
        </w:rPr>
        <w:t xml:space="preserve"> </w:t>
      </w:r>
    </w:p>
  </w:footnote>
  <w:footnote w:id="180">
    <w:p w14:paraId="01386D69" w14:textId="36BFB214" w:rsidR="00DB216A" w:rsidRPr="009B44D6" w:rsidRDefault="00DB216A" w:rsidP="00007654">
      <w:pPr>
        <w:pStyle w:val="Footnotes"/>
      </w:pPr>
      <w:r w:rsidRPr="009B44D6">
        <w:rPr>
          <w:rStyle w:val="FootnoteReference"/>
        </w:rPr>
        <w:footnoteRef/>
      </w:r>
      <w:r w:rsidR="00EE254C" w:rsidRPr="009B44D6">
        <w:tab/>
      </w:r>
      <w:r w:rsidRPr="000451F5">
        <w:rPr>
          <w:rFonts w:cs="Calibri Light"/>
        </w:rPr>
        <w:t>NSWPSC</w:t>
      </w:r>
      <w:r w:rsidR="00EE254C" w:rsidRPr="000451F5">
        <w:rPr>
          <w:rFonts w:cs="Calibri Light"/>
        </w:rPr>
        <w:t xml:space="preserve"> (n.d.)</w:t>
      </w:r>
      <w:r w:rsidR="00AC7F8E" w:rsidRPr="009B44D6">
        <w:rPr>
          <w:rFonts w:cs="Calibri Light"/>
        </w:rPr>
        <w:t>, p. 13</w:t>
      </w:r>
      <w:r w:rsidRPr="009B44D6">
        <w:rPr>
          <w:rFonts w:cs="Calibri Light"/>
        </w:rPr>
        <w:t xml:space="preserve">. </w:t>
      </w:r>
    </w:p>
  </w:footnote>
  <w:footnote w:id="181">
    <w:p w14:paraId="6CCA06D2" w14:textId="6E9C3D92" w:rsidR="00DB216A" w:rsidRPr="009B44D6" w:rsidRDefault="00DB216A" w:rsidP="00007654">
      <w:pPr>
        <w:pStyle w:val="Footnotes"/>
      </w:pPr>
      <w:r w:rsidRPr="009B44D6">
        <w:rPr>
          <w:rStyle w:val="FootnoteReference"/>
        </w:rPr>
        <w:footnoteRef/>
      </w:r>
      <w:r w:rsidR="00EE254C" w:rsidRPr="009B44D6">
        <w:tab/>
      </w:r>
      <w:r w:rsidRPr="000451F5">
        <w:rPr>
          <w:rFonts w:cs="Calibri Light"/>
        </w:rPr>
        <w:t>NSWPSC</w:t>
      </w:r>
      <w:r w:rsidR="00EE254C" w:rsidRPr="000451F5">
        <w:rPr>
          <w:rFonts w:cs="Calibri Light"/>
        </w:rPr>
        <w:t xml:space="preserve"> (n.d.)</w:t>
      </w:r>
      <w:r w:rsidR="00FD4F58" w:rsidRPr="000451F5">
        <w:rPr>
          <w:rFonts w:cs="Calibri Light"/>
        </w:rPr>
        <w:t xml:space="preserve">, </w:t>
      </w:r>
      <w:r w:rsidRPr="000451F5">
        <w:rPr>
          <w:rFonts w:cs="Calibri Light"/>
        </w:rPr>
        <w:t>p. 13.</w:t>
      </w:r>
      <w:r w:rsidR="003A06AF" w:rsidRPr="009B44D6" w:rsidDel="003A06AF">
        <w:t xml:space="preserve"> </w:t>
      </w:r>
    </w:p>
  </w:footnote>
  <w:footnote w:id="182">
    <w:p w14:paraId="1D74908A" w14:textId="5341F28E" w:rsidR="00DB216A" w:rsidRPr="009B44D6" w:rsidRDefault="00DB216A" w:rsidP="00386A1F">
      <w:pPr>
        <w:pStyle w:val="Footnotes"/>
      </w:pPr>
      <w:r w:rsidRPr="009B44D6">
        <w:rPr>
          <w:rStyle w:val="FootnoteReference"/>
        </w:rPr>
        <w:footnoteRef/>
      </w:r>
      <w:r w:rsidR="004B2066" w:rsidRPr="009B44D6">
        <w:tab/>
      </w:r>
      <w:r w:rsidRPr="000451F5">
        <w:t xml:space="preserve">NSWPSC </w:t>
      </w:r>
      <w:r w:rsidR="00F1207A" w:rsidRPr="000451F5">
        <w:t>(</w:t>
      </w:r>
      <w:r w:rsidR="009B44D6" w:rsidRPr="000451F5">
        <w:t>n.d.</w:t>
      </w:r>
      <w:r w:rsidR="00F1207A" w:rsidRPr="000451F5">
        <w:t>)</w:t>
      </w:r>
      <w:r w:rsidRPr="000451F5">
        <w:t>, p. 14.</w:t>
      </w:r>
      <w:r w:rsidRPr="009B44D6">
        <w:t xml:space="preserve"> </w:t>
      </w:r>
    </w:p>
  </w:footnote>
  <w:footnote w:id="183">
    <w:p w14:paraId="1BD9D2E1" w14:textId="3C80B70A" w:rsidR="00DB216A" w:rsidRDefault="00DB216A" w:rsidP="00386A1F">
      <w:pPr>
        <w:pStyle w:val="Footnotes"/>
      </w:pPr>
      <w:r w:rsidRPr="009B44D6">
        <w:rPr>
          <w:rStyle w:val="FootnoteReference"/>
        </w:rPr>
        <w:footnoteRef/>
      </w:r>
      <w:r w:rsidR="00104585" w:rsidRPr="009B44D6">
        <w:tab/>
      </w:r>
      <w:r w:rsidRPr="009B44D6">
        <w:t>The Mercer</w:t>
      </w:r>
      <w:r w:rsidR="008C7CBE" w:rsidRPr="009B44D6">
        <w:t xml:space="preserve"> </w:t>
      </w:r>
      <w:r w:rsidRPr="009B44D6">
        <w:t xml:space="preserve">CED </w:t>
      </w:r>
      <w:r w:rsidR="00384A48" w:rsidRPr="009B44D6">
        <w:t>Job Evaluation System</w:t>
      </w:r>
      <w:r w:rsidRPr="009B44D6">
        <w:t xml:space="preserve"> was used to compare remuneration at the same work value points in Victoria (based on the Mercer analysis discussed in Chapter 4) and NSW (based on the remuneration framework published by the NSWPC</w:t>
      </w:r>
      <w:r w:rsidRPr="009B44D6">
        <w:rPr>
          <w:rFonts w:cs="Calibri"/>
        </w:rPr>
        <w:t xml:space="preserve">). </w:t>
      </w:r>
      <w:r w:rsidRPr="000451F5">
        <w:rPr>
          <w:rFonts w:cs="Calibri"/>
        </w:rPr>
        <w:t>Mercer (2024);</w:t>
      </w:r>
      <w:r w:rsidRPr="000451F5">
        <w:rPr>
          <w:rFonts w:cs="Calibri Light"/>
        </w:rPr>
        <w:t xml:space="preserve"> </w:t>
      </w:r>
      <w:r w:rsidRPr="000451F5">
        <w:rPr>
          <w:rFonts w:cs="Calibri"/>
        </w:rPr>
        <w:t>NSWPSC</w:t>
      </w:r>
      <w:r w:rsidR="00A377DA" w:rsidRPr="000451F5">
        <w:rPr>
          <w:rFonts w:cs="Calibri"/>
        </w:rPr>
        <w:t xml:space="preserve"> (</w:t>
      </w:r>
      <w:r w:rsidR="009B44D6" w:rsidRPr="000451F5">
        <w:rPr>
          <w:rFonts w:cs="Calibri"/>
        </w:rPr>
        <w:t>n.d.</w:t>
      </w:r>
      <w:r w:rsidR="00A377DA" w:rsidRPr="000451F5">
        <w:rPr>
          <w:rFonts w:cs="Calibri"/>
        </w:rPr>
        <w:t>).</w:t>
      </w:r>
    </w:p>
  </w:footnote>
  <w:footnote w:id="184">
    <w:p w14:paraId="0E7BC5ED" w14:textId="4B307273" w:rsidR="00DB216A" w:rsidRPr="000451F5" w:rsidRDefault="00DB216A" w:rsidP="00386A1F">
      <w:pPr>
        <w:pStyle w:val="Footnotes"/>
      </w:pPr>
      <w:r w:rsidRPr="00090DB2">
        <w:rPr>
          <w:rStyle w:val="FootnoteReference"/>
        </w:rPr>
        <w:footnoteRef/>
      </w:r>
      <w:r w:rsidR="00A77492" w:rsidRPr="00090DB2">
        <w:tab/>
      </w:r>
      <w:r w:rsidRPr="000451F5">
        <w:t xml:space="preserve">NSWPSC </w:t>
      </w:r>
      <w:r w:rsidR="00A77492" w:rsidRPr="000451F5">
        <w:t>(</w:t>
      </w:r>
      <w:r w:rsidR="009B44D6" w:rsidRPr="000451F5">
        <w:t>n.d.</w:t>
      </w:r>
      <w:r w:rsidR="00A77492" w:rsidRPr="000451F5">
        <w:t>)</w:t>
      </w:r>
      <w:r w:rsidRPr="000451F5">
        <w:t>, p. 14.</w:t>
      </w:r>
      <w:r w:rsidRPr="000451F5">
        <w:rPr>
          <w:rFonts w:cs="Calibri Light"/>
        </w:rPr>
        <w:t xml:space="preserve"> </w:t>
      </w:r>
    </w:p>
  </w:footnote>
  <w:footnote w:id="185">
    <w:p w14:paraId="3D64D3D0" w14:textId="1C94AF88" w:rsidR="00DB216A" w:rsidRPr="00090DB2" w:rsidRDefault="00DB216A" w:rsidP="00386A1F">
      <w:pPr>
        <w:pStyle w:val="Footnotes"/>
      </w:pPr>
      <w:r w:rsidRPr="000451F5">
        <w:rPr>
          <w:rStyle w:val="FootnoteReference"/>
        </w:rPr>
        <w:footnoteRef/>
      </w:r>
      <w:r w:rsidR="00A77492" w:rsidRPr="000451F5">
        <w:tab/>
      </w:r>
      <w:r w:rsidRPr="000451F5">
        <w:rPr>
          <w:rFonts w:cs="Calibri Light"/>
        </w:rPr>
        <w:t>NSWPSC</w:t>
      </w:r>
      <w:r w:rsidR="00A77492" w:rsidRPr="000451F5">
        <w:rPr>
          <w:rFonts w:cs="Calibri Light"/>
        </w:rPr>
        <w:t xml:space="preserve"> (</w:t>
      </w:r>
      <w:r w:rsidR="00090DB2" w:rsidRPr="000451F5">
        <w:rPr>
          <w:rFonts w:cs="Calibri Light"/>
        </w:rPr>
        <w:t>n.d.</w:t>
      </w:r>
      <w:r w:rsidR="00A77492" w:rsidRPr="000451F5">
        <w:rPr>
          <w:rFonts w:cs="Calibri Light"/>
        </w:rPr>
        <w:t>)</w:t>
      </w:r>
      <w:r w:rsidRPr="000451F5">
        <w:rPr>
          <w:rFonts w:cs="Calibri Light"/>
        </w:rPr>
        <w:t>, p</w:t>
      </w:r>
      <w:r w:rsidR="000451F5">
        <w:rPr>
          <w:rFonts w:cs="Calibri Light"/>
        </w:rPr>
        <w:t>p</w:t>
      </w:r>
      <w:r w:rsidRPr="000451F5">
        <w:rPr>
          <w:rFonts w:cs="Calibri Light"/>
        </w:rPr>
        <w:t>. 14-15.</w:t>
      </w:r>
      <w:r w:rsidRPr="00090DB2">
        <w:rPr>
          <w:rFonts w:cs="Calibri Light"/>
        </w:rPr>
        <w:t xml:space="preserve"> </w:t>
      </w:r>
    </w:p>
  </w:footnote>
  <w:footnote w:id="186">
    <w:p w14:paraId="601EADAC" w14:textId="145D081E" w:rsidR="00DB216A" w:rsidRPr="00090DB2" w:rsidRDefault="00DB216A" w:rsidP="00386A1F">
      <w:pPr>
        <w:pStyle w:val="Footnotes"/>
      </w:pPr>
      <w:r w:rsidRPr="00090DB2">
        <w:rPr>
          <w:rStyle w:val="FootnoteReference"/>
        </w:rPr>
        <w:footnoteRef/>
      </w:r>
      <w:r w:rsidR="00E504E0" w:rsidRPr="00090DB2">
        <w:tab/>
      </w:r>
      <w:r w:rsidRPr="00090DB2">
        <w:rPr>
          <w:i/>
          <w:iCs/>
        </w:rPr>
        <w:t>Statutory and Other Offices Remuneration Act 1975</w:t>
      </w:r>
      <w:r w:rsidRPr="00090DB2">
        <w:t xml:space="preserve"> (NSW), ss 24O and 24P.</w:t>
      </w:r>
    </w:p>
  </w:footnote>
  <w:footnote w:id="187">
    <w:p w14:paraId="055041BA" w14:textId="73E9A8CF" w:rsidR="003E381F" w:rsidRPr="00090DB2" w:rsidRDefault="003E381F" w:rsidP="00386A1F">
      <w:pPr>
        <w:pStyle w:val="Footnotes"/>
      </w:pPr>
      <w:r w:rsidRPr="00090DB2">
        <w:rPr>
          <w:rStyle w:val="FootnoteReference"/>
        </w:rPr>
        <w:footnoteRef/>
      </w:r>
      <w:r w:rsidR="00E504E0" w:rsidRPr="00090DB2">
        <w:tab/>
      </w:r>
      <w:r w:rsidRPr="00D97662">
        <w:t xml:space="preserve">NSWPSC </w:t>
      </w:r>
      <w:r w:rsidR="00F92629" w:rsidRPr="00D97662">
        <w:t>(</w:t>
      </w:r>
      <w:r w:rsidR="00090DB2" w:rsidRPr="00D97662">
        <w:t>n.d.</w:t>
      </w:r>
      <w:r w:rsidR="00F92629" w:rsidRPr="00D97662">
        <w:t>)</w:t>
      </w:r>
      <w:r w:rsidRPr="00D97662">
        <w:t>, p. 15.</w:t>
      </w:r>
    </w:p>
  </w:footnote>
  <w:footnote w:id="188">
    <w:p w14:paraId="13F99AE5" w14:textId="79E2CE80" w:rsidR="00DB216A" w:rsidRDefault="00DB216A" w:rsidP="00386A1F">
      <w:pPr>
        <w:pStyle w:val="Footnotes"/>
      </w:pPr>
      <w:r w:rsidRPr="00090DB2">
        <w:rPr>
          <w:rStyle w:val="FootnoteReference"/>
        </w:rPr>
        <w:footnoteRef/>
      </w:r>
      <w:r w:rsidR="00E504E0" w:rsidRPr="00090DB2">
        <w:tab/>
      </w:r>
      <w:r w:rsidRPr="00D97662">
        <w:t>SOORT (2023), pp. 10-11.</w:t>
      </w:r>
      <w:r w:rsidRPr="00DB216A">
        <w:t xml:space="preserve"> </w:t>
      </w:r>
    </w:p>
  </w:footnote>
  <w:footnote w:id="189">
    <w:p w14:paraId="69B7FCE2" w14:textId="77FADB91" w:rsidR="00DB216A" w:rsidRPr="00DB216A" w:rsidRDefault="00DB216A" w:rsidP="00386A1F">
      <w:pPr>
        <w:pStyle w:val="Footnotes"/>
      </w:pPr>
      <w:r>
        <w:rPr>
          <w:rStyle w:val="FootnoteReference"/>
        </w:rPr>
        <w:footnoteRef/>
      </w:r>
      <w:r w:rsidR="00E504E0">
        <w:tab/>
      </w:r>
      <w:r w:rsidRPr="00371984">
        <w:rPr>
          <w:i/>
          <w:iCs/>
        </w:rPr>
        <w:t>Government Sector Employment Act 2013</w:t>
      </w:r>
      <w:r w:rsidRPr="00DB216A">
        <w:t xml:space="preserve"> (NSW), </w:t>
      </w:r>
      <w:r w:rsidRPr="00DB216A" w:rsidDel="00976A24">
        <w:t>s</w:t>
      </w:r>
      <w:r w:rsidRPr="00DB216A">
        <w:t xml:space="preserve"> 41. </w:t>
      </w:r>
    </w:p>
  </w:footnote>
  <w:footnote w:id="190">
    <w:p w14:paraId="526D650F" w14:textId="684C86FB" w:rsidR="00DB216A" w:rsidRDefault="00DB216A" w:rsidP="00386A1F">
      <w:pPr>
        <w:pStyle w:val="Footnotes"/>
      </w:pPr>
      <w:r>
        <w:rPr>
          <w:rStyle w:val="FootnoteReference"/>
        </w:rPr>
        <w:footnoteRef/>
      </w:r>
      <w:r w:rsidR="00E504E0">
        <w:tab/>
      </w:r>
      <w:r w:rsidRPr="009E0549">
        <w:t>Government Sector Employment (General) Rules 2014</w:t>
      </w:r>
      <w:r w:rsidRPr="00DB216A">
        <w:t xml:space="preserve"> (NSW), </w:t>
      </w:r>
      <w:r w:rsidRPr="00DB216A" w:rsidDel="00EA5638">
        <w:t>s</w:t>
      </w:r>
      <w:r w:rsidRPr="00DB216A">
        <w:t xml:space="preserve"> 42.</w:t>
      </w:r>
      <w:r>
        <w:t xml:space="preserve">  </w:t>
      </w:r>
    </w:p>
  </w:footnote>
  <w:footnote w:id="191">
    <w:p w14:paraId="49CACD0F" w14:textId="3D751CD3" w:rsidR="00DB216A" w:rsidRDefault="00DB216A" w:rsidP="00DB216A">
      <w:pPr>
        <w:pStyle w:val="FootnoteText"/>
      </w:pPr>
      <w:r>
        <w:rPr>
          <w:rStyle w:val="FootnoteReference"/>
        </w:rPr>
        <w:footnoteRef/>
      </w:r>
      <w:r w:rsidR="00371984">
        <w:tab/>
      </w:r>
      <w:r w:rsidRPr="00D97662">
        <w:rPr>
          <w:rFonts w:cs="Calibri Light"/>
        </w:rPr>
        <w:t>Government Sector Employment Regulation 2014</w:t>
      </w:r>
      <w:r w:rsidR="00B57726" w:rsidRPr="00371984">
        <w:rPr>
          <w:rFonts w:cs="Calibri Light"/>
        </w:rPr>
        <w:t xml:space="preserve"> (NSW)</w:t>
      </w:r>
      <w:r w:rsidRPr="00DB216A">
        <w:rPr>
          <w:rFonts w:cs="Calibri Light"/>
        </w:rPr>
        <w:t xml:space="preserve">, cl 39. </w:t>
      </w:r>
    </w:p>
  </w:footnote>
  <w:footnote w:id="192">
    <w:p w14:paraId="0429A5C6" w14:textId="69BA82E6" w:rsidR="00DB216A" w:rsidRDefault="00DB216A" w:rsidP="003E30D6">
      <w:pPr>
        <w:pStyle w:val="Footnotes"/>
      </w:pPr>
      <w:r>
        <w:rPr>
          <w:rStyle w:val="FootnoteReference"/>
        </w:rPr>
        <w:footnoteRef/>
      </w:r>
      <w:r w:rsidR="00EE3F2B">
        <w:tab/>
        <w:t>QPSC (2023</w:t>
      </w:r>
      <w:r w:rsidR="00A214FC">
        <w:t>b</w:t>
      </w:r>
      <w:r w:rsidR="00EE3F2B">
        <w:t>)</w:t>
      </w:r>
      <w:r w:rsidRPr="00A40554">
        <w:t xml:space="preserve">. </w:t>
      </w:r>
    </w:p>
  </w:footnote>
  <w:footnote w:id="193">
    <w:p w14:paraId="4CC950EE" w14:textId="7812F02E" w:rsidR="00DB216A" w:rsidRPr="009E3AAC" w:rsidRDefault="00DB216A" w:rsidP="003E30D6">
      <w:pPr>
        <w:pStyle w:val="Footnotes"/>
      </w:pPr>
      <w:r w:rsidRPr="009E3AAC">
        <w:rPr>
          <w:rStyle w:val="FootnoteReference"/>
        </w:rPr>
        <w:footnoteRef/>
      </w:r>
      <w:r w:rsidR="00EE3F2B" w:rsidRPr="009E3AAC">
        <w:tab/>
      </w:r>
      <w:r w:rsidR="00747977" w:rsidRPr="00D97662">
        <w:t>QPSC (2023</w:t>
      </w:r>
      <w:r w:rsidR="009E3AAC" w:rsidRPr="00D97662">
        <w:t>c</w:t>
      </w:r>
      <w:r w:rsidR="00747977" w:rsidRPr="00D97662">
        <w:t>)</w:t>
      </w:r>
      <w:r w:rsidR="009E3AAC" w:rsidRPr="00D97662">
        <w:t>.</w:t>
      </w:r>
      <w:r w:rsidR="00747977" w:rsidRPr="009E3AAC">
        <w:t xml:space="preserve"> </w:t>
      </w:r>
    </w:p>
  </w:footnote>
  <w:footnote w:id="194">
    <w:p w14:paraId="6232968C" w14:textId="693576C5" w:rsidR="00DB216A" w:rsidRPr="00CA06C8" w:rsidRDefault="00DB216A" w:rsidP="003E30D6">
      <w:pPr>
        <w:pStyle w:val="Footnotes"/>
      </w:pPr>
      <w:r w:rsidRPr="009E3AAC">
        <w:rPr>
          <w:rStyle w:val="FootnoteReference"/>
        </w:rPr>
        <w:footnoteRef/>
      </w:r>
      <w:r w:rsidR="00064F0A" w:rsidRPr="009E3AAC">
        <w:tab/>
      </w:r>
      <w:r w:rsidRPr="00CA06C8">
        <w:t>QPSC</w:t>
      </w:r>
      <w:r w:rsidR="00B9192E" w:rsidRPr="00CA06C8">
        <w:t xml:space="preserve"> (2023</w:t>
      </w:r>
      <w:r w:rsidR="009E3AAC" w:rsidRPr="00CA06C8">
        <w:t>c</w:t>
      </w:r>
      <w:r w:rsidR="00BA383B" w:rsidRPr="00CA06C8">
        <w:t>).</w:t>
      </w:r>
    </w:p>
  </w:footnote>
  <w:footnote w:id="195">
    <w:p w14:paraId="49C65BC4" w14:textId="56248006" w:rsidR="00DB216A" w:rsidRDefault="00DB216A" w:rsidP="003E30D6">
      <w:pPr>
        <w:pStyle w:val="Footnotes"/>
      </w:pPr>
      <w:r w:rsidRPr="009E3AAC">
        <w:rPr>
          <w:rStyle w:val="FootnoteReference"/>
        </w:rPr>
        <w:footnoteRef/>
      </w:r>
      <w:r w:rsidR="00064F0A" w:rsidRPr="009E3AAC">
        <w:tab/>
      </w:r>
      <w:r w:rsidR="00187CA5" w:rsidRPr="009E3AAC">
        <w:t>State Government of Queensland (2023)</w:t>
      </w:r>
      <w:r w:rsidR="00C71EF5" w:rsidRPr="009E3AAC">
        <w:t>.</w:t>
      </w:r>
      <w:r w:rsidR="00187CA5" w:rsidRPr="00187CA5">
        <w:t xml:space="preserve"> </w:t>
      </w:r>
    </w:p>
  </w:footnote>
  <w:footnote w:id="196">
    <w:p w14:paraId="59BB3F0D" w14:textId="1A8E2E09" w:rsidR="00DB216A" w:rsidRPr="00B12588" w:rsidRDefault="00DB216A" w:rsidP="003E30D6">
      <w:pPr>
        <w:pStyle w:val="Footnotes"/>
      </w:pPr>
      <w:r w:rsidRPr="00B12588">
        <w:rPr>
          <w:rStyle w:val="FootnoteReference"/>
        </w:rPr>
        <w:footnoteRef/>
      </w:r>
      <w:r w:rsidR="00064F0A" w:rsidRPr="00B12588">
        <w:tab/>
      </w:r>
      <w:r w:rsidRPr="00D97662">
        <w:rPr>
          <w:rFonts w:cs="Calibri Light"/>
        </w:rPr>
        <w:t>QPSC</w:t>
      </w:r>
      <w:r w:rsidR="00B9192E" w:rsidRPr="00D97662">
        <w:rPr>
          <w:rFonts w:cs="Calibri Light"/>
        </w:rPr>
        <w:t xml:space="preserve"> (2023</w:t>
      </w:r>
      <w:r w:rsidR="008050D4" w:rsidRPr="00D97662">
        <w:rPr>
          <w:rFonts w:cs="Calibri Light"/>
        </w:rPr>
        <w:t>c</w:t>
      </w:r>
      <w:r w:rsidR="00B9192E" w:rsidRPr="00D97662">
        <w:rPr>
          <w:rFonts w:cs="Calibri Light"/>
        </w:rPr>
        <w:t>)</w:t>
      </w:r>
      <w:r w:rsidR="00BA383B" w:rsidRPr="00D97662">
        <w:rPr>
          <w:rFonts w:cs="Calibri Light"/>
        </w:rPr>
        <w:t>.</w:t>
      </w:r>
      <w:r w:rsidR="00BA383B" w:rsidRPr="00B12588">
        <w:rPr>
          <w:rFonts w:cs="Calibri Light"/>
        </w:rPr>
        <w:t xml:space="preserve"> </w:t>
      </w:r>
      <w:r w:rsidRPr="00B12588">
        <w:rPr>
          <w:rFonts w:cs="Calibri Light"/>
        </w:rPr>
        <w:t xml:space="preserve"> </w:t>
      </w:r>
    </w:p>
  </w:footnote>
  <w:footnote w:id="197">
    <w:p w14:paraId="7F6EAF2F" w14:textId="3F67E01F" w:rsidR="00DB216A" w:rsidRPr="00D97662" w:rsidRDefault="00DB216A" w:rsidP="003E30D6">
      <w:pPr>
        <w:pStyle w:val="Footnotes"/>
        <w:rPr>
          <w:rFonts w:cs="Calibri Light"/>
          <w:szCs w:val="24"/>
        </w:rPr>
      </w:pPr>
      <w:r w:rsidRPr="00B12588">
        <w:rPr>
          <w:rStyle w:val="FootnoteReference"/>
          <w:rFonts w:cs="Calibri Light"/>
        </w:rPr>
        <w:footnoteRef/>
      </w:r>
      <w:r w:rsidR="002711C5" w:rsidRPr="00B12588">
        <w:tab/>
      </w:r>
      <w:r w:rsidRPr="00D97662">
        <w:rPr>
          <w:rFonts w:cs="Calibri Light"/>
          <w:szCs w:val="18"/>
        </w:rPr>
        <w:t>QPSC</w:t>
      </w:r>
      <w:r w:rsidR="001C18E5" w:rsidRPr="00D97662">
        <w:rPr>
          <w:rFonts w:cs="Calibri Light"/>
          <w:szCs w:val="18"/>
        </w:rPr>
        <w:t xml:space="preserve"> (202</w:t>
      </w:r>
      <w:r w:rsidR="002711C5" w:rsidRPr="00D97662">
        <w:rPr>
          <w:rFonts w:cs="Calibri Light"/>
          <w:szCs w:val="18"/>
        </w:rPr>
        <w:t>3</w:t>
      </w:r>
      <w:r w:rsidR="00B12588" w:rsidRPr="00D97662">
        <w:rPr>
          <w:rFonts w:cs="Calibri Light"/>
          <w:szCs w:val="18"/>
        </w:rPr>
        <w:t>c</w:t>
      </w:r>
      <w:r w:rsidR="002711C5" w:rsidRPr="00D97662">
        <w:rPr>
          <w:rFonts w:cs="Calibri Light"/>
          <w:szCs w:val="18"/>
        </w:rPr>
        <w:t>).</w:t>
      </w:r>
      <w:r w:rsidRPr="00D97662">
        <w:rPr>
          <w:rFonts w:cs="Calibri Light"/>
          <w:szCs w:val="18"/>
        </w:rPr>
        <w:t xml:space="preserve"> </w:t>
      </w:r>
    </w:p>
  </w:footnote>
  <w:footnote w:id="198">
    <w:p w14:paraId="544399A1" w14:textId="2078E796" w:rsidR="00DB216A" w:rsidRPr="00DB216A" w:rsidRDefault="00DB216A" w:rsidP="003E30D6">
      <w:pPr>
        <w:pStyle w:val="Footnotes"/>
        <w:rPr>
          <w:rFonts w:cs="Calibri Light"/>
        </w:rPr>
      </w:pPr>
      <w:r w:rsidRPr="00D97662">
        <w:rPr>
          <w:rStyle w:val="FootnoteReference"/>
          <w:rFonts w:cs="Calibri Light"/>
        </w:rPr>
        <w:footnoteRef/>
      </w:r>
      <w:r w:rsidR="002711C5" w:rsidRPr="00D97662">
        <w:rPr>
          <w:rFonts w:cs="Calibri Light"/>
        </w:rPr>
        <w:tab/>
      </w:r>
      <w:r w:rsidRPr="00D97662">
        <w:rPr>
          <w:rFonts w:cs="Calibri Light"/>
        </w:rPr>
        <w:t>QPSC</w:t>
      </w:r>
      <w:r w:rsidR="002711C5" w:rsidRPr="00D97662">
        <w:rPr>
          <w:rFonts w:cs="Calibri Light"/>
        </w:rPr>
        <w:t xml:space="preserve"> (2023</w:t>
      </w:r>
      <w:r w:rsidR="00B12588" w:rsidRPr="00D97662">
        <w:rPr>
          <w:rFonts w:cs="Calibri Light"/>
        </w:rPr>
        <w:t>c</w:t>
      </w:r>
      <w:r w:rsidR="002711C5" w:rsidRPr="00D97662">
        <w:rPr>
          <w:rFonts w:cs="Calibri Light"/>
        </w:rPr>
        <w:t>).</w:t>
      </w:r>
      <w:r w:rsidRPr="00D97662">
        <w:rPr>
          <w:rFonts w:cs="Calibri Light"/>
        </w:rPr>
        <w:t xml:space="preserve"> </w:t>
      </w:r>
    </w:p>
  </w:footnote>
  <w:footnote w:id="199">
    <w:p w14:paraId="4069A38F" w14:textId="5A045A13" w:rsidR="00DB216A" w:rsidRPr="00DB216A" w:rsidRDefault="00DB216A" w:rsidP="003E30D6">
      <w:pPr>
        <w:pStyle w:val="Footnotes"/>
      </w:pPr>
      <w:r w:rsidRPr="00DB216A">
        <w:rPr>
          <w:rStyle w:val="FootnoteReference"/>
          <w:rFonts w:cs="Calibri Light"/>
        </w:rPr>
        <w:footnoteRef/>
      </w:r>
      <w:r w:rsidR="002711C5">
        <w:tab/>
      </w:r>
      <w:r w:rsidRPr="002711C5">
        <w:rPr>
          <w:i/>
          <w:iCs/>
        </w:rPr>
        <w:t xml:space="preserve">Public Service Act </w:t>
      </w:r>
      <w:r w:rsidRPr="003E30D6">
        <w:rPr>
          <w:i/>
          <w:iCs/>
        </w:rPr>
        <w:t>2022</w:t>
      </w:r>
      <w:r w:rsidRPr="00DB216A">
        <w:t xml:space="preserve"> (Qld), ss 175</w:t>
      </w:r>
      <w:r w:rsidR="00DE4A29">
        <w:t>,</w:t>
      </w:r>
      <w:r w:rsidRPr="00DB216A">
        <w:t xml:space="preserve"> 191.  </w:t>
      </w:r>
    </w:p>
  </w:footnote>
  <w:footnote w:id="200">
    <w:p w14:paraId="2FB47845" w14:textId="4F235537" w:rsidR="00DB216A" w:rsidRDefault="00DB216A" w:rsidP="003E30D6">
      <w:pPr>
        <w:pStyle w:val="Footnotes"/>
      </w:pPr>
      <w:r>
        <w:rPr>
          <w:rStyle w:val="FootnoteReference"/>
        </w:rPr>
        <w:footnoteRef/>
      </w:r>
      <w:r w:rsidR="002711C5">
        <w:tab/>
      </w:r>
      <w:r w:rsidR="009B308E">
        <w:t>QPSC (2023</w:t>
      </w:r>
      <w:r w:rsidR="00B12588">
        <w:t>a</w:t>
      </w:r>
      <w:r w:rsidR="009B308E">
        <w:t>)</w:t>
      </w:r>
      <w:r w:rsidR="00381FE8">
        <w:t>.</w:t>
      </w:r>
      <w:r>
        <w:t xml:space="preserve"> </w:t>
      </w:r>
    </w:p>
  </w:footnote>
  <w:footnote w:id="201">
    <w:p w14:paraId="3976C84F" w14:textId="5179B2EC" w:rsidR="00DB216A" w:rsidRDefault="00DB216A" w:rsidP="003E30D6">
      <w:pPr>
        <w:pStyle w:val="Footnotes"/>
      </w:pPr>
      <w:r>
        <w:rPr>
          <w:rStyle w:val="FootnoteReference"/>
        </w:rPr>
        <w:footnoteRef/>
      </w:r>
      <w:r w:rsidR="00381FE8">
        <w:tab/>
      </w:r>
      <w:r w:rsidR="002A77D9" w:rsidRPr="002A77D9">
        <w:t>QPSC (2023</w:t>
      </w:r>
      <w:r w:rsidR="00B12588">
        <w:t>a</w:t>
      </w:r>
      <w:r w:rsidR="002A77D9" w:rsidRPr="002A77D9">
        <w:t>).</w:t>
      </w:r>
    </w:p>
  </w:footnote>
  <w:footnote w:id="202">
    <w:p w14:paraId="1CEF3EFD" w14:textId="7B79FF0B" w:rsidR="00DB216A" w:rsidRDefault="00DB216A" w:rsidP="003E30D6">
      <w:pPr>
        <w:pStyle w:val="Footnotes"/>
      </w:pPr>
      <w:r>
        <w:rPr>
          <w:rStyle w:val="FootnoteReference"/>
        </w:rPr>
        <w:footnoteRef/>
      </w:r>
      <w:r w:rsidR="00381FE8">
        <w:tab/>
      </w:r>
      <w:r w:rsidR="002A77D9" w:rsidRPr="002A77D9">
        <w:t>QPSC (2023</w:t>
      </w:r>
      <w:r w:rsidR="00B12588">
        <w:t>a</w:t>
      </w:r>
      <w:r w:rsidR="002A77D9" w:rsidRPr="002A77D9">
        <w:t>).</w:t>
      </w:r>
    </w:p>
  </w:footnote>
  <w:footnote w:id="203">
    <w:p w14:paraId="28AEE3DC" w14:textId="694CB223" w:rsidR="008478FE" w:rsidRDefault="008478FE" w:rsidP="0042497E">
      <w:pPr>
        <w:pStyle w:val="Footnotes"/>
      </w:pPr>
      <w:r>
        <w:rPr>
          <w:rStyle w:val="FootnoteReference"/>
        </w:rPr>
        <w:footnoteRef/>
      </w:r>
      <w:r w:rsidR="00890252">
        <w:tab/>
      </w:r>
      <w:r>
        <w:t>VIRTIPS Act, s 24(2).</w:t>
      </w:r>
    </w:p>
  </w:footnote>
  <w:footnote w:id="204">
    <w:p w14:paraId="58682E03" w14:textId="5AC931B5" w:rsidR="008478FE" w:rsidRDefault="008478FE" w:rsidP="0042497E">
      <w:pPr>
        <w:pStyle w:val="Footnotes"/>
      </w:pPr>
      <w:r>
        <w:rPr>
          <w:rStyle w:val="FootnoteReference"/>
        </w:rPr>
        <w:footnoteRef/>
      </w:r>
      <w:r w:rsidR="00C01293">
        <w:tab/>
      </w:r>
      <w:r>
        <w:t>ABS (</w:t>
      </w:r>
      <w:r w:rsidR="00A013AB" w:rsidRPr="00A013AB">
        <w:t>2024a)</w:t>
      </w:r>
      <w:r>
        <w:t>. Throughout this chapter, unless referring to an observation made by the RBA, long-run (excluding the pandemic) average refers to the average over the period from 2000 to 2019 (inclusive) as calculated by the Tribunal.</w:t>
      </w:r>
    </w:p>
  </w:footnote>
  <w:footnote w:id="205">
    <w:p w14:paraId="2FBA00AF" w14:textId="54A05C70" w:rsidR="008478FE" w:rsidRDefault="008478FE" w:rsidP="0042497E">
      <w:pPr>
        <w:pStyle w:val="Footnotes"/>
      </w:pPr>
      <w:r>
        <w:rPr>
          <w:rStyle w:val="FootnoteReference"/>
        </w:rPr>
        <w:footnoteRef/>
      </w:r>
      <w:r w:rsidR="00347740">
        <w:tab/>
      </w:r>
      <w:r w:rsidR="00D40CF0" w:rsidRPr="00D40CF0">
        <w:t>ABS (2024a).</w:t>
      </w:r>
    </w:p>
  </w:footnote>
  <w:footnote w:id="206">
    <w:p w14:paraId="0DB8FA04" w14:textId="5B3FB904" w:rsidR="008478FE" w:rsidRDefault="008478FE" w:rsidP="0042497E">
      <w:pPr>
        <w:pStyle w:val="Footnotes"/>
      </w:pPr>
      <w:r>
        <w:rPr>
          <w:rStyle w:val="FootnoteReference"/>
        </w:rPr>
        <w:footnoteRef/>
      </w:r>
      <w:r w:rsidR="00347740">
        <w:tab/>
      </w:r>
      <w:r w:rsidR="00383615" w:rsidRPr="00383615">
        <w:t>DTF (</w:t>
      </w:r>
      <w:r w:rsidR="00383615" w:rsidRPr="00EB0435">
        <w:t>2024</w:t>
      </w:r>
      <w:r w:rsidR="00EB0435" w:rsidRPr="00EB0435">
        <w:t>d</w:t>
      </w:r>
      <w:r w:rsidR="00383615" w:rsidRPr="00EB0435">
        <w:t>),</w:t>
      </w:r>
      <w:r w:rsidRPr="00EB0435">
        <w:t xml:space="preserve"> p. 18.</w:t>
      </w:r>
    </w:p>
  </w:footnote>
  <w:footnote w:id="207">
    <w:p w14:paraId="7D5D69ED" w14:textId="6FDA728A" w:rsidR="007861D6" w:rsidRDefault="007861D6">
      <w:pPr>
        <w:pStyle w:val="FootnoteText"/>
      </w:pPr>
      <w:r>
        <w:rPr>
          <w:rStyle w:val="FootnoteReference"/>
        </w:rPr>
        <w:footnoteRef/>
      </w:r>
      <w:r>
        <w:tab/>
      </w:r>
      <w:r w:rsidR="00313818">
        <w:t xml:space="preserve">ABS </w:t>
      </w:r>
      <w:r w:rsidR="00DF0BC5">
        <w:t>(</w:t>
      </w:r>
      <w:r w:rsidR="00313818">
        <w:t>2023)</w:t>
      </w:r>
      <w:r w:rsidR="00DF0BC5">
        <w:t xml:space="preserve">. </w:t>
      </w:r>
    </w:p>
  </w:footnote>
  <w:footnote w:id="208">
    <w:p w14:paraId="0C5C2706" w14:textId="17513EC9" w:rsidR="008478FE" w:rsidRPr="00347740" w:rsidRDefault="008478FE" w:rsidP="0042497E">
      <w:pPr>
        <w:pStyle w:val="Footnotes"/>
      </w:pPr>
      <w:r w:rsidRPr="00347740">
        <w:rPr>
          <w:rStyle w:val="FootnoteReference"/>
        </w:rPr>
        <w:footnoteRef/>
      </w:r>
      <w:r w:rsidR="00347740" w:rsidRPr="00347740">
        <w:tab/>
      </w:r>
      <w:r w:rsidR="00383615" w:rsidRPr="00347740">
        <w:t>ABS (2024a)</w:t>
      </w:r>
      <w:r w:rsidR="00FF254B">
        <w:t>.</w:t>
      </w:r>
    </w:p>
  </w:footnote>
  <w:footnote w:id="209">
    <w:p w14:paraId="4651D42A" w14:textId="77746519" w:rsidR="008478FE" w:rsidRPr="00347740" w:rsidRDefault="008478FE" w:rsidP="0042497E">
      <w:pPr>
        <w:pStyle w:val="Footnotes"/>
      </w:pPr>
      <w:r w:rsidRPr="00347740">
        <w:rPr>
          <w:rStyle w:val="FootnoteReference"/>
        </w:rPr>
        <w:footnoteRef/>
      </w:r>
      <w:r w:rsidR="00347740" w:rsidRPr="00347740">
        <w:tab/>
      </w:r>
      <w:r w:rsidR="00383615" w:rsidRPr="00347740">
        <w:t>ABS (2024a)</w:t>
      </w:r>
      <w:r w:rsidR="00FF254B">
        <w:t>.</w:t>
      </w:r>
    </w:p>
  </w:footnote>
  <w:footnote w:id="210">
    <w:p w14:paraId="4C4537EF" w14:textId="2A92F76A" w:rsidR="008478FE" w:rsidRDefault="008478FE" w:rsidP="0042497E">
      <w:pPr>
        <w:pStyle w:val="Footnotes"/>
      </w:pPr>
      <w:r w:rsidRPr="00347740">
        <w:rPr>
          <w:rStyle w:val="FootnoteReference"/>
        </w:rPr>
        <w:footnoteRef/>
      </w:r>
      <w:r w:rsidR="00347740">
        <w:tab/>
      </w:r>
      <w:r w:rsidR="009D741B" w:rsidRPr="009D741B">
        <w:t>RBA (2024b),</w:t>
      </w:r>
      <w:r w:rsidR="000339F2" w:rsidRPr="009D741B" w:rsidDel="000339F2">
        <w:t xml:space="preserve"> </w:t>
      </w:r>
      <w:r>
        <w:t>pp. 29, 44.</w:t>
      </w:r>
    </w:p>
  </w:footnote>
  <w:footnote w:id="211">
    <w:p w14:paraId="167F9C26" w14:textId="7A5481B5" w:rsidR="008478FE" w:rsidRDefault="008478FE" w:rsidP="0042497E">
      <w:pPr>
        <w:pStyle w:val="Footnotes"/>
      </w:pPr>
      <w:r>
        <w:rPr>
          <w:rStyle w:val="FootnoteReference"/>
        </w:rPr>
        <w:footnoteRef/>
      </w:r>
      <w:r w:rsidR="009A0AD7">
        <w:tab/>
      </w:r>
      <w:r w:rsidR="000E3D79" w:rsidRPr="000E3D79">
        <w:t>ABS (2024c).</w:t>
      </w:r>
    </w:p>
  </w:footnote>
  <w:footnote w:id="212">
    <w:p w14:paraId="38962CDB" w14:textId="01545FF0" w:rsidR="008478FE" w:rsidRDefault="008478FE" w:rsidP="0042497E">
      <w:pPr>
        <w:pStyle w:val="Footnotes"/>
      </w:pPr>
      <w:r>
        <w:rPr>
          <w:rStyle w:val="FootnoteReference"/>
        </w:rPr>
        <w:footnoteRef/>
      </w:r>
      <w:r w:rsidR="009A0AD7">
        <w:tab/>
      </w:r>
      <w:r w:rsidR="000E3D79" w:rsidRPr="000E3D79">
        <w:t>ABS (2024</w:t>
      </w:r>
      <w:r w:rsidR="001D054E">
        <w:t>f</w:t>
      </w:r>
      <w:r w:rsidR="000E3D79" w:rsidRPr="000E3D79">
        <w:t>).</w:t>
      </w:r>
    </w:p>
  </w:footnote>
  <w:footnote w:id="213">
    <w:p w14:paraId="7443993C" w14:textId="68EB2444" w:rsidR="008478FE" w:rsidRDefault="008478FE" w:rsidP="0042497E">
      <w:pPr>
        <w:pStyle w:val="Footnotes"/>
      </w:pPr>
      <w:r>
        <w:rPr>
          <w:rStyle w:val="FootnoteReference"/>
        </w:rPr>
        <w:footnoteRef/>
      </w:r>
      <w:r w:rsidR="00A75351">
        <w:tab/>
      </w:r>
      <w:r w:rsidR="00B07150" w:rsidRPr="000E3D79">
        <w:t>ABS (2024c).</w:t>
      </w:r>
    </w:p>
  </w:footnote>
  <w:footnote w:id="214">
    <w:p w14:paraId="53917CAD" w14:textId="594BFD9B" w:rsidR="00AB32A1" w:rsidRDefault="00AB32A1" w:rsidP="0042497E">
      <w:pPr>
        <w:pStyle w:val="Footnotes"/>
      </w:pPr>
      <w:r>
        <w:rPr>
          <w:rStyle w:val="FootnoteReference"/>
        </w:rPr>
        <w:footnoteRef/>
      </w:r>
      <w:r w:rsidR="00A75351">
        <w:tab/>
      </w:r>
      <w:r w:rsidR="00B07150" w:rsidRPr="00383615">
        <w:t>DTF (2024</w:t>
      </w:r>
      <w:r w:rsidR="00F456FD">
        <w:t>d</w:t>
      </w:r>
      <w:r w:rsidR="00B07150" w:rsidRPr="00383615">
        <w:t>),</w:t>
      </w:r>
      <w:r w:rsidR="00B07150">
        <w:t xml:space="preserve"> </w:t>
      </w:r>
      <w:r>
        <w:t>p. 29.</w:t>
      </w:r>
    </w:p>
  </w:footnote>
  <w:footnote w:id="215">
    <w:p w14:paraId="0AA71CB4" w14:textId="02D2C2BB" w:rsidR="008478FE" w:rsidRDefault="008478FE" w:rsidP="0042497E">
      <w:pPr>
        <w:pStyle w:val="Footnotes"/>
      </w:pPr>
      <w:r>
        <w:rPr>
          <w:rStyle w:val="FootnoteReference"/>
        </w:rPr>
        <w:footnoteRef/>
      </w:r>
      <w:r w:rsidR="00A75351">
        <w:tab/>
      </w:r>
      <w:r w:rsidR="00B07150" w:rsidRPr="009D741B">
        <w:t>RBA (2024b)</w:t>
      </w:r>
      <w:r w:rsidR="00B65ABB">
        <w:t>,</w:t>
      </w:r>
      <w:r w:rsidR="00B07150">
        <w:t xml:space="preserve"> </w:t>
      </w:r>
      <w:r>
        <w:t>p. 28.</w:t>
      </w:r>
    </w:p>
  </w:footnote>
  <w:footnote w:id="216">
    <w:p w14:paraId="1485133D" w14:textId="15D62CE0" w:rsidR="003C4EC3" w:rsidRDefault="003C4EC3" w:rsidP="003C4EC3">
      <w:pPr>
        <w:pStyle w:val="FootnoteText"/>
      </w:pPr>
      <w:r>
        <w:rPr>
          <w:rStyle w:val="FootnoteReference"/>
        </w:rPr>
        <w:footnoteRef/>
      </w:r>
      <w:r>
        <w:tab/>
      </w:r>
      <w:r w:rsidRPr="00C26E28">
        <w:t>ABS (2024e).</w:t>
      </w:r>
    </w:p>
  </w:footnote>
  <w:footnote w:id="217">
    <w:p w14:paraId="7D316C1E" w14:textId="0D1B5C48" w:rsidR="008478FE" w:rsidRDefault="008478FE" w:rsidP="0042497E">
      <w:pPr>
        <w:pStyle w:val="Footnotes"/>
      </w:pPr>
      <w:r>
        <w:rPr>
          <w:rStyle w:val="FootnoteReference"/>
        </w:rPr>
        <w:footnoteRef/>
      </w:r>
      <w:r w:rsidR="00A75351">
        <w:tab/>
      </w:r>
      <w:r w:rsidR="00C26E28" w:rsidRPr="00C26E28">
        <w:t>ABS (2024e).</w:t>
      </w:r>
    </w:p>
  </w:footnote>
  <w:footnote w:id="218">
    <w:p w14:paraId="6C0DC151" w14:textId="6ACB027D" w:rsidR="008478FE" w:rsidRDefault="008478FE" w:rsidP="0042497E">
      <w:pPr>
        <w:pStyle w:val="Footnotes"/>
      </w:pPr>
      <w:r>
        <w:rPr>
          <w:rStyle w:val="FootnoteReference"/>
        </w:rPr>
        <w:footnoteRef/>
      </w:r>
      <w:r w:rsidR="00D5540C">
        <w:tab/>
      </w:r>
      <w:r w:rsidR="00CA25E6" w:rsidRPr="00383615">
        <w:t>DTF (2024</w:t>
      </w:r>
      <w:r w:rsidR="00F456FD">
        <w:t>d</w:t>
      </w:r>
      <w:r w:rsidR="00CA25E6" w:rsidRPr="00383615">
        <w:t>),</w:t>
      </w:r>
      <w:r>
        <w:t xml:space="preserve"> p. </w:t>
      </w:r>
      <w:r w:rsidR="000150EF">
        <w:t>27</w:t>
      </w:r>
      <w:r>
        <w:t>.</w:t>
      </w:r>
    </w:p>
  </w:footnote>
  <w:footnote w:id="219">
    <w:p w14:paraId="66BE3B88" w14:textId="09AB7A18" w:rsidR="008478FE" w:rsidRDefault="008478FE" w:rsidP="0042497E">
      <w:pPr>
        <w:pStyle w:val="Footnotes"/>
      </w:pPr>
      <w:r>
        <w:rPr>
          <w:rStyle w:val="FootnoteReference"/>
        </w:rPr>
        <w:footnoteRef/>
      </w:r>
      <w:r w:rsidR="00D5540C">
        <w:tab/>
      </w:r>
      <w:r w:rsidR="000150EF" w:rsidRPr="00C26E28">
        <w:t>ABS (2024e).</w:t>
      </w:r>
    </w:p>
  </w:footnote>
  <w:footnote w:id="220">
    <w:p w14:paraId="2AFEBB08" w14:textId="344805B0" w:rsidR="008478FE" w:rsidRDefault="008478FE" w:rsidP="0042497E">
      <w:pPr>
        <w:pStyle w:val="Footnotes"/>
      </w:pPr>
      <w:r>
        <w:rPr>
          <w:rStyle w:val="FootnoteReference"/>
        </w:rPr>
        <w:footnoteRef/>
      </w:r>
      <w:r w:rsidR="00D5540C">
        <w:tab/>
      </w:r>
      <w:r w:rsidR="00704FA5" w:rsidRPr="00704FA5">
        <w:t>ABS (2024h)</w:t>
      </w:r>
      <w:r>
        <w:t>.</w:t>
      </w:r>
    </w:p>
  </w:footnote>
  <w:footnote w:id="221">
    <w:p w14:paraId="0959E798" w14:textId="4FB28B80" w:rsidR="008478FE" w:rsidRDefault="008478FE" w:rsidP="0042497E">
      <w:pPr>
        <w:pStyle w:val="Footnotes"/>
      </w:pPr>
      <w:r>
        <w:rPr>
          <w:rStyle w:val="FootnoteReference"/>
        </w:rPr>
        <w:footnoteRef/>
      </w:r>
      <w:r w:rsidR="00D5540C">
        <w:tab/>
      </w:r>
      <w:r w:rsidR="007301FE" w:rsidRPr="007301FE">
        <w:t>RBA (2024b),</w:t>
      </w:r>
      <w:r>
        <w:t xml:space="preserve"> p. 29.</w:t>
      </w:r>
    </w:p>
  </w:footnote>
  <w:footnote w:id="222">
    <w:p w14:paraId="591662D9" w14:textId="61221B99" w:rsidR="008478FE" w:rsidRDefault="008478FE" w:rsidP="0042497E">
      <w:pPr>
        <w:pStyle w:val="Footnotes"/>
      </w:pPr>
      <w:r>
        <w:rPr>
          <w:rStyle w:val="FootnoteReference"/>
        </w:rPr>
        <w:footnoteRef/>
      </w:r>
      <w:r w:rsidR="00D5540C">
        <w:tab/>
      </w:r>
      <w:r w:rsidR="005D25DE" w:rsidRPr="005D25DE">
        <w:t xml:space="preserve">Department of Employment and Workplace Relations (Cth) (2024), </w:t>
      </w:r>
      <w:r>
        <w:t>p. 7.</w:t>
      </w:r>
    </w:p>
  </w:footnote>
  <w:footnote w:id="223">
    <w:p w14:paraId="4ADAF440" w14:textId="77E8515B" w:rsidR="008478FE" w:rsidRDefault="008478FE" w:rsidP="0042497E">
      <w:pPr>
        <w:pStyle w:val="Footnotes"/>
      </w:pPr>
      <w:r>
        <w:rPr>
          <w:rStyle w:val="FootnoteReference"/>
        </w:rPr>
        <w:footnoteRef/>
      </w:r>
      <w:r w:rsidR="00A80918">
        <w:tab/>
      </w:r>
      <w:r w:rsidR="00A54D6E">
        <w:t>FWC</w:t>
      </w:r>
      <w:r w:rsidR="00842B6A" w:rsidRPr="00842B6A">
        <w:t xml:space="preserve"> (2024)</w:t>
      </w:r>
      <w:r>
        <w:t>, p. 8.</w:t>
      </w:r>
    </w:p>
  </w:footnote>
  <w:footnote w:id="224">
    <w:p w14:paraId="28BA5DE1" w14:textId="5A95E881" w:rsidR="008C0F54" w:rsidRDefault="008C0F54" w:rsidP="0042497E">
      <w:pPr>
        <w:pStyle w:val="Footnotes"/>
      </w:pPr>
      <w:r>
        <w:rPr>
          <w:rStyle w:val="FootnoteReference"/>
        </w:rPr>
        <w:footnoteRef/>
      </w:r>
      <w:r w:rsidR="00A80918">
        <w:tab/>
      </w:r>
      <w:r w:rsidR="00A54D6E">
        <w:t>FWC</w:t>
      </w:r>
      <w:r w:rsidR="00842B6A" w:rsidRPr="00842B6A">
        <w:t xml:space="preserve"> (2024)</w:t>
      </w:r>
      <w:r w:rsidR="00842B6A">
        <w:t xml:space="preserve">, </w:t>
      </w:r>
      <w:r>
        <w:t>p. 8.</w:t>
      </w:r>
    </w:p>
  </w:footnote>
  <w:footnote w:id="225">
    <w:p w14:paraId="0EFD272C" w14:textId="68F500CC" w:rsidR="00F76D45" w:rsidRDefault="00F76D45" w:rsidP="0042497E">
      <w:pPr>
        <w:pStyle w:val="Footnotes"/>
      </w:pPr>
      <w:r>
        <w:rPr>
          <w:rStyle w:val="FootnoteReference"/>
        </w:rPr>
        <w:footnoteRef/>
      </w:r>
      <w:r w:rsidR="00A80918">
        <w:tab/>
      </w:r>
      <w:r w:rsidRPr="00704FA5">
        <w:t>ABS (2024h)</w:t>
      </w:r>
      <w:r>
        <w:t>.</w:t>
      </w:r>
    </w:p>
  </w:footnote>
  <w:footnote w:id="226">
    <w:p w14:paraId="3F72605F" w14:textId="5107C616" w:rsidR="008478FE" w:rsidRDefault="008478FE" w:rsidP="0042497E">
      <w:pPr>
        <w:pStyle w:val="Footnotes"/>
      </w:pPr>
      <w:r>
        <w:rPr>
          <w:rStyle w:val="FootnoteReference"/>
        </w:rPr>
        <w:footnoteRef/>
      </w:r>
      <w:r w:rsidR="004429A4">
        <w:tab/>
      </w:r>
      <w:r w:rsidR="00C512B7" w:rsidRPr="00704FA5">
        <w:t>ABS (2024h)</w:t>
      </w:r>
      <w:r w:rsidR="00C512B7">
        <w:t>.</w:t>
      </w:r>
    </w:p>
  </w:footnote>
  <w:footnote w:id="227">
    <w:p w14:paraId="21E7FB00" w14:textId="23F90283" w:rsidR="008478FE" w:rsidRDefault="008478FE" w:rsidP="0042497E">
      <w:pPr>
        <w:pStyle w:val="Footnotes"/>
      </w:pPr>
      <w:r>
        <w:rPr>
          <w:rStyle w:val="FootnoteReference"/>
        </w:rPr>
        <w:footnoteRef/>
      </w:r>
      <w:r w:rsidR="004429A4">
        <w:tab/>
      </w:r>
      <w:r w:rsidR="00C512B7" w:rsidRPr="00C512B7">
        <w:t>DTF (2024</w:t>
      </w:r>
      <w:r w:rsidR="00156DAA">
        <w:t>h</w:t>
      </w:r>
      <w:r w:rsidR="00C512B7" w:rsidRPr="00C512B7">
        <w:t xml:space="preserve">), </w:t>
      </w:r>
      <w:r>
        <w:t>p. 8.</w:t>
      </w:r>
    </w:p>
  </w:footnote>
  <w:footnote w:id="228">
    <w:p w14:paraId="5B94E459" w14:textId="5DAB1152" w:rsidR="008478FE" w:rsidRDefault="008478FE" w:rsidP="0042497E">
      <w:pPr>
        <w:pStyle w:val="Footnotes"/>
      </w:pPr>
      <w:r>
        <w:rPr>
          <w:rStyle w:val="FootnoteReference"/>
        </w:rPr>
        <w:footnoteRef/>
      </w:r>
      <w:r w:rsidR="004429A4">
        <w:tab/>
      </w:r>
      <w:r w:rsidR="00C512B7" w:rsidRPr="00D40CF0">
        <w:t>ABS (2024a).</w:t>
      </w:r>
    </w:p>
  </w:footnote>
  <w:footnote w:id="229">
    <w:p w14:paraId="7A0910C1" w14:textId="37D3F9F1" w:rsidR="008478FE" w:rsidRDefault="008478FE" w:rsidP="0042497E">
      <w:pPr>
        <w:pStyle w:val="Footnotes"/>
      </w:pPr>
      <w:r>
        <w:rPr>
          <w:rStyle w:val="FootnoteReference"/>
        </w:rPr>
        <w:footnoteRef/>
      </w:r>
      <w:r w:rsidR="004429A4">
        <w:tab/>
      </w:r>
      <w:r w:rsidR="008A077E" w:rsidRPr="008A077E">
        <w:t>ABS (2024b).</w:t>
      </w:r>
    </w:p>
  </w:footnote>
  <w:footnote w:id="230">
    <w:p w14:paraId="48D4C7EE" w14:textId="2D108CE6" w:rsidR="008478FE" w:rsidRDefault="008478FE" w:rsidP="0042497E">
      <w:pPr>
        <w:pStyle w:val="Footnotes"/>
      </w:pPr>
      <w:r>
        <w:rPr>
          <w:rStyle w:val="FootnoteReference"/>
        </w:rPr>
        <w:footnoteRef/>
      </w:r>
      <w:r w:rsidR="004429A4">
        <w:tab/>
      </w:r>
      <w:r w:rsidR="008A077E" w:rsidRPr="008A077E">
        <w:t>ABS (2024h).</w:t>
      </w:r>
    </w:p>
  </w:footnote>
  <w:footnote w:id="231">
    <w:p w14:paraId="2606CD34" w14:textId="25122025" w:rsidR="008478FE" w:rsidRDefault="008478FE" w:rsidP="0042497E">
      <w:pPr>
        <w:pStyle w:val="Footnotes"/>
      </w:pPr>
      <w:r>
        <w:rPr>
          <w:rStyle w:val="FootnoteReference"/>
        </w:rPr>
        <w:footnoteRef/>
      </w:r>
      <w:r w:rsidR="00324A2F">
        <w:tab/>
      </w:r>
      <w:r w:rsidR="00645B51" w:rsidRPr="00716004">
        <w:t>RBA (2024b),</w:t>
      </w:r>
      <w:r w:rsidR="00220664">
        <w:t xml:space="preserve"> p</w:t>
      </w:r>
      <w:r w:rsidR="005F2FE8">
        <w:t>p</w:t>
      </w:r>
      <w:r w:rsidR="00220664">
        <w:t xml:space="preserve">. </w:t>
      </w:r>
      <w:r w:rsidR="005F2FE8">
        <w:t xml:space="preserve">43, </w:t>
      </w:r>
      <w:r w:rsidR="00220664">
        <w:t>51.</w:t>
      </w:r>
    </w:p>
  </w:footnote>
  <w:footnote w:id="232">
    <w:p w14:paraId="6DFB1243" w14:textId="682AE296" w:rsidR="008478FE" w:rsidRDefault="008478FE" w:rsidP="0042497E">
      <w:pPr>
        <w:pStyle w:val="Footnotes"/>
      </w:pPr>
      <w:r>
        <w:rPr>
          <w:rStyle w:val="FootnoteReference"/>
        </w:rPr>
        <w:footnoteRef/>
      </w:r>
      <w:r w:rsidR="00324A2F">
        <w:tab/>
      </w:r>
      <w:r w:rsidR="008E36EE" w:rsidRPr="000E57B7">
        <w:t>DTF (2024</w:t>
      </w:r>
      <w:r w:rsidR="00156DAA">
        <w:t>d</w:t>
      </w:r>
      <w:r w:rsidR="008E36EE" w:rsidRPr="000E57B7">
        <w:t>), p</w:t>
      </w:r>
      <w:r w:rsidR="000E57B7" w:rsidRPr="000E57B7">
        <w:t>p</w:t>
      </w:r>
      <w:r w:rsidR="008E36EE" w:rsidRPr="000E57B7">
        <w:t>.</w:t>
      </w:r>
      <w:r w:rsidR="000E57B7" w:rsidRPr="000E57B7">
        <w:t xml:space="preserve"> 23-24,</w:t>
      </w:r>
      <w:r w:rsidR="008E36EE" w:rsidRPr="000E57B7">
        <w:t xml:space="preserve"> 26</w:t>
      </w:r>
      <w:r w:rsidR="008E36EE">
        <w:t>.</w:t>
      </w:r>
    </w:p>
  </w:footnote>
  <w:footnote w:id="233">
    <w:p w14:paraId="53F89464" w14:textId="35950966" w:rsidR="008478FE" w:rsidRDefault="008478FE" w:rsidP="0042497E">
      <w:pPr>
        <w:pStyle w:val="Footnotes"/>
      </w:pPr>
      <w:r>
        <w:rPr>
          <w:rStyle w:val="FootnoteReference"/>
        </w:rPr>
        <w:footnoteRef/>
      </w:r>
      <w:r w:rsidR="00324A2F">
        <w:tab/>
      </w:r>
      <w:r w:rsidR="00616D68" w:rsidRPr="00716004">
        <w:t xml:space="preserve">RBA (2024b), </w:t>
      </w:r>
      <w:r w:rsidR="00616D68">
        <w:t>p</w:t>
      </w:r>
      <w:r w:rsidR="005F2FE8">
        <w:t>p</w:t>
      </w:r>
      <w:r w:rsidR="00616D68">
        <w:t xml:space="preserve">. </w:t>
      </w:r>
      <w:r w:rsidR="005F2FE8">
        <w:t>50-</w:t>
      </w:r>
      <w:r w:rsidR="00616D68">
        <w:t>51.</w:t>
      </w:r>
    </w:p>
  </w:footnote>
  <w:footnote w:id="234">
    <w:p w14:paraId="0261AA81" w14:textId="3EE38453" w:rsidR="008478FE" w:rsidRDefault="008478FE" w:rsidP="0042497E">
      <w:pPr>
        <w:pStyle w:val="Footnotes"/>
      </w:pPr>
      <w:r>
        <w:rPr>
          <w:rStyle w:val="FootnoteReference"/>
        </w:rPr>
        <w:footnoteRef/>
      </w:r>
      <w:r w:rsidR="00B849BE">
        <w:tab/>
      </w:r>
      <w:r w:rsidR="000B2A7C" w:rsidRPr="00716004">
        <w:t xml:space="preserve">RBA (2024b), </w:t>
      </w:r>
      <w:r>
        <w:t>pp. 44-45.</w:t>
      </w:r>
    </w:p>
  </w:footnote>
  <w:footnote w:id="235">
    <w:p w14:paraId="77D6D919" w14:textId="02AC4E3E" w:rsidR="008478FE" w:rsidRDefault="008478FE" w:rsidP="0042497E">
      <w:pPr>
        <w:pStyle w:val="Footnotes"/>
      </w:pPr>
      <w:r>
        <w:rPr>
          <w:rStyle w:val="FootnoteReference"/>
        </w:rPr>
        <w:footnoteRef/>
      </w:r>
      <w:r w:rsidR="00B849BE">
        <w:tab/>
      </w:r>
      <w:r w:rsidR="000B2A7C" w:rsidRPr="00716004">
        <w:t>RBA (2024b),</w:t>
      </w:r>
      <w:r w:rsidR="000B2A7C">
        <w:t xml:space="preserve"> p</w:t>
      </w:r>
      <w:r w:rsidR="00D974FE">
        <w:t>p</w:t>
      </w:r>
      <w:r w:rsidR="000B2A7C">
        <w:t xml:space="preserve">. </w:t>
      </w:r>
      <w:r w:rsidR="00E969C2">
        <w:t>45-46</w:t>
      </w:r>
      <w:r w:rsidR="000B2A7C">
        <w:t>.</w:t>
      </w:r>
    </w:p>
  </w:footnote>
  <w:footnote w:id="236">
    <w:p w14:paraId="085383CE" w14:textId="18EC3AA3" w:rsidR="008478FE" w:rsidRDefault="008478FE" w:rsidP="0042497E">
      <w:pPr>
        <w:pStyle w:val="Footnotes"/>
      </w:pPr>
      <w:r>
        <w:rPr>
          <w:rStyle w:val="FootnoteReference"/>
        </w:rPr>
        <w:footnoteRef/>
      </w:r>
      <w:r w:rsidR="00B849BE">
        <w:tab/>
      </w:r>
      <w:r w:rsidR="000B2A7C" w:rsidRPr="0073644B">
        <w:t>Commonwealth of Australia (2024),</w:t>
      </w:r>
      <w:r w:rsidR="000B2A7C">
        <w:t xml:space="preserve"> p</w:t>
      </w:r>
      <w:r w:rsidR="0043704E">
        <w:t>p</w:t>
      </w:r>
      <w:r w:rsidR="000B2A7C">
        <w:t xml:space="preserve">. </w:t>
      </w:r>
      <w:r w:rsidR="009543C1">
        <w:t xml:space="preserve">53, </w:t>
      </w:r>
      <w:r w:rsidR="00176FAC">
        <w:t>62.</w:t>
      </w:r>
    </w:p>
  </w:footnote>
  <w:footnote w:id="237">
    <w:p w14:paraId="06F439A6" w14:textId="1585A75E" w:rsidR="008478FE" w:rsidRDefault="008478FE" w:rsidP="0042497E">
      <w:pPr>
        <w:pStyle w:val="Footnotes"/>
      </w:pPr>
      <w:r>
        <w:rPr>
          <w:rStyle w:val="FootnoteReference"/>
        </w:rPr>
        <w:footnoteRef/>
      </w:r>
      <w:r w:rsidR="005462AF">
        <w:tab/>
      </w:r>
      <w:r w:rsidR="001C52D0" w:rsidRPr="000E57B7">
        <w:t>DTF (2024</w:t>
      </w:r>
      <w:r w:rsidR="00156DAA">
        <w:t>d</w:t>
      </w:r>
      <w:r w:rsidR="001C52D0" w:rsidRPr="000E57B7">
        <w:t>),</w:t>
      </w:r>
      <w:r w:rsidR="001C52D0">
        <w:t xml:space="preserve"> </w:t>
      </w:r>
      <w:r>
        <w:t>p. 29.</w:t>
      </w:r>
    </w:p>
  </w:footnote>
  <w:footnote w:id="238">
    <w:p w14:paraId="6254578A" w14:textId="68FC6296" w:rsidR="008478FE" w:rsidRDefault="008478FE" w:rsidP="0042497E">
      <w:pPr>
        <w:pStyle w:val="Footnotes"/>
      </w:pPr>
      <w:r>
        <w:rPr>
          <w:rStyle w:val="FootnoteReference"/>
        </w:rPr>
        <w:footnoteRef/>
      </w:r>
      <w:r w:rsidR="005462AF">
        <w:tab/>
      </w:r>
      <w:r w:rsidR="00BC7D1F" w:rsidRPr="00716004">
        <w:t xml:space="preserve">RBA (2024b), </w:t>
      </w:r>
      <w:r w:rsidR="00BC7D1F">
        <w:t>p</w:t>
      </w:r>
      <w:r w:rsidR="00921933">
        <w:t>p</w:t>
      </w:r>
      <w:r w:rsidR="00BC7D1F">
        <w:t>. 43</w:t>
      </w:r>
      <w:r w:rsidR="00921933">
        <w:t>, 51</w:t>
      </w:r>
      <w:r w:rsidR="00BC7D1F">
        <w:t>.</w:t>
      </w:r>
    </w:p>
  </w:footnote>
  <w:footnote w:id="239">
    <w:p w14:paraId="58AF38DA" w14:textId="40ED66E0" w:rsidR="008478FE" w:rsidRDefault="008478FE" w:rsidP="0042497E">
      <w:pPr>
        <w:pStyle w:val="Footnotes"/>
      </w:pPr>
      <w:r>
        <w:rPr>
          <w:rStyle w:val="FootnoteReference"/>
        </w:rPr>
        <w:footnoteRef/>
      </w:r>
      <w:r w:rsidR="000B7DC0">
        <w:tab/>
      </w:r>
      <w:r w:rsidR="00F928CF" w:rsidRPr="0073644B">
        <w:t xml:space="preserve">Commonwealth of Australia (2024), </w:t>
      </w:r>
      <w:r w:rsidR="00F928CF">
        <w:t>p. 53</w:t>
      </w:r>
      <w:r w:rsidR="00F928CF" w:rsidRPr="008478FE">
        <w:t>.</w:t>
      </w:r>
    </w:p>
  </w:footnote>
  <w:footnote w:id="240">
    <w:p w14:paraId="5524D65D" w14:textId="1F6227E7" w:rsidR="008478FE" w:rsidRDefault="008478FE" w:rsidP="0042497E">
      <w:pPr>
        <w:pStyle w:val="Footnotes"/>
      </w:pPr>
      <w:r>
        <w:rPr>
          <w:rStyle w:val="FootnoteReference"/>
        </w:rPr>
        <w:footnoteRef/>
      </w:r>
      <w:r w:rsidR="000B7DC0">
        <w:tab/>
      </w:r>
      <w:r w:rsidR="00F928CF" w:rsidRPr="000E57B7">
        <w:t>DTF (2024</w:t>
      </w:r>
      <w:r w:rsidR="00156DAA">
        <w:t>d</w:t>
      </w:r>
      <w:r w:rsidR="00F928CF" w:rsidRPr="000E57B7">
        <w:t>),</w:t>
      </w:r>
      <w:r w:rsidR="00F928CF">
        <w:t xml:space="preserve"> p. 18.</w:t>
      </w:r>
    </w:p>
  </w:footnote>
  <w:footnote w:id="241">
    <w:p w14:paraId="01409F75" w14:textId="0864ECEC" w:rsidR="008478FE" w:rsidRDefault="008478FE" w:rsidP="0042497E">
      <w:pPr>
        <w:pStyle w:val="Footnotes"/>
      </w:pPr>
      <w:r>
        <w:rPr>
          <w:rStyle w:val="FootnoteReference"/>
        </w:rPr>
        <w:footnoteRef/>
      </w:r>
      <w:r w:rsidR="000B7DC0">
        <w:tab/>
      </w:r>
      <w:r w:rsidR="00C90C15" w:rsidRPr="00716004">
        <w:t xml:space="preserve">RBA (2024b), </w:t>
      </w:r>
      <w:r w:rsidR="00512243">
        <w:t xml:space="preserve">pp. 28, </w:t>
      </w:r>
      <w:r w:rsidR="005F5FAE">
        <w:t xml:space="preserve">44, </w:t>
      </w:r>
      <w:r w:rsidR="00C90C15">
        <w:t>51.</w:t>
      </w:r>
    </w:p>
  </w:footnote>
  <w:footnote w:id="242">
    <w:p w14:paraId="2731EDAC" w14:textId="35790793" w:rsidR="008478FE" w:rsidRDefault="008478FE" w:rsidP="0042497E">
      <w:pPr>
        <w:pStyle w:val="Footnotes"/>
      </w:pPr>
      <w:r>
        <w:rPr>
          <w:rStyle w:val="FootnoteReference"/>
        </w:rPr>
        <w:footnoteRef/>
      </w:r>
      <w:r w:rsidR="000B7DC0">
        <w:tab/>
      </w:r>
      <w:r w:rsidR="00E03229" w:rsidRPr="0073644B">
        <w:t xml:space="preserve">Commonwealth of Australia (2024), </w:t>
      </w:r>
      <w:r w:rsidR="00E03229">
        <w:t>p. 53</w:t>
      </w:r>
    </w:p>
  </w:footnote>
  <w:footnote w:id="243">
    <w:p w14:paraId="146759B3" w14:textId="0AFC65F5" w:rsidR="00AA18DD" w:rsidRDefault="00AA18DD" w:rsidP="0042497E">
      <w:pPr>
        <w:pStyle w:val="Footnotes"/>
      </w:pPr>
      <w:r>
        <w:rPr>
          <w:rStyle w:val="FootnoteReference"/>
        </w:rPr>
        <w:footnoteRef/>
      </w:r>
      <w:r w:rsidR="000B7DC0">
        <w:tab/>
      </w:r>
      <w:r w:rsidRPr="000E57B7">
        <w:t>DTF (2024</w:t>
      </w:r>
      <w:r w:rsidR="00156DAA">
        <w:t>d</w:t>
      </w:r>
      <w:r w:rsidRPr="000E57B7">
        <w:t>),</w:t>
      </w:r>
      <w:r>
        <w:t xml:space="preserve"> p. 18.</w:t>
      </w:r>
    </w:p>
  </w:footnote>
  <w:footnote w:id="244">
    <w:p w14:paraId="4177B2BB" w14:textId="5447A1C8" w:rsidR="008478FE" w:rsidRDefault="008478FE" w:rsidP="0042497E">
      <w:pPr>
        <w:pStyle w:val="Footnotes"/>
      </w:pPr>
      <w:r>
        <w:rPr>
          <w:rStyle w:val="FootnoteReference"/>
        </w:rPr>
        <w:footnoteRef/>
      </w:r>
      <w:r w:rsidR="000B7DC0">
        <w:tab/>
      </w:r>
      <w:r w:rsidR="00E03229" w:rsidRPr="00716004">
        <w:t xml:space="preserve">RBA (2024b), </w:t>
      </w:r>
      <w:r w:rsidR="00E03229">
        <w:t>p</w:t>
      </w:r>
      <w:r w:rsidR="00402EAD">
        <w:t>p</w:t>
      </w:r>
      <w:r w:rsidR="00E03229">
        <w:t xml:space="preserve">. </w:t>
      </w:r>
      <w:r w:rsidR="00402EAD">
        <w:t xml:space="preserve">44, </w:t>
      </w:r>
      <w:r w:rsidR="00E03229">
        <w:t>51.</w:t>
      </w:r>
    </w:p>
  </w:footnote>
  <w:footnote w:id="245">
    <w:p w14:paraId="28108DB5" w14:textId="0ABD31AD" w:rsidR="008478FE" w:rsidRDefault="008478FE" w:rsidP="0042497E">
      <w:pPr>
        <w:pStyle w:val="Footnotes"/>
      </w:pPr>
      <w:r>
        <w:rPr>
          <w:rStyle w:val="FootnoteReference"/>
        </w:rPr>
        <w:footnoteRef/>
      </w:r>
      <w:r w:rsidR="000129A1">
        <w:tab/>
      </w:r>
      <w:r w:rsidR="005F2109" w:rsidRPr="00716004">
        <w:t xml:space="preserve">RBA (2024b), </w:t>
      </w:r>
      <w:r>
        <w:t>pp. 5, 48-49.</w:t>
      </w:r>
    </w:p>
  </w:footnote>
  <w:footnote w:id="246">
    <w:p w14:paraId="1E192BC7" w14:textId="7BC17CB0" w:rsidR="008478FE" w:rsidRDefault="008478FE" w:rsidP="0042497E">
      <w:pPr>
        <w:pStyle w:val="Footnotes"/>
      </w:pPr>
      <w:r>
        <w:rPr>
          <w:rStyle w:val="FootnoteReference"/>
        </w:rPr>
        <w:footnoteRef/>
      </w:r>
      <w:r w:rsidR="000129A1">
        <w:tab/>
      </w:r>
      <w:r w:rsidR="005F2109" w:rsidRPr="00716004">
        <w:t xml:space="preserve">RBA (2024b), </w:t>
      </w:r>
      <w:r>
        <w:t>pp. 48-49.</w:t>
      </w:r>
    </w:p>
  </w:footnote>
  <w:footnote w:id="247">
    <w:p w14:paraId="46B12EA9" w14:textId="3A9173D3" w:rsidR="008478FE" w:rsidRDefault="008478FE" w:rsidP="0042497E">
      <w:pPr>
        <w:pStyle w:val="Footnotes"/>
      </w:pPr>
      <w:r>
        <w:rPr>
          <w:rStyle w:val="FootnoteReference"/>
        </w:rPr>
        <w:footnoteRef/>
      </w:r>
      <w:r w:rsidR="000129A1">
        <w:tab/>
      </w:r>
      <w:r w:rsidR="005F2109" w:rsidRPr="00716004">
        <w:t xml:space="preserve">RBA (2024b), </w:t>
      </w:r>
      <w:r>
        <w:t>p. 5.</w:t>
      </w:r>
    </w:p>
  </w:footnote>
  <w:footnote w:id="248">
    <w:p w14:paraId="1657DA2C" w14:textId="2626CD45" w:rsidR="008478FE" w:rsidRDefault="008478FE" w:rsidP="0042497E">
      <w:pPr>
        <w:pStyle w:val="Footnotes"/>
      </w:pPr>
      <w:r>
        <w:rPr>
          <w:rStyle w:val="FootnoteReference"/>
        </w:rPr>
        <w:footnoteRef/>
      </w:r>
      <w:r w:rsidR="000129A1">
        <w:tab/>
      </w:r>
      <w:r w:rsidR="005F2109" w:rsidRPr="000E57B7">
        <w:t>DTF (2024</w:t>
      </w:r>
      <w:r w:rsidR="00156DAA">
        <w:t>d</w:t>
      </w:r>
      <w:r w:rsidR="005F2109" w:rsidRPr="000E57B7">
        <w:t xml:space="preserve">), </w:t>
      </w:r>
      <w:r>
        <w:t>pp. 36-37.</w:t>
      </w:r>
    </w:p>
  </w:footnote>
  <w:footnote w:id="249">
    <w:p w14:paraId="4359761E" w14:textId="41BAE14E" w:rsidR="008478FE" w:rsidRDefault="008478FE" w:rsidP="0042497E">
      <w:pPr>
        <w:pStyle w:val="Footnotes"/>
      </w:pPr>
      <w:r>
        <w:rPr>
          <w:rStyle w:val="FootnoteReference"/>
        </w:rPr>
        <w:footnoteRef/>
      </w:r>
      <w:r w:rsidR="00C164B8" w:rsidRPr="0083144D">
        <w:tab/>
      </w:r>
      <w:r w:rsidR="0092526E" w:rsidRPr="0083144D">
        <w:t>DTF (2024</w:t>
      </w:r>
      <w:r w:rsidR="008020B8" w:rsidRPr="0083144D">
        <w:t>d</w:t>
      </w:r>
      <w:r w:rsidR="0092526E" w:rsidRPr="0083144D">
        <w:t xml:space="preserve">), </w:t>
      </w:r>
      <w:r w:rsidRPr="0083144D">
        <w:t>p. 4.</w:t>
      </w:r>
    </w:p>
  </w:footnote>
  <w:footnote w:id="250">
    <w:p w14:paraId="5A153636" w14:textId="0100C579" w:rsidR="008478FE" w:rsidRDefault="008478FE" w:rsidP="0042497E">
      <w:pPr>
        <w:pStyle w:val="Footnotes"/>
      </w:pPr>
      <w:r>
        <w:rPr>
          <w:rStyle w:val="FootnoteReference"/>
        </w:rPr>
        <w:footnoteRef/>
      </w:r>
      <w:r w:rsidR="00C164B8" w:rsidRPr="0083144D">
        <w:tab/>
      </w:r>
      <w:r w:rsidR="0092526E" w:rsidRPr="005F3A6F">
        <w:t>DTF (</w:t>
      </w:r>
      <w:r w:rsidR="00603996" w:rsidRPr="005F3A6F">
        <w:t>2023</w:t>
      </w:r>
      <w:r w:rsidR="008020B8" w:rsidRPr="005F3A6F">
        <w:t>d</w:t>
      </w:r>
      <w:r w:rsidR="0092526E" w:rsidRPr="005F3A6F">
        <w:t xml:space="preserve">), </w:t>
      </w:r>
      <w:r w:rsidRPr="005F3A6F">
        <w:t xml:space="preserve">p. </w:t>
      </w:r>
      <w:r w:rsidR="00603996" w:rsidRPr="005F3A6F">
        <w:t>20</w:t>
      </w:r>
      <w:r w:rsidRPr="0083144D">
        <w:t>.</w:t>
      </w:r>
    </w:p>
  </w:footnote>
  <w:footnote w:id="251">
    <w:p w14:paraId="64EE291A" w14:textId="18555E67" w:rsidR="006C227A" w:rsidRDefault="006C227A" w:rsidP="0042497E">
      <w:pPr>
        <w:pStyle w:val="Footnotes"/>
      </w:pPr>
      <w:r>
        <w:rPr>
          <w:rStyle w:val="FootnoteReference"/>
        </w:rPr>
        <w:footnoteRef/>
      </w:r>
      <w:r w:rsidR="00C164B8" w:rsidRPr="0083144D">
        <w:tab/>
      </w:r>
      <w:r w:rsidR="0092526E" w:rsidRPr="0083144D">
        <w:t>DTF (2024</w:t>
      </w:r>
      <w:r w:rsidR="008020B8" w:rsidRPr="0083144D">
        <w:t>d</w:t>
      </w:r>
      <w:r w:rsidR="0092526E" w:rsidRPr="0083144D">
        <w:t xml:space="preserve">), </w:t>
      </w:r>
      <w:r w:rsidRPr="0083144D">
        <w:t>p. 4.</w:t>
      </w:r>
    </w:p>
  </w:footnote>
  <w:footnote w:id="252">
    <w:p w14:paraId="146DECF9" w14:textId="6259EF29" w:rsidR="0039789F" w:rsidRDefault="0039789F" w:rsidP="0042497E">
      <w:pPr>
        <w:pStyle w:val="Footnotes"/>
      </w:pPr>
      <w:r>
        <w:rPr>
          <w:rStyle w:val="FootnoteReference"/>
        </w:rPr>
        <w:footnoteRef/>
      </w:r>
      <w:r w:rsidR="00C164B8" w:rsidRPr="0083144D">
        <w:tab/>
      </w:r>
      <w:r w:rsidRPr="0083144D">
        <w:t>DTF (2024</w:t>
      </w:r>
      <w:r w:rsidR="008020B8" w:rsidRPr="0083144D">
        <w:t>d</w:t>
      </w:r>
      <w:r w:rsidRPr="0083144D">
        <w:t>), p. 6.</w:t>
      </w:r>
    </w:p>
  </w:footnote>
  <w:footnote w:id="253">
    <w:p w14:paraId="40C30F38" w14:textId="30A9BCF0" w:rsidR="003B05AA" w:rsidRDefault="003B05AA" w:rsidP="0042497E">
      <w:pPr>
        <w:pStyle w:val="Footnotes"/>
      </w:pPr>
      <w:r>
        <w:rPr>
          <w:rStyle w:val="FootnoteReference"/>
        </w:rPr>
        <w:footnoteRef/>
      </w:r>
      <w:r w:rsidR="00C164B8" w:rsidRPr="0083144D">
        <w:tab/>
      </w:r>
      <w:r w:rsidR="00385CEC" w:rsidRPr="0083144D">
        <w:t>DTF (2024</w:t>
      </w:r>
      <w:r w:rsidR="008020B8" w:rsidRPr="0083144D">
        <w:t>d</w:t>
      </w:r>
      <w:r w:rsidR="00385CEC" w:rsidRPr="0083144D">
        <w:t>), p. 6</w:t>
      </w:r>
      <w:r w:rsidR="006755CF">
        <w:t>.</w:t>
      </w:r>
    </w:p>
  </w:footnote>
  <w:footnote w:id="254">
    <w:p w14:paraId="7E71EB66" w14:textId="41D3E8F3" w:rsidR="00A4262D" w:rsidRDefault="00A4262D" w:rsidP="0042497E">
      <w:pPr>
        <w:pStyle w:val="Footnotes"/>
      </w:pPr>
      <w:r>
        <w:rPr>
          <w:rStyle w:val="FootnoteReference"/>
        </w:rPr>
        <w:footnoteRef/>
      </w:r>
      <w:r w:rsidR="000F154F">
        <w:tab/>
      </w:r>
      <w:r w:rsidRPr="000E57B7">
        <w:t>DTF (2024</w:t>
      </w:r>
      <w:r w:rsidR="0083144D">
        <w:t>d</w:t>
      </w:r>
      <w:r w:rsidRPr="000E57B7">
        <w:t xml:space="preserve">), </w:t>
      </w:r>
      <w:r w:rsidR="00B03535">
        <w:t>p</w:t>
      </w:r>
      <w:r>
        <w:t xml:space="preserve">p. </w:t>
      </w:r>
      <w:r w:rsidR="00B03535">
        <w:t>3-</w:t>
      </w:r>
      <w:r>
        <w:t>4.</w:t>
      </w:r>
    </w:p>
  </w:footnote>
  <w:footnote w:id="255">
    <w:p w14:paraId="7B53735E" w14:textId="344D648B" w:rsidR="0050156B" w:rsidRDefault="0050156B" w:rsidP="0042497E">
      <w:pPr>
        <w:pStyle w:val="Footnotes"/>
      </w:pPr>
      <w:r>
        <w:rPr>
          <w:rStyle w:val="FootnoteReference"/>
        </w:rPr>
        <w:footnoteRef/>
      </w:r>
      <w:r w:rsidR="000F154F">
        <w:tab/>
      </w:r>
      <w:r w:rsidR="00EC2F07" w:rsidRPr="00EC2F07">
        <w:t>DTF (2024</w:t>
      </w:r>
      <w:r w:rsidR="00327D14">
        <w:t>d</w:t>
      </w:r>
      <w:r w:rsidR="00EC2F07" w:rsidRPr="00EC2F07">
        <w:t>), p. 53.</w:t>
      </w:r>
    </w:p>
  </w:footnote>
  <w:footnote w:id="256">
    <w:p w14:paraId="0BCBFDC5" w14:textId="69A3FE89" w:rsidR="0097020F" w:rsidRDefault="0097020F" w:rsidP="0097020F">
      <w:pPr>
        <w:pStyle w:val="Footnotes"/>
      </w:pPr>
      <w:r>
        <w:rPr>
          <w:rStyle w:val="FootnoteReference"/>
        </w:rPr>
        <w:footnoteRef/>
      </w:r>
      <w:r>
        <w:tab/>
      </w:r>
      <w:r w:rsidR="00327D14">
        <w:t xml:space="preserve">DTF (2024c); </w:t>
      </w:r>
      <w:r w:rsidRPr="00EC2F07">
        <w:t>DTF (2024</w:t>
      </w:r>
      <w:r w:rsidR="00327D14">
        <w:t>d</w:t>
      </w:r>
      <w:r w:rsidRPr="00EC2F07">
        <w:t>), p</w:t>
      </w:r>
      <w:r>
        <w:t xml:space="preserve">. </w:t>
      </w:r>
      <w:r w:rsidRPr="00EC2F07">
        <w:t>53.</w:t>
      </w:r>
    </w:p>
  </w:footnote>
  <w:footnote w:id="257">
    <w:p w14:paraId="2BD336B9" w14:textId="7E8E4568" w:rsidR="0097020F" w:rsidRDefault="0097020F" w:rsidP="0097020F">
      <w:pPr>
        <w:pStyle w:val="Footnotes"/>
      </w:pPr>
      <w:r>
        <w:rPr>
          <w:rStyle w:val="FootnoteReference"/>
        </w:rPr>
        <w:footnoteRef/>
      </w:r>
      <w:r>
        <w:tab/>
      </w:r>
      <w:r w:rsidRPr="00EC2F07">
        <w:t>DTF (2024</w:t>
      </w:r>
      <w:r w:rsidR="00661896">
        <w:t>d</w:t>
      </w:r>
      <w:r w:rsidRPr="00EC2F07">
        <w:t xml:space="preserve">), p. </w:t>
      </w:r>
      <w:r>
        <w:t>4</w:t>
      </w:r>
      <w:r w:rsidRPr="00EC2F07">
        <w:t>.</w:t>
      </w:r>
    </w:p>
  </w:footnote>
  <w:footnote w:id="258">
    <w:p w14:paraId="60E72DF9" w14:textId="33690BBE" w:rsidR="0097020F" w:rsidRDefault="0097020F" w:rsidP="0097020F">
      <w:pPr>
        <w:pStyle w:val="Footnotes"/>
      </w:pPr>
      <w:r>
        <w:rPr>
          <w:rStyle w:val="FootnoteReference"/>
        </w:rPr>
        <w:footnoteRef/>
      </w:r>
      <w:r>
        <w:tab/>
      </w:r>
      <w:r w:rsidRPr="00EC2F07">
        <w:t>DTF (2024</w:t>
      </w:r>
      <w:r w:rsidR="00661896">
        <w:t>d</w:t>
      </w:r>
      <w:r w:rsidRPr="00EC2F07">
        <w:t>), p. 53.</w:t>
      </w:r>
    </w:p>
  </w:footnote>
  <w:footnote w:id="259">
    <w:p w14:paraId="0E0BC407" w14:textId="101F8D72" w:rsidR="008478FE" w:rsidRDefault="008478FE" w:rsidP="0042497E">
      <w:pPr>
        <w:pStyle w:val="Footnotes"/>
      </w:pPr>
      <w:r>
        <w:rPr>
          <w:rStyle w:val="FootnoteReference"/>
        </w:rPr>
        <w:footnoteRef/>
      </w:r>
      <w:r w:rsidR="008F1A2B">
        <w:tab/>
      </w:r>
      <w:r w:rsidR="009673CC">
        <w:t xml:space="preserve">State </w:t>
      </w:r>
      <w:r>
        <w:t>Government</w:t>
      </w:r>
      <w:r w:rsidR="004D4F99">
        <w:t xml:space="preserve"> </w:t>
      </w:r>
      <w:r w:rsidR="009673CC">
        <w:t xml:space="preserve">of Victoria </w:t>
      </w:r>
      <w:r w:rsidR="004D4F99">
        <w:t>(2023</w:t>
      </w:r>
      <w:r w:rsidR="009673CC">
        <w:t>a</w:t>
      </w:r>
      <w:r w:rsidR="004D4F99">
        <w:t>)</w:t>
      </w:r>
      <w:r w:rsidR="009673CC">
        <w:t>.</w:t>
      </w:r>
    </w:p>
  </w:footnote>
  <w:footnote w:id="260">
    <w:p w14:paraId="746BE627" w14:textId="786825E6" w:rsidR="008478FE" w:rsidRPr="00F90572" w:rsidRDefault="008478FE" w:rsidP="0042497E">
      <w:pPr>
        <w:pStyle w:val="Footnotes"/>
      </w:pPr>
      <w:r w:rsidRPr="00F90572">
        <w:rPr>
          <w:rStyle w:val="FootnoteReference"/>
          <w:rFonts w:cs="Calibri Light"/>
        </w:rPr>
        <w:footnoteRef/>
      </w:r>
      <w:r w:rsidR="0090731E">
        <w:tab/>
      </w:r>
      <w:r w:rsidR="00F90572" w:rsidRPr="00F90572">
        <w:t>IRV</w:t>
      </w:r>
      <w:r w:rsidRPr="00F90572">
        <w:t xml:space="preserve"> (2023), p. 3.</w:t>
      </w:r>
    </w:p>
  </w:footnote>
  <w:footnote w:id="261">
    <w:p w14:paraId="6A696D69" w14:textId="50BDD3B9" w:rsidR="008478FE" w:rsidRDefault="008478FE" w:rsidP="0042497E">
      <w:pPr>
        <w:pStyle w:val="Footnotes"/>
      </w:pPr>
      <w:r>
        <w:rPr>
          <w:rStyle w:val="FootnoteReference"/>
        </w:rPr>
        <w:footnoteRef/>
      </w:r>
      <w:r w:rsidR="00FE1197">
        <w:tab/>
      </w:r>
      <w:r w:rsidRPr="00331AEA">
        <w:t>Email from Jeremi Moule, Secretary, DPC, to VPS staff</w:t>
      </w:r>
      <w:r w:rsidR="001310D6">
        <w:t xml:space="preserve"> </w:t>
      </w:r>
      <w:r w:rsidR="007B2ED5">
        <w:t>(2024)</w:t>
      </w:r>
      <w:r w:rsidRPr="00331AEA">
        <w:t>, 9 April.</w:t>
      </w:r>
    </w:p>
  </w:footnote>
  <w:footnote w:id="262">
    <w:p w14:paraId="4D553CEB" w14:textId="174682D0" w:rsidR="006F2BB8" w:rsidRDefault="006F2BB8" w:rsidP="007C353E">
      <w:pPr>
        <w:pStyle w:val="Footnotes"/>
      </w:pPr>
      <w:r>
        <w:rPr>
          <w:rStyle w:val="FootnoteReference"/>
        </w:rPr>
        <w:footnoteRef/>
      </w:r>
      <w:r w:rsidR="00115048">
        <w:tab/>
      </w:r>
      <w:r>
        <w:t>Branching logic is the term used when respondents are directed through different paths in the questionnaire based on their answers.</w:t>
      </w:r>
    </w:p>
  </w:footnote>
  <w:footnote w:id="263">
    <w:p w14:paraId="5A0EDA70" w14:textId="0B243C61" w:rsidR="006F2BB8" w:rsidRDefault="006F2BB8" w:rsidP="007C353E">
      <w:pPr>
        <w:pStyle w:val="Footnotes"/>
      </w:pPr>
      <w:r>
        <w:rPr>
          <w:rStyle w:val="FootnoteReference"/>
        </w:rPr>
        <w:footnoteRef/>
      </w:r>
      <w:r w:rsidR="007E0CF1">
        <w:tab/>
      </w:r>
      <w:r>
        <w:t>‘Completed’ in this instance means the respondent answered all mandatory questions at a minimum.</w:t>
      </w:r>
    </w:p>
  </w:footnote>
  <w:footnote w:id="264">
    <w:p w14:paraId="06DED714" w14:textId="2D69EB57" w:rsidR="006F2BB8" w:rsidRDefault="006F2BB8" w:rsidP="007C353E">
      <w:pPr>
        <w:pStyle w:val="Footnotes"/>
      </w:pPr>
      <w:r>
        <w:rPr>
          <w:rStyle w:val="FootnoteReference"/>
        </w:rPr>
        <w:footnoteRef/>
      </w:r>
      <w:r w:rsidR="007E0CF1">
        <w:tab/>
      </w:r>
      <w:r>
        <w:t xml:space="preserve">The margin of error indicates how much the questionnaire results can be expected to reflect the views of the whole cohort of VPS executives. The margin of error is a range of values above and below the actual results from the survey. For example, a 60 per cent ‘yes’ response with a margin of error of 5 per cent </w:t>
      </w:r>
      <w:r w:rsidR="00795ACC">
        <w:t xml:space="preserve">and a confidence interval of 99 per cent </w:t>
      </w:r>
      <w:r>
        <w:t xml:space="preserve">means that </w:t>
      </w:r>
      <w:r w:rsidR="00D714A1">
        <w:t xml:space="preserve">there is a 99 per cent probability that </w:t>
      </w:r>
      <w:r>
        <w:t>between 55 and 65 per cent of the whole cohort think that the answer is ‘yes’.</w:t>
      </w:r>
    </w:p>
  </w:footnote>
  <w:footnote w:id="265">
    <w:p w14:paraId="5A0A5A25" w14:textId="77777777" w:rsidR="0041256C" w:rsidRDefault="0041256C" w:rsidP="0041256C">
      <w:pPr>
        <w:pStyle w:val="Footnotes"/>
      </w:pPr>
      <w:r>
        <w:rPr>
          <w:rStyle w:val="FootnoteReference"/>
        </w:rPr>
        <w:footnoteRef/>
      </w:r>
      <w:r>
        <w:tab/>
        <w:t>SurveyMonkey (n.d.).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6C881" w14:textId="4BADA4DF" w:rsidR="00422BA7" w:rsidRDefault="00422BA7">
    <w:pPr>
      <w:pStyle w:val="Header"/>
    </w:pPr>
    <w:r>
      <w:rPr>
        <w:noProof/>
      </w:rPr>
      <mc:AlternateContent>
        <mc:Choice Requires="wps">
          <w:drawing>
            <wp:anchor distT="0" distB="0" distL="114300" distR="114300" simplePos="0" relativeHeight="251655680" behindDoc="1" locked="0" layoutInCell="0" allowOverlap="1" wp14:anchorId="65F022C0" wp14:editId="1F7AF8F5">
              <wp:simplePos x="0" y="0"/>
              <wp:positionH relativeFrom="margin">
                <wp:align>center</wp:align>
              </wp:positionH>
              <wp:positionV relativeFrom="margin">
                <wp:align>center</wp:align>
              </wp:positionV>
              <wp:extent cx="3860800" cy="1543685"/>
              <wp:effectExtent l="0" t="1047750" r="0" b="847090"/>
              <wp:wrapNone/>
              <wp:docPr id="1076494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860800" cy="15436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A3D887" w14:textId="77777777" w:rsidR="00422BA7" w:rsidRDefault="00422BA7" w:rsidP="00422BA7">
                          <w:pPr>
                            <w:jc w:val="center"/>
                            <w:rPr>
                              <w:rFonts w:ascii="Arial" w:hAnsi="Arial" w:cs="Arial"/>
                              <w:color w:val="D9D9D9" w:themeColor="background1" w:themeShade="D9"/>
                              <w:sz w:val="2"/>
                              <w:szCs w:val="2"/>
                              <w14:textFill>
                                <w14:solidFill>
                                  <w14:schemeClr w14:val="bg1">
                                    <w14:alpha w14:val="50000"/>
                                    <w14:lumMod w14:val="85000"/>
                                  </w14:schemeClr>
                                </w14:solidFill>
                              </w14:textFill>
                            </w:rPr>
                          </w:pPr>
                          <w:r>
                            <w:rPr>
                              <w:rFonts w:ascii="Arial" w:hAnsi="Arial" w:cs="Arial"/>
                              <w:color w:val="D9D9D9" w:themeColor="background1" w:themeShade="D9"/>
                              <w:sz w:val="2"/>
                              <w:szCs w:val="2"/>
                              <w14:textFill>
                                <w14:solidFill>
                                  <w14:schemeClr w14:val="bg1">
                                    <w14:alpha w14:val="50000"/>
                                    <w14:lumMod w14:val="8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5F022C0" id="_x0000_t202" coordsize="21600,21600" o:spt="202" path="m,l,21600r21600,l21600,xe">
              <v:stroke joinstyle="miter"/>
              <v:path gradientshapeok="t" o:connecttype="rect"/>
            </v:shapetype>
            <v:shape id="Text Box 3" o:spid="_x0000_s1041" type="#_x0000_t202" style="position:absolute;left:0;text-align:left;margin-left:0;margin-top:0;width:304pt;height:121.55pt;rotation:-45;z-index:-251660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" o:allowincell="f" filled="f" stroked="f">
              <v:stroke joinstyle="round"/>
              <o:lock v:ext="edit" shapetype="t"/>
              <v:textbox style="mso-fit-shape-to-text:t">
                <w:txbxContent>
                  <w:p w14:paraId="15A3D887" w14:textId="77777777" w:rsidR="00422BA7" w:rsidRDefault="00422BA7" w:rsidP="00422BA7">
                    <w:pPr>
                      <w:jc w:val="center"/>
                      <w:rPr>
                        <w:rFonts w:ascii="Arial" w:hAnsi="Arial" w:cs="Arial"/>
                        <w:color w:val="D9D9D9" w:themeColor="background1" w:themeShade="D9"/>
                        <w:sz w:val="2"/>
                        <w:szCs w:val="2"/>
                        <w14:textFill>
                          <w14:solidFill>
                            <w14:schemeClr w14:val="bg1">
                              <w14:alpha w14:val="50000"/>
                              <w14:lumMod w14:val="85000"/>
                            </w14:schemeClr>
                          </w14:solidFill>
                        </w14:textFill>
                      </w:rPr>
                    </w:pPr>
                    <w:r>
                      <w:rPr>
                        <w:rFonts w:ascii="Arial" w:hAnsi="Arial" w:cs="Arial"/>
                        <w:color w:val="D9D9D9" w:themeColor="background1" w:themeShade="D9"/>
                        <w:sz w:val="2"/>
                        <w:szCs w:val="2"/>
                        <w14:textFill>
                          <w14:solidFill>
                            <w14:schemeClr w14:val="bg1">
                              <w14:alpha w14:val="50000"/>
                              <w14:lumMod w14:val="85000"/>
                            </w14:scheme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4656" behindDoc="1" locked="0" layoutInCell="0" allowOverlap="1" wp14:anchorId="4872074D" wp14:editId="440EA152">
              <wp:simplePos x="0" y="0"/>
              <wp:positionH relativeFrom="margin">
                <wp:align>center</wp:align>
              </wp:positionH>
              <wp:positionV relativeFrom="margin">
                <wp:align>center</wp:align>
              </wp:positionV>
              <wp:extent cx="3860800" cy="1543685"/>
              <wp:effectExtent l="0" t="1047750" r="0" b="847090"/>
              <wp:wrapNone/>
              <wp:docPr id="1193869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860800" cy="15436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F81B89" w14:textId="77777777" w:rsidR="00422BA7" w:rsidRDefault="00422BA7" w:rsidP="00422BA7">
                          <w:pPr>
                            <w:jc w:val="center"/>
                            <w:rPr>
                              <w:rFonts w:ascii="Arial" w:hAnsi="Arial" w:cs="Arial"/>
                              <w:color w:val="D9D9D9" w:themeColor="background1" w:themeShade="D9"/>
                              <w:sz w:val="2"/>
                              <w:szCs w:val="2"/>
                              <w14:textFill>
                                <w14:solidFill>
                                  <w14:schemeClr w14:val="bg1">
                                    <w14:alpha w14:val="50000"/>
                                    <w14:lumMod w14:val="85000"/>
                                  </w14:schemeClr>
                                </w14:solidFill>
                              </w14:textFill>
                            </w:rPr>
                          </w:pPr>
                          <w:r>
                            <w:rPr>
                              <w:rFonts w:ascii="Arial" w:hAnsi="Arial" w:cs="Arial"/>
                              <w:color w:val="D9D9D9" w:themeColor="background1" w:themeShade="D9"/>
                              <w:sz w:val="2"/>
                              <w:szCs w:val="2"/>
                              <w14:textFill>
                                <w14:solidFill>
                                  <w14:schemeClr w14:val="bg1">
                                    <w14:alpha w14:val="50000"/>
                                    <w14:lumMod w14:val="8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872074D" id="Text Box 2" o:spid="_x0000_s1042" type="#_x0000_t202" style="position:absolute;left:0;text-align:left;margin-left:0;margin-top:0;width:304pt;height:121.55pt;rotation:-45;z-index:-251661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" o:allowincell="f" filled="f" stroked="f">
              <v:stroke joinstyle="round"/>
              <o:lock v:ext="edit" shapetype="t"/>
              <v:textbox style="mso-fit-shape-to-text:t">
                <w:txbxContent>
                  <w:p w14:paraId="4DF81B89" w14:textId="77777777" w:rsidR="00422BA7" w:rsidRDefault="00422BA7" w:rsidP="00422BA7">
                    <w:pPr>
                      <w:jc w:val="center"/>
                      <w:rPr>
                        <w:rFonts w:ascii="Arial" w:hAnsi="Arial" w:cs="Arial"/>
                        <w:color w:val="D9D9D9" w:themeColor="background1" w:themeShade="D9"/>
                        <w:sz w:val="2"/>
                        <w:szCs w:val="2"/>
                        <w14:textFill>
                          <w14:solidFill>
                            <w14:schemeClr w14:val="bg1">
                              <w14:alpha w14:val="50000"/>
                              <w14:lumMod w14:val="85000"/>
                            </w14:schemeClr>
                          </w14:solidFill>
                        </w14:textFill>
                      </w:rPr>
                    </w:pPr>
                    <w:r>
                      <w:rPr>
                        <w:rFonts w:ascii="Arial" w:hAnsi="Arial" w:cs="Arial"/>
                        <w:color w:val="D9D9D9" w:themeColor="background1" w:themeShade="D9"/>
                        <w:sz w:val="2"/>
                        <w:szCs w:val="2"/>
                        <w14:textFill>
                          <w14:solidFill>
                            <w14:schemeClr w14:val="bg1">
                              <w14:alpha w14:val="50000"/>
                              <w14:lumMod w14:val="85000"/>
                            </w14:scheme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3632" behindDoc="1" locked="0" layoutInCell="0" allowOverlap="1" wp14:anchorId="598EEFDC" wp14:editId="0865404B">
              <wp:simplePos x="0" y="0"/>
              <wp:positionH relativeFrom="margin">
                <wp:align>center</wp:align>
              </wp:positionH>
              <wp:positionV relativeFrom="margin">
                <wp:align>center</wp:align>
              </wp:positionV>
              <wp:extent cx="3378200" cy="2026920"/>
              <wp:effectExtent l="0" t="742950" r="0" b="421005"/>
              <wp:wrapNone/>
              <wp:docPr id="122810818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378200" cy="20269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8C7822" w14:textId="77777777" w:rsidR="00422BA7" w:rsidRDefault="00422BA7" w:rsidP="00422BA7">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98EEFDC" id="Text Box 1" o:spid="_x0000_s1043" type="#_x0000_t202" style="position:absolute;left:0;text-align:left;margin-left:0;margin-top:0;width:266pt;height:159.6pt;rotation:-45;z-index:-2516628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" o:allowincell="f" filled="f" stroked="f">
              <v:stroke joinstyle="round"/>
              <o:lock v:ext="edit" shapetype="t"/>
              <v:textbox style="mso-fit-shape-to-text:t">
                <w:txbxContent>
                  <w:p w14:paraId="468C7822" w14:textId="77777777" w:rsidR="00422BA7" w:rsidRDefault="00422BA7" w:rsidP="00422BA7">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C2A901" w14:textId="77777777" w:rsidR="00C43927" w:rsidRDefault="00C439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56D334" w14:textId="77777777" w:rsidR="00C43927" w:rsidRDefault="00C4392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E9928E" w14:textId="77777777" w:rsidR="004C290F" w:rsidRDefault="003B77A3">
    <w:pPr>
      <w:pStyle w:val="Header"/>
    </w:pPr>
    <w:r>
      <w:rPr>
        <w:noProof/>
      </w:rPr>
      <w:pict w14:anchorId="1AB7DE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8" type="#_x0000_t136" style="position:absolute;left:0;text-align:left;margin-left:0;margin-top:0;width:374.7pt;height:224.8pt;rotation:315;z-index:-2516546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20948D" w14:textId="2A291F9C" w:rsidR="004C290F" w:rsidRDefault="004C290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00318" w14:textId="5D2D7373" w:rsidR="004C290F" w:rsidRDefault="004C290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762B0" w14:textId="37882980" w:rsidR="00BF7D4E" w:rsidRDefault="00BF7D4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0BAFB" w14:textId="7DACF31B" w:rsidR="00BF7D4E" w:rsidRDefault="00BF7D4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7E00F" w14:textId="10CA2F60" w:rsidR="00BF7D4E" w:rsidRDefault="00BF7D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B9880DD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hybridMultilevel"/>
    <w:tmpl w:val="F028BE26"/>
    <w:lvl w:ilvl="0" w:tplc="A6BAD9A8">
      <w:start w:val="1"/>
      <w:numFmt w:val="decimal"/>
      <w:pStyle w:val="ListNumber4"/>
      <w:lvlText w:val="%1."/>
      <w:lvlJc w:val="left"/>
      <w:pPr>
        <w:tabs>
          <w:tab w:val="num" w:pos="1209"/>
        </w:tabs>
        <w:ind w:left="1209" w:hanging="360"/>
      </w:pPr>
    </w:lvl>
    <w:lvl w:ilvl="1" w:tplc="9C60AE92">
      <w:numFmt w:val="decimal"/>
      <w:lvlText w:val=""/>
      <w:lvlJc w:val="left"/>
    </w:lvl>
    <w:lvl w:ilvl="2" w:tplc="C930F44A">
      <w:numFmt w:val="decimal"/>
      <w:lvlText w:val=""/>
      <w:lvlJc w:val="left"/>
    </w:lvl>
    <w:lvl w:ilvl="3" w:tplc="570CD108">
      <w:numFmt w:val="decimal"/>
      <w:lvlText w:val=""/>
      <w:lvlJc w:val="left"/>
    </w:lvl>
    <w:lvl w:ilvl="4" w:tplc="9CF6F6D2">
      <w:numFmt w:val="decimal"/>
      <w:lvlText w:val=""/>
      <w:lvlJc w:val="left"/>
    </w:lvl>
    <w:lvl w:ilvl="5" w:tplc="7FB4A642">
      <w:numFmt w:val="decimal"/>
      <w:lvlText w:val=""/>
      <w:lvlJc w:val="left"/>
    </w:lvl>
    <w:lvl w:ilvl="6" w:tplc="D47079F6">
      <w:numFmt w:val="decimal"/>
      <w:lvlText w:val=""/>
      <w:lvlJc w:val="left"/>
    </w:lvl>
    <w:lvl w:ilvl="7" w:tplc="2EFA95DC">
      <w:numFmt w:val="decimal"/>
      <w:lvlText w:val=""/>
      <w:lvlJc w:val="left"/>
    </w:lvl>
    <w:lvl w:ilvl="8" w:tplc="94E83564">
      <w:numFmt w:val="decimal"/>
      <w:lvlText w:val=""/>
      <w:lvlJc w:val="left"/>
    </w:lvl>
  </w:abstractNum>
  <w:abstractNum w:abstractNumId="2" w15:restartNumberingAfterBreak="0">
    <w:nsid w:val="FFFFFF7E"/>
    <w:multiLevelType w:val="hybridMultilevel"/>
    <w:tmpl w:val="7AEE735A"/>
    <w:lvl w:ilvl="0" w:tplc="FCE68A98">
      <w:start w:val="1"/>
      <w:numFmt w:val="decimal"/>
      <w:pStyle w:val="ListNumber3"/>
      <w:lvlText w:val="%1."/>
      <w:lvlJc w:val="left"/>
      <w:pPr>
        <w:tabs>
          <w:tab w:val="num" w:pos="926"/>
        </w:tabs>
        <w:ind w:left="926" w:hanging="360"/>
      </w:pPr>
    </w:lvl>
    <w:lvl w:ilvl="1" w:tplc="92681FBC">
      <w:numFmt w:val="decimal"/>
      <w:lvlText w:val=""/>
      <w:lvlJc w:val="left"/>
    </w:lvl>
    <w:lvl w:ilvl="2" w:tplc="F70E6F3C">
      <w:numFmt w:val="decimal"/>
      <w:lvlText w:val=""/>
      <w:lvlJc w:val="left"/>
    </w:lvl>
    <w:lvl w:ilvl="3" w:tplc="BF689DA4">
      <w:numFmt w:val="decimal"/>
      <w:lvlText w:val=""/>
      <w:lvlJc w:val="left"/>
    </w:lvl>
    <w:lvl w:ilvl="4" w:tplc="1F2C640C">
      <w:numFmt w:val="decimal"/>
      <w:lvlText w:val=""/>
      <w:lvlJc w:val="left"/>
    </w:lvl>
    <w:lvl w:ilvl="5" w:tplc="B860DF82">
      <w:numFmt w:val="decimal"/>
      <w:lvlText w:val=""/>
      <w:lvlJc w:val="left"/>
    </w:lvl>
    <w:lvl w:ilvl="6" w:tplc="38D22334">
      <w:numFmt w:val="decimal"/>
      <w:lvlText w:val=""/>
      <w:lvlJc w:val="left"/>
    </w:lvl>
    <w:lvl w:ilvl="7" w:tplc="0958AFD4">
      <w:numFmt w:val="decimal"/>
      <w:lvlText w:val=""/>
      <w:lvlJc w:val="left"/>
    </w:lvl>
    <w:lvl w:ilvl="8" w:tplc="E1DAF286">
      <w:numFmt w:val="decimal"/>
      <w:lvlText w:val=""/>
      <w:lvlJc w:val="left"/>
    </w:lvl>
  </w:abstractNum>
  <w:abstractNum w:abstractNumId="3" w15:restartNumberingAfterBreak="0">
    <w:nsid w:val="FFFFFF7F"/>
    <w:multiLevelType w:val="hybridMultilevel"/>
    <w:tmpl w:val="12C42818"/>
    <w:lvl w:ilvl="0" w:tplc="28EC5A5A">
      <w:start w:val="1"/>
      <w:numFmt w:val="decimal"/>
      <w:pStyle w:val="ListNumber2"/>
      <w:lvlText w:val="%1."/>
      <w:lvlJc w:val="left"/>
      <w:pPr>
        <w:tabs>
          <w:tab w:val="num" w:pos="643"/>
        </w:tabs>
        <w:ind w:left="643" w:hanging="360"/>
      </w:pPr>
    </w:lvl>
    <w:lvl w:ilvl="1" w:tplc="98242338">
      <w:numFmt w:val="decimal"/>
      <w:lvlText w:val=""/>
      <w:lvlJc w:val="left"/>
    </w:lvl>
    <w:lvl w:ilvl="2" w:tplc="607C0766">
      <w:numFmt w:val="decimal"/>
      <w:lvlText w:val=""/>
      <w:lvlJc w:val="left"/>
    </w:lvl>
    <w:lvl w:ilvl="3" w:tplc="26AAC458">
      <w:numFmt w:val="decimal"/>
      <w:lvlText w:val=""/>
      <w:lvlJc w:val="left"/>
    </w:lvl>
    <w:lvl w:ilvl="4" w:tplc="E66C5094">
      <w:numFmt w:val="decimal"/>
      <w:lvlText w:val=""/>
      <w:lvlJc w:val="left"/>
    </w:lvl>
    <w:lvl w:ilvl="5" w:tplc="D2D615FE">
      <w:numFmt w:val="decimal"/>
      <w:lvlText w:val=""/>
      <w:lvlJc w:val="left"/>
    </w:lvl>
    <w:lvl w:ilvl="6" w:tplc="2F9022B2">
      <w:numFmt w:val="decimal"/>
      <w:lvlText w:val=""/>
      <w:lvlJc w:val="left"/>
    </w:lvl>
    <w:lvl w:ilvl="7" w:tplc="91BA31EA">
      <w:numFmt w:val="decimal"/>
      <w:lvlText w:val=""/>
      <w:lvlJc w:val="left"/>
    </w:lvl>
    <w:lvl w:ilvl="8" w:tplc="5A04DEFC">
      <w:numFmt w:val="decimal"/>
      <w:lvlText w:val=""/>
      <w:lvlJc w:val="left"/>
    </w:lvl>
  </w:abstractNum>
  <w:abstractNum w:abstractNumId="4" w15:restartNumberingAfterBreak="0">
    <w:nsid w:val="FFFFFF80"/>
    <w:multiLevelType w:val="hybridMultilevel"/>
    <w:tmpl w:val="9E40904A"/>
    <w:lvl w:ilvl="0" w:tplc="8A846378">
      <w:start w:val="1"/>
      <w:numFmt w:val="bullet"/>
      <w:pStyle w:val="ListBullet5"/>
      <w:lvlText w:val=""/>
      <w:lvlJc w:val="left"/>
      <w:pPr>
        <w:tabs>
          <w:tab w:val="num" w:pos="1492"/>
        </w:tabs>
        <w:ind w:left="1492" w:hanging="360"/>
      </w:pPr>
      <w:rPr>
        <w:rFonts w:ascii="Symbol" w:hAnsi="Symbol" w:hint="default"/>
      </w:rPr>
    </w:lvl>
    <w:lvl w:ilvl="1" w:tplc="73BEDAB2">
      <w:numFmt w:val="decimal"/>
      <w:lvlText w:val=""/>
      <w:lvlJc w:val="left"/>
    </w:lvl>
    <w:lvl w:ilvl="2" w:tplc="666CAFCC">
      <w:numFmt w:val="decimal"/>
      <w:lvlText w:val=""/>
      <w:lvlJc w:val="left"/>
    </w:lvl>
    <w:lvl w:ilvl="3" w:tplc="D02CAB1A">
      <w:numFmt w:val="decimal"/>
      <w:lvlText w:val=""/>
      <w:lvlJc w:val="left"/>
    </w:lvl>
    <w:lvl w:ilvl="4" w:tplc="9130653C">
      <w:numFmt w:val="decimal"/>
      <w:lvlText w:val=""/>
      <w:lvlJc w:val="left"/>
    </w:lvl>
    <w:lvl w:ilvl="5" w:tplc="4F1C3B56">
      <w:numFmt w:val="decimal"/>
      <w:lvlText w:val=""/>
      <w:lvlJc w:val="left"/>
    </w:lvl>
    <w:lvl w:ilvl="6" w:tplc="B728EEEA">
      <w:numFmt w:val="decimal"/>
      <w:lvlText w:val=""/>
      <w:lvlJc w:val="left"/>
    </w:lvl>
    <w:lvl w:ilvl="7" w:tplc="28887684">
      <w:numFmt w:val="decimal"/>
      <w:lvlText w:val=""/>
      <w:lvlJc w:val="left"/>
    </w:lvl>
    <w:lvl w:ilvl="8" w:tplc="43464E1E">
      <w:numFmt w:val="decimal"/>
      <w:lvlText w:val=""/>
      <w:lvlJc w:val="left"/>
    </w:lvl>
  </w:abstractNum>
  <w:abstractNum w:abstractNumId="5" w15:restartNumberingAfterBreak="0">
    <w:nsid w:val="FFFFFF81"/>
    <w:multiLevelType w:val="hybridMultilevel"/>
    <w:tmpl w:val="6BEA7BEE"/>
    <w:styleLink w:val="ZZNumbersdigit1"/>
    <w:lvl w:ilvl="0" w:tplc="420AE16E">
      <w:start w:val="1"/>
      <w:numFmt w:val="bullet"/>
      <w:pStyle w:val="ListBullet4"/>
      <w:lvlText w:val=""/>
      <w:lvlJc w:val="left"/>
      <w:pPr>
        <w:tabs>
          <w:tab w:val="num" w:pos="1209"/>
        </w:tabs>
        <w:ind w:left="1209" w:hanging="360"/>
      </w:pPr>
      <w:rPr>
        <w:rFonts w:ascii="Symbol" w:hAnsi="Symbol" w:hint="default"/>
      </w:rPr>
    </w:lvl>
    <w:lvl w:ilvl="1" w:tplc="FEF471FC">
      <w:numFmt w:val="decimal"/>
      <w:lvlText w:val=""/>
      <w:lvlJc w:val="left"/>
    </w:lvl>
    <w:lvl w:ilvl="2" w:tplc="33140482">
      <w:numFmt w:val="decimal"/>
      <w:lvlText w:val=""/>
      <w:lvlJc w:val="left"/>
    </w:lvl>
    <w:lvl w:ilvl="3" w:tplc="38DCCF7C">
      <w:numFmt w:val="decimal"/>
      <w:lvlText w:val=""/>
      <w:lvlJc w:val="left"/>
    </w:lvl>
    <w:lvl w:ilvl="4" w:tplc="8240333C">
      <w:numFmt w:val="decimal"/>
      <w:lvlText w:val=""/>
      <w:lvlJc w:val="left"/>
    </w:lvl>
    <w:lvl w:ilvl="5" w:tplc="FF9EF1FE">
      <w:numFmt w:val="decimal"/>
      <w:lvlText w:val=""/>
      <w:lvlJc w:val="left"/>
    </w:lvl>
    <w:lvl w:ilvl="6" w:tplc="3094FDD2">
      <w:numFmt w:val="decimal"/>
      <w:lvlText w:val=""/>
      <w:lvlJc w:val="left"/>
    </w:lvl>
    <w:lvl w:ilvl="7" w:tplc="E7925F4A">
      <w:numFmt w:val="decimal"/>
      <w:lvlText w:val=""/>
      <w:lvlJc w:val="left"/>
    </w:lvl>
    <w:lvl w:ilvl="8" w:tplc="301C1DFA">
      <w:numFmt w:val="decimal"/>
      <w:lvlText w:val=""/>
      <w:lvlJc w:val="left"/>
    </w:lvl>
  </w:abstractNum>
  <w:abstractNum w:abstractNumId="6" w15:restartNumberingAfterBreak="0">
    <w:nsid w:val="FFFFFF82"/>
    <w:multiLevelType w:val="hybridMultilevel"/>
    <w:tmpl w:val="1C5EB3F4"/>
    <w:lvl w:ilvl="0" w:tplc="84669DC8">
      <w:start w:val="1"/>
      <w:numFmt w:val="bullet"/>
      <w:pStyle w:val="ListBullet3"/>
      <w:lvlText w:val=""/>
      <w:lvlJc w:val="left"/>
      <w:pPr>
        <w:tabs>
          <w:tab w:val="num" w:pos="926"/>
        </w:tabs>
        <w:ind w:left="926" w:hanging="360"/>
      </w:pPr>
      <w:rPr>
        <w:rFonts w:ascii="Symbol" w:hAnsi="Symbol" w:hint="default"/>
      </w:rPr>
    </w:lvl>
    <w:lvl w:ilvl="1" w:tplc="943C2802">
      <w:numFmt w:val="decimal"/>
      <w:lvlText w:val=""/>
      <w:lvlJc w:val="left"/>
    </w:lvl>
    <w:lvl w:ilvl="2" w:tplc="182EF9CE">
      <w:numFmt w:val="decimal"/>
      <w:lvlText w:val=""/>
      <w:lvlJc w:val="left"/>
    </w:lvl>
    <w:lvl w:ilvl="3" w:tplc="D7649E32">
      <w:numFmt w:val="decimal"/>
      <w:lvlText w:val=""/>
      <w:lvlJc w:val="left"/>
    </w:lvl>
    <w:lvl w:ilvl="4" w:tplc="692E7938">
      <w:numFmt w:val="decimal"/>
      <w:lvlText w:val=""/>
      <w:lvlJc w:val="left"/>
    </w:lvl>
    <w:lvl w:ilvl="5" w:tplc="CC428344">
      <w:numFmt w:val="decimal"/>
      <w:lvlText w:val=""/>
      <w:lvlJc w:val="left"/>
    </w:lvl>
    <w:lvl w:ilvl="6" w:tplc="5C14DD76">
      <w:numFmt w:val="decimal"/>
      <w:lvlText w:val=""/>
      <w:lvlJc w:val="left"/>
    </w:lvl>
    <w:lvl w:ilvl="7" w:tplc="74F8AD36">
      <w:numFmt w:val="decimal"/>
      <w:lvlText w:val=""/>
      <w:lvlJc w:val="left"/>
    </w:lvl>
    <w:lvl w:ilvl="8" w:tplc="678AA9B2">
      <w:numFmt w:val="decimal"/>
      <w:lvlText w:val=""/>
      <w:lvlJc w:val="left"/>
    </w:lvl>
  </w:abstractNum>
  <w:abstractNum w:abstractNumId="7" w15:restartNumberingAfterBreak="0">
    <w:nsid w:val="FFFFFF83"/>
    <w:multiLevelType w:val="hybridMultilevel"/>
    <w:tmpl w:val="DE32C028"/>
    <w:lvl w:ilvl="0" w:tplc="788CFB78">
      <w:start w:val="1"/>
      <w:numFmt w:val="bullet"/>
      <w:pStyle w:val="ListBullet2"/>
      <w:lvlText w:val=""/>
      <w:lvlJc w:val="left"/>
      <w:pPr>
        <w:tabs>
          <w:tab w:val="num" w:pos="643"/>
        </w:tabs>
        <w:ind w:left="643" w:hanging="360"/>
      </w:pPr>
      <w:rPr>
        <w:rFonts w:ascii="Symbol" w:hAnsi="Symbol" w:hint="default"/>
      </w:rPr>
    </w:lvl>
    <w:lvl w:ilvl="1" w:tplc="CB2A9932">
      <w:numFmt w:val="decimal"/>
      <w:lvlText w:val=""/>
      <w:lvlJc w:val="left"/>
    </w:lvl>
    <w:lvl w:ilvl="2" w:tplc="8C74B246">
      <w:numFmt w:val="decimal"/>
      <w:lvlText w:val=""/>
      <w:lvlJc w:val="left"/>
    </w:lvl>
    <w:lvl w:ilvl="3" w:tplc="BFEC7CD4">
      <w:numFmt w:val="decimal"/>
      <w:lvlText w:val=""/>
      <w:lvlJc w:val="left"/>
    </w:lvl>
    <w:lvl w:ilvl="4" w:tplc="439C4A50">
      <w:numFmt w:val="decimal"/>
      <w:lvlText w:val=""/>
      <w:lvlJc w:val="left"/>
    </w:lvl>
    <w:lvl w:ilvl="5" w:tplc="76ECD1AA">
      <w:numFmt w:val="decimal"/>
      <w:lvlText w:val=""/>
      <w:lvlJc w:val="left"/>
    </w:lvl>
    <w:lvl w:ilvl="6" w:tplc="E5F2F0D6">
      <w:numFmt w:val="decimal"/>
      <w:lvlText w:val=""/>
      <w:lvlJc w:val="left"/>
    </w:lvl>
    <w:lvl w:ilvl="7" w:tplc="C3181512">
      <w:numFmt w:val="decimal"/>
      <w:lvlText w:val=""/>
      <w:lvlJc w:val="left"/>
    </w:lvl>
    <w:lvl w:ilvl="8" w:tplc="B5A4E6B6">
      <w:numFmt w:val="decimal"/>
      <w:lvlText w:val=""/>
      <w:lvlJc w:val="left"/>
    </w:lvl>
  </w:abstractNum>
  <w:abstractNum w:abstractNumId="8" w15:restartNumberingAfterBreak="0">
    <w:nsid w:val="FFFFFF88"/>
    <w:multiLevelType w:val="hybridMultilevel"/>
    <w:tmpl w:val="0C068824"/>
    <w:lvl w:ilvl="0" w:tplc="BCAA5792">
      <w:start w:val="1"/>
      <w:numFmt w:val="decimal"/>
      <w:pStyle w:val="ListNumber"/>
      <w:lvlText w:val="%1."/>
      <w:lvlJc w:val="left"/>
      <w:pPr>
        <w:tabs>
          <w:tab w:val="num" w:pos="360"/>
        </w:tabs>
        <w:ind w:left="360" w:hanging="360"/>
      </w:pPr>
    </w:lvl>
    <w:lvl w:ilvl="1" w:tplc="0906AA1A">
      <w:numFmt w:val="decimal"/>
      <w:lvlText w:val=""/>
      <w:lvlJc w:val="left"/>
    </w:lvl>
    <w:lvl w:ilvl="2" w:tplc="54E6524E">
      <w:numFmt w:val="decimal"/>
      <w:lvlText w:val=""/>
      <w:lvlJc w:val="left"/>
    </w:lvl>
    <w:lvl w:ilvl="3" w:tplc="FB12777E">
      <w:numFmt w:val="decimal"/>
      <w:lvlText w:val=""/>
      <w:lvlJc w:val="left"/>
    </w:lvl>
    <w:lvl w:ilvl="4" w:tplc="97CA95E0">
      <w:numFmt w:val="decimal"/>
      <w:lvlText w:val=""/>
      <w:lvlJc w:val="left"/>
    </w:lvl>
    <w:lvl w:ilvl="5" w:tplc="1CCE80F8">
      <w:numFmt w:val="decimal"/>
      <w:lvlText w:val=""/>
      <w:lvlJc w:val="left"/>
    </w:lvl>
    <w:lvl w:ilvl="6" w:tplc="16566500">
      <w:numFmt w:val="decimal"/>
      <w:lvlText w:val=""/>
      <w:lvlJc w:val="left"/>
    </w:lvl>
    <w:lvl w:ilvl="7" w:tplc="1E36621A">
      <w:numFmt w:val="decimal"/>
      <w:lvlText w:val=""/>
      <w:lvlJc w:val="left"/>
    </w:lvl>
    <w:lvl w:ilvl="8" w:tplc="0DA60A9C">
      <w:numFmt w:val="decimal"/>
      <w:lvlText w:val=""/>
      <w:lvlJc w:val="left"/>
    </w:lvl>
  </w:abstractNum>
  <w:abstractNum w:abstractNumId="9" w15:restartNumberingAfterBreak="0">
    <w:nsid w:val="FFFFFF89"/>
    <w:multiLevelType w:val="hybridMultilevel"/>
    <w:tmpl w:val="29C60208"/>
    <w:lvl w:ilvl="0" w:tplc="40D6E082">
      <w:start w:val="1"/>
      <w:numFmt w:val="bullet"/>
      <w:pStyle w:val="ListBullet"/>
      <w:lvlText w:val=""/>
      <w:lvlJc w:val="left"/>
      <w:pPr>
        <w:tabs>
          <w:tab w:val="num" w:pos="360"/>
        </w:tabs>
        <w:ind w:left="360" w:hanging="360"/>
      </w:pPr>
      <w:rPr>
        <w:rFonts w:ascii="Symbol" w:hAnsi="Symbol" w:hint="default"/>
      </w:rPr>
    </w:lvl>
    <w:lvl w:ilvl="1" w:tplc="59BACD80">
      <w:numFmt w:val="decimal"/>
      <w:lvlText w:val=""/>
      <w:lvlJc w:val="left"/>
    </w:lvl>
    <w:lvl w:ilvl="2" w:tplc="44804EDC">
      <w:numFmt w:val="decimal"/>
      <w:lvlText w:val=""/>
      <w:lvlJc w:val="left"/>
    </w:lvl>
    <w:lvl w:ilvl="3" w:tplc="DEC4B0FC">
      <w:numFmt w:val="decimal"/>
      <w:lvlText w:val=""/>
      <w:lvlJc w:val="left"/>
    </w:lvl>
    <w:lvl w:ilvl="4" w:tplc="4240FD3E">
      <w:numFmt w:val="decimal"/>
      <w:lvlText w:val=""/>
      <w:lvlJc w:val="left"/>
    </w:lvl>
    <w:lvl w:ilvl="5" w:tplc="C0E49C5C">
      <w:numFmt w:val="decimal"/>
      <w:lvlText w:val=""/>
      <w:lvlJc w:val="left"/>
    </w:lvl>
    <w:lvl w:ilvl="6" w:tplc="1C345956">
      <w:numFmt w:val="decimal"/>
      <w:lvlText w:val=""/>
      <w:lvlJc w:val="left"/>
    </w:lvl>
    <w:lvl w:ilvl="7" w:tplc="A4CCA05E">
      <w:numFmt w:val="decimal"/>
      <w:lvlText w:val=""/>
      <w:lvlJc w:val="left"/>
    </w:lvl>
    <w:lvl w:ilvl="8" w:tplc="A71C4968">
      <w:numFmt w:val="decimal"/>
      <w:lvlText w:val=""/>
      <w:lvlJc w:val="left"/>
    </w:lvl>
  </w:abstractNum>
  <w:abstractNum w:abstractNumId="10" w15:restartNumberingAfterBreak="0">
    <w:nsid w:val="014C66DD"/>
    <w:multiLevelType w:val="hybridMultilevel"/>
    <w:tmpl w:val="BB9CCCBC"/>
    <w:lvl w:ilvl="0" w:tplc="24E4964E">
      <w:start w:val="1"/>
      <w:numFmt w:val="bullet"/>
      <w:pStyle w:val="13Boxbullets"/>
      <w:lvlText w:val=""/>
      <w:lvlJc w:val="left"/>
      <w:pPr>
        <w:ind w:left="360"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1" w15:restartNumberingAfterBreak="0">
    <w:nsid w:val="027B51CE"/>
    <w:multiLevelType w:val="hybridMultilevel"/>
    <w:tmpl w:val="21786D98"/>
    <w:lvl w:ilvl="0" w:tplc="02C6BB5A">
      <w:start w:val="1"/>
      <w:numFmt w:val="bullet"/>
      <w:pStyle w:val="Bulletswithinnumberedparaslvl1"/>
      <w:lvlText w:val="‒"/>
      <w:lvlJc w:val="left"/>
      <w:pPr>
        <w:ind w:left="1077" w:hanging="360"/>
      </w:pPr>
      <w:rPr>
        <w:rFonts w:ascii="Calibri Light" w:hAnsi="Calibri Light"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2" w15:restartNumberingAfterBreak="0">
    <w:nsid w:val="0D7D15BA"/>
    <w:multiLevelType w:val="hybridMultilevel"/>
    <w:tmpl w:val="59D0F6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8E668EA"/>
    <w:multiLevelType w:val="hybridMultilevel"/>
    <w:tmpl w:val="4028A5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AE31F7C"/>
    <w:multiLevelType w:val="hybridMultilevel"/>
    <w:tmpl w:val="3226522E"/>
    <w:lvl w:ilvl="0" w:tplc="041ADB22">
      <w:start w:val="1"/>
      <w:numFmt w:val="lowerLetter"/>
      <w:pStyle w:val="Instrumentlevel3alphanumericallist"/>
      <w:lvlText w:val="(%1)"/>
      <w:lvlJc w:val="left"/>
      <w:pPr>
        <w:ind w:left="1267" w:hanging="360"/>
      </w:pPr>
      <w:rPr>
        <w:rFonts w:hint="default"/>
      </w:rPr>
    </w:lvl>
    <w:lvl w:ilvl="1" w:tplc="0C090019" w:tentative="1">
      <w:start w:val="1"/>
      <w:numFmt w:val="lowerLetter"/>
      <w:lvlText w:val="%2."/>
      <w:lvlJc w:val="left"/>
      <w:pPr>
        <w:ind w:left="1987" w:hanging="360"/>
      </w:pPr>
    </w:lvl>
    <w:lvl w:ilvl="2" w:tplc="0C09001B" w:tentative="1">
      <w:start w:val="1"/>
      <w:numFmt w:val="lowerRoman"/>
      <w:lvlText w:val="%3."/>
      <w:lvlJc w:val="right"/>
      <w:pPr>
        <w:ind w:left="2707" w:hanging="180"/>
      </w:pPr>
    </w:lvl>
    <w:lvl w:ilvl="3" w:tplc="0C09000F" w:tentative="1">
      <w:start w:val="1"/>
      <w:numFmt w:val="decimal"/>
      <w:lvlText w:val="%4."/>
      <w:lvlJc w:val="left"/>
      <w:pPr>
        <w:ind w:left="3427" w:hanging="360"/>
      </w:pPr>
    </w:lvl>
    <w:lvl w:ilvl="4" w:tplc="0C090019" w:tentative="1">
      <w:start w:val="1"/>
      <w:numFmt w:val="lowerLetter"/>
      <w:lvlText w:val="%5."/>
      <w:lvlJc w:val="left"/>
      <w:pPr>
        <w:ind w:left="4147" w:hanging="360"/>
      </w:pPr>
    </w:lvl>
    <w:lvl w:ilvl="5" w:tplc="0C09001B" w:tentative="1">
      <w:start w:val="1"/>
      <w:numFmt w:val="lowerRoman"/>
      <w:lvlText w:val="%6."/>
      <w:lvlJc w:val="right"/>
      <w:pPr>
        <w:ind w:left="4867" w:hanging="180"/>
      </w:pPr>
    </w:lvl>
    <w:lvl w:ilvl="6" w:tplc="0C09000F" w:tentative="1">
      <w:start w:val="1"/>
      <w:numFmt w:val="decimal"/>
      <w:lvlText w:val="%7."/>
      <w:lvlJc w:val="left"/>
      <w:pPr>
        <w:ind w:left="5587" w:hanging="360"/>
      </w:pPr>
    </w:lvl>
    <w:lvl w:ilvl="7" w:tplc="0C090019" w:tentative="1">
      <w:start w:val="1"/>
      <w:numFmt w:val="lowerLetter"/>
      <w:lvlText w:val="%8."/>
      <w:lvlJc w:val="left"/>
      <w:pPr>
        <w:ind w:left="6307" w:hanging="360"/>
      </w:pPr>
    </w:lvl>
    <w:lvl w:ilvl="8" w:tplc="0C09001B" w:tentative="1">
      <w:start w:val="1"/>
      <w:numFmt w:val="lowerRoman"/>
      <w:lvlText w:val="%9."/>
      <w:lvlJc w:val="right"/>
      <w:pPr>
        <w:ind w:left="7027" w:hanging="180"/>
      </w:pPr>
    </w:lvl>
  </w:abstractNum>
  <w:abstractNum w:abstractNumId="15" w15:restartNumberingAfterBreak="0">
    <w:nsid w:val="23A22B03"/>
    <w:multiLevelType w:val="multilevel"/>
    <w:tmpl w:val="8D72E8F2"/>
    <w:lvl w:ilvl="0">
      <w:start w:val="7"/>
      <w:numFmt w:val="decimal"/>
      <w:lvlText w:val="%1"/>
      <w:lvlJc w:val="left"/>
      <w:pPr>
        <w:ind w:left="615" w:hanging="61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16" w15:restartNumberingAfterBreak="0">
    <w:nsid w:val="285037DF"/>
    <w:multiLevelType w:val="hybridMultilevel"/>
    <w:tmpl w:val="B3041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F5638CC"/>
    <w:multiLevelType w:val="hybridMultilevel"/>
    <w:tmpl w:val="417478E6"/>
    <w:lvl w:ilvl="0" w:tplc="8828FC52">
      <w:start w:val="1"/>
      <w:numFmt w:val="decimal"/>
      <w:lvlText w:val="%1)"/>
      <w:lvlJc w:val="left"/>
      <w:pPr>
        <w:ind w:left="1020" w:hanging="360"/>
      </w:pPr>
    </w:lvl>
    <w:lvl w:ilvl="1" w:tplc="8B7A371E">
      <w:start w:val="1"/>
      <w:numFmt w:val="decimal"/>
      <w:lvlText w:val="%2)"/>
      <w:lvlJc w:val="left"/>
      <w:pPr>
        <w:ind w:left="1020" w:hanging="360"/>
      </w:pPr>
    </w:lvl>
    <w:lvl w:ilvl="2" w:tplc="E68ADE70">
      <w:start w:val="1"/>
      <w:numFmt w:val="decimal"/>
      <w:lvlText w:val="%3)"/>
      <w:lvlJc w:val="left"/>
      <w:pPr>
        <w:ind w:left="1020" w:hanging="360"/>
      </w:pPr>
    </w:lvl>
    <w:lvl w:ilvl="3" w:tplc="FB8023A0">
      <w:start w:val="1"/>
      <w:numFmt w:val="decimal"/>
      <w:lvlText w:val="%4)"/>
      <w:lvlJc w:val="left"/>
      <w:pPr>
        <w:ind w:left="1020" w:hanging="360"/>
      </w:pPr>
    </w:lvl>
    <w:lvl w:ilvl="4" w:tplc="FE548EE0">
      <w:start w:val="1"/>
      <w:numFmt w:val="decimal"/>
      <w:lvlText w:val="%5)"/>
      <w:lvlJc w:val="left"/>
      <w:pPr>
        <w:ind w:left="1020" w:hanging="360"/>
      </w:pPr>
    </w:lvl>
    <w:lvl w:ilvl="5" w:tplc="9ACE3902">
      <w:start w:val="1"/>
      <w:numFmt w:val="decimal"/>
      <w:lvlText w:val="%6)"/>
      <w:lvlJc w:val="left"/>
      <w:pPr>
        <w:ind w:left="1020" w:hanging="360"/>
      </w:pPr>
    </w:lvl>
    <w:lvl w:ilvl="6" w:tplc="7EA63B96">
      <w:start w:val="1"/>
      <w:numFmt w:val="decimal"/>
      <w:lvlText w:val="%7)"/>
      <w:lvlJc w:val="left"/>
      <w:pPr>
        <w:ind w:left="1020" w:hanging="360"/>
      </w:pPr>
    </w:lvl>
    <w:lvl w:ilvl="7" w:tplc="4BA43E14">
      <w:start w:val="1"/>
      <w:numFmt w:val="decimal"/>
      <w:lvlText w:val="%8)"/>
      <w:lvlJc w:val="left"/>
      <w:pPr>
        <w:ind w:left="1020" w:hanging="360"/>
      </w:pPr>
    </w:lvl>
    <w:lvl w:ilvl="8" w:tplc="CE8A372A">
      <w:start w:val="1"/>
      <w:numFmt w:val="decimal"/>
      <w:lvlText w:val="%9)"/>
      <w:lvlJc w:val="left"/>
      <w:pPr>
        <w:ind w:left="1020" w:hanging="360"/>
      </w:pPr>
    </w:lvl>
  </w:abstractNum>
  <w:abstractNum w:abstractNumId="18" w15:restartNumberingAfterBreak="0">
    <w:nsid w:val="30E8038B"/>
    <w:multiLevelType w:val="hybridMultilevel"/>
    <w:tmpl w:val="EDC8B058"/>
    <w:lvl w:ilvl="0" w:tplc="9C9EE5F0">
      <w:start w:val="1"/>
      <w:numFmt w:val="lowerLetter"/>
      <w:pStyle w:val="VIRTBulletpoints"/>
      <w:lvlText w:val="(%1)"/>
      <w:lvlJc w:val="left"/>
      <w:pPr>
        <w:ind w:left="360" w:hanging="360"/>
      </w:pPr>
      <w:rPr>
        <w:b w:val="0"/>
        <w:bCs w:val="0"/>
        <w:i w:val="0"/>
        <w:iCs w:val="0"/>
        <w:caps w:val="0"/>
        <w:smallCaps w:val="0"/>
        <w:strike w:val="0"/>
        <w:dstrike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14557E6"/>
    <w:multiLevelType w:val="hybridMultilevel"/>
    <w:tmpl w:val="225A605E"/>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2A93F02"/>
    <w:multiLevelType w:val="hybridMultilevel"/>
    <w:tmpl w:val="754E8AA6"/>
    <w:lvl w:ilvl="0" w:tplc="3B6AD770">
      <w:start w:val="1"/>
      <w:numFmt w:val="lowerLetter"/>
      <w:lvlText w:val="(%1)"/>
      <w:lvlJc w:val="left"/>
      <w:pPr>
        <w:ind w:left="1267" w:hanging="360"/>
      </w:pPr>
      <w:rPr>
        <w:rFonts w:hint="default"/>
      </w:rPr>
    </w:lvl>
    <w:lvl w:ilvl="1" w:tplc="0C090019" w:tentative="1">
      <w:start w:val="1"/>
      <w:numFmt w:val="lowerLetter"/>
      <w:lvlText w:val="%2."/>
      <w:lvlJc w:val="left"/>
      <w:pPr>
        <w:ind w:left="1987" w:hanging="360"/>
      </w:pPr>
    </w:lvl>
    <w:lvl w:ilvl="2" w:tplc="0C09001B" w:tentative="1">
      <w:start w:val="1"/>
      <w:numFmt w:val="lowerRoman"/>
      <w:lvlText w:val="%3."/>
      <w:lvlJc w:val="right"/>
      <w:pPr>
        <w:ind w:left="2707" w:hanging="180"/>
      </w:pPr>
    </w:lvl>
    <w:lvl w:ilvl="3" w:tplc="0C09000F" w:tentative="1">
      <w:start w:val="1"/>
      <w:numFmt w:val="decimal"/>
      <w:lvlText w:val="%4."/>
      <w:lvlJc w:val="left"/>
      <w:pPr>
        <w:ind w:left="3427" w:hanging="360"/>
      </w:pPr>
    </w:lvl>
    <w:lvl w:ilvl="4" w:tplc="0C090019" w:tentative="1">
      <w:start w:val="1"/>
      <w:numFmt w:val="lowerLetter"/>
      <w:lvlText w:val="%5."/>
      <w:lvlJc w:val="left"/>
      <w:pPr>
        <w:ind w:left="4147" w:hanging="360"/>
      </w:pPr>
    </w:lvl>
    <w:lvl w:ilvl="5" w:tplc="0C09001B" w:tentative="1">
      <w:start w:val="1"/>
      <w:numFmt w:val="lowerRoman"/>
      <w:lvlText w:val="%6."/>
      <w:lvlJc w:val="right"/>
      <w:pPr>
        <w:ind w:left="4867" w:hanging="180"/>
      </w:pPr>
    </w:lvl>
    <w:lvl w:ilvl="6" w:tplc="0C09000F" w:tentative="1">
      <w:start w:val="1"/>
      <w:numFmt w:val="decimal"/>
      <w:lvlText w:val="%7."/>
      <w:lvlJc w:val="left"/>
      <w:pPr>
        <w:ind w:left="5587" w:hanging="360"/>
      </w:pPr>
    </w:lvl>
    <w:lvl w:ilvl="7" w:tplc="0C090019" w:tentative="1">
      <w:start w:val="1"/>
      <w:numFmt w:val="lowerLetter"/>
      <w:lvlText w:val="%8."/>
      <w:lvlJc w:val="left"/>
      <w:pPr>
        <w:ind w:left="6307" w:hanging="360"/>
      </w:pPr>
    </w:lvl>
    <w:lvl w:ilvl="8" w:tplc="0C09001B" w:tentative="1">
      <w:start w:val="1"/>
      <w:numFmt w:val="lowerRoman"/>
      <w:lvlText w:val="%9."/>
      <w:lvlJc w:val="right"/>
      <w:pPr>
        <w:ind w:left="7027" w:hanging="180"/>
      </w:pPr>
    </w:lvl>
  </w:abstractNum>
  <w:abstractNum w:abstractNumId="21" w15:restartNumberingAfterBreak="0">
    <w:nsid w:val="32E40CD8"/>
    <w:multiLevelType w:val="multilevel"/>
    <w:tmpl w:val="D27EDF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960" w:hanging="3600"/>
      </w:pPr>
      <w:rPr>
        <w:rFonts w:hint="default"/>
      </w:rPr>
    </w:lvl>
    <w:lvl w:ilvl="8">
      <w:start w:val="1"/>
      <w:numFmt w:val="decimal"/>
      <w:isLgl/>
      <w:lvlText w:val="%1.%2.%3.%4.%5.%6.%7.%8.%9"/>
      <w:lvlJc w:val="left"/>
      <w:pPr>
        <w:ind w:left="4320" w:hanging="3960"/>
      </w:pPr>
      <w:rPr>
        <w:rFonts w:hint="default"/>
      </w:rPr>
    </w:lvl>
  </w:abstractNum>
  <w:abstractNum w:abstractNumId="22" w15:restartNumberingAfterBreak="0">
    <w:nsid w:val="34CB18C8"/>
    <w:multiLevelType w:val="hybridMultilevel"/>
    <w:tmpl w:val="F22E8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5BA5506"/>
    <w:multiLevelType w:val="hybridMultilevel"/>
    <w:tmpl w:val="2012C4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74C2414"/>
    <w:multiLevelType w:val="hybridMultilevel"/>
    <w:tmpl w:val="8A846C94"/>
    <w:lvl w:ilvl="0" w:tplc="60EEF8B2">
      <w:start w:val="1"/>
      <w:numFmt w:val="decimal"/>
      <w:pStyle w:val="Numberedparagraphs"/>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38CA68F5"/>
    <w:multiLevelType w:val="hybridMultilevel"/>
    <w:tmpl w:val="94CE2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8D870D4"/>
    <w:multiLevelType w:val="hybridMultilevel"/>
    <w:tmpl w:val="7376EF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AF50D3B"/>
    <w:multiLevelType w:val="hybridMultilevel"/>
    <w:tmpl w:val="77C2C9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C2478D2"/>
    <w:multiLevelType w:val="multilevel"/>
    <w:tmpl w:val="F0AA3594"/>
    <w:styleLink w:val="ZZBullets"/>
    <w:lvl w:ilvl="0">
      <w:start w:val="1"/>
      <w:numFmt w:val="bullet"/>
      <w:pStyle w:val="DPCbullet1"/>
      <w:lvlText w:val=""/>
      <w:lvlJc w:val="left"/>
      <w:pPr>
        <w:ind w:left="360" w:hanging="360"/>
      </w:pPr>
      <w:rPr>
        <w:rFonts w:ascii="Symbol" w:hAnsi="Symbol" w:hint="default"/>
        <w:sz w:val="24"/>
      </w:rPr>
    </w:lvl>
    <w:lvl w:ilvl="1">
      <w:start w:val="1"/>
      <w:numFmt w:val="bullet"/>
      <w:pStyle w:val="DPCbullet2"/>
      <w:lvlText w:val="o"/>
      <w:lvlJc w:val="left"/>
      <w:pPr>
        <w:tabs>
          <w:tab w:val="num" w:pos="284"/>
        </w:tabs>
        <w:ind w:left="567" w:hanging="283"/>
      </w:pPr>
      <w:rPr>
        <w:rFonts w:ascii="Courier New" w:hAnsi="Courier New"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15:restartNumberingAfterBreak="0">
    <w:nsid w:val="3D59364F"/>
    <w:multiLevelType w:val="hybridMultilevel"/>
    <w:tmpl w:val="749AA2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14D685B"/>
    <w:multiLevelType w:val="hybridMultilevel"/>
    <w:tmpl w:val="62C0C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5C84346"/>
    <w:multiLevelType w:val="hybridMultilevel"/>
    <w:tmpl w:val="49FCB1CE"/>
    <w:styleLink w:val="ZZNumbersdigit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1E2000A"/>
    <w:multiLevelType w:val="multilevel"/>
    <w:tmpl w:val="9E5E2608"/>
    <w:lvl w:ilvl="0">
      <w:start w:val="1"/>
      <w:numFmt w:val="decimal"/>
      <w:pStyle w:val="Instrumentlevel1numberedparagraphs"/>
      <w:lvlText w:val="%1."/>
      <w:lvlJc w:val="left"/>
      <w:pPr>
        <w:ind w:left="360" w:hanging="360"/>
      </w:pPr>
      <w:rPr>
        <w:rFonts w:hint="default"/>
        <w:b w:val="0"/>
        <w:i w:val="0"/>
      </w:rPr>
    </w:lvl>
    <w:lvl w:ilvl="1">
      <w:start w:val="1"/>
      <w:numFmt w:val="decimal"/>
      <w:pStyle w:val="Instrumentlevel2numberedparagraphs"/>
      <w:lvlText w:val="%1.%2."/>
      <w:lvlJc w:val="left"/>
      <w:pPr>
        <w:ind w:left="907" w:hanging="547"/>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3FC3CF3"/>
    <w:multiLevelType w:val="hybridMultilevel"/>
    <w:tmpl w:val="E8EE9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40B7803"/>
    <w:multiLevelType w:val="hybridMultilevel"/>
    <w:tmpl w:val="2FFA0AAC"/>
    <w:lvl w:ilvl="0" w:tplc="1E6EE588">
      <w:start w:val="1"/>
      <w:numFmt w:val="bullet"/>
      <w:pStyle w:val="06VIRTBulletpoints"/>
      <w:lvlText w:val=""/>
      <w:lvlJc w:val="left"/>
      <w:pPr>
        <w:ind w:left="36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80E4927"/>
    <w:multiLevelType w:val="hybridMultilevel"/>
    <w:tmpl w:val="63CC11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BDB32D9"/>
    <w:multiLevelType w:val="hybridMultilevel"/>
    <w:tmpl w:val="9A5C5EE2"/>
    <w:lvl w:ilvl="0" w:tplc="54EAF110">
      <w:start w:val="1"/>
      <w:numFmt w:val="bullet"/>
      <w:pStyle w:val="Bulletslevel2"/>
      <w:lvlText w:val="o"/>
      <w:lvlJc w:val="left"/>
      <w:pPr>
        <w:ind w:left="890" w:hanging="360"/>
      </w:pPr>
      <w:rPr>
        <w:rFonts w:ascii="Courier New" w:hAnsi="Courier New" w:hint="default"/>
        <w:color w:val="0068A7"/>
      </w:rPr>
    </w:lvl>
    <w:lvl w:ilvl="1" w:tplc="0C090003" w:tentative="1">
      <w:start w:val="1"/>
      <w:numFmt w:val="bullet"/>
      <w:lvlText w:val="o"/>
      <w:lvlJc w:val="left"/>
      <w:pPr>
        <w:ind w:left="2594" w:hanging="360"/>
      </w:pPr>
      <w:rPr>
        <w:rFonts w:ascii="Courier New" w:hAnsi="Courier New" w:cs="Courier New" w:hint="default"/>
      </w:rPr>
    </w:lvl>
    <w:lvl w:ilvl="2" w:tplc="0C090005" w:tentative="1">
      <w:start w:val="1"/>
      <w:numFmt w:val="bullet"/>
      <w:lvlText w:val=""/>
      <w:lvlJc w:val="left"/>
      <w:pPr>
        <w:ind w:left="3314" w:hanging="360"/>
      </w:pPr>
      <w:rPr>
        <w:rFonts w:ascii="Wingdings" w:hAnsi="Wingdings" w:hint="default"/>
      </w:rPr>
    </w:lvl>
    <w:lvl w:ilvl="3" w:tplc="0C090001" w:tentative="1">
      <w:start w:val="1"/>
      <w:numFmt w:val="bullet"/>
      <w:lvlText w:val=""/>
      <w:lvlJc w:val="left"/>
      <w:pPr>
        <w:ind w:left="4034" w:hanging="360"/>
      </w:pPr>
      <w:rPr>
        <w:rFonts w:ascii="Symbol" w:hAnsi="Symbol" w:hint="default"/>
      </w:rPr>
    </w:lvl>
    <w:lvl w:ilvl="4" w:tplc="0C090003" w:tentative="1">
      <w:start w:val="1"/>
      <w:numFmt w:val="bullet"/>
      <w:lvlText w:val="o"/>
      <w:lvlJc w:val="left"/>
      <w:pPr>
        <w:ind w:left="4754" w:hanging="360"/>
      </w:pPr>
      <w:rPr>
        <w:rFonts w:ascii="Courier New" w:hAnsi="Courier New" w:cs="Courier New" w:hint="default"/>
      </w:rPr>
    </w:lvl>
    <w:lvl w:ilvl="5" w:tplc="0C090005" w:tentative="1">
      <w:start w:val="1"/>
      <w:numFmt w:val="bullet"/>
      <w:lvlText w:val=""/>
      <w:lvlJc w:val="left"/>
      <w:pPr>
        <w:ind w:left="5474" w:hanging="360"/>
      </w:pPr>
      <w:rPr>
        <w:rFonts w:ascii="Wingdings" w:hAnsi="Wingdings" w:hint="default"/>
      </w:rPr>
    </w:lvl>
    <w:lvl w:ilvl="6" w:tplc="0C090001" w:tentative="1">
      <w:start w:val="1"/>
      <w:numFmt w:val="bullet"/>
      <w:lvlText w:val=""/>
      <w:lvlJc w:val="left"/>
      <w:pPr>
        <w:ind w:left="6194" w:hanging="360"/>
      </w:pPr>
      <w:rPr>
        <w:rFonts w:ascii="Symbol" w:hAnsi="Symbol" w:hint="default"/>
      </w:rPr>
    </w:lvl>
    <w:lvl w:ilvl="7" w:tplc="0C090003" w:tentative="1">
      <w:start w:val="1"/>
      <w:numFmt w:val="bullet"/>
      <w:lvlText w:val="o"/>
      <w:lvlJc w:val="left"/>
      <w:pPr>
        <w:ind w:left="6914" w:hanging="360"/>
      </w:pPr>
      <w:rPr>
        <w:rFonts w:ascii="Courier New" w:hAnsi="Courier New" w:cs="Courier New" w:hint="default"/>
      </w:rPr>
    </w:lvl>
    <w:lvl w:ilvl="8" w:tplc="0C090005" w:tentative="1">
      <w:start w:val="1"/>
      <w:numFmt w:val="bullet"/>
      <w:lvlText w:val=""/>
      <w:lvlJc w:val="left"/>
      <w:pPr>
        <w:ind w:left="7634" w:hanging="360"/>
      </w:pPr>
      <w:rPr>
        <w:rFonts w:ascii="Wingdings" w:hAnsi="Wingdings" w:hint="default"/>
      </w:rPr>
    </w:lvl>
  </w:abstractNum>
  <w:abstractNum w:abstractNumId="37" w15:restartNumberingAfterBreak="0">
    <w:nsid w:val="5E3C6366"/>
    <w:multiLevelType w:val="hybridMultilevel"/>
    <w:tmpl w:val="689225CA"/>
    <w:styleLink w:val="ZZNumbersdigit11"/>
    <w:lvl w:ilvl="0" w:tplc="FDF08CC6">
      <w:start w:val="1"/>
      <w:numFmt w:val="bullet"/>
      <w:pStyle w:val="VIRTDeterminationbullets"/>
      <w:lvlText w:val=""/>
      <w:lvlJc w:val="left"/>
      <w:pPr>
        <w:ind w:left="360" w:hanging="360"/>
      </w:pPr>
      <w:rPr>
        <w:rFonts w:ascii="Symbol" w:hAnsi="Symbol"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60D802D6"/>
    <w:multiLevelType w:val="hybridMultilevel"/>
    <w:tmpl w:val="076E4384"/>
    <w:lvl w:ilvl="0" w:tplc="FA6485DC">
      <w:start w:val="1"/>
      <w:numFmt w:val="bullet"/>
      <w:pStyle w:val="11Bulletsinatabl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2DB2CF3"/>
    <w:multiLevelType w:val="hybridMultilevel"/>
    <w:tmpl w:val="FD0A02D8"/>
    <w:lvl w:ilvl="0" w:tplc="6FB4DF9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60A4BBE"/>
    <w:multiLevelType w:val="multilevel"/>
    <w:tmpl w:val="19A67E62"/>
    <w:lvl w:ilvl="0">
      <w:start w:val="1"/>
      <w:numFmt w:val="decimal"/>
      <w:lvlText w:val="%1"/>
      <w:lvlJc w:val="left"/>
      <w:pPr>
        <w:ind w:left="615" w:hanging="61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41" w15:restartNumberingAfterBreak="0">
    <w:nsid w:val="687E6D16"/>
    <w:multiLevelType w:val="hybridMultilevel"/>
    <w:tmpl w:val="80DE3E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68BB1A0D"/>
    <w:multiLevelType w:val="hybridMultilevel"/>
    <w:tmpl w:val="42DC6A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68BC4D90"/>
    <w:multiLevelType w:val="hybridMultilevel"/>
    <w:tmpl w:val="B936C2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68BF220C"/>
    <w:multiLevelType w:val="hybridMultilevel"/>
    <w:tmpl w:val="9E7EDCB4"/>
    <w:lvl w:ilvl="0" w:tplc="6FB4DF9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A5F1B71"/>
    <w:multiLevelType w:val="hybridMultilevel"/>
    <w:tmpl w:val="43DA7D58"/>
    <w:lvl w:ilvl="0" w:tplc="1738006E">
      <w:start w:val="1"/>
      <w:numFmt w:val="bullet"/>
      <w:pStyle w:val="Bulletsinatable"/>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6A6911BE"/>
    <w:multiLevelType w:val="hybridMultilevel"/>
    <w:tmpl w:val="345AB8EE"/>
    <w:lvl w:ilvl="0" w:tplc="6DCA4D28">
      <w:start w:val="1"/>
      <w:numFmt w:val="bullet"/>
      <w:pStyle w:val="Bullets"/>
      <w:lvlText w:val=""/>
      <w:lvlJc w:val="left"/>
      <w:pPr>
        <w:ind w:left="530" w:hanging="360"/>
      </w:pPr>
      <w:rPr>
        <w:rFonts w:ascii="Symbol" w:hAnsi="Symbol" w:hint="default"/>
        <w:color w:val="005A65"/>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6B17222A"/>
    <w:multiLevelType w:val="multilevel"/>
    <w:tmpl w:val="6D06F15A"/>
    <w:lvl w:ilvl="0">
      <w:start w:val="1"/>
      <w:numFmt w:val="decimal"/>
      <w:lvlText w:val="%1."/>
      <w:lvlJc w:val="left"/>
      <w:pPr>
        <w:ind w:left="360" w:hanging="360"/>
      </w:pPr>
      <w:rPr>
        <w:rFonts w:hint="default"/>
        <w:b/>
        <w:bCs/>
        <w:i w:val="0"/>
        <w:iCs/>
      </w:rPr>
    </w:lvl>
    <w:lvl w:ilvl="1">
      <w:start w:val="1"/>
      <w:numFmt w:val="decimal"/>
      <w:pStyle w:val="Instrumentclauses"/>
      <w:lvlText w:val="%1.%2"/>
      <w:lvlJc w:val="left"/>
      <w:pPr>
        <w:ind w:left="907" w:hanging="547"/>
      </w:pPr>
      <w:rPr>
        <w:b w:val="0"/>
        <w:bCs w:val="0"/>
        <w:i w:val="0"/>
        <w:iCs/>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48" w15:restartNumberingAfterBreak="0">
    <w:nsid w:val="6BD34A9E"/>
    <w:multiLevelType w:val="hybridMultilevel"/>
    <w:tmpl w:val="B908F0A8"/>
    <w:lvl w:ilvl="0" w:tplc="1FB85A4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0D453BC"/>
    <w:multiLevelType w:val="hybridMultilevel"/>
    <w:tmpl w:val="504CCD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749423DA"/>
    <w:multiLevelType w:val="hybridMultilevel"/>
    <w:tmpl w:val="306C070E"/>
    <w:styleLink w:val="ZZNumbersdigit"/>
    <w:lvl w:ilvl="0" w:tplc="E362E804">
      <w:start w:val="1"/>
      <w:numFmt w:val="decimal"/>
      <w:pStyle w:val="DPCnumberdigit"/>
      <w:lvlText w:val="%1."/>
      <w:lvlJc w:val="left"/>
      <w:pPr>
        <w:tabs>
          <w:tab w:val="num" w:pos="397"/>
        </w:tabs>
        <w:ind w:left="397" w:hanging="397"/>
      </w:pPr>
      <w:rPr>
        <w:rFonts w:hint="default"/>
      </w:rPr>
    </w:lvl>
    <w:lvl w:ilvl="1" w:tplc="796C9A9A">
      <w:start w:val="1"/>
      <w:numFmt w:val="decimal"/>
      <w:pStyle w:val="DPCnumberdigitindent"/>
      <w:lvlText w:val="%2."/>
      <w:lvlJc w:val="left"/>
      <w:pPr>
        <w:tabs>
          <w:tab w:val="num" w:pos="794"/>
        </w:tabs>
        <w:ind w:left="794" w:hanging="397"/>
      </w:pPr>
      <w:rPr>
        <w:rFonts w:hint="default"/>
      </w:rPr>
    </w:lvl>
    <w:lvl w:ilvl="2" w:tplc="92483B02">
      <w:start w:val="1"/>
      <w:numFmt w:val="bullet"/>
      <w:lvlRestart w:val="0"/>
      <w:pStyle w:val="DPCbulletafternumbers1"/>
      <w:lvlText w:val="▪"/>
      <w:lvlJc w:val="left"/>
      <w:pPr>
        <w:ind w:left="794" w:hanging="397"/>
      </w:pPr>
      <w:rPr>
        <w:rFonts w:hint="default"/>
      </w:rPr>
    </w:lvl>
    <w:lvl w:ilvl="3" w:tplc="203ADC30">
      <w:start w:val="1"/>
      <w:numFmt w:val="bullet"/>
      <w:lvlRestart w:val="0"/>
      <w:pStyle w:val="DPCbulletafternumbers2"/>
      <w:lvlText w:val="–"/>
      <w:lvlJc w:val="left"/>
      <w:pPr>
        <w:ind w:left="1191" w:hanging="397"/>
      </w:pPr>
      <w:rPr>
        <w:rFonts w:hint="default"/>
        <w:color w:val="auto"/>
      </w:rPr>
    </w:lvl>
    <w:lvl w:ilvl="4" w:tplc="BE1A8F9A">
      <w:start w:val="1"/>
      <w:numFmt w:val="none"/>
      <w:lvlRestart w:val="0"/>
      <w:lvlText w:val=""/>
      <w:lvlJc w:val="left"/>
      <w:pPr>
        <w:ind w:left="0" w:firstLine="0"/>
      </w:pPr>
      <w:rPr>
        <w:rFonts w:hint="default"/>
      </w:rPr>
    </w:lvl>
    <w:lvl w:ilvl="5" w:tplc="71B6EF68">
      <w:start w:val="1"/>
      <w:numFmt w:val="none"/>
      <w:lvlRestart w:val="0"/>
      <w:lvlText w:val=""/>
      <w:lvlJc w:val="left"/>
      <w:pPr>
        <w:ind w:left="0" w:firstLine="0"/>
      </w:pPr>
      <w:rPr>
        <w:rFonts w:hint="default"/>
      </w:rPr>
    </w:lvl>
    <w:lvl w:ilvl="6" w:tplc="EBF25490">
      <w:start w:val="1"/>
      <w:numFmt w:val="none"/>
      <w:lvlRestart w:val="0"/>
      <w:lvlText w:val=""/>
      <w:lvlJc w:val="left"/>
      <w:pPr>
        <w:ind w:left="0" w:firstLine="0"/>
      </w:pPr>
      <w:rPr>
        <w:rFonts w:hint="default"/>
      </w:rPr>
    </w:lvl>
    <w:lvl w:ilvl="7" w:tplc="9A6A7EB8">
      <w:start w:val="1"/>
      <w:numFmt w:val="none"/>
      <w:lvlRestart w:val="0"/>
      <w:lvlText w:val=""/>
      <w:lvlJc w:val="left"/>
      <w:pPr>
        <w:ind w:left="0" w:firstLine="0"/>
      </w:pPr>
      <w:rPr>
        <w:rFonts w:hint="default"/>
      </w:rPr>
    </w:lvl>
    <w:lvl w:ilvl="8" w:tplc="B6B61508">
      <w:start w:val="1"/>
      <w:numFmt w:val="none"/>
      <w:lvlRestart w:val="0"/>
      <w:lvlText w:val=""/>
      <w:lvlJc w:val="left"/>
      <w:pPr>
        <w:ind w:left="0" w:firstLine="0"/>
      </w:pPr>
      <w:rPr>
        <w:rFonts w:hint="default"/>
      </w:rPr>
    </w:lvl>
  </w:abstractNum>
  <w:abstractNum w:abstractNumId="51" w15:restartNumberingAfterBreak="0">
    <w:nsid w:val="766C6BD6"/>
    <w:multiLevelType w:val="hybridMultilevel"/>
    <w:tmpl w:val="465A438A"/>
    <w:lvl w:ilvl="0" w:tplc="A95A8FA4">
      <w:start w:val="1"/>
      <w:numFmt w:val="bullet"/>
      <w:pStyle w:val="Tablebullets"/>
      <w:lvlText w:val=""/>
      <w:lvlJc w:val="left"/>
      <w:pPr>
        <w:ind w:left="360" w:hanging="360"/>
      </w:pPr>
      <w:rPr>
        <w:rFonts w:ascii="Symbol" w:hAnsi="Symbol" w:hint="default"/>
      </w:rPr>
    </w:lvl>
    <w:lvl w:ilvl="1" w:tplc="C9DC9770">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78911643"/>
    <w:multiLevelType w:val="hybridMultilevel"/>
    <w:tmpl w:val="6938EB6A"/>
    <w:lvl w:ilvl="0" w:tplc="FE1289A8">
      <w:start w:val="1"/>
      <w:numFmt w:val="bullet"/>
      <w:pStyle w:val="VIRTDotpoin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D3B11FB"/>
    <w:multiLevelType w:val="hybridMultilevel"/>
    <w:tmpl w:val="DDD26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14594897">
    <w:abstractNumId w:val="52"/>
  </w:num>
  <w:num w:numId="2" w16cid:durableId="1073044153">
    <w:abstractNumId w:val="28"/>
  </w:num>
  <w:num w:numId="3" w16cid:durableId="785931604">
    <w:abstractNumId w:val="51"/>
  </w:num>
  <w:num w:numId="4" w16cid:durableId="2123305372">
    <w:abstractNumId w:val="18"/>
  </w:num>
  <w:num w:numId="5" w16cid:durableId="409354586">
    <w:abstractNumId w:val="37"/>
  </w:num>
  <w:num w:numId="6" w16cid:durableId="1463771150">
    <w:abstractNumId w:val="32"/>
  </w:num>
  <w:num w:numId="7" w16cid:durableId="5636837">
    <w:abstractNumId w:val="21"/>
  </w:num>
  <w:num w:numId="8" w16cid:durableId="212695884">
    <w:abstractNumId w:val="20"/>
  </w:num>
  <w:num w:numId="9" w16cid:durableId="585500432">
    <w:abstractNumId w:val="14"/>
  </w:num>
  <w:num w:numId="10" w16cid:durableId="1281305750">
    <w:abstractNumId w:val="14"/>
    <w:lvlOverride w:ilvl="0">
      <w:startOverride w:val="1"/>
    </w:lvlOverride>
  </w:num>
  <w:num w:numId="11" w16cid:durableId="1934975254">
    <w:abstractNumId w:val="34"/>
  </w:num>
  <w:num w:numId="12" w16cid:durableId="1846703985">
    <w:abstractNumId w:val="40"/>
  </w:num>
  <w:num w:numId="13" w16cid:durableId="905064902">
    <w:abstractNumId w:val="22"/>
  </w:num>
  <w:num w:numId="14" w16cid:durableId="463813146">
    <w:abstractNumId w:val="31"/>
  </w:num>
  <w:num w:numId="15" w16cid:durableId="1785537541">
    <w:abstractNumId w:val="19"/>
  </w:num>
  <w:num w:numId="16" w16cid:durableId="486360154">
    <w:abstractNumId w:val="53"/>
  </w:num>
  <w:num w:numId="17" w16cid:durableId="1659652832">
    <w:abstractNumId w:val="25"/>
  </w:num>
  <w:num w:numId="18" w16cid:durableId="1070074348">
    <w:abstractNumId w:val="33"/>
  </w:num>
  <w:num w:numId="19" w16cid:durableId="387535781">
    <w:abstractNumId w:val="16"/>
  </w:num>
  <w:num w:numId="20" w16cid:durableId="408694904">
    <w:abstractNumId w:val="36"/>
  </w:num>
  <w:num w:numId="21" w16cid:durableId="679090737">
    <w:abstractNumId w:val="46"/>
  </w:num>
  <w:num w:numId="22" w16cid:durableId="566107129">
    <w:abstractNumId w:val="35"/>
  </w:num>
  <w:num w:numId="23" w16cid:durableId="542062311">
    <w:abstractNumId w:val="43"/>
  </w:num>
  <w:num w:numId="24" w16cid:durableId="196816250">
    <w:abstractNumId w:val="42"/>
  </w:num>
  <w:num w:numId="25" w16cid:durableId="43063164">
    <w:abstractNumId w:val="13"/>
  </w:num>
  <w:num w:numId="26" w16cid:durableId="119882161">
    <w:abstractNumId w:val="49"/>
  </w:num>
  <w:num w:numId="27" w16cid:durableId="1317492370">
    <w:abstractNumId w:val="45"/>
  </w:num>
  <w:num w:numId="28" w16cid:durableId="652561621">
    <w:abstractNumId w:val="11"/>
  </w:num>
  <w:num w:numId="29" w16cid:durableId="643045391">
    <w:abstractNumId w:val="23"/>
  </w:num>
  <w:num w:numId="30" w16cid:durableId="1503621092">
    <w:abstractNumId w:val="27"/>
  </w:num>
  <w:num w:numId="31" w16cid:durableId="1554539735">
    <w:abstractNumId w:val="41"/>
  </w:num>
  <w:num w:numId="32" w16cid:durableId="1404598139">
    <w:abstractNumId w:val="9"/>
  </w:num>
  <w:num w:numId="33" w16cid:durableId="1105151226">
    <w:abstractNumId w:val="7"/>
  </w:num>
  <w:num w:numId="34" w16cid:durableId="386073348">
    <w:abstractNumId w:val="6"/>
  </w:num>
  <w:num w:numId="35" w16cid:durableId="116611378">
    <w:abstractNumId w:val="5"/>
  </w:num>
  <w:num w:numId="36" w16cid:durableId="246963019">
    <w:abstractNumId w:val="4"/>
  </w:num>
  <w:num w:numId="37" w16cid:durableId="13725694">
    <w:abstractNumId w:val="8"/>
  </w:num>
  <w:num w:numId="38" w16cid:durableId="1156609986">
    <w:abstractNumId w:val="3"/>
  </w:num>
  <w:num w:numId="39" w16cid:durableId="373967501">
    <w:abstractNumId w:val="2"/>
  </w:num>
  <w:num w:numId="40" w16cid:durableId="1465195892">
    <w:abstractNumId w:val="1"/>
  </w:num>
  <w:num w:numId="41" w16cid:durableId="1070158135">
    <w:abstractNumId w:val="0"/>
  </w:num>
  <w:num w:numId="42" w16cid:durableId="1141656481">
    <w:abstractNumId w:val="47"/>
  </w:num>
  <w:num w:numId="43" w16cid:durableId="1110275153">
    <w:abstractNumId w:val="24"/>
  </w:num>
  <w:num w:numId="44" w16cid:durableId="1683774381">
    <w:abstractNumId w:val="50"/>
  </w:num>
  <w:num w:numId="45" w16cid:durableId="87045418">
    <w:abstractNumId w:val="26"/>
  </w:num>
  <w:num w:numId="46" w16cid:durableId="376512788">
    <w:abstractNumId w:val="48"/>
  </w:num>
  <w:num w:numId="47" w16cid:durableId="1133250291">
    <w:abstractNumId w:val="30"/>
  </w:num>
  <w:num w:numId="48" w16cid:durableId="1789542828">
    <w:abstractNumId w:val="15"/>
  </w:num>
  <w:num w:numId="49" w16cid:durableId="1874419954">
    <w:abstractNumId w:val="39"/>
  </w:num>
  <w:num w:numId="50" w16cid:durableId="986326787">
    <w:abstractNumId w:val="44"/>
  </w:num>
  <w:num w:numId="51" w16cid:durableId="1660958236">
    <w:abstractNumId w:val="17"/>
  </w:num>
  <w:num w:numId="52" w16cid:durableId="1343818646">
    <w:abstractNumId w:val="29"/>
  </w:num>
  <w:num w:numId="53" w16cid:durableId="2025016590">
    <w:abstractNumId w:val="38"/>
  </w:num>
  <w:num w:numId="54" w16cid:durableId="719523767">
    <w:abstractNumId w:val="12"/>
  </w:num>
  <w:num w:numId="55" w16cid:durableId="1034306427">
    <w:abstractNumId w:val="10"/>
  </w:num>
  <w:num w:numId="56" w16cid:durableId="2053193615">
    <w:abstractNumId w:val="3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activeWritingStyle w:appName="MSWord" w:lang="en-AU"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284"/>
  <w:defaultTableStyle w:val="ListTable3-Accent2"/>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EE0"/>
    <w:rsid w:val="00001648"/>
    <w:rsid w:val="000025F0"/>
    <w:rsid w:val="00003123"/>
    <w:rsid w:val="000035D5"/>
    <w:rsid w:val="00004084"/>
    <w:rsid w:val="00005AAC"/>
    <w:rsid w:val="00007355"/>
    <w:rsid w:val="0000748B"/>
    <w:rsid w:val="00007654"/>
    <w:rsid w:val="000077D4"/>
    <w:rsid w:val="00007DA0"/>
    <w:rsid w:val="00010522"/>
    <w:rsid w:val="00010AD7"/>
    <w:rsid w:val="000118C2"/>
    <w:rsid w:val="00011A63"/>
    <w:rsid w:val="000129A1"/>
    <w:rsid w:val="00012DBA"/>
    <w:rsid w:val="0001315E"/>
    <w:rsid w:val="00013213"/>
    <w:rsid w:val="00013704"/>
    <w:rsid w:val="0001382F"/>
    <w:rsid w:val="0001407C"/>
    <w:rsid w:val="000150EF"/>
    <w:rsid w:val="00016B94"/>
    <w:rsid w:val="00020693"/>
    <w:rsid w:val="0002185D"/>
    <w:rsid w:val="00021AB5"/>
    <w:rsid w:val="0002212F"/>
    <w:rsid w:val="0002494E"/>
    <w:rsid w:val="00025134"/>
    <w:rsid w:val="000253FE"/>
    <w:rsid w:val="00025514"/>
    <w:rsid w:val="0002615B"/>
    <w:rsid w:val="000269B3"/>
    <w:rsid w:val="000269FF"/>
    <w:rsid w:val="00026F97"/>
    <w:rsid w:val="00027067"/>
    <w:rsid w:val="0002748A"/>
    <w:rsid w:val="00030701"/>
    <w:rsid w:val="00030EA0"/>
    <w:rsid w:val="0003162A"/>
    <w:rsid w:val="00031BC2"/>
    <w:rsid w:val="00032512"/>
    <w:rsid w:val="00032B59"/>
    <w:rsid w:val="00033627"/>
    <w:rsid w:val="000338B5"/>
    <w:rsid w:val="000339F2"/>
    <w:rsid w:val="00034140"/>
    <w:rsid w:val="00034508"/>
    <w:rsid w:val="00034E83"/>
    <w:rsid w:val="00035B1A"/>
    <w:rsid w:val="00036DFF"/>
    <w:rsid w:val="00037472"/>
    <w:rsid w:val="000375C8"/>
    <w:rsid w:val="00037984"/>
    <w:rsid w:val="000401F2"/>
    <w:rsid w:val="00040EF5"/>
    <w:rsid w:val="00041310"/>
    <w:rsid w:val="0004212C"/>
    <w:rsid w:val="00042138"/>
    <w:rsid w:val="00042AC2"/>
    <w:rsid w:val="00042E9D"/>
    <w:rsid w:val="00042F1D"/>
    <w:rsid w:val="000432B1"/>
    <w:rsid w:val="000434C9"/>
    <w:rsid w:val="000445C8"/>
    <w:rsid w:val="00044ABE"/>
    <w:rsid w:val="00044CC7"/>
    <w:rsid w:val="000451F5"/>
    <w:rsid w:val="0004545A"/>
    <w:rsid w:val="000455AE"/>
    <w:rsid w:val="00045839"/>
    <w:rsid w:val="00045878"/>
    <w:rsid w:val="00045AA4"/>
    <w:rsid w:val="00045E33"/>
    <w:rsid w:val="00046850"/>
    <w:rsid w:val="00046EA0"/>
    <w:rsid w:val="000470B6"/>
    <w:rsid w:val="000470E2"/>
    <w:rsid w:val="00047817"/>
    <w:rsid w:val="0005011D"/>
    <w:rsid w:val="00050AE6"/>
    <w:rsid w:val="00051548"/>
    <w:rsid w:val="000521B3"/>
    <w:rsid w:val="000524D3"/>
    <w:rsid w:val="00052658"/>
    <w:rsid w:val="0005272C"/>
    <w:rsid w:val="00052861"/>
    <w:rsid w:val="00052D06"/>
    <w:rsid w:val="000538DD"/>
    <w:rsid w:val="00054574"/>
    <w:rsid w:val="00055A61"/>
    <w:rsid w:val="00055B9E"/>
    <w:rsid w:val="000577C4"/>
    <w:rsid w:val="00057BCC"/>
    <w:rsid w:val="00060144"/>
    <w:rsid w:val="00060312"/>
    <w:rsid w:val="00060CDF"/>
    <w:rsid w:val="00060ED9"/>
    <w:rsid w:val="000610C8"/>
    <w:rsid w:val="00061789"/>
    <w:rsid w:val="000617DA"/>
    <w:rsid w:val="00061CD1"/>
    <w:rsid w:val="00061D9E"/>
    <w:rsid w:val="000631D5"/>
    <w:rsid w:val="00063AA2"/>
    <w:rsid w:val="0006427C"/>
    <w:rsid w:val="0006459C"/>
    <w:rsid w:val="00064F0A"/>
    <w:rsid w:val="0006539F"/>
    <w:rsid w:val="00066056"/>
    <w:rsid w:val="000669BA"/>
    <w:rsid w:val="00066A4A"/>
    <w:rsid w:val="00066D68"/>
    <w:rsid w:val="00066E06"/>
    <w:rsid w:val="00067B8F"/>
    <w:rsid w:val="00067E19"/>
    <w:rsid w:val="00067EE4"/>
    <w:rsid w:val="00070B79"/>
    <w:rsid w:val="00071BA8"/>
    <w:rsid w:val="00071D54"/>
    <w:rsid w:val="000730B5"/>
    <w:rsid w:val="00073627"/>
    <w:rsid w:val="00073E9C"/>
    <w:rsid w:val="0007432F"/>
    <w:rsid w:val="00074354"/>
    <w:rsid w:val="000746AE"/>
    <w:rsid w:val="00075B30"/>
    <w:rsid w:val="00075D79"/>
    <w:rsid w:val="00076167"/>
    <w:rsid w:val="00077687"/>
    <w:rsid w:val="00077A86"/>
    <w:rsid w:val="00077A90"/>
    <w:rsid w:val="00077CE9"/>
    <w:rsid w:val="000810AD"/>
    <w:rsid w:val="00081540"/>
    <w:rsid w:val="00081E61"/>
    <w:rsid w:val="00082552"/>
    <w:rsid w:val="00082A0D"/>
    <w:rsid w:val="000830BC"/>
    <w:rsid w:val="00083D09"/>
    <w:rsid w:val="00084C86"/>
    <w:rsid w:val="000855DE"/>
    <w:rsid w:val="00085774"/>
    <w:rsid w:val="000861C4"/>
    <w:rsid w:val="00086E89"/>
    <w:rsid w:val="00087288"/>
    <w:rsid w:val="0008797B"/>
    <w:rsid w:val="00090DB2"/>
    <w:rsid w:val="00091A85"/>
    <w:rsid w:val="00092436"/>
    <w:rsid w:val="000924FB"/>
    <w:rsid w:val="00093266"/>
    <w:rsid w:val="00093F82"/>
    <w:rsid w:val="00094168"/>
    <w:rsid w:val="0009423B"/>
    <w:rsid w:val="00096C8E"/>
    <w:rsid w:val="00096E86"/>
    <w:rsid w:val="000A00EB"/>
    <w:rsid w:val="000A01F9"/>
    <w:rsid w:val="000A0308"/>
    <w:rsid w:val="000A1EC1"/>
    <w:rsid w:val="000A1EF7"/>
    <w:rsid w:val="000A25C0"/>
    <w:rsid w:val="000A2B57"/>
    <w:rsid w:val="000A2FF5"/>
    <w:rsid w:val="000A3849"/>
    <w:rsid w:val="000A388A"/>
    <w:rsid w:val="000A44A1"/>
    <w:rsid w:val="000A4EE6"/>
    <w:rsid w:val="000A50BE"/>
    <w:rsid w:val="000A50E2"/>
    <w:rsid w:val="000A5B38"/>
    <w:rsid w:val="000A612D"/>
    <w:rsid w:val="000A6142"/>
    <w:rsid w:val="000A72AB"/>
    <w:rsid w:val="000A76BB"/>
    <w:rsid w:val="000B01C9"/>
    <w:rsid w:val="000B032E"/>
    <w:rsid w:val="000B034D"/>
    <w:rsid w:val="000B152E"/>
    <w:rsid w:val="000B1CD7"/>
    <w:rsid w:val="000B2457"/>
    <w:rsid w:val="000B2A7C"/>
    <w:rsid w:val="000B3ECF"/>
    <w:rsid w:val="000B481F"/>
    <w:rsid w:val="000B4FE2"/>
    <w:rsid w:val="000B5528"/>
    <w:rsid w:val="000B55FB"/>
    <w:rsid w:val="000B5818"/>
    <w:rsid w:val="000B5B11"/>
    <w:rsid w:val="000B5C3D"/>
    <w:rsid w:val="000B5F0E"/>
    <w:rsid w:val="000B6A0E"/>
    <w:rsid w:val="000B7DC0"/>
    <w:rsid w:val="000B7E54"/>
    <w:rsid w:val="000C02A5"/>
    <w:rsid w:val="000C0422"/>
    <w:rsid w:val="000C0C05"/>
    <w:rsid w:val="000C20DF"/>
    <w:rsid w:val="000C2AB9"/>
    <w:rsid w:val="000C3618"/>
    <w:rsid w:val="000C37E4"/>
    <w:rsid w:val="000C46AA"/>
    <w:rsid w:val="000C4C75"/>
    <w:rsid w:val="000C5483"/>
    <w:rsid w:val="000C55C5"/>
    <w:rsid w:val="000C6A66"/>
    <w:rsid w:val="000C720B"/>
    <w:rsid w:val="000D0432"/>
    <w:rsid w:val="000D0641"/>
    <w:rsid w:val="000D0AF0"/>
    <w:rsid w:val="000D0C8E"/>
    <w:rsid w:val="000D1223"/>
    <w:rsid w:val="000D173F"/>
    <w:rsid w:val="000D2226"/>
    <w:rsid w:val="000D2C50"/>
    <w:rsid w:val="000D3BB5"/>
    <w:rsid w:val="000D481E"/>
    <w:rsid w:val="000D49E8"/>
    <w:rsid w:val="000D5B57"/>
    <w:rsid w:val="000D60F1"/>
    <w:rsid w:val="000D62FF"/>
    <w:rsid w:val="000D63D4"/>
    <w:rsid w:val="000E066B"/>
    <w:rsid w:val="000E1117"/>
    <w:rsid w:val="000E132D"/>
    <w:rsid w:val="000E16BF"/>
    <w:rsid w:val="000E2597"/>
    <w:rsid w:val="000E27BD"/>
    <w:rsid w:val="000E3D79"/>
    <w:rsid w:val="000E40CF"/>
    <w:rsid w:val="000E465A"/>
    <w:rsid w:val="000E57B7"/>
    <w:rsid w:val="000E5978"/>
    <w:rsid w:val="000E60FD"/>
    <w:rsid w:val="000E6AC1"/>
    <w:rsid w:val="000E7044"/>
    <w:rsid w:val="000E72C2"/>
    <w:rsid w:val="000E7744"/>
    <w:rsid w:val="000E793D"/>
    <w:rsid w:val="000F064A"/>
    <w:rsid w:val="000F067C"/>
    <w:rsid w:val="000F0730"/>
    <w:rsid w:val="000F0841"/>
    <w:rsid w:val="000F0A7C"/>
    <w:rsid w:val="000F0CAB"/>
    <w:rsid w:val="000F154F"/>
    <w:rsid w:val="000F1CA2"/>
    <w:rsid w:val="000F1E88"/>
    <w:rsid w:val="000F1F3F"/>
    <w:rsid w:val="000F2103"/>
    <w:rsid w:val="000F2CD3"/>
    <w:rsid w:val="000F3008"/>
    <w:rsid w:val="000F3F4D"/>
    <w:rsid w:val="000F4258"/>
    <w:rsid w:val="000F4A93"/>
    <w:rsid w:val="000F5052"/>
    <w:rsid w:val="000F5308"/>
    <w:rsid w:val="000F5636"/>
    <w:rsid w:val="000F5986"/>
    <w:rsid w:val="000F5AD5"/>
    <w:rsid w:val="000F64FC"/>
    <w:rsid w:val="000F6C35"/>
    <w:rsid w:val="000F6CE8"/>
    <w:rsid w:val="000F722D"/>
    <w:rsid w:val="000F7647"/>
    <w:rsid w:val="000F7A66"/>
    <w:rsid w:val="00100321"/>
    <w:rsid w:val="001009CE"/>
    <w:rsid w:val="0010139F"/>
    <w:rsid w:val="00101EEB"/>
    <w:rsid w:val="0010203C"/>
    <w:rsid w:val="00102816"/>
    <w:rsid w:val="00103088"/>
    <w:rsid w:val="0010393D"/>
    <w:rsid w:val="0010417D"/>
    <w:rsid w:val="00104585"/>
    <w:rsid w:val="0010478A"/>
    <w:rsid w:val="0010551D"/>
    <w:rsid w:val="00105752"/>
    <w:rsid w:val="0010647B"/>
    <w:rsid w:val="00106720"/>
    <w:rsid w:val="00106B68"/>
    <w:rsid w:val="00110523"/>
    <w:rsid w:val="00110C56"/>
    <w:rsid w:val="00111CE1"/>
    <w:rsid w:val="001123A3"/>
    <w:rsid w:val="001139BB"/>
    <w:rsid w:val="001143E5"/>
    <w:rsid w:val="00114678"/>
    <w:rsid w:val="00115048"/>
    <w:rsid w:val="00115B38"/>
    <w:rsid w:val="00115DD9"/>
    <w:rsid w:val="00115F46"/>
    <w:rsid w:val="001202BE"/>
    <w:rsid w:val="00120DFA"/>
    <w:rsid w:val="0012105E"/>
    <w:rsid w:val="00121BCA"/>
    <w:rsid w:val="00121CC8"/>
    <w:rsid w:val="00121DA8"/>
    <w:rsid w:val="0012201C"/>
    <w:rsid w:val="00122198"/>
    <w:rsid w:val="00122398"/>
    <w:rsid w:val="00122986"/>
    <w:rsid w:val="00122C4C"/>
    <w:rsid w:val="00123970"/>
    <w:rsid w:val="00123ABC"/>
    <w:rsid w:val="00123B32"/>
    <w:rsid w:val="00123D8A"/>
    <w:rsid w:val="00124468"/>
    <w:rsid w:val="00124573"/>
    <w:rsid w:val="00124A7A"/>
    <w:rsid w:val="00125318"/>
    <w:rsid w:val="0012548A"/>
    <w:rsid w:val="00126448"/>
    <w:rsid w:val="00126902"/>
    <w:rsid w:val="001275DA"/>
    <w:rsid w:val="001276CA"/>
    <w:rsid w:val="00130343"/>
    <w:rsid w:val="001305CC"/>
    <w:rsid w:val="001310D6"/>
    <w:rsid w:val="001310DA"/>
    <w:rsid w:val="00131667"/>
    <w:rsid w:val="00131EC8"/>
    <w:rsid w:val="00133247"/>
    <w:rsid w:val="001332A4"/>
    <w:rsid w:val="00133978"/>
    <w:rsid w:val="00133FD9"/>
    <w:rsid w:val="00134801"/>
    <w:rsid w:val="00134C34"/>
    <w:rsid w:val="00134CFE"/>
    <w:rsid w:val="00135175"/>
    <w:rsid w:val="0013581A"/>
    <w:rsid w:val="00135A1B"/>
    <w:rsid w:val="0013642E"/>
    <w:rsid w:val="00136B3A"/>
    <w:rsid w:val="00136F6E"/>
    <w:rsid w:val="001374B1"/>
    <w:rsid w:val="001375AB"/>
    <w:rsid w:val="00140296"/>
    <w:rsid w:val="0014030E"/>
    <w:rsid w:val="00140B32"/>
    <w:rsid w:val="00140B38"/>
    <w:rsid w:val="0014143D"/>
    <w:rsid w:val="00143413"/>
    <w:rsid w:val="00143423"/>
    <w:rsid w:val="00144BE8"/>
    <w:rsid w:val="00144E06"/>
    <w:rsid w:val="00145227"/>
    <w:rsid w:val="001452F7"/>
    <w:rsid w:val="00146143"/>
    <w:rsid w:val="00146EE1"/>
    <w:rsid w:val="001474A0"/>
    <w:rsid w:val="00147894"/>
    <w:rsid w:val="00150220"/>
    <w:rsid w:val="001514EA"/>
    <w:rsid w:val="0015153E"/>
    <w:rsid w:val="00151C3E"/>
    <w:rsid w:val="00151D00"/>
    <w:rsid w:val="00152639"/>
    <w:rsid w:val="00153150"/>
    <w:rsid w:val="00153455"/>
    <w:rsid w:val="00153744"/>
    <w:rsid w:val="00155B1E"/>
    <w:rsid w:val="00156163"/>
    <w:rsid w:val="00156262"/>
    <w:rsid w:val="00156418"/>
    <w:rsid w:val="00156DAA"/>
    <w:rsid w:val="00156E39"/>
    <w:rsid w:val="00157339"/>
    <w:rsid w:val="0015780E"/>
    <w:rsid w:val="00157AC2"/>
    <w:rsid w:val="00160433"/>
    <w:rsid w:val="0016049C"/>
    <w:rsid w:val="001608A9"/>
    <w:rsid w:val="00160C1D"/>
    <w:rsid w:val="00161599"/>
    <w:rsid w:val="00162818"/>
    <w:rsid w:val="00163812"/>
    <w:rsid w:val="00163D00"/>
    <w:rsid w:val="00163DCD"/>
    <w:rsid w:val="0016442C"/>
    <w:rsid w:val="001644D4"/>
    <w:rsid w:val="001648A1"/>
    <w:rsid w:val="001648A7"/>
    <w:rsid w:val="00165079"/>
    <w:rsid w:val="00165686"/>
    <w:rsid w:val="00165B44"/>
    <w:rsid w:val="00165F95"/>
    <w:rsid w:val="00166638"/>
    <w:rsid w:val="00166FCE"/>
    <w:rsid w:val="001677F0"/>
    <w:rsid w:val="00170AAD"/>
    <w:rsid w:val="00170E36"/>
    <w:rsid w:val="00171538"/>
    <w:rsid w:val="0017174F"/>
    <w:rsid w:val="00171B9C"/>
    <w:rsid w:val="00171D2E"/>
    <w:rsid w:val="00171E8F"/>
    <w:rsid w:val="0017318F"/>
    <w:rsid w:val="00173381"/>
    <w:rsid w:val="001733F4"/>
    <w:rsid w:val="00173698"/>
    <w:rsid w:val="001760B4"/>
    <w:rsid w:val="00176FAC"/>
    <w:rsid w:val="00176FF1"/>
    <w:rsid w:val="00177269"/>
    <w:rsid w:val="00177736"/>
    <w:rsid w:val="001778DF"/>
    <w:rsid w:val="00177903"/>
    <w:rsid w:val="00177DAB"/>
    <w:rsid w:val="00180966"/>
    <w:rsid w:val="00182945"/>
    <w:rsid w:val="00182B6E"/>
    <w:rsid w:val="00182FA8"/>
    <w:rsid w:val="00183BE9"/>
    <w:rsid w:val="00183CAC"/>
    <w:rsid w:val="00184B43"/>
    <w:rsid w:val="00184D8D"/>
    <w:rsid w:val="001853F3"/>
    <w:rsid w:val="00185DDE"/>
    <w:rsid w:val="00186070"/>
    <w:rsid w:val="00187454"/>
    <w:rsid w:val="00187B53"/>
    <w:rsid w:val="00187C7A"/>
    <w:rsid w:val="00187CA5"/>
    <w:rsid w:val="00190339"/>
    <w:rsid w:val="00190569"/>
    <w:rsid w:val="001907D6"/>
    <w:rsid w:val="0019095A"/>
    <w:rsid w:val="0019131E"/>
    <w:rsid w:val="0019196F"/>
    <w:rsid w:val="00192523"/>
    <w:rsid w:val="001932C7"/>
    <w:rsid w:val="0019338E"/>
    <w:rsid w:val="00193394"/>
    <w:rsid w:val="00193BE5"/>
    <w:rsid w:val="00194762"/>
    <w:rsid w:val="001954AB"/>
    <w:rsid w:val="00195648"/>
    <w:rsid w:val="00195814"/>
    <w:rsid w:val="00195B70"/>
    <w:rsid w:val="00196326"/>
    <w:rsid w:val="00196378"/>
    <w:rsid w:val="00197287"/>
    <w:rsid w:val="001A0189"/>
    <w:rsid w:val="001A0600"/>
    <w:rsid w:val="001A1035"/>
    <w:rsid w:val="001A10FB"/>
    <w:rsid w:val="001A18A4"/>
    <w:rsid w:val="001A24D9"/>
    <w:rsid w:val="001A29BA"/>
    <w:rsid w:val="001A3B01"/>
    <w:rsid w:val="001A3D8D"/>
    <w:rsid w:val="001A3DE0"/>
    <w:rsid w:val="001A4F9D"/>
    <w:rsid w:val="001A50AA"/>
    <w:rsid w:val="001A5370"/>
    <w:rsid w:val="001A53B1"/>
    <w:rsid w:val="001A5608"/>
    <w:rsid w:val="001A5A44"/>
    <w:rsid w:val="001A765E"/>
    <w:rsid w:val="001B01B2"/>
    <w:rsid w:val="001B0457"/>
    <w:rsid w:val="001B08F0"/>
    <w:rsid w:val="001B0DA6"/>
    <w:rsid w:val="001B13D6"/>
    <w:rsid w:val="001B199E"/>
    <w:rsid w:val="001B1CDC"/>
    <w:rsid w:val="001B2CC3"/>
    <w:rsid w:val="001B3E94"/>
    <w:rsid w:val="001B4280"/>
    <w:rsid w:val="001B4994"/>
    <w:rsid w:val="001B4FBD"/>
    <w:rsid w:val="001B50A7"/>
    <w:rsid w:val="001B57D9"/>
    <w:rsid w:val="001B5AA3"/>
    <w:rsid w:val="001B5F9A"/>
    <w:rsid w:val="001B6A11"/>
    <w:rsid w:val="001C04B1"/>
    <w:rsid w:val="001C06E9"/>
    <w:rsid w:val="001C0AFE"/>
    <w:rsid w:val="001C18E5"/>
    <w:rsid w:val="001C1D39"/>
    <w:rsid w:val="001C2B37"/>
    <w:rsid w:val="001C2B92"/>
    <w:rsid w:val="001C32CB"/>
    <w:rsid w:val="001C33BD"/>
    <w:rsid w:val="001C38B3"/>
    <w:rsid w:val="001C3B88"/>
    <w:rsid w:val="001C457F"/>
    <w:rsid w:val="001C4BBD"/>
    <w:rsid w:val="001C52D0"/>
    <w:rsid w:val="001C59DC"/>
    <w:rsid w:val="001C63A7"/>
    <w:rsid w:val="001C6D75"/>
    <w:rsid w:val="001C749D"/>
    <w:rsid w:val="001C75A5"/>
    <w:rsid w:val="001C791C"/>
    <w:rsid w:val="001C7F6B"/>
    <w:rsid w:val="001D054E"/>
    <w:rsid w:val="001D09A5"/>
    <w:rsid w:val="001D11F4"/>
    <w:rsid w:val="001D179F"/>
    <w:rsid w:val="001D17C0"/>
    <w:rsid w:val="001D278B"/>
    <w:rsid w:val="001D28C3"/>
    <w:rsid w:val="001D2DCC"/>
    <w:rsid w:val="001D2F6A"/>
    <w:rsid w:val="001D3312"/>
    <w:rsid w:val="001D3C5E"/>
    <w:rsid w:val="001D50E4"/>
    <w:rsid w:val="001D58C8"/>
    <w:rsid w:val="001D5C5B"/>
    <w:rsid w:val="001D5E5A"/>
    <w:rsid w:val="001D6029"/>
    <w:rsid w:val="001D6EDE"/>
    <w:rsid w:val="001D741B"/>
    <w:rsid w:val="001D7525"/>
    <w:rsid w:val="001D7D24"/>
    <w:rsid w:val="001E0288"/>
    <w:rsid w:val="001E0365"/>
    <w:rsid w:val="001E0F02"/>
    <w:rsid w:val="001E1CC8"/>
    <w:rsid w:val="001E208B"/>
    <w:rsid w:val="001E2625"/>
    <w:rsid w:val="001E2ABC"/>
    <w:rsid w:val="001E3634"/>
    <w:rsid w:val="001E3646"/>
    <w:rsid w:val="001E38FB"/>
    <w:rsid w:val="001E3A19"/>
    <w:rsid w:val="001E3B79"/>
    <w:rsid w:val="001E40F3"/>
    <w:rsid w:val="001E4FD8"/>
    <w:rsid w:val="001E60B5"/>
    <w:rsid w:val="001E6C86"/>
    <w:rsid w:val="001E76AE"/>
    <w:rsid w:val="001E7ECD"/>
    <w:rsid w:val="001F0636"/>
    <w:rsid w:val="001F0C7E"/>
    <w:rsid w:val="001F0F32"/>
    <w:rsid w:val="001F12F7"/>
    <w:rsid w:val="001F1EE6"/>
    <w:rsid w:val="001F1FDB"/>
    <w:rsid w:val="001F21F5"/>
    <w:rsid w:val="001F31BE"/>
    <w:rsid w:val="001F32EA"/>
    <w:rsid w:val="001F4097"/>
    <w:rsid w:val="001F5317"/>
    <w:rsid w:val="001F5A09"/>
    <w:rsid w:val="001F5B62"/>
    <w:rsid w:val="001F5E74"/>
    <w:rsid w:val="001F61AF"/>
    <w:rsid w:val="001F713C"/>
    <w:rsid w:val="001F7B6B"/>
    <w:rsid w:val="002008D6"/>
    <w:rsid w:val="00200B33"/>
    <w:rsid w:val="00204036"/>
    <w:rsid w:val="002043CE"/>
    <w:rsid w:val="00205D17"/>
    <w:rsid w:val="002063DD"/>
    <w:rsid w:val="0020668C"/>
    <w:rsid w:val="002068B8"/>
    <w:rsid w:val="00206BF3"/>
    <w:rsid w:val="00206F38"/>
    <w:rsid w:val="0020723F"/>
    <w:rsid w:val="0020781F"/>
    <w:rsid w:val="00207AAC"/>
    <w:rsid w:val="00207FC4"/>
    <w:rsid w:val="0021008E"/>
    <w:rsid w:val="00210C2C"/>
    <w:rsid w:val="00210E02"/>
    <w:rsid w:val="00211839"/>
    <w:rsid w:val="002127F3"/>
    <w:rsid w:val="00213BE9"/>
    <w:rsid w:val="00213C2F"/>
    <w:rsid w:val="00214501"/>
    <w:rsid w:val="00214E07"/>
    <w:rsid w:val="00215282"/>
    <w:rsid w:val="0021550D"/>
    <w:rsid w:val="00216904"/>
    <w:rsid w:val="00216955"/>
    <w:rsid w:val="00216D40"/>
    <w:rsid w:val="0021798C"/>
    <w:rsid w:val="00220664"/>
    <w:rsid w:val="00220860"/>
    <w:rsid w:val="00220A5D"/>
    <w:rsid w:val="00220B53"/>
    <w:rsid w:val="002219FF"/>
    <w:rsid w:val="00221DD8"/>
    <w:rsid w:val="00222085"/>
    <w:rsid w:val="00223088"/>
    <w:rsid w:val="002243CA"/>
    <w:rsid w:val="00225D03"/>
    <w:rsid w:val="00225D85"/>
    <w:rsid w:val="00225D86"/>
    <w:rsid w:val="00226452"/>
    <w:rsid w:val="002267AF"/>
    <w:rsid w:val="00226FFE"/>
    <w:rsid w:val="002301F7"/>
    <w:rsid w:val="002302A0"/>
    <w:rsid w:val="002306D8"/>
    <w:rsid w:val="002315B8"/>
    <w:rsid w:val="002317AA"/>
    <w:rsid w:val="00232002"/>
    <w:rsid w:val="0023227F"/>
    <w:rsid w:val="002324CC"/>
    <w:rsid w:val="002326EC"/>
    <w:rsid w:val="00232793"/>
    <w:rsid w:val="002331D3"/>
    <w:rsid w:val="00233296"/>
    <w:rsid w:val="002332FC"/>
    <w:rsid w:val="00233F29"/>
    <w:rsid w:val="00234CB5"/>
    <w:rsid w:val="00235B12"/>
    <w:rsid w:val="00235B52"/>
    <w:rsid w:val="00235B58"/>
    <w:rsid w:val="00236207"/>
    <w:rsid w:val="00236289"/>
    <w:rsid w:val="002362EE"/>
    <w:rsid w:val="00237ADA"/>
    <w:rsid w:val="00240367"/>
    <w:rsid w:val="00240731"/>
    <w:rsid w:val="002410E3"/>
    <w:rsid w:val="00241652"/>
    <w:rsid w:val="00241895"/>
    <w:rsid w:val="00241EFA"/>
    <w:rsid w:val="002427EF"/>
    <w:rsid w:val="002430E1"/>
    <w:rsid w:val="002438DC"/>
    <w:rsid w:val="00243EAE"/>
    <w:rsid w:val="002441BF"/>
    <w:rsid w:val="00244229"/>
    <w:rsid w:val="00244B50"/>
    <w:rsid w:val="0024509C"/>
    <w:rsid w:val="00245171"/>
    <w:rsid w:val="002451A5"/>
    <w:rsid w:val="00245258"/>
    <w:rsid w:val="002456AA"/>
    <w:rsid w:val="0024574A"/>
    <w:rsid w:val="00245F0C"/>
    <w:rsid w:val="002469DC"/>
    <w:rsid w:val="00246C68"/>
    <w:rsid w:val="00246F95"/>
    <w:rsid w:val="002516B8"/>
    <w:rsid w:val="002518C7"/>
    <w:rsid w:val="002520D9"/>
    <w:rsid w:val="00252434"/>
    <w:rsid w:val="00252546"/>
    <w:rsid w:val="00252AEA"/>
    <w:rsid w:val="00253076"/>
    <w:rsid w:val="002537C8"/>
    <w:rsid w:val="00253D82"/>
    <w:rsid w:val="0025462A"/>
    <w:rsid w:val="00254887"/>
    <w:rsid w:val="002549CF"/>
    <w:rsid w:val="00255E6A"/>
    <w:rsid w:val="002561B7"/>
    <w:rsid w:val="00256DF9"/>
    <w:rsid w:val="00257AE2"/>
    <w:rsid w:val="00257B8F"/>
    <w:rsid w:val="0026026E"/>
    <w:rsid w:val="00260C01"/>
    <w:rsid w:val="00260CA2"/>
    <w:rsid w:val="00261033"/>
    <w:rsid w:val="00261C7F"/>
    <w:rsid w:val="002623FD"/>
    <w:rsid w:val="00262DA4"/>
    <w:rsid w:val="0026512C"/>
    <w:rsid w:val="002651C9"/>
    <w:rsid w:val="002667F6"/>
    <w:rsid w:val="00270335"/>
    <w:rsid w:val="002708E1"/>
    <w:rsid w:val="0027105C"/>
    <w:rsid w:val="002711C5"/>
    <w:rsid w:val="0027132F"/>
    <w:rsid w:val="00272946"/>
    <w:rsid w:val="00272D33"/>
    <w:rsid w:val="002742AE"/>
    <w:rsid w:val="00274F33"/>
    <w:rsid w:val="00275164"/>
    <w:rsid w:val="00276036"/>
    <w:rsid w:val="0027688D"/>
    <w:rsid w:val="00276D44"/>
    <w:rsid w:val="002772CE"/>
    <w:rsid w:val="00277980"/>
    <w:rsid w:val="00277C74"/>
    <w:rsid w:val="0028076B"/>
    <w:rsid w:val="00280BAB"/>
    <w:rsid w:val="00281CBD"/>
    <w:rsid w:val="0028353D"/>
    <w:rsid w:val="00283E8D"/>
    <w:rsid w:val="00284133"/>
    <w:rsid w:val="00284E62"/>
    <w:rsid w:val="002853AB"/>
    <w:rsid w:val="00285C63"/>
    <w:rsid w:val="002865A1"/>
    <w:rsid w:val="00286735"/>
    <w:rsid w:val="002869FC"/>
    <w:rsid w:val="00286B1A"/>
    <w:rsid w:val="00286B61"/>
    <w:rsid w:val="00286F06"/>
    <w:rsid w:val="002874DA"/>
    <w:rsid w:val="00290715"/>
    <w:rsid w:val="002911C2"/>
    <w:rsid w:val="002918EE"/>
    <w:rsid w:val="00292016"/>
    <w:rsid w:val="0029367C"/>
    <w:rsid w:val="00293CCD"/>
    <w:rsid w:val="00294375"/>
    <w:rsid w:val="002965FF"/>
    <w:rsid w:val="0029690E"/>
    <w:rsid w:val="00296F7A"/>
    <w:rsid w:val="00297BB4"/>
    <w:rsid w:val="00297E6F"/>
    <w:rsid w:val="002A0F1F"/>
    <w:rsid w:val="002A18A9"/>
    <w:rsid w:val="002A18E1"/>
    <w:rsid w:val="002A24EA"/>
    <w:rsid w:val="002A2C6C"/>
    <w:rsid w:val="002A3B10"/>
    <w:rsid w:val="002A3CDB"/>
    <w:rsid w:val="002A632E"/>
    <w:rsid w:val="002A6799"/>
    <w:rsid w:val="002A77D9"/>
    <w:rsid w:val="002A7841"/>
    <w:rsid w:val="002A78BA"/>
    <w:rsid w:val="002B01EF"/>
    <w:rsid w:val="002B0279"/>
    <w:rsid w:val="002B0B43"/>
    <w:rsid w:val="002B0CF0"/>
    <w:rsid w:val="002B10E0"/>
    <w:rsid w:val="002B295C"/>
    <w:rsid w:val="002B2EB0"/>
    <w:rsid w:val="002B350D"/>
    <w:rsid w:val="002B3C02"/>
    <w:rsid w:val="002B407B"/>
    <w:rsid w:val="002B4626"/>
    <w:rsid w:val="002B4D83"/>
    <w:rsid w:val="002B5015"/>
    <w:rsid w:val="002B7897"/>
    <w:rsid w:val="002C0088"/>
    <w:rsid w:val="002C133E"/>
    <w:rsid w:val="002C1755"/>
    <w:rsid w:val="002C1961"/>
    <w:rsid w:val="002C1CD9"/>
    <w:rsid w:val="002C1E89"/>
    <w:rsid w:val="002C3B54"/>
    <w:rsid w:val="002C3E58"/>
    <w:rsid w:val="002C433B"/>
    <w:rsid w:val="002C444C"/>
    <w:rsid w:val="002C49DF"/>
    <w:rsid w:val="002C76AC"/>
    <w:rsid w:val="002D08C2"/>
    <w:rsid w:val="002D0EB6"/>
    <w:rsid w:val="002D1349"/>
    <w:rsid w:val="002D18BF"/>
    <w:rsid w:val="002D1A39"/>
    <w:rsid w:val="002D1F19"/>
    <w:rsid w:val="002D1FD4"/>
    <w:rsid w:val="002D24D2"/>
    <w:rsid w:val="002D2556"/>
    <w:rsid w:val="002D359E"/>
    <w:rsid w:val="002D3FC6"/>
    <w:rsid w:val="002D4459"/>
    <w:rsid w:val="002D522F"/>
    <w:rsid w:val="002D5396"/>
    <w:rsid w:val="002D5C7A"/>
    <w:rsid w:val="002D6280"/>
    <w:rsid w:val="002D6796"/>
    <w:rsid w:val="002D6849"/>
    <w:rsid w:val="002D7749"/>
    <w:rsid w:val="002D780D"/>
    <w:rsid w:val="002D7F2E"/>
    <w:rsid w:val="002D7F5D"/>
    <w:rsid w:val="002E0681"/>
    <w:rsid w:val="002E0695"/>
    <w:rsid w:val="002E06D5"/>
    <w:rsid w:val="002E0871"/>
    <w:rsid w:val="002E0AFD"/>
    <w:rsid w:val="002E0FEB"/>
    <w:rsid w:val="002E2FA9"/>
    <w:rsid w:val="002E460F"/>
    <w:rsid w:val="002E47E0"/>
    <w:rsid w:val="002E6709"/>
    <w:rsid w:val="002E6866"/>
    <w:rsid w:val="002E6A76"/>
    <w:rsid w:val="002E7BDD"/>
    <w:rsid w:val="002E7BFF"/>
    <w:rsid w:val="002E7C4A"/>
    <w:rsid w:val="002E7C98"/>
    <w:rsid w:val="002E7D20"/>
    <w:rsid w:val="002F088E"/>
    <w:rsid w:val="002F12C2"/>
    <w:rsid w:val="002F1BE6"/>
    <w:rsid w:val="002F1FD7"/>
    <w:rsid w:val="002F29A8"/>
    <w:rsid w:val="002F2B64"/>
    <w:rsid w:val="002F38CA"/>
    <w:rsid w:val="002F3A85"/>
    <w:rsid w:val="002F4ADA"/>
    <w:rsid w:val="002F4C7B"/>
    <w:rsid w:val="002F52DA"/>
    <w:rsid w:val="002F54E4"/>
    <w:rsid w:val="002F577D"/>
    <w:rsid w:val="002F58D4"/>
    <w:rsid w:val="002F5B58"/>
    <w:rsid w:val="002F69A5"/>
    <w:rsid w:val="002F70F3"/>
    <w:rsid w:val="002F79A9"/>
    <w:rsid w:val="003007C5"/>
    <w:rsid w:val="00300F17"/>
    <w:rsid w:val="00301C8B"/>
    <w:rsid w:val="00301CDD"/>
    <w:rsid w:val="00301ED4"/>
    <w:rsid w:val="00303047"/>
    <w:rsid w:val="003040F1"/>
    <w:rsid w:val="00304A13"/>
    <w:rsid w:val="00305004"/>
    <w:rsid w:val="003051AD"/>
    <w:rsid w:val="00305CF4"/>
    <w:rsid w:val="00305E3F"/>
    <w:rsid w:val="00305FEC"/>
    <w:rsid w:val="003062E5"/>
    <w:rsid w:val="0030632B"/>
    <w:rsid w:val="0030635C"/>
    <w:rsid w:val="00306439"/>
    <w:rsid w:val="00306A3D"/>
    <w:rsid w:val="00306B9C"/>
    <w:rsid w:val="00310AE8"/>
    <w:rsid w:val="003110BC"/>
    <w:rsid w:val="0031115A"/>
    <w:rsid w:val="0031122B"/>
    <w:rsid w:val="003117CD"/>
    <w:rsid w:val="003124ED"/>
    <w:rsid w:val="00312BA2"/>
    <w:rsid w:val="003134B7"/>
    <w:rsid w:val="00313818"/>
    <w:rsid w:val="00313F6B"/>
    <w:rsid w:val="003140B9"/>
    <w:rsid w:val="00314609"/>
    <w:rsid w:val="0031497C"/>
    <w:rsid w:val="00314F0F"/>
    <w:rsid w:val="00316257"/>
    <w:rsid w:val="00317BEA"/>
    <w:rsid w:val="00317C02"/>
    <w:rsid w:val="00320041"/>
    <w:rsid w:val="003203F7"/>
    <w:rsid w:val="00320447"/>
    <w:rsid w:val="00320A8D"/>
    <w:rsid w:val="00320BF4"/>
    <w:rsid w:val="00321202"/>
    <w:rsid w:val="0032171E"/>
    <w:rsid w:val="003218B0"/>
    <w:rsid w:val="003221E5"/>
    <w:rsid w:val="00322355"/>
    <w:rsid w:val="0032243B"/>
    <w:rsid w:val="00324A2F"/>
    <w:rsid w:val="00324AE3"/>
    <w:rsid w:val="0032534B"/>
    <w:rsid w:val="00326809"/>
    <w:rsid w:val="00326932"/>
    <w:rsid w:val="00326CF7"/>
    <w:rsid w:val="00326ECC"/>
    <w:rsid w:val="00327D14"/>
    <w:rsid w:val="00327FF0"/>
    <w:rsid w:val="0033091C"/>
    <w:rsid w:val="0033092B"/>
    <w:rsid w:val="00331AEA"/>
    <w:rsid w:val="00332312"/>
    <w:rsid w:val="0033255D"/>
    <w:rsid w:val="003326BF"/>
    <w:rsid w:val="00332D98"/>
    <w:rsid w:val="00332E29"/>
    <w:rsid w:val="00333312"/>
    <w:rsid w:val="00333526"/>
    <w:rsid w:val="00333797"/>
    <w:rsid w:val="0033508A"/>
    <w:rsid w:val="003354FF"/>
    <w:rsid w:val="00336226"/>
    <w:rsid w:val="00336F75"/>
    <w:rsid w:val="003371B8"/>
    <w:rsid w:val="0033735E"/>
    <w:rsid w:val="003376E1"/>
    <w:rsid w:val="00337FD2"/>
    <w:rsid w:val="003404AA"/>
    <w:rsid w:val="003405FA"/>
    <w:rsid w:val="00340D66"/>
    <w:rsid w:val="003410AD"/>
    <w:rsid w:val="00341A6A"/>
    <w:rsid w:val="00341B0B"/>
    <w:rsid w:val="0034220B"/>
    <w:rsid w:val="003424E1"/>
    <w:rsid w:val="003436FE"/>
    <w:rsid w:val="00343888"/>
    <w:rsid w:val="003438F3"/>
    <w:rsid w:val="00343A2B"/>
    <w:rsid w:val="003444E2"/>
    <w:rsid w:val="003448F7"/>
    <w:rsid w:val="00346447"/>
    <w:rsid w:val="00346636"/>
    <w:rsid w:val="00346785"/>
    <w:rsid w:val="00346964"/>
    <w:rsid w:val="00346C4B"/>
    <w:rsid w:val="00346EB1"/>
    <w:rsid w:val="00347740"/>
    <w:rsid w:val="0034786B"/>
    <w:rsid w:val="00347EDD"/>
    <w:rsid w:val="00350AB3"/>
    <w:rsid w:val="0035114D"/>
    <w:rsid w:val="003519CC"/>
    <w:rsid w:val="00352171"/>
    <w:rsid w:val="00352DC6"/>
    <w:rsid w:val="003534CC"/>
    <w:rsid w:val="00353767"/>
    <w:rsid w:val="00353789"/>
    <w:rsid w:val="00353D3A"/>
    <w:rsid w:val="00354C26"/>
    <w:rsid w:val="00354DB0"/>
    <w:rsid w:val="0035505C"/>
    <w:rsid w:val="00355538"/>
    <w:rsid w:val="00355EBD"/>
    <w:rsid w:val="0035680C"/>
    <w:rsid w:val="00357682"/>
    <w:rsid w:val="00357CCB"/>
    <w:rsid w:val="00360340"/>
    <w:rsid w:val="00360C88"/>
    <w:rsid w:val="003617F2"/>
    <w:rsid w:val="00361805"/>
    <w:rsid w:val="00361BC0"/>
    <w:rsid w:val="00362242"/>
    <w:rsid w:val="00362354"/>
    <w:rsid w:val="0036282A"/>
    <w:rsid w:val="00362DA6"/>
    <w:rsid w:val="00363903"/>
    <w:rsid w:val="00363D07"/>
    <w:rsid w:val="00363FEB"/>
    <w:rsid w:val="0036420E"/>
    <w:rsid w:val="003648AC"/>
    <w:rsid w:val="003655F8"/>
    <w:rsid w:val="00365AE5"/>
    <w:rsid w:val="00365F3D"/>
    <w:rsid w:val="00367885"/>
    <w:rsid w:val="00367C34"/>
    <w:rsid w:val="00367CE3"/>
    <w:rsid w:val="003716D5"/>
    <w:rsid w:val="003718A2"/>
    <w:rsid w:val="00371981"/>
    <w:rsid w:val="00371984"/>
    <w:rsid w:val="00371C0B"/>
    <w:rsid w:val="00372468"/>
    <w:rsid w:val="003726F1"/>
    <w:rsid w:val="00372722"/>
    <w:rsid w:val="00372994"/>
    <w:rsid w:val="00372F76"/>
    <w:rsid w:val="003737EE"/>
    <w:rsid w:val="00373812"/>
    <w:rsid w:val="003748CC"/>
    <w:rsid w:val="0037501A"/>
    <w:rsid w:val="003752C8"/>
    <w:rsid w:val="00375BCA"/>
    <w:rsid w:val="00377E3D"/>
    <w:rsid w:val="00377F59"/>
    <w:rsid w:val="003807A5"/>
    <w:rsid w:val="00381DC5"/>
    <w:rsid w:val="00381FE8"/>
    <w:rsid w:val="00383212"/>
    <w:rsid w:val="00383262"/>
    <w:rsid w:val="00383615"/>
    <w:rsid w:val="0038371F"/>
    <w:rsid w:val="003844C7"/>
    <w:rsid w:val="00384A48"/>
    <w:rsid w:val="00384C72"/>
    <w:rsid w:val="00384E76"/>
    <w:rsid w:val="00385CEC"/>
    <w:rsid w:val="00386774"/>
    <w:rsid w:val="00386A1F"/>
    <w:rsid w:val="00386B4A"/>
    <w:rsid w:val="00386E91"/>
    <w:rsid w:val="00387877"/>
    <w:rsid w:val="00387A45"/>
    <w:rsid w:val="00390F3D"/>
    <w:rsid w:val="00391B9F"/>
    <w:rsid w:val="00392D9E"/>
    <w:rsid w:val="00393C3F"/>
    <w:rsid w:val="00394194"/>
    <w:rsid w:val="00395013"/>
    <w:rsid w:val="003956A7"/>
    <w:rsid w:val="003957B6"/>
    <w:rsid w:val="003957E9"/>
    <w:rsid w:val="003967C5"/>
    <w:rsid w:val="00396C85"/>
    <w:rsid w:val="003975A2"/>
    <w:rsid w:val="0039789F"/>
    <w:rsid w:val="00397971"/>
    <w:rsid w:val="003A0059"/>
    <w:rsid w:val="003A06AF"/>
    <w:rsid w:val="003A0CD1"/>
    <w:rsid w:val="003A0EF9"/>
    <w:rsid w:val="003A110E"/>
    <w:rsid w:val="003A13FA"/>
    <w:rsid w:val="003A1789"/>
    <w:rsid w:val="003A2BF7"/>
    <w:rsid w:val="003A320E"/>
    <w:rsid w:val="003A42F9"/>
    <w:rsid w:val="003A445D"/>
    <w:rsid w:val="003A4AFC"/>
    <w:rsid w:val="003A558F"/>
    <w:rsid w:val="003A5E3D"/>
    <w:rsid w:val="003A6CB0"/>
    <w:rsid w:val="003A6CD4"/>
    <w:rsid w:val="003A7291"/>
    <w:rsid w:val="003A7645"/>
    <w:rsid w:val="003A7715"/>
    <w:rsid w:val="003A7C3B"/>
    <w:rsid w:val="003A7FF5"/>
    <w:rsid w:val="003B00C9"/>
    <w:rsid w:val="003B05AA"/>
    <w:rsid w:val="003B0934"/>
    <w:rsid w:val="003B0D97"/>
    <w:rsid w:val="003B115D"/>
    <w:rsid w:val="003B14F9"/>
    <w:rsid w:val="003B1B7E"/>
    <w:rsid w:val="003B31AB"/>
    <w:rsid w:val="003B3DA7"/>
    <w:rsid w:val="003B4392"/>
    <w:rsid w:val="003B4532"/>
    <w:rsid w:val="003B4771"/>
    <w:rsid w:val="003B4A64"/>
    <w:rsid w:val="003B528A"/>
    <w:rsid w:val="003B54F5"/>
    <w:rsid w:val="003B5796"/>
    <w:rsid w:val="003B63A5"/>
    <w:rsid w:val="003B646D"/>
    <w:rsid w:val="003B7774"/>
    <w:rsid w:val="003B778E"/>
    <w:rsid w:val="003B77A3"/>
    <w:rsid w:val="003C0184"/>
    <w:rsid w:val="003C0412"/>
    <w:rsid w:val="003C092A"/>
    <w:rsid w:val="003C0B5A"/>
    <w:rsid w:val="003C113D"/>
    <w:rsid w:val="003C1D00"/>
    <w:rsid w:val="003C20F4"/>
    <w:rsid w:val="003C227D"/>
    <w:rsid w:val="003C2788"/>
    <w:rsid w:val="003C2809"/>
    <w:rsid w:val="003C356A"/>
    <w:rsid w:val="003C386F"/>
    <w:rsid w:val="003C3D2A"/>
    <w:rsid w:val="003C401F"/>
    <w:rsid w:val="003C4D0B"/>
    <w:rsid w:val="003C4EC3"/>
    <w:rsid w:val="003C584D"/>
    <w:rsid w:val="003C7E9B"/>
    <w:rsid w:val="003D0628"/>
    <w:rsid w:val="003D0AA3"/>
    <w:rsid w:val="003D11CA"/>
    <w:rsid w:val="003D1FA1"/>
    <w:rsid w:val="003D1FB4"/>
    <w:rsid w:val="003D293E"/>
    <w:rsid w:val="003D3899"/>
    <w:rsid w:val="003D39CC"/>
    <w:rsid w:val="003D3B4E"/>
    <w:rsid w:val="003D3D84"/>
    <w:rsid w:val="003D43A6"/>
    <w:rsid w:val="003D46F8"/>
    <w:rsid w:val="003D49D1"/>
    <w:rsid w:val="003D5165"/>
    <w:rsid w:val="003D56BF"/>
    <w:rsid w:val="003D5E35"/>
    <w:rsid w:val="003D5ED2"/>
    <w:rsid w:val="003D615E"/>
    <w:rsid w:val="003D6B29"/>
    <w:rsid w:val="003D7B70"/>
    <w:rsid w:val="003D7C63"/>
    <w:rsid w:val="003E03A4"/>
    <w:rsid w:val="003E06AB"/>
    <w:rsid w:val="003E0E47"/>
    <w:rsid w:val="003E1727"/>
    <w:rsid w:val="003E30D6"/>
    <w:rsid w:val="003E345B"/>
    <w:rsid w:val="003E381F"/>
    <w:rsid w:val="003E3A54"/>
    <w:rsid w:val="003E50E9"/>
    <w:rsid w:val="003E5181"/>
    <w:rsid w:val="003E544E"/>
    <w:rsid w:val="003E590F"/>
    <w:rsid w:val="003E6162"/>
    <w:rsid w:val="003E6EB4"/>
    <w:rsid w:val="003E7204"/>
    <w:rsid w:val="003E7735"/>
    <w:rsid w:val="003F111E"/>
    <w:rsid w:val="003F1272"/>
    <w:rsid w:val="003F19D9"/>
    <w:rsid w:val="003F1A04"/>
    <w:rsid w:val="003F2285"/>
    <w:rsid w:val="003F3002"/>
    <w:rsid w:val="003F3856"/>
    <w:rsid w:val="003F3BEB"/>
    <w:rsid w:val="003F3DF2"/>
    <w:rsid w:val="003F5772"/>
    <w:rsid w:val="003F6297"/>
    <w:rsid w:val="003F6749"/>
    <w:rsid w:val="003F7188"/>
    <w:rsid w:val="003F7CA4"/>
    <w:rsid w:val="00400593"/>
    <w:rsid w:val="00400CC9"/>
    <w:rsid w:val="00401939"/>
    <w:rsid w:val="00401DB3"/>
    <w:rsid w:val="00401EEC"/>
    <w:rsid w:val="004025D2"/>
    <w:rsid w:val="0040269D"/>
    <w:rsid w:val="00402B29"/>
    <w:rsid w:val="00402EAD"/>
    <w:rsid w:val="00403580"/>
    <w:rsid w:val="004035CE"/>
    <w:rsid w:val="00404207"/>
    <w:rsid w:val="004046D3"/>
    <w:rsid w:val="004047E6"/>
    <w:rsid w:val="00404B81"/>
    <w:rsid w:val="00404BF0"/>
    <w:rsid w:val="00404F2B"/>
    <w:rsid w:val="004050A6"/>
    <w:rsid w:val="00405B5C"/>
    <w:rsid w:val="00405DFA"/>
    <w:rsid w:val="00405E48"/>
    <w:rsid w:val="00405E93"/>
    <w:rsid w:val="0040621A"/>
    <w:rsid w:val="0040773A"/>
    <w:rsid w:val="00407EBA"/>
    <w:rsid w:val="00410C29"/>
    <w:rsid w:val="00410DD0"/>
    <w:rsid w:val="00411193"/>
    <w:rsid w:val="00411592"/>
    <w:rsid w:val="00411B49"/>
    <w:rsid w:val="0041202E"/>
    <w:rsid w:val="00412086"/>
    <w:rsid w:val="004121D0"/>
    <w:rsid w:val="0041256C"/>
    <w:rsid w:val="004126A9"/>
    <w:rsid w:val="00412DFB"/>
    <w:rsid w:val="00413AF2"/>
    <w:rsid w:val="004147CC"/>
    <w:rsid w:val="00415906"/>
    <w:rsid w:val="00415B2E"/>
    <w:rsid w:val="00415CC3"/>
    <w:rsid w:val="004161C7"/>
    <w:rsid w:val="00416CAE"/>
    <w:rsid w:val="004176E8"/>
    <w:rsid w:val="00417A99"/>
    <w:rsid w:val="00417E69"/>
    <w:rsid w:val="00420687"/>
    <w:rsid w:val="00421581"/>
    <w:rsid w:val="004217CB"/>
    <w:rsid w:val="00421CBE"/>
    <w:rsid w:val="00421FFC"/>
    <w:rsid w:val="004221E1"/>
    <w:rsid w:val="00422880"/>
    <w:rsid w:val="00422AFE"/>
    <w:rsid w:val="00422BA7"/>
    <w:rsid w:val="004232CC"/>
    <w:rsid w:val="004236E6"/>
    <w:rsid w:val="00423E45"/>
    <w:rsid w:val="00423E82"/>
    <w:rsid w:val="004240F9"/>
    <w:rsid w:val="00424719"/>
    <w:rsid w:val="0042497E"/>
    <w:rsid w:val="004249A0"/>
    <w:rsid w:val="00425452"/>
    <w:rsid w:val="0042657F"/>
    <w:rsid w:val="00426A51"/>
    <w:rsid w:val="00426DE1"/>
    <w:rsid w:val="00427506"/>
    <w:rsid w:val="00427E24"/>
    <w:rsid w:val="00427E5C"/>
    <w:rsid w:val="00430E07"/>
    <w:rsid w:val="00430F64"/>
    <w:rsid w:val="004332AE"/>
    <w:rsid w:val="00433B91"/>
    <w:rsid w:val="004347DA"/>
    <w:rsid w:val="00434832"/>
    <w:rsid w:val="004352B7"/>
    <w:rsid w:val="00435760"/>
    <w:rsid w:val="00435C2B"/>
    <w:rsid w:val="00435D71"/>
    <w:rsid w:val="004360CE"/>
    <w:rsid w:val="00436A7B"/>
    <w:rsid w:val="0043704E"/>
    <w:rsid w:val="00437974"/>
    <w:rsid w:val="004402BE"/>
    <w:rsid w:val="00440962"/>
    <w:rsid w:val="00441716"/>
    <w:rsid w:val="0044211A"/>
    <w:rsid w:val="004421FB"/>
    <w:rsid w:val="00442906"/>
    <w:rsid w:val="004429A4"/>
    <w:rsid w:val="00443B98"/>
    <w:rsid w:val="00443F74"/>
    <w:rsid w:val="00444737"/>
    <w:rsid w:val="00446CE0"/>
    <w:rsid w:val="00446DCE"/>
    <w:rsid w:val="00446DF4"/>
    <w:rsid w:val="00447E40"/>
    <w:rsid w:val="00447FCA"/>
    <w:rsid w:val="004510B4"/>
    <w:rsid w:val="00452086"/>
    <w:rsid w:val="00452153"/>
    <w:rsid w:val="004525EE"/>
    <w:rsid w:val="004527AE"/>
    <w:rsid w:val="00452DC8"/>
    <w:rsid w:val="00452DE6"/>
    <w:rsid w:val="0045308C"/>
    <w:rsid w:val="0045328C"/>
    <w:rsid w:val="00453EA2"/>
    <w:rsid w:val="00453F71"/>
    <w:rsid w:val="0045464D"/>
    <w:rsid w:val="00454EE4"/>
    <w:rsid w:val="00456D22"/>
    <w:rsid w:val="004570C8"/>
    <w:rsid w:val="00457195"/>
    <w:rsid w:val="004572D0"/>
    <w:rsid w:val="004604F6"/>
    <w:rsid w:val="00460F0B"/>
    <w:rsid w:val="004617DB"/>
    <w:rsid w:val="00461BEC"/>
    <w:rsid w:val="00462465"/>
    <w:rsid w:val="004634C5"/>
    <w:rsid w:val="00463588"/>
    <w:rsid w:val="004642B9"/>
    <w:rsid w:val="00464641"/>
    <w:rsid w:val="00464B61"/>
    <w:rsid w:val="004657E3"/>
    <w:rsid w:val="004661C0"/>
    <w:rsid w:val="00466D48"/>
    <w:rsid w:val="00467BCC"/>
    <w:rsid w:val="00467CDD"/>
    <w:rsid w:val="00470481"/>
    <w:rsid w:val="00470871"/>
    <w:rsid w:val="004729C1"/>
    <w:rsid w:val="00472E52"/>
    <w:rsid w:val="00473FE7"/>
    <w:rsid w:val="00474504"/>
    <w:rsid w:val="00475588"/>
    <w:rsid w:val="004755D9"/>
    <w:rsid w:val="00475608"/>
    <w:rsid w:val="00476668"/>
    <w:rsid w:val="00476689"/>
    <w:rsid w:val="004770E0"/>
    <w:rsid w:val="00477D2B"/>
    <w:rsid w:val="00480DCE"/>
    <w:rsid w:val="00481440"/>
    <w:rsid w:val="00481633"/>
    <w:rsid w:val="00481E37"/>
    <w:rsid w:val="00482290"/>
    <w:rsid w:val="004828FD"/>
    <w:rsid w:val="00483256"/>
    <w:rsid w:val="00483675"/>
    <w:rsid w:val="00483990"/>
    <w:rsid w:val="00483CE6"/>
    <w:rsid w:val="004853FD"/>
    <w:rsid w:val="0048542D"/>
    <w:rsid w:val="00486025"/>
    <w:rsid w:val="004878E5"/>
    <w:rsid w:val="00487BAA"/>
    <w:rsid w:val="00492759"/>
    <w:rsid w:val="00493893"/>
    <w:rsid w:val="00493FA5"/>
    <w:rsid w:val="00494054"/>
    <w:rsid w:val="0049487E"/>
    <w:rsid w:val="0049503B"/>
    <w:rsid w:val="00496087"/>
    <w:rsid w:val="00496268"/>
    <w:rsid w:val="00496364"/>
    <w:rsid w:val="00497B3E"/>
    <w:rsid w:val="004A04A2"/>
    <w:rsid w:val="004A0523"/>
    <w:rsid w:val="004A0922"/>
    <w:rsid w:val="004A0C0E"/>
    <w:rsid w:val="004A0EB7"/>
    <w:rsid w:val="004A13B6"/>
    <w:rsid w:val="004A20B3"/>
    <w:rsid w:val="004A312A"/>
    <w:rsid w:val="004A3F78"/>
    <w:rsid w:val="004A4457"/>
    <w:rsid w:val="004A5320"/>
    <w:rsid w:val="004A58F7"/>
    <w:rsid w:val="004A6AC5"/>
    <w:rsid w:val="004A6ADF"/>
    <w:rsid w:val="004A6E95"/>
    <w:rsid w:val="004A73E2"/>
    <w:rsid w:val="004A780F"/>
    <w:rsid w:val="004B0F4E"/>
    <w:rsid w:val="004B1562"/>
    <w:rsid w:val="004B16CE"/>
    <w:rsid w:val="004B198C"/>
    <w:rsid w:val="004B2066"/>
    <w:rsid w:val="004B28E7"/>
    <w:rsid w:val="004B3FE6"/>
    <w:rsid w:val="004B4015"/>
    <w:rsid w:val="004B5C2F"/>
    <w:rsid w:val="004B5C75"/>
    <w:rsid w:val="004B6A6C"/>
    <w:rsid w:val="004B6CCE"/>
    <w:rsid w:val="004B7005"/>
    <w:rsid w:val="004C18EC"/>
    <w:rsid w:val="004C290F"/>
    <w:rsid w:val="004C2ADC"/>
    <w:rsid w:val="004C34B5"/>
    <w:rsid w:val="004C3860"/>
    <w:rsid w:val="004C3B20"/>
    <w:rsid w:val="004C40FF"/>
    <w:rsid w:val="004C51D4"/>
    <w:rsid w:val="004C5243"/>
    <w:rsid w:val="004C5309"/>
    <w:rsid w:val="004C560B"/>
    <w:rsid w:val="004C598F"/>
    <w:rsid w:val="004C5EDF"/>
    <w:rsid w:val="004C6085"/>
    <w:rsid w:val="004C6108"/>
    <w:rsid w:val="004C75AF"/>
    <w:rsid w:val="004C7CD6"/>
    <w:rsid w:val="004C7FE7"/>
    <w:rsid w:val="004D009C"/>
    <w:rsid w:val="004D0D6B"/>
    <w:rsid w:val="004D0E2D"/>
    <w:rsid w:val="004D11D9"/>
    <w:rsid w:val="004D153A"/>
    <w:rsid w:val="004D18A3"/>
    <w:rsid w:val="004D1ABE"/>
    <w:rsid w:val="004D214F"/>
    <w:rsid w:val="004D2445"/>
    <w:rsid w:val="004D2ADF"/>
    <w:rsid w:val="004D2B44"/>
    <w:rsid w:val="004D2C45"/>
    <w:rsid w:val="004D4F99"/>
    <w:rsid w:val="004D53AE"/>
    <w:rsid w:val="004D5AF1"/>
    <w:rsid w:val="004D60B9"/>
    <w:rsid w:val="004D6923"/>
    <w:rsid w:val="004D7176"/>
    <w:rsid w:val="004D7476"/>
    <w:rsid w:val="004D7DE3"/>
    <w:rsid w:val="004E0AC4"/>
    <w:rsid w:val="004E1590"/>
    <w:rsid w:val="004E1678"/>
    <w:rsid w:val="004E17A8"/>
    <w:rsid w:val="004E1C50"/>
    <w:rsid w:val="004E1F31"/>
    <w:rsid w:val="004E3725"/>
    <w:rsid w:val="004E462E"/>
    <w:rsid w:val="004E4778"/>
    <w:rsid w:val="004E49B2"/>
    <w:rsid w:val="004E664C"/>
    <w:rsid w:val="004E6B57"/>
    <w:rsid w:val="004E710C"/>
    <w:rsid w:val="004E7A1C"/>
    <w:rsid w:val="004F0332"/>
    <w:rsid w:val="004F0800"/>
    <w:rsid w:val="004F0FBA"/>
    <w:rsid w:val="004F1256"/>
    <w:rsid w:val="004F1F64"/>
    <w:rsid w:val="004F2C77"/>
    <w:rsid w:val="004F433C"/>
    <w:rsid w:val="004F4A86"/>
    <w:rsid w:val="004F4E9C"/>
    <w:rsid w:val="004F648F"/>
    <w:rsid w:val="004F6521"/>
    <w:rsid w:val="004F6987"/>
    <w:rsid w:val="004F6994"/>
    <w:rsid w:val="00500205"/>
    <w:rsid w:val="005008FE"/>
    <w:rsid w:val="0050116E"/>
    <w:rsid w:val="0050156B"/>
    <w:rsid w:val="0050181A"/>
    <w:rsid w:val="005024A1"/>
    <w:rsid w:val="00503D67"/>
    <w:rsid w:val="00503E5D"/>
    <w:rsid w:val="00504027"/>
    <w:rsid w:val="0050433A"/>
    <w:rsid w:val="00504852"/>
    <w:rsid w:val="005052AE"/>
    <w:rsid w:val="005063E3"/>
    <w:rsid w:val="0050727B"/>
    <w:rsid w:val="00507331"/>
    <w:rsid w:val="0051001E"/>
    <w:rsid w:val="00510157"/>
    <w:rsid w:val="0051035D"/>
    <w:rsid w:val="0051079A"/>
    <w:rsid w:val="00510FAB"/>
    <w:rsid w:val="00511A82"/>
    <w:rsid w:val="0051214B"/>
    <w:rsid w:val="00512243"/>
    <w:rsid w:val="00514132"/>
    <w:rsid w:val="00514411"/>
    <w:rsid w:val="00514842"/>
    <w:rsid w:val="00514E2D"/>
    <w:rsid w:val="00515772"/>
    <w:rsid w:val="00516135"/>
    <w:rsid w:val="005161D4"/>
    <w:rsid w:val="005174F1"/>
    <w:rsid w:val="00517E48"/>
    <w:rsid w:val="00517FD1"/>
    <w:rsid w:val="005212B5"/>
    <w:rsid w:val="0052187B"/>
    <w:rsid w:val="00521FC2"/>
    <w:rsid w:val="005222DB"/>
    <w:rsid w:val="005229E3"/>
    <w:rsid w:val="00523582"/>
    <w:rsid w:val="00523B40"/>
    <w:rsid w:val="00524B7D"/>
    <w:rsid w:val="00524CEE"/>
    <w:rsid w:val="00524E23"/>
    <w:rsid w:val="00525177"/>
    <w:rsid w:val="00525B1A"/>
    <w:rsid w:val="00525B36"/>
    <w:rsid w:val="00525C67"/>
    <w:rsid w:val="00525E9E"/>
    <w:rsid w:val="005260F9"/>
    <w:rsid w:val="00527471"/>
    <w:rsid w:val="00531AC9"/>
    <w:rsid w:val="00531BCC"/>
    <w:rsid w:val="00531DB2"/>
    <w:rsid w:val="00532887"/>
    <w:rsid w:val="00532CC1"/>
    <w:rsid w:val="00533340"/>
    <w:rsid w:val="00533667"/>
    <w:rsid w:val="00534281"/>
    <w:rsid w:val="00535716"/>
    <w:rsid w:val="00535ABB"/>
    <w:rsid w:val="00535ED9"/>
    <w:rsid w:val="0053605D"/>
    <w:rsid w:val="005363AB"/>
    <w:rsid w:val="0053667B"/>
    <w:rsid w:val="00536DEC"/>
    <w:rsid w:val="00540652"/>
    <w:rsid w:val="0054099E"/>
    <w:rsid w:val="00541437"/>
    <w:rsid w:val="005415B4"/>
    <w:rsid w:val="005422DA"/>
    <w:rsid w:val="00542FDD"/>
    <w:rsid w:val="00543285"/>
    <w:rsid w:val="0054336E"/>
    <w:rsid w:val="0054398D"/>
    <w:rsid w:val="00544AA9"/>
    <w:rsid w:val="00544C50"/>
    <w:rsid w:val="00544C94"/>
    <w:rsid w:val="00544D3A"/>
    <w:rsid w:val="00545069"/>
    <w:rsid w:val="0054521E"/>
    <w:rsid w:val="00545231"/>
    <w:rsid w:val="00545BBA"/>
    <w:rsid w:val="005462AF"/>
    <w:rsid w:val="00547419"/>
    <w:rsid w:val="00547B3A"/>
    <w:rsid w:val="00547D1C"/>
    <w:rsid w:val="00547E75"/>
    <w:rsid w:val="00550540"/>
    <w:rsid w:val="005516AA"/>
    <w:rsid w:val="005516DE"/>
    <w:rsid w:val="00551779"/>
    <w:rsid w:val="00551AE8"/>
    <w:rsid w:val="00553800"/>
    <w:rsid w:val="0055465D"/>
    <w:rsid w:val="005549EA"/>
    <w:rsid w:val="0055502E"/>
    <w:rsid w:val="0055528B"/>
    <w:rsid w:val="00555426"/>
    <w:rsid w:val="00555549"/>
    <w:rsid w:val="0055601D"/>
    <w:rsid w:val="005563D9"/>
    <w:rsid w:val="00557732"/>
    <w:rsid w:val="00557942"/>
    <w:rsid w:val="00557A3B"/>
    <w:rsid w:val="00557DB5"/>
    <w:rsid w:val="005600F7"/>
    <w:rsid w:val="00560579"/>
    <w:rsid w:val="0056068C"/>
    <w:rsid w:val="00560D3C"/>
    <w:rsid w:val="0056216E"/>
    <w:rsid w:val="00562769"/>
    <w:rsid w:val="005627EC"/>
    <w:rsid w:val="00562BCD"/>
    <w:rsid w:val="005642C2"/>
    <w:rsid w:val="005645D6"/>
    <w:rsid w:val="0056484D"/>
    <w:rsid w:val="00564935"/>
    <w:rsid w:val="00565152"/>
    <w:rsid w:val="00565705"/>
    <w:rsid w:val="00565855"/>
    <w:rsid w:val="00565BA4"/>
    <w:rsid w:val="00566C20"/>
    <w:rsid w:val="005678B4"/>
    <w:rsid w:val="00567E2B"/>
    <w:rsid w:val="005704EF"/>
    <w:rsid w:val="00570E18"/>
    <w:rsid w:val="005710DA"/>
    <w:rsid w:val="0057133B"/>
    <w:rsid w:val="00571934"/>
    <w:rsid w:val="00571F4C"/>
    <w:rsid w:val="0057204E"/>
    <w:rsid w:val="0057255C"/>
    <w:rsid w:val="0057330C"/>
    <w:rsid w:val="00573DCC"/>
    <w:rsid w:val="00574743"/>
    <w:rsid w:val="00575125"/>
    <w:rsid w:val="005755A3"/>
    <w:rsid w:val="00575B25"/>
    <w:rsid w:val="00575F08"/>
    <w:rsid w:val="00577485"/>
    <w:rsid w:val="00577A2C"/>
    <w:rsid w:val="00577AB9"/>
    <w:rsid w:val="0058036C"/>
    <w:rsid w:val="00580918"/>
    <w:rsid w:val="005818EF"/>
    <w:rsid w:val="0058287F"/>
    <w:rsid w:val="00583D91"/>
    <w:rsid w:val="00583E20"/>
    <w:rsid w:val="005841E7"/>
    <w:rsid w:val="00584670"/>
    <w:rsid w:val="00584C37"/>
    <w:rsid w:val="00584DA8"/>
    <w:rsid w:val="005850E7"/>
    <w:rsid w:val="00585F65"/>
    <w:rsid w:val="00586E97"/>
    <w:rsid w:val="00586F81"/>
    <w:rsid w:val="0058763B"/>
    <w:rsid w:val="005876F6"/>
    <w:rsid w:val="00587DDD"/>
    <w:rsid w:val="005900DF"/>
    <w:rsid w:val="005903FC"/>
    <w:rsid w:val="005905A3"/>
    <w:rsid w:val="00590A7C"/>
    <w:rsid w:val="005918F9"/>
    <w:rsid w:val="00592300"/>
    <w:rsid w:val="005930AF"/>
    <w:rsid w:val="00593B18"/>
    <w:rsid w:val="005963AE"/>
    <w:rsid w:val="00597ACA"/>
    <w:rsid w:val="005A066D"/>
    <w:rsid w:val="005A0FE3"/>
    <w:rsid w:val="005A1297"/>
    <w:rsid w:val="005A40BB"/>
    <w:rsid w:val="005A4CDA"/>
    <w:rsid w:val="005A565C"/>
    <w:rsid w:val="005A5DEE"/>
    <w:rsid w:val="005A69DE"/>
    <w:rsid w:val="005A6C05"/>
    <w:rsid w:val="005A7880"/>
    <w:rsid w:val="005A7A6E"/>
    <w:rsid w:val="005B02C5"/>
    <w:rsid w:val="005B0749"/>
    <w:rsid w:val="005B07D1"/>
    <w:rsid w:val="005B0FA5"/>
    <w:rsid w:val="005B0FBB"/>
    <w:rsid w:val="005B142F"/>
    <w:rsid w:val="005B1EBA"/>
    <w:rsid w:val="005B28B7"/>
    <w:rsid w:val="005B2F0B"/>
    <w:rsid w:val="005B3447"/>
    <w:rsid w:val="005B3569"/>
    <w:rsid w:val="005B47C4"/>
    <w:rsid w:val="005B48F2"/>
    <w:rsid w:val="005B55C0"/>
    <w:rsid w:val="005B5E8A"/>
    <w:rsid w:val="005B6297"/>
    <w:rsid w:val="005B6E45"/>
    <w:rsid w:val="005B7383"/>
    <w:rsid w:val="005B79AE"/>
    <w:rsid w:val="005C203F"/>
    <w:rsid w:val="005C2921"/>
    <w:rsid w:val="005C2D60"/>
    <w:rsid w:val="005C3374"/>
    <w:rsid w:val="005C3820"/>
    <w:rsid w:val="005C3882"/>
    <w:rsid w:val="005C424F"/>
    <w:rsid w:val="005C44C5"/>
    <w:rsid w:val="005C47A1"/>
    <w:rsid w:val="005C555B"/>
    <w:rsid w:val="005C5830"/>
    <w:rsid w:val="005C587A"/>
    <w:rsid w:val="005C6096"/>
    <w:rsid w:val="005C6670"/>
    <w:rsid w:val="005C6E32"/>
    <w:rsid w:val="005C7473"/>
    <w:rsid w:val="005C77CC"/>
    <w:rsid w:val="005C78C6"/>
    <w:rsid w:val="005C7DAA"/>
    <w:rsid w:val="005C7DE2"/>
    <w:rsid w:val="005D0A5D"/>
    <w:rsid w:val="005D111D"/>
    <w:rsid w:val="005D1128"/>
    <w:rsid w:val="005D1D63"/>
    <w:rsid w:val="005D1E38"/>
    <w:rsid w:val="005D1EDC"/>
    <w:rsid w:val="005D25DE"/>
    <w:rsid w:val="005D25FA"/>
    <w:rsid w:val="005D329E"/>
    <w:rsid w:val="005D35FE"/>
    <w:rsid w:val="005D365C"/>
    <w:rsid w:val="005D394C"/>
    <w:rsid w:val="005D435C"/>
    <w:rsid w:val="005D45F7"/>
    <w:rsid w:val="005D598B"/>
    <w:rsid w:val="005D5F93"/>
    <w:rsid w:val="005D6D6E"/>
    <w:rsid w:val="005D7587"/>
    <w:rsid w:val="005E0080"/>
    <w:rsid w:val="005E0E21"/>
    <w:rsid w:val="005E18E1"/>
    <w:rsid w:val="005E2B43"/>
    <w:rsid w:val="005E35DD"/>
    <w:rsid w:val="005E3C63"/>
    <w:rsid w:val="005E3D24"/>
    <w:rsid w:val="005E4F8A"/>
    <w:rsid w:val="005E51CC"/>
    <w:rsid w:val="005E5557"/>
    <w:rsid w:val="005E580E"/>
    <w:rsid w:val="005E58F1"/>
    <w:rsid w:val="005E5A68"/>
    <w:rsid w:val="005E6F05"/>
    <w:rsid w:val="005E6FA0"/>
    <w:rsid w:val="005E74EE"/>
    <w:rsid w:val="005E7559"/>
    <w:rsid w:val="005E7E40"/>
    <w:rsid w:val="005F00ED"/>
    <w:rsid w:val="005F0FBC"/>
    <w:rsid w:val="005F1B15"/>
    <w:rsid w:val="005F1DAB"/>
    <w:rsid w:val="005F2109"/>
    <w:rsid w:val="005F25A8"/>
    <w:rsid w:val="005F27D3"/>
    <w:rsid w:val="005F2E10"/>
    <w:rsid w:val="005F2FE8"/>
    <w:rsid w:val="005F34A2"/>
    <w:rsid w:val="005F3583"/>
    <w:rsid w:val="005F39D2"/>
    <w:rsid w:val="005F3A6F"/>
    <w:rsid w:val="005F43F4"/>
    <w:rsid w:val="005F4C70"/>
    <w:rsid w:val="005F4DD5"/>
    <w:rsid w:val="005F5D35"/>
    <w:rsid w:val="005F5D53"/>
    <w:rsid w:val="005F5FAE"/>
    <w:rsid w:val="005F6C04"/>
    <w:rsid w:val="005F7273"/>
    <w:rsid w:val="005F7377"/>
    <w:rsid w:val="005F7CB8"/>
    <w:rsid w:val="00600752"/>
    <w:rsid w:val="006018E2"/>
    <w:rsid w:val="0060229C"/>
    <w:rsid w:val="0060268C"/>
    <w:rsid w:val="006029CE"/>
    <w:rsid w:val="00602C18"/>
    <w:rsid w:val="00603996"/>
    <w:rsid w:val="00604381"/>
    <w:rsid w:val="00604E28"/>
    <w:rsid w:val="006051AE"/>
    <w:rsid w:val="00605F79"/>
    <w:rsid w:val="006064E4"/>
    <w:rsid w:val="00607998"/>
    <w:rsid w:val="00607A63"/>
    <w:rsid w:val="0061050B"/>
    <w:rsid w:val="006117F6"/>
    <w:rsid w:val="0061180B"/>
    <w:rsid w:val="00612116"/>
    <w:rsid w:val="00612465"/>
    <w:rsid w:val="00612AF4"/>
    <w:rsid w:val="00612D67"/>
    <w:rsid w:val="00612F70"/>
    <w:rsid w:val="0061326B"/>
    <w:rsid w:val="00614646"/>
    <w:rsid w:val="006147D9"/>
    <w:rsid w:val="006154BC"/>
    <w:rsid w:val="00615D2A"/>
    <w:rsid w:val="00616D68"/>
    <w:rsid w:val="00617212"/>
    <w:rsid w:val="00620130"/>
    <w:rsid w:val="00620D51"/>
    <w:rsid w:val="00620E77"/>
    <w:rsid w:val="00621507"/>
    <w:rsid w:val="00621657"/>
    <w:rsid w:val="00621EA7"/>
    <w:rsid w:val="006221F5"/>
    <w:rsid w:val="0062225F"/>
    <w:rsid w:val="0062229D"/>
    <w:rsid w:val="0062326A"/>
    <w:rsid w:val="00623884"/>
    <w:rsid w:val="00623E7D"/>
    <w:rsid w:val="006242EC"/>
    <w:rsid w:val="00624F87"/>
    <w:rsid w:val="006255F0"/>
    <w:rsid w:val="00625AB0"/>
    <w:rsid w:val="00626B68"/>
    <w:rsid w:val="00627FAE"/>
    <w:rsid w:val="00630D63"/>
    <w:rsid w:val="00630EDC"/>
    <w:rsid w:val="00631D47"/>
    <w:rsid w:val="0063356E"/>
    <w:rsid w:val="00633E43"/>
    <w:rsid w:val="00634F78"/>
    <w:rsid w:val="00635063"/>
    <w:rsid w:val="006356D9"/>
    <w:rsid w:val="006356DC"/>
    <w:rsid w:val="0063631A"/>
    <w:rsid w:val="00636BFA"/>
    <w:rsid w:val="006373F1"/>
    <w:rsid w:val="006376C2"/>
    <w:rsid w:val="00637BC0"/>
    <w:rsid w:val="00640229"/>
    <w:rsid w:val="00640B70"/>
    <w:rsid w:val="006415EB"/>
    <w:rsid w:val="00641C40"/>
    <w:rsid w:val="00642222"/>
    <w:rsid w:val="006427C3"/>
    <w:rsid w:val="00642DF3"/>
    <w:rsid w:val="00643A61"/>
    <w:rsid w:val="00643A73"/>
    <w:rsid w:val="00643B3C"/>
    <w:rsid w:val="00643ED8"/>
    <w:rsid w:val="00644AEC"/>
    <w:rsid w:val="00644E35"/>
    <w:rsid w:val="00645B51"/>
    <w:rsid w:val="00645B6E"/>
    <w:rsid w:val="00645D18"/>
    <w:rsid w:val="00645D30"/>
    <w:rsid w:val="006464B9"/>
    <w:rsid w:val="006466F9"/>
    <w:rsid w:val="006479F8"/>
    <w:rsid w:val="0065040B"/>
    <w:rsid w:val="0065096F"/>
    <w:rsid w:val="006514ED"/>
    <w:rsid w:val="00651653"/>
    <w:rsid w:val="0065193A"/>
    <w:rsid w:val="006524A0"/>
    <w:rsid w:val="006526AB"/>
    <w:rsid w:val="0065324A"/>
    <w:rsid w:val="006536C4"/>
    <w:rsid w:val="0065442D"/>
    <w:rsid w:val="006560EC"/>
    <w:rsid w:val="00656FFC"/>
    <w:rsid w:val="006601B8"/>
    <w:rsid w:val="006602C2"/>
    <w:rsid w:val="006617A2"/>
    <w:rsid w:val="00661896"/>
    <w:rsid w:val="00661ED0"/>
    <w:rsid w:val="0066218B"/>
    <w:rsid w:val="00662375"/>
    <w:rsid w:val="006623DA"/>
    <w:rsid w:val="00662566"/>
    <w:rsid w:val="006628F0"/>
    <w:rsid w:val="006636C8"/>
    <w:rsid w:val="006639EA"/>
    <w:rsid w:val="00663E86"/>
    <w:rsid w:val="00664917"/>
    <w:rsid w:val="00665A66"/>
    <w:rsid w:val="00665C63"/>
    <w:rsid w:val="00665EF4"/>
    <w:rsid w:val="00666495"/>
    <w:rsid w:val="00666585"/>
    <w:rsid w:val="00666DDD"/>
    <w:rsid w:val="0066706E"/>
    <w:rsid w:val="00667E7C"/>
    <w:rsid w:val="006703C2"/>
    <w:rsid w:val="00670654"/>
    <w:rsid w:val="00670E86"/>
    <w:rsid w:val="00671CB5"/>
    <w:rsid w:val="00671D14"/>
    <w:rsid w:val="00671EFD"/>
    <w:rsid w:val="00672553"/>
    <w:rsid w:val="0067298A"/>
    <w:rsid w:val="00672E91"/>
    <w:rsid w:val="00673160"/>
    <w:rsid w:val="006736E2"/>
    <w:rsid w:val="00673901"/>
    <w:rsid w:val="00674024"/>
    <w:rsid w:val="00674088"/>
    <w:rsid w:val="00674261"/>
    <w:rsid w:val="00674CB7"/>
    <w:rsid w:val="006755CF"/>
    <w:rsid w:val="00675DD9"/>
    <w:rsid w:val="00675E7B"/>
    <w:rsid w:val="006764AB"/>
    <w:rsid w:val="006809F5"/>
    <w:rsid w:val="00680FE9"/>
    <w:rsid w:val="006825CF"/>
    <w:rsid w:val="0068278E"/>
    <w:rsid w:val="00682EB6"/>
    <w:rsid w:val="006836F3"/>
    <w:rsid w:val="00683BC1"/>
    <w:rsid w:val="00684915"/>
    <w:rsid w:val="00684A09"/>
    <w:rsid w:val="00684AC2"/>
    <w:rsid w:val="006857C2"/>
    <w:rsid w:val="0068779E"/>
    <w:rsid w:val="00687B90"/>
    <w:rsid w:val="00690C22"/>
    <w:rsid w:val="00691A16"/>
    <w:rsid w:val="006922CE"/>
    <w:rsid w:val="00692310"/>
    <w:rsid w:val="0069252B"/>
    <w:rsid w:val="00692AFC"/>
    <w:rsid w:val="00692C33"/>
    <w:rsid w:val="0069337D"/>
    <w:rsid w:val="00693598"/>
    <w:rsid w:val="00693F31"/>
    <w:rsid w:val="00694341"/>
    <w:rsid w:val="00694722"/>
    <w:rsid w:val="006954AF"/>
    <w:rsid w:val="0069559D"/>
    <w:rsid w:val="0069617E"/>
    <w:rsid w:val="00696FF6"/>
    <w:rsid w:val="006A06CB"/>
    <w:rsid w:val="006A104F"/>
    <w:rsid w:val="006A1345"/>
    <w:rsid w:val="006A20C4"/>
    <w:rsid w:val="006A2381"/>
    <w:rsid w:val="006A2475"/>
    <w:rsid w:val="006A2756"/>
    <w:rsid w:val="006A3A46"/>
    <w:rsid w:val="006A3C5B"/>
    <w:rsid w:val="006A3CE0"/>
    <w:rsid w:val="006A3E2E"/>
    <w:rsid w:val="006A4EE1"/>
    <w:rsid w:val="006A5261"/>
    <w:rsid w:val="006A56FD"/>
    <w:rsid w:val="006A6776"/>
    <w:rsid w:val="006A77F0"/>
    <w:rsid w:val="006B02F1"/>
    <w:rsid w:val="006B0323"/>
    <w:rsid w:val="006B31C9"/>
    <w:rsid w:val="006B34D4"/>
    <w:rsid w:val="006B3947"/>
    <w:rsid w:val="006B3C23"/>
    <w:rsid w:val="006B3CAF"/>
    <w:rsid w:val="006B4341"/>
    <w:rsid w:val="006B4BD9"/>
    <w:rsid w:val="006B52FC"/>
    <w:rsid w:val="006B5321"/>
    <w:rsid w:val="006B5729"/>
    <w:rsid w:val="006B5789"/>
    <w:rsid w:val="006B66E9"/>
    <w:rsid w:val="006B6AD3"/>
    <w:rsid w:val="006B7056"/>
    <w:rsid w:val="006C02AA"/>
    <w:rsid w:val="006C0CEC"/>
    <w:rsid w:val="006C0EE0"/>
    <w:rsid w:val="006C0F77"/>
    <w:rsid w:val="006C10D5"/>
    <w:rsid w:val="006C1AB3"/>
    <w:rsid w:val="006C1C08"/>
    <w:rsid w:val="006C227A"/>
    <w:rsid w:val="006C2935"/>
    <w:rsid w:val="006C30E9"/>
    <w:rsid w:val="006C33D4"/>
    <w:rsid w:val="006C370D"/>
    <w:rsid w:val="006C397E"/>
    <w:rsid w:val="006C471B"/>
    <w:rsid w:val="006C4CCF"/>
    <w:rsid w:val="006C503C"/>
    <w:rsid w:val="006C546D"/>
    <w:rsid w:val="006C5610"/>
    <w:rsid w:val="006C589A"/>
    <w:rsid w:val="006C5D4F"/>
    <w:rsid w:val="006C6978"/>
    <w:rsid w:val="006C712D"/>
    <w:rsid w:val="006C7CA1"/>
    <w:rsid w:val="006D057D"/>
    <w:rsid w:val="006D0643"/>
    <w:rsid w:val="006D1294"/>
    <w:rsid w:val="006D1B74"/>
    <w:rsid w:val="006D1EBC"/>
    <w:rsid w:val="006D42FE"/>
    <w:rsid w:val="006D46ED"/>
    <w:rsid w:val="006D54BA"/>
    <w:rsid w:val="006D5A0C"/>
    <w:rsid w:val="006D609A"/>
    <w:rsid w:val="006D6647"/>
    <w:rsid w:val="006D66E9"/>
    <w:rsid w:val="006D680C"/>
    <w:rsid w:val="006D68F3"/>
    <w:rsid w:val="006D6B4B"/>
    <w:rsid w:val="006D6BBB"/>
    <w:rsid w:val="006D7D45"/>
    <w:rsid w:val="006D7FF5"/>
    <w:rsid w:val="006E006B"/>
    <w:rsid w:val="006E047F"/>
    <w:rsid w:val="006E0608"/>
    <w:rsid w:val="006E0DC4"/>
    <w:rsid w:val="006E1187"/>
    <w:rsid w:val="006E15C8"/>
    <w:rsid w:val="006E2820"/>
    <w:rsid w:val="006E2B5F"/>
    <w:rsid w:val="006E2B8D"/>
    <w:rsid w:val="006E2CFD"/>
    <w:rsid w:val="006E2D91"/>
    <w:rsid w:val="006E35B3"/>
    <w:rsid w:val="006E3D9C"/>
    <w:rsid w:val="006E4421"/>
    <w:rsid w:val="006E51F5"/>
    <w:rsid w:val="006E554A"/>
    <w:rsid w:val="006E5A92"/>
    <w:rsid w:val="006E5EA6"/>
    <w:rsid w:val="006E64CE"/>
    <w:rsid w:val="006E71F9"/>
    <w:rsid w:val="006E75E7"/>
    <w:rsid w:val="006E76CB"/>
    <w:rsid w:val="006F0285"/>
    <w:rsid w:val="006F03CF"/>
    <w:rsid w:val="006F06ED"/>
    <w:rsid w:val="006F0B4A"/>
    <w:rsid w:val="006F15F5"/>
    <w:rsid w:val="006F1F6F"/>
    <w:rsid w:val="006F2BB8"/>
    <w:rsid w:val="006F34CC"/>
    <w:rsid w:val="006F3B6E"/>
    <w:rsid w:val="006F3E3A"/>
    <w:rsid w:val="006F410E"/>
    <w:rsid w:val="006F41C3"/>
    <w:rsid w:val="006F45B4"/>
    <w:rsid w:val="006F48CD"/>
    <w:rsid w:val="006F4A8B"/>
    <w:rsid w:val="006F5714"/>
    <w:rsid w:val="006F5ABD"/>
    <w:rsid w:val="006F5C29"/>
    <w:rsid w:val="006F5F2A"/>
    <w:rsid w:val="006F6146"/>
    <w:rsid w:val="006F628D"/>
    <w:rsid w:val="006F71F6"/>
    <w:rsid w:val="006F72A9"/>
    <w:rsid w:val="00701E59"/>
    <w:rsid w:val="00702CAE"/>
    <w:rsid w:val="00703100"/>
    <w:rsid w:val="00703606"/>
    <w:rsid w:val="0070387D"/>
    <w:rsid w:val="007043C8"/>
    <w:rsid w:val="00704D11"/>
    <w:rsid w:val="00704FA5"/>
    <w:rsid w:val="00705EAC"/>
    <w:rsid w:val="00706066"/>
    <w:rsid w:val="0070702E"/>
    <w:rsid w:val="0070702F"/>
    <w:rsid w:val="0070782C"/>
    <w:rsid w:val="00707EFD"/>
    <w:rsid w:val="00710460"/>
    <w:rsid w:val="007109BF"/>
    <w:rsid w:val="00710B0E"/>
    <w:rsid w:val="00710D25"/>
    <w:rsid w:val="00710FFE"/>
    <w:rsid w:val="00712334"/>
    <w:rsid w:val="0071253E"/>
    <w:rsid w:val="00712B88"/>
    <w:rsid w:val="00712E8B"/>
    <w:rsid w:val="00713B54"/>
    <w:rsid w:val="00713EE0"/>
    <w:rsid w:val="007143C9"/>
    <w:rsid w:val="00715A76"/>
    <w:rsid w:val="00716004"/>
    <w:rsid w:val="007175AD"/>
    <w:rsid w:val="007175DE"/>
    <w:rsid w:val="00717B0A"/>
    <w:rsid w:val="00720704"/>
    <w:rsid w:val="00720860"/>
    <w:rsid w:val="00721222"/>
    <w:rsid w:val="00721C12"/>
    <w:rsid w:val="00721EEB"/>
    <w:rsid w:val="00722379"/>
    <w:rsid w:val="00722390"/>
    <w:rsid w:val="00722B76"/>
    <w:rsid w:val="00722CC0"/>
    <w:rsid w:val="00724257"/>
    <w:rsid w:val="00725A99"/>
    <w:rsid w:val="00726AA2"/>
    <w:rsid w:val="00727311"/>
    <w:rsid w:val="00727C6B"/>
    <w:rsid w:val="007301FE"/>
    <w:rsid w:val="00730D5F"/>
    <w:rsid w:val="00730E60"/>
    <w:rsid w:val="0073109E"/>
    <w:rsid w:val="0073196C"/>
    <w:rsid w:val="00731A92"/>
    <w:rsid w:val="00731D81"/>
    <w:rsid w:val="00733A34"/>
    <w:rsid w:val="00734A72"/>
    <w:rsid w:val="00734F27"/>
    <w:rsid w:val="007354E9"/>
    <w:rsid w:val="0073644B"/>
    <w:rsid w:val="00736E20"/>
    <w:rsid w:val="00736E83"/>
    <w:rsid w:val="007401CB"/>
    <w:rsid w:val="0074080B"/>
    <w:rsid w:val="007410AC"/>
    <w:rsid w:val="007418A3"/>
    <w:rsid w:val="00741B7A"/>
    <w:rsid w:val="00742259"/>
    <w:rsid w:val="007425F9"/>
    <w:rsid w:val="00742FCB"/>
    <w:rsid w:val="00743900"/>
    <w:rsid w:val="00743963"/>
    <w:rsid w:val="00744414"/>
    <w:rsid w:val="007456FA"/>
    <w:rsid w:val="0074593E"/>
    <w:rsid w:val="00745E36"/>
    <w:rsid w:val="007461F2"/>
    <w:rsid w:val="0074648A"/>
    <w:rsid w:val="0074677C"/>
    <w:rsid w:val="007469BD"/>
    <w:rsid w:val="00746FDC"/>
    <w:rsid w:val="00747046"/>
    <w:rsid w:val="00747715"/>
    <w:rsid w:val="00747747"/>
    <w:rsid w:val="00747977"/>
    <w:rsid w:val="007479AB"/>
    <w:rsid w:val="0075038C"/>
    <w:rsid w:val="007512F9"/>
    <w:rsid w:val="007513D3"/>
    <w:rsid w:val="00751501"/>
    <w:rsid w:val="00752277"/>
    <w:rsid w:val="007529A6"/>
    <w:rsid w:val="007533A1"/>
    <w:rsid w:val="0075467B"/>
    <w:rsid w:val="0075469D"/>
    <w:rsid w:val="007551CA"/>
    <w:rsid w:val="007559E4"/>
    <w:rsid w:val="00756058"/>
    <w:rsid w:val="00756995"/>
    <w:rsid w:val="00757347"/>
    <w:rsid w:val="00757D7E"/>
    <w:rsid w:val="00760C76"/>
    <w:rsid w:val="00760C9B"/>
    <w:rsid w:val="00760DCB"/>
    <w:rsid w:val="0076143F"/>
    <w:rsid w:val="007619DE"/>
    <w:rsid w:val="00762A6B"/>
    <w:rsid w:val="007639AB"/>
    <w:rsid w:val="00763E14"/>
    <w:rsid w:val="00763EFF"/>
    <w:rsid w:val="00763F54"/>
    <w:rsid w:val="00764645"/>
    <w:rsid w:val="007649BA"/>
    <w:rsid w:val="00764CF7"/>
    <w:rsid w:val="007663ED"/>
    <w:rsid w:val="00766B4C"/>
    <w:rsid w:val="00767262"/>
    <w:rsid w:val="00770753"/>
    <w:rsid w:val="00771762"/>
    <w:rsid w:val="00771B36"/>
    <w:rsid w:val="00771CC3"/>
    <w:rsid w:val="00771F0D"/>
    <w:rsid w:val="007724F2"/>
    <w:rsid w:val="00772B9F"/>
    <w:rsid w:val="00772F5F"/>
    <w:rsid w:val="00774B05"/>
    <w:rsid w:val="007758D9"/>
    <w:rsid w:val="00775ECE"/>
    <w:rsid w:val="007766FE"/>
    <w:rsid w:val="00776EB7"/>
    <w:rsid w:val="007803C3"/>
    <w:rsid w:val="007809BA"/>
    <w:rsid w:val="00780F70"/>
    <w:rsid w:val="007819F6"/>
    <w:rsid w:val="00781AC9"/>
    <w:rsid w:val="00781B87"/>
    <w:rsid w:val="007820C4"/>
    <w:rsid w:val="007821C2"/>
    <w:rsid w:val="00782C3B"/>
    <w:rsid w:val="0078384D"/>
    <w:rsid w:val="00783E5C"/>
    <w:rsid w:val="00784359"/>
    <w:rsid w:val="00784513"/>
    <w:rsid w:val="00784686"/>
    <w:rsid w:val="00784C12"/>
    <w:rsid w:val="00784DD8"/>
    <w:rsid w:val="00785818"/>
    <w:rsid w:val="007861D6"/>
    <w:rsid w:val="00787127"/>
    <w:rsid w:val="00790042"/>
    <w:rsid w:val="007900FA"/>
    <w:rsid w:val="00790248"/>
    <w:rsid w:val="00790BB1"/>
    <w:rsid w:val="007914B1"/>
    <w:rsid w:val="00793910"/>
    <w:rsid w:val="00793C16"/>
    <w:rsid w:val="00793D50"/>
    <w:rsid w:val="00794529"/>
    <w:rsid w:val="0079493B"/>
    <w:rsid w:val="00794F4F"/>
    <w:rsid w:val="00795063"/>
    <w:rsid w:val="00795ACC"/>
    <w:rsid w:val="007964F2"/>
    <w:rsid w:val="00796627"/>
    <w:rsid w:val="00796E59"/>
    <w:rsid w:val="007970C0"/>
    <w:rsid w:val="007972C8"/>
    <w:rsid w:val="00797CD2"/>
    <w:rsid w:val="007A023A"/>
    <w:rsid w:val="007A04B2"/>
    <w:rsid w:val="007A04E6"/>
    <w:rsid w:val="007A077A"/>
    <w:rsid w:val="007A07E8"/>
    <w:rsid w:val="007A11FE"/>
    <w:rsid w:val="007A19EF"/>
    <w:rsid w:val="007A21FE"/>
    <w:rsid w:val="007A2D6C"/>
    <w:rsid w:val="007A2DF5"/>
    <w:rsid w:val="007A3801"/>
    <w:rsid w:val="007A3840"/>
    <w:rsid w:val="007A423B"/>
    <w:rsid w:val="007A5A1C"/>
    <w:rsid w:val="007A5C31"/>
    <w:rsid w:val="007A663C"/>
    <w:rsid w:val="007A6EE4"/>
    <w:rsid w:val="007A79FE"/>
    <w:rsid w:val="007B0194"/>
    <w:rsid w:val="007B021C"/>
    <w:rsid w:val="007B051E"/>
    <w:rsid w:val="007B14C5"/>
    <w:rsid w:val="007B2A84"/>
    <w:rsid w:val="007B2ED5"/>
    <w:rsid w:val="007B2FA5"/>
    <w:rsid w:val="007B3BED"/>
    <w:rsid w:val="007B46CA"/>
    <w:rsid w:val="007B46CD"/>
    <w:rsid w:val="007B508F"/>
    <w:rsid w:val="007B50F3"/>
    <w:rsid w:val="007B5AB6"/>
    <w:rsid w:val="007B5F2D"/>
    <w:rsid w:val="007B6FE0"/>
    <w:rsid w:val="007B789D"/>
    <w:rsid w:val="007C0434"/>
    <w:rsid w:val="007C0875"/>
    <w:rsid w:val="007C0A0E"/>
    <w:rsid w:val="007C15E8"/>
    <w:rsid w:val="007C296A"/>
    <w:rsid w:val="007C353E"/>
    <w:rsid w:val="007C35A4"/>
    <w:rsid w:val="007C50DC"/>
    <w:rsid w:val="007C579D"/>
    <w:rsid w:val="007C57C3"/>
    <w:rsid w:val="007C5F39"/>
    <w:rsid w:val="007C604A"/>
    <w:rsid w:val="007C696F"/>
    <w:rsid w:val="007C7FB6"/>
    <w:rsid w:val="007D046D"/>
    <w:rsid w:val="007D1957"/>
    <w:rsid w:val="007D1BAE"/>
    <w:rsid w:val="007D1E99"/>
    <w:rsid w:val="007D24CB"/>
    <w:rsid w:val="007D3266"/>
    <w:rsid w:val="007D5FD2"/>
    <w:rsid w:val="007D6515"/>
    <w:rsid w:val="007D6662"/>
    <w:rsid w:val="007D6739"/>
    <w:rsid w:val="007D6C35"/>
    <w:rsid w:val="007D7A5A"/>
    <w:rsid w:val="007E00D2"/>
    <w:rsid w:val="007E0CF1"/>
    <w:rsid w:val="007E187D"/>
    <w:rsid w:val="007E2425"/>
    <w:rsid w:val="007E3605"/>
    <w:rsid w:val="007E3913"/>
    <w:rsid w:val="007E3A8F"/>
    <w:rsid w:val="007E4795"/>
    <w:rsid w:val="007E4E0E"/>
    <w:rsid w:val="007E68F5"/>
    <w:rsid w:val="007E7300"/>
    <w:rsid w:val="007E74C1"/>
    <w:rsid w:val="007E75CF"/>
    <w:rsid w:val="007F02B9"/>
    <w:rsid w:val="007F07CC"/>
    <w:rsid w:val="007F08E8"/>
    <w:rsid w:val="007F0DDE"/>
    <w:rsid w:val="007F1658"/>
    <w:rsid w:val="007F27FE"/>
    <w:rsid w:val="007F4324"/>
    <w:rsid w:val="007F4376"/>
    <w:rsid w:val="007F44A5"/>
    <w:rsid w:val="007F46AC"/>
    <w:rsid w:val="007F4D85"/>
    <w:rsid w:val="007F5174"/>
    <w:rsid w:val="007F53E3"/>
    <w:rsid w:val="007F5AC1"/>
    <w:rsid w:val="007F5BC3"/>
    <w:rsid w:val="007F6975"/>
    <w:rsid w:val="007F70AA"/>
    <w:rsid w:val="008007E6"/>
    <w:rsid w:val="008020B8"/>
    <w:rsid w:val="00802E43"/>
    <w:rsid w:val="00802FB5"/>
    <w:rsid w:val="008032C9"/>
    <w:rsid w:val="00803DE9"/>
    <w:rsid w:val="008050D4"/>
    <w:rsid w:val="008064FF"/>
    <w:rsid w:val="00806537"/>
    <w:rsid w:val="00806888"/>
    <w:rsid w:val="00807154"/>
    <w:rsid w:val="00807B94"/>
    <w:rsid w:val="00807DB1"/>
    <w:rsid w:val="008107C6"/>
    <w:rsid w:val="00811096"/>
    <w:rsid w:val="00811830"/>
    <w:rsid w:val="00811A75"/>
    <w:rsid w:val="00811D61"/>
    <w:rsid w:val="00812A85"/>
    <w:rsid w:val="00812ADF"/>
    <w:rsid w:val="00812FAF"/>
    <w:rsid w:val="008147BB"/>
    <w:rsid w:val="00814F10"/>
    <w:rsid w:val="008159AA"/>
    <w:rsid w:val="00816D15"/>
    <w:rsid w:val="00817EE4"/>
    <w:rsid w:val="00817FDB"/>
    <w:rsid w:val="00820123"/>
    <w:rsid w:val="00820CCA"/>
    <w:rsid w:val="00821696"/>
    <w:rsid w:val="008236E6"/>
    <w:rsid w:val="00823873"/>
    <w:rsid w:val="00823A54"/>
    <w:rsid w:val="00824356"/>
    <w:rsid w:val="008258FB"/>
    <w:rsid w:val="008259ED"/>
    <w:rsid w:val="00825B1F"/>
    <w:rsid w:val="00825C33"/>
    <w:rsid w:val="00825EE7"/>
    <w:rsid w:val="00826974"/>
    <w:rsid w:val="00827916"/>
    <w:rsid w:val="00827B43"/>
    <w:rsid w:val="00830465"/>
    <w:rsid w:val="00830BB1"/>
    <w:rsid w:val="0083132C"/>
    <w:rsid w:val="0083144D"/>
    <w:rsid w:val="00832454"/>
    <w:rsid w:val="00832EC3"/>
    <w:rsid w:val="008338C6"/>
    <w:rsid w:val="00833FAC"/>
    <w:rsid w:val="00834572"/>
    <w:rsid w:val="00834CE4"/>
    <w:rsid w:val="00834E7D"/>
    <w:rsid w:val="00835058"/>
    <w:rsid w:val="008351BB"/>
    <w:rsid w:val="00835427"/>
    <w:rsid w:val="008358AA"/>
    <w:rsid w:val="00835DEB"/>
    <w:rsid w:val="0083672F"/>
    <w:rsid w:val="0083675B"/>
    <w:rsid w:val="00836C6D"/>
    <w:rsid w:val="00836F94"/>
    <w:rsid w:val="00837255"/>
    <w:rsid w:val="008378BC"/>
    <w:rsid w:val="00837990"/>
    <w:rsid w:val="00837B2A"/>
    <w:rsid w:val="00840404"/>
    <w:rsid w:val="00840749"/>
    <w:rsid w:val="00841342"/>
    <w:rsid w:val="0084141C"/>
    <w:rsid w:val="00841C87"/>
    <w:rsid w:val="00842183"/>
    <w:rsid w:val="008423E2"/>
    <w:rsid w:val="00842B6A"/>
    <w:rsid w:val="00842EF1"/>
    <w:rsid w:val="0084338E"/>
    <w:rsid w:val="008434CB"/>
    <w:rsid w:val="0084395F"/>
    <w:rsid w:val="0084418F"/>
    <w:rsid w:val="00844EB9"/>
    <w:rsid w:val="00844FD9"/>
    <w:rsid w:val="00845802"/>
    <w:rsid w:val="0084702F"/>
    <w:rsid w:val="008475DB"/>
    <w:rsid w:val="008478FE"/>
    <w:rsid w:val="00850AB7"/>
    <w:rsid w:val="00850E34"/>
    <w:rsid w:val="008511F0"/>
    <w:rsid w:val="008514C1"/>
    <w:rsid w:val="00851DB0"/>
    <w:rsid w:val="008529F1"/>
    <w:rsid w:val="008529FA"/>
    <w:rsid w:val="00852CFE"/>
    <w:rsid w:val="00852F6C"/>
    <w:rsid w:val="008536D3"/>
    <w:rsid w:val="008538B3"/>
    <w:rsid w:val="008538EF"/>
    <w:rsid w:val="008558C0"/>
    <w:rsid w:val="00856BFF"/>
    <w:rsid w:val="0086059D"/>
    <w:rsid w:val="00862189"/>
    <w:rsid w:val="00862892"/>
    <w:rsid w:val="00863109"/>
    <w:rsid w:val="00863DE0"/>
    <w:rsid w:val="00864479"/>
    <w:rsid w:val="00865764"/>
    <w:rsid w:val="00865F04"/>
    <w:rsid w:val="00866137"/>
    <w:rsid w:val="0086618E"/>
    <w:rsid w:val="00866620"/>
    <w:rsid w:val="00866D40"/>
    <w:rsid w:val="008702B9"/>
    <w:rsid w:val="008703CF"/>
    <w:rsid w:val="00870501"/>
    <w:rsid w:val="00870F53"/>
    <w:rsid w:val="00871F18"/>
    <w:rsid w:val="00871FF2"/>
    <w:rsid w:val="00872627"/>
    <w:rsid w:val="00872676"/>
    <w:rsid w:val="00872B7E"/>
    <w:rsid w:val="00873240"/>
    <w:rsid w:val="008733AD"/>
    <w:rsid w:val="00873D43"/>
    <w:rsid w:val="00874365"/>
    <w:rsid w:val="00874A32"/>
    <w:rsid w:val="00874AF6"/>
    <w:rsid w:val="00874DF5"/>
    <w:rsid w:val="008767FB"/>
    <w:rsid w:val="00876BE7"/>
    <w:rsid w:val="00876C85"/>
    <w:rsid w:val="008770A7"/>
    <w:rsid w:val="0087730F"/>
    <w:rsid w:val="008774D6"/>
    <w:rsid w:val="0087770C"/>
    <w:rsid w:val="00877A63"/>
    <w:rsid w:val="00877BAF"/>
    <w:rsid w:val="008801AB"/>
    <w:rsid w:val="00880511"/>
    <w:rsid w:val="008807F7"/>
    <w:rsid w:val="0088128C"/>
    <w:rsid w:val="00882571"/>
    <w:rsid w:val="00882BD2"/>
    <w:rsid w:val="00883ABD"/>
    <w:rsid w:val="00883AD5"/>
    <w:rsid w:val="008842E7"/>
    <w:rsid w:val="00885E22"/>
    <w:rsid w:val="008860AE"/>
    <w:rsid w:val="0088626B"/>
    <w:rsid w:val="00886499"/>
    <w:rsid w:val="00886C06"/>
    <w:rsid w:val="00887A0B"/>
    <w:rsid w:val="00887AA1"/>
    <w:rsid w:val="008901E5"/>
    <w:rsid w:val="00890252"/>
    <w:rsid w:val="008905A1"/>
    <w:rsid w:val="00890BB2"/>
    <w:rsid w:val="00891143"/>
    <w:rsid w:val="0089209C"/>
    <w:rsid w:val="008924E5"/>
    <w:rsid w:val="0089265B"/>
    <w:rsid w:val="008947C1"/>
    <w:rsid w:val="00895FB7"/>
    <w:rsid w:val="00897CF6"/>
    <w:rsid w:val="00897D44"/>
    <w:rsid w:val="008A05A5"/>
    <w:rsid w:val="008A077E"/>
    <w:rsid w:val="008A1F7B"/>
    <w:rsid w:val="008A256C"/>
    <w:rsid w:val="008A2921"/>
    <w:rsid w:val="008A3744"/>
    <w:rsid w:val="008A40CA"/>
    <w:rsid w:val="008A4120"/>
    <w:rsid w:val="008A45CE"/>
    <w:rsid w:val="008A49A5"/>
    <w:rsid w:val="008A52D0"/>
    <w:rsid w:val="008A55EF"/>
    <w:rsid w:val="008A573E"/>
    <w:rsid w:val="008A5DC7"/>
    <w:rsid w:val="008A5EC0"/>
    <w:rsid w:val="008A5FC3"/>
    <w:rsid w:val="008A641D"/>
    <w:rsid w:val="008A6C23"/>
    <w:rsid w:val="008A72F1"/>
    <w:rsid w:val="008A7395"/>
    <w:rsid w:val="008A764C"/>
    <w:rsid w:val="008A7A00"/>
    <w:rsid w:val="008A7DB4"/>
    <w:rsid w:val="008A7DEE"/>
    <w:rsid w:val="008B00DF"/>
    <w:rsid w:val="008B00EA"/>
    <w:rsid w:val="008B2CA4"/>
    <w:rsid w:val="008B2F58"/>
    <w:rsid w:val="008B40E1"/>
    <w:rsid w:val="008B45BB"/>
    <w:rsid w:val="008B47C9"/>
    <w:rsid w:val="008B5D40"/>
    <w:rsid w:val="008B5EB0"/>
    <w:rsid w:val="008B6822"/>
    <w:rsid w:val="008B6CA4"/>
    <w:rsid w:val="008B7FF3"/>
    <w:rsid w:val="008C01A5"/>
    <w:rsid w:val="008C029E"/>
    <w:rsid w:val="008C097A"/>
    <w:rsid w:val="008C0F54"/>
    <w:rsid w:val="008C10C9"/>
    <w:rsid w:val="008C1658"/>
    <w:rsid w:val="008C26F2"/>
    <w:rsid w:val="008C2DCB"/>
    <w:rsid w:val="008C52E9"/>
    <w:rsid w:val="008C5334"/>
    <w:rsid w:val="008C5D81"/>
    <w:rsid w:val="008C6027"/>
    <w:rsid w:val="008C63F4"/>
    <w:rsid w:val="008C6450"/>
    <w:rsid w:val="008C6977"/>
    <w:rsid w:val="008C76B1"/>
    <w:rsid w:val="008C7CBE"/>
    <w:rsid w:val="008C7E66"/>
    <w:rsid w:val="008D00AA"/>
    <w:rsid w:val="008D0FD1"/>
    <w:rsid w:val="008D1048"/>
    <w:rsid w:val="008D170F"/>
    <w:rsid w:val="008D1D8A"/>
    <w:rsid w:val="008D2187"/>
    <w:rsid w:val="008D2973"/>
    <w:rsid w:val="008D32F2"/>
    <w:rsid w:val="008D3C58"/>
    <w:rsid w:val="008D46C0"/>
    <w:rsid w:val="008D5FE3"/>
    <w:rsid w:val="008E0A92"/>
    <w:rsid w:val="008E16FF"/>
    <w:rsid w:val="008E17AB"/>
    <w:rsid w:val="008E36EE"/>
    <w:rsid w:val="008E4528"/>
    <w:rsid w:val="008E508A"/>
    <w:rsid w:val="008E54C8"/>
    <w:rsid w:val="008E577A"/>
    <w:rsid w:val="008E5C4E"/>
    <w:rsid w:val="008E69A2"/>
    <w:rsid w:val="008E75CA"/>
    <w:rsid w:val="008F0347"/>
    <w:rsid w:val="008F0760"/>
    <w:rsid w:val="008F1743"/>
    <w:rsid w:val="008F1804"/>
    <w:rsid w:val="008F1A2B"/>
    <w:rsid w:val="008F380D"/>
    <w:rsid w:val="008F416B"/>
    <w:rsid w:val="008F43F5"/>
    <w:rsid w:val="008F4E38"/>
    <w:rsid w:val="008F53AE"/>
    <w:rsid w:val="008F5847"/>
    <w:rsid w:val="008F5925"/>
    <w:rsid w:val="008F5C82"/>
    <w:rsid w:val="008F61DE"/>
    <w:rsid w:val="008F7633"/>
    <w:rsid w:val="008F7C08"/>
    <w:rsid w:val="008F7EF4"/>
    <w:rsid w:val="008F7F32"/>
    <w:rsid w:val="00900144"/>
    <w:rsid w:val="00900189"/>
    <w:rsid w:val="0090038B"/>
    <w:rsid w:val="009014C8"/>
    <w:rsid w:val="00901775"/>
    <w:rsid w:val="00901AB6"/>
    <w:rsid w:val="00901D10"/>
    <w:rsid w:val="00902094"/>
    <w:rsid w:val="00903125"/>
    <w:rsid w:val="009033CB"/>
    <w:rsid w:val="009047EC"/>
    <w:rsid w:val="00904B77"/>
    <w:rsid w:val="00905DCE"/>
    <w:rsid w:val="00906018"/>
    <w:rsid w:val="0090646D"/>
    <w:rsid w:val="00906BB7"/>
    <w:rsid w:val="00907136"/>
    <w:rsid w:val="0090728E"/>
    <w:rsid w:val="0090731E"/>
    <w:rsid w:val="009105A8"/>
    <w:rsid w:val="00910BFF"/>
    <w:rsid w:val="00910D4E"/>
    <w:rsid w:val="00910DFF"/>
    <w:rsid w:val="00910F28"/>
    <w:rsid w:val="00911033"/>
    <w:rsid w:val="00911700"/>
    <w:rsid w:val="00911956"/>
    <w:rsid w:val="00912DEC"/>
    <w:rsid w:val="009132CC"/>
    <w:rsid w:val="00913F92"/>
    <w:rsid w:val="00914703"/>
    <w:rsid w:val="009147E0"/>
    <w:rsid w:val="0091481A"/>
    <w:rsid w:val="00914FC0"/>
    <w:rsid w:val="00915047"/>
    <w:rsid w:val="00915538"/>
    <w:rsid w:val="00916098"/>
    <w:rsid w:val="0091610E"/>
    <w:rsid w:val="00916142"/>
    <w:rsid w:val="00916358"/>
    <w:rsid w:val="009164CC"/>
    <w:rsid w:val="00916C8D"/>
    <w:rsid w:val="00916EF7"/>
    <w:rsid w:val="00917022"/>
    <w:rsid w:val="0092021B"/>
    <w:rsid w:val="009202A1"/>
    <w:rsid w:val="00920510"/>
    <w:rsid w:val="00921933"/>
    <w:rsid w:val="009222FE"/>
    <w:rsid w:val="00922A82"/>
    <w:rsid w:val="00923158"/>
    <w:rsid w:val="00924958"/>
    <w:rsid w:val="00924B91"/>
    <w:rsid w:val="0092526E"/>
    <w:rsid w:val="009255D9"/>
    <w:rsid w:val="009260CD"/>
    <w:rsid w:val="00926DA1"/>
    <w:rsid w:val="009278DA"/>
    <w:rsid w:val="009279A0"/>
    <w:rsid w:val="009304AD"/>
    <w:rsid w:val="00930515"/>
    <w:rsid w:val="00931214"/>
    <w:rsid w:val="00932D09"/>
    <w:rsid w:val="009337B9"/>
    <w:rsid w:val="0093393F"/>
    <w:rsid w:val="00934003"/>
    <w:rsid w:val="00935463"/>
    <w:rsid w:val="009363ED"/>
    <w:rsid w:val="009377F9"/>
    <w:rsid w:val="009379D0"/>
    <w:rsid w:val="00937E49"/>
    <w:rsid w:val="009408FF"/>
    <w:rsid w:val="00940E36"/>
    <w:rsid w:val="00940F67"/>
    <w:rsid w:val="00940FA3"/>
    <w:rsid w:val="009419C5"/>
    <w:rsid w:val="00941BD8"/>
    <w:rsid w:val="00942396"/>
    <w:rsid w:val="009437EA"/>
    <w:rsid w:val="00943833"/>
    <w:rsid w:val="009441AA"/>
    <w:rsid w:val="009447DF"/>
    <w:rsid w:val="00944C86"/>
    <w:rsid w:val="00944D97"/>
    <w:rsid w:val="00945941"/>
    <w:rsid w:val="00945AF7"/>
    <w:rsid w:val="00946339"/>
    <w:rsid w:val="00947226"/>
    <w:rsid w:val="00947664"/>
    <w:rsid w:val="00947ACE"/>
    <w:rsid w:val="00950683"/>
    <w:rsid w:val="00950D23"/>
    <w:rsid w:val="00950E72"/>
    <w:rsid w:val="00951584"/>
    <w:rsid w:val="00951830"/>
    <w:rsid w:val="00951A2A"/>
    <w:rsid w:val="00952164"/>
    <w:rsid w:val="009534D9"/>
    <w:rsid w:val="00953B09"/>
    <w:rsid w:val="009543C1"/>
    <w:rsid w:val="009544C9"/>
    <w:rsid w:val="00954C59"/>
    <w:rsid w:val="0095772D"/>
    <w:rsid w:val="00957837"/>
    <w:rsid w:val="009601AF"/>
    <w:rsid w:val="0096156C"/>
    <w:rsid w:val="00961C44"/>
    <w:rsid w:val="00962706"/>
    <w:rsid w:val="00962EFC"/>
    <w:rsid w:val="009634CF"/>
    <w:rsid w:val="009635E4"/>
    <w:rsid w:val="00963C4E"/>
    <w:rsid w:val="00963FF3"/>
    <w:rsid w:val="0096402B"/>
    <w:rsid w:val="00964989"/>
    <w:rsid w:val="00964B55"/>
    <w:rsid w:val="009653E7"/>
    <w:rsid w:val="009655F5"/>
    <w:rsid w:val="0096608C"/>
    <w:rsid w:val="00966AEC"/>
    <w:rsid w:val="009671EE"/>
    <w:rsid w:val="009673CC"/>
    <w:rsid w:val="0097002F"/>
    <w:rsid w:val="00970167"/>
    <w:rsid w:val="0097020F"/>
    <w:rsid w:val="009708AE"/>
    <w:rsid w:val="00971725"/>
    <w:rsid w:val="009733C1"/>
    <w:rsid w:val="009757F5"/>
    <w:rsid w:val="009760C9"/>
    <w:rsid w:val="0097671A"/>
    <w:rsid w:val="009775C4"/>
    <w:rsid w:val="00980084"/>
    <w:rsid w:val="0098027B"/>
    <w:rsid w:val="00980572"/>
    <w:rsid w:val="00981A49"/>
    <w:rsid w:val="00981B2F"/>
    <w:rsid w:val="009826ED"/>
    <w:rsid w:val="009828C4"/>
    <w:rsid w:val="009831C7"/>
    <w:rsid w:val="00985813"/>
    <w:rsid w:val="00986C4D"/>
    <w:rsid w:val="009870B7"/>
    <w:rsid w:val="00987CBB"/>
    <w:rsid w:val="00987ED8"/>
    <w:rsid w:val="00990D04"/>
    <w:rsid w:val="00990E1B"/>
    <w:rsid w:val="00990F65"/>
    <w:rsid w:val="00991082"/>
    <w:rsid w:val="00991FB6"/>
    <w:rsid w:val="009929A4"/>
    <w:rsid w:val="00992A5D"/>
    <w:rsid w:val="00992AEF"/>
    <w:rsid w:val="00992CBF"/>
    <w:rsid w:val="00992CF0"/>
    <w:rsid w:val="00993728"/>
    <w:rsid w:val="00993A4D"/>
    <w:rsid w:val="00994276"/>
    <w:rsid w:val="009945A1"/>
    <w:rsid w:val="00995ADD"/>
    <w:rsid w:val="0099608B"/>
    <w:rsid w:val="00996812"/>
    <w:rsid w:val="009968E8"/>
    <w:rsid w:val="009A097F"/>
    <w:rsid w:val="009A0AD7"/>
    <w:rsid w:val="009A14C5"/>
    <w:rsid w:val="009A22E4"/>
    <w:rsid w:val="009A3B93"/>
    <w:rsid w:val="009A3E33"/>
    <w:rsid w:val="009A4F42"/>
    <w:rsid w:val="009A5495"/>
    <w:rsid w:val="009A62D2"/>
    <w:rsid w:val="009A68E5"/>
    <w:rsid w:val="009A6C87"/>
    <w:rsid w:val="009A708A"/>
    <w:rsid w:val="009A7334"/>
    <w:rsid w:val="009A77D5"/>
    <w:rsid w:val="009A7C98"/>
    <w:rsid w:val="009A7FCE"/>
    <w:rsid w:val="009B0359"/>
    <w:rsid w:val="009B122D"/>
    <w:rsid w:val="009B1905"/>
    <w:rsid w:val="009B19D0"/>
    <w:rsid w:val="009B2230"/>
    <w:rsid w:val="009B24B7"/>
    <w:rsid w:val="009B2595"/>
    <w:rsid w:val="009B308E"/>
    <w:rsid w:val="009B3515"/>
    <w:rsid w:val="009B40C5"/>
    <w:rsid w:val="009B40DF"/>
    <w:rsid w:val="009B4305"/>
    <w:rsid w:val="009B44D6"/>
    <w:rsid w:val="009B48ED"/>
    <w:rsid w:val="009B4CE8"/>
    <w:rsid w:val="009B4F65"/>
    <w:rsid w:val="009B5E9F"/>
    <w:rsid w:val="009B615E"/>
    <w:rsid w:val="009B66D7"/>
    <w:rsid w:val="009B690B"/>
    <w:rsid w:val="009B7213"/>
    <w:rsid w:val="009B7FC1"/>
    <w:rsid w:val="009C037D"/>
    <w:rsid w:val="009C05C4"/>
    <w:rsid w:val="009C0600"/>
    <w:rsid w:val="009C0E13"/>
    <w:rsid w:val="009C112A"/>
    <w:rsid w:val="009C1342"/>
    <w:rsid w:val="009C17B7"/>
    <w:rsid w:val="009C1A05"/>
    <w:rsid w:val="009C34F6"/>
    <w:rsid w:val="009C3503"/>
    <w:rsid w:val="009C3A49"/>
    <w:rsid w:val="009C3B3D"/>
    <w:rsid w:val="009C499A"/>
    <w:rsid w:val="009C50F5"/>
    <w:rsid w:val="009C537F"/>
    <w:rsid w:val="009C593B"/>
    <w:rsid w:val="009C66D6"/>
    <w:rsid w:val="009C6D66"/>
    <w:rsid w:val="009C7225"/>
    <w:rsid w:val="009C74F3"/>
    <w:rsid w:val="009C7FBA"/>
    <w:rsid w:val="009D0170"/>
    <w:rsid w:val="009D0AD6"/>
    <w:rsid w:val="009D101C"/>
    <w:rsid w:val="009D16F9"/>
    <w:rsid w:val="009D1AC7"/>
    <w:rsid w:val="009D1B21"/>
    <w:rsid w:val="009D2CF6"/>
    <w:rsid w:val="009D2EC8"/>
    <w:rsid w:val="009D3646"/>
    <w:rsid w:val="009D391D"/>
    <w:rsid w:val="009D39C6"/>
    <w:rsid w:val="009D3D55"/>
    <w:rsid w:val="009D4680"/>
    <w:rsid w:val="009D5B9F"/>
    <w:rsid w:val="009D5D0D"/>
    <w:rsid w:val="009D6EA0"/>
    <w:rsid w:val="009D7253"/>
    <w:rsid w:val="009D741B"/>
    <w:rsid w:val="009D7745"/>
    <w:rsid w:val="009D7DBD"/>
    <w:rsid w:val="009E02D1"/>
    <w:rsid w:val="009E0549"/>
    <w:rsid w:val="009E0A32"/>
    <w:rsid w:val="009E0E24"/>
    <w:rsid w:val="009E16B4"/>
    <w:rsid w:val="009E285E"/>
    <w:rsid w:val="009E2FDA"/>
    <w:rsid w:val="009E321E"/>
    <w:rsid w:val="009E325B"/>
    <w:rsid w:val="009E3AAC"/>
    <w:rsid w:val="009E3C0C"/>
    <w:rsid w:val="009E4C2D"/>
    <w:rsid w:val="009E4E2B"/>
    <w:rsid w:val="009E4E5C"/>
    <w:rsid w:val="009E5531"/>
    <w:rsid w:val="009E60FB"/>
    <w:rsid w:val="009E6941"/>
    <w:rsid w:val="009E6CF3"/>
    <w:rsid w:val="009E7903"/>
    <w:rsid w:val="009F01C4"/>
    <w:rsid w:val="009F05E6"/>
    <w:rsid w:val="009F0DF8"/>
    <w:rsid w:val="009F103B"/>
    <w:rsid w:val="009F1445"/>
    <w:rsid w:val="009F1AF5"/>
    <w:rsid w:val="009F293D"/>
    <w:rsid w:val="009F2EFC"/>
    <w:rsid w:val="009F327E"/>
    <w:rsid w:val="009F3316"/>
    <w:rsid w:val="009F34D5"/>
    <w:rsid w:val="009F5440"/>
    <w:rsid w:val="009F62A5"/>
    <w:rsid w:val="009F6913"/>
    <w:rsid w:val="009F7A63"/>
    <w:rsid w:val="00A00416"/>
    <w:rsid w:val="00A013AB"/>
    <w:rsid w:val="00A01839"/>
    <w:rsid w:val="00A02533"/>
    <w:rsid w:val="00A028E3"/>
    <w:rsid w:val="00A02C02"/>
    <w:rsid w:val="00A034B5"/>
    <w:rsid w:val="00A04CBF"/>
    <w:rsid w:val="00A050C9"/>
    <w:rsid w:val="00A06675"/>
    <w:rsid w:val="00A06DDF"/>
    <w:rsid w:val="00A0791F"/>
    <w:rsid w:val="00A1011B"/>
    <w:rsid w:val="00A11B2B"/>
    <w:rsid w:val="00A13769"/>
    <w:rsid w:val="00A13E9D"/>
    <w:rsid w:val="00A14533"/>
    <w:rsid w:val="00A14754"/>
    <w:rsid w:val="00A14BF8"/>
    <w:rsid w:val="00A14D63"/>
    <w:rsid w:val="00A15208"/>
    <w:rsid w:val="00A159F7"/>
    <w:rsid w:val="00A166CE"/>
    <w:rsid w:val="00A169C8"/>
    <w:rsid w:val="00A16D94"/>
    <w:rsid w:val="00A172F3"/>
    <w:rsid w:val="00A1749A"/>
    <w:rsid w:val="00A1754B"/>
    <w:rsid w:val="00A17DBC"/>
    <w:rsid w:val="00A20225"/>
    <w:rsid w:val="00A20C9C"/>
    <w:rsid w:val="00A21235"/>
    <w:rsid w:val="00A214FC"/>
    <w:rsid w:val="00A21804"/>
    <w:rsid w:val="00A2217F"/>
    <w:rsid w:val="00A2262C"/>
    <w:rsid w:val="00A2357B"/>
    <w:rsid w:val="00A23CE2"/>
    <w:rsid w:val="00A23E2C"/>
    <w:rsid w:val="00A2537B"/>
    <w:rsid w:val="00A2568C"/>
    <w:rsid w:val="00A257DA"/>
    <w:rsid w:val="00A25965"/>
    <w:rsid w:val="00A25AC4"/>
    <w:rsid w:val="00A265B2"/>
    <w:rsid w:val="00A26886"/>
    <w:rsid w:val="00A26934"/>
    <w:rsid w:val="00A275E0"/>
    <w:rsid w:val="00A27BB4"/>
    <w:rsid w:val="00A27CA4"/>
    <w:rsid w:val="00A30477"/>
    <w:rsid w:val="00A30622"/>
    <w:rsid w:val="00A30BAE"/>
    <w:rsid w:val="00A32128"/>
    <w:rsid w:val="00A32561"/>
    <w:rsid w:val="00A33772"/>
    <w:rsid w:val="00A339D8"/>
    <w:rsid w:val="00A345D3"/>
    <w:rsid w:val="00A35668"/>
    <w:rsid w:val="00A357AA"/>
    <w:rsid w:val="00A35D35"/>
    <w:rsid w:val="00A360B5"/>
    <w:rsid w:val="00A367BA"/>
    <w:rsid w:val="00A36F32"/>
    <w:rsid w:val="00A377DA"/>
    <w:rsid w:val="00A4075E"/>
    <w:rsid w:val="00A408EB"/>
    <w:rsid w:val="00A4118B"/>
    <w:rsid w:val="00A417E8"/>
    <w:rsid w:val="00A4262D"/>
    <w:rsid w:val="00A42C08"/>
    <w:rsid w:val="00A43C12"/>
    <w:rsid w:val="00A4499A"/>
    <w:rsid w:val="00A4600D"/>
    <w:rsid w:val="00A4641B"/>
    <w:rsid w:val="00A479CF"/>
    <w:rsid w:val="00A47A26"/>
    <w:rsid w:val="00A47EE9"/>
    <w:rsid w:val="00A5051B"/>
    <w:rsid w:val="00A51C6B"/>
    <w:rsid w:val="00A521B9"/>
    <w:rsid w:val="00A53A39"/>
    <w:rsid w:val="00A543B7"/>
    <w:rsid w:val="00A54934"/>
    <w:rsid w:val="00A54A75"/>
    <w:rsid w:val="00A54D6E"/>
    <w:rsid w:val="00A54EDF"/>
    <w:rsid w:val="00A555B3"/>
    <w:rsid w:val="00A55EF6"/>
    <w:rsid w:val="00A56191"/>
    <w:rsid w:val="00A56200"/>
    <w:rsid w:val="00A56D27"/>
    <w:rsid w:val="00A571C4"/>
    <w:rsid w:val="00A57A69"/>
    <w:rsid w:val="00A57C02"/>
    <w:rsid w:val="00A57DF1"/>
    <w:rsid w:val="00A602BE"/>
    <w:rsid w:val="00A603A5"/>
    <w:rsid w:val="00A60727"/>
    <w:rsid w:val="00A60D7C"/>
    <w:rsid w:val="00A61040"/>
    <w:rsid w:val="00A617F5"/>
    <w:rsid w:val="00A62528"/>
    <w:rsid w:val="00A62F35"/>
    <w:rsid w:val="00A63D40"/>
    <w:rsid w:val="00A64319"/>
    <w:rsid w:val="00A65033"/>
    <w:rsid w:val="00A650AD"/>
    <w:rsid w:val="00A653DA"/>
    <w:rsid w:val="00A6626D"/>
    <w:rsid w:val="00A66C73"/>
    <w:rsid w:val="00A67BF2"/>
    <w:rsid w:val="00A67D42"/>
    <w:rsid w:val="00A704E6"/>
    <w:rsid w:val="00A70553"/>
    <w:rsid w:val="00A72049"/>
    <w:rsid w:val="00A72EFB"/>
    <w:rsid w:val="00A742E1"/>
    <w:rsid w:val="00A750A9"/>
    <w:rsid w:val="00A75351"/>
    <w:rsid w:val="00A75CAE"/>
    <w:rsid w:val="00A76CE0"/>
    <w:rsid w:val="00A76E87"/>
    <w:rsid w:val="00A76EE6"/>
    <w:rsid w:val="00A76F2F"/>
    <w:rsid w:val="00A77380"/>
    <w:rsid w:val="00A77492"/>
    <w:rsid w:val="00A778D7"/>
    <w:rsid w:val="00A80918"/>
    <w:rsid w:val="00A80FE6"/>
    <w:rsid w:val="00A81794"/>
    <w:rsid w:val="00A81B01"/>
    <w:rsid w:val="00A82786"/>
    <w:rsid w:val="00A829EE"/>
    <w:rsid w:val="00A82A2A"/>
    <w:rsid w:val="00A83201"/>
    <w:rsid w:val="00A835FF"/>
    <w:rsid w:val="00A83DEE"/>
    <w:rsid w:val="00A84312"/>
    <w:rsid w:val="00A85CC1"/>
    <w:rsid w:val="00A87283"/>
    <w:rsid w:val="00A8729E"/>
    <w:rsid w:val="00A87345"/>
    <w:rsid w:val="00A8799E"/>
    <w:rsid w:val="00A879CE"/>
    <w:rsid w:val="00A87B27"/>
    <w:rsid w:val="00A87F50"/>
    <w:rsid w:val="00A90B15"/>
    <w:rsid w:val="00A9242F"/>
    <w:rsid w:val="00A92D5A"/>
    <w:rsid w:val="00A92F7D"/>
    <w:rsid w:val="00A9366E"/>
    <w:rsid w:val="00A94FFA"/>
    <w:rsid w:val="00A962AF"/>
    <w:rsid w:val="00A96461"/>
    <w:rsid w:val="00A97FD0"/>
    <w:rsid w:val="00AA0AE5"/>
    <w:rsid w:val="00AA0CD0"/>
    <w:rsid w:val="00AA12E0"/>
    <w:rsid w:val="00AA18DD"/>
    <w:rsid w:val="00AA1C70"/>
    <w:rsid w:val="00AA201C"/>
    <w:rsid w:val="00AA227C"/>
    <w:rsid w:val="00AA28DE"/>
    <w:rsid w:val="00AA2C38"/>
    <w:rsid w:val="00AA2C9E"/>
    <w:rsid w:val="00AA37BD"/>
    <w:rsid w:val="00AA3B42"/>
    <w:rsid w:val="00AA3D27"/>
    <w:rsid w:val="00AA4287"/>
    <w:rsid w:val="00AA4A73"/>
    <w:rsid w:val="00AA4C6A"/>
    <w:rsid w:val="00AA548E"/>
    <w:rsid w:val="00AA58E2"/>
    <w:rsid w:val="00AA5B94"/>
    <w:rsid w:val="00AA65EC"/>
    <w:rsid w:val="00AA6FBA"/>
    <w:rsid w:val="00AA76D0"/>
    <w:rsid w:val="00AA7C79"/>
    <w:rsid w:val="00AB0277"/>
    <w:rsid w:val="00AB0775"/>
    <w:rsid w:val="00AB08EE"/>
    <w:rsid w:val="00AB2300"/>
    <w:rsid w:val="00AB2960"/>
    <w:rsid w:val="00AB32A1"/>
    <w:rsid w:val="00AB34EE"/>
    <w:rsid w:val="00AB4491"/>
    <w:rsid w:val="00AB4D8E"/>
    <w:rsid w:val="00AB6168"/>
    <w:rsid w:val="00AB6552"/>
    <w:rsid w:val="00AB662E"/>
    <w:rsid w:val="00AB7030"/>
    <w:rsid w:val="00AB7333"/>
    <w:rsid w:val="00AB7651"/>
    <w:rsid w:val="00AB7920"/>
    <w:rsid w:val="00AB79E3"/>
    <w:rsid w:val="00AC1C69"/>
    <w:rsid w:val="00AC1DAE"/>
    <w:rsid w:val="00AC2ECD"/>
    <w:rsid w:val="00AC4F01"/>
    <w:rsid w:val="00AC5290"/>
    <w:rsid w:val="00AC65BA"/>
    <w:rsid w:val="00AC65BC"/>
    <w:rsid w:val="00AC6E35"/>
    <w:rsid w:val="00AC7323"/>
    <w:rsid w:val="00AC7385"/>
    <w:rsid w:val="00AC7F8E"/>
    <w:rsid w:val="00AD0264"/>
    <w:rsid w:val="00AD0353"/>
    <w:rsid w:val="00AD1177"/>
    <w:rsid w:val="00AD11F7"/>
    <w:rsid w:val="00AD13C8"/>
    <w:rsid w:val="00AD1A9C"/>
    <w:rsid w:val="00AD1B0B"/>
    <w:rsid w:val="00AD20A0"/>
    <w:rsid w:val="00AD2F04"/>
    <w:rsid w:val="00AD31F5"/>
    <w:rsid w:val="00AD33B6"/>
    <w:rsid w:val="00AD33DF"/>
    <w:rsid w:val="00AD341C"/>
    <w:rsid w:val="00AD3809"/>
    <w:rsid w:val="00AD3CD5"/>
    <w:rsid w:val="00AD4719"/>
    <w:rsid w:val="00AD4DC6"/>
    <w:rsid w:val="00AD66EE"/>
    <w:rsid w:val="00AD7622"/>
    <w:rsid w:val="00AD775A"/>
    <w:rsid w:val="00AD79E8"/>
    <w:rsid w:val="00AD7F34"/>
    <w:rsid w:val="00AD7FC5"/>
    <w:rsid w:val="00AE0B47"/>
    <w:rsid w:val="00AE1382"/>
    <w:rsid w:val="00AE1DB4"/>
    <w:rsid w:val="00AE22E7"/>
    <w:rsid w:val="00AE2323"/>
    <w:rsid w:val="00AE26D8"/>
    <w:rsid w:val="00AE2AC7"/>
    <w:rsid w:val="00AE2B59"/>
    <w:rsid w:val="00AE2E24"/>
    <w:rsid w:val="00AE36F7"/>
    <w:rsid w:val="00AE4775"/>
    <w:rsid w:val="00AE55AD"/>
    <w:rsid w:val="00AE5DBA"/>
    <w:rsid w:val="00AE5E2E"/>
    <w:rsid w:val="00AE7070"/>
    <w:rsid w:val="00AE7A9A"/>
    <w:rsid w:val="00AE7B90"/>
    <w:rsid w:val="00AF0C63"/>
    <w:rsid w:val="00AF18CF"/>
    <w:rsid w:val="00AF2D3D"/>
    <w:rsid w:val="00AF3606"/>
    <w:rsid w:val="00AF4279"/>
    <w:rsid w:val="00AF4F98"/>
    <w:rsid w:val="00AF5674"/>
    <w:rsid w:val="00AF592B"/>
    <w:rsid w:val="00AF59BE"/>
    <w:rsid w:val="00AF6C2F"/>
    <w:rsid w:val="00AF6C72"/>
    <w:rsid w:val="00AF6E4A"/>
    <w:rsid w:val="00AF74D3"/>
    <w:rsid w:val="00AF77FD"/>
    <w:rsid w:val="00AF7AD2"/>
    <w:rsid w:val="00B00763"/>
    <w:rsid w:val="00B02E97"/>
    <w:rsid w:val="00B030CC"/>
    <w:rsid w:val="00B03535"/>
    <w:rsid w:val="00B03B80"/>
    <w:rsid w:val="00B0423A"/>
    <w:rsid w:val="00B042B3"/>
    <w:rsid w:val="00B04AC9"/>
    <w:rsid w:val="00B04C18"/>
    <w:rsid w:val="00B053D2"/>
    <w:rsid w:val="00B066BB"/>
    <w:rsid w:val="00B0676B"/>
    <w:rsid w:val="00B06B58"/>
    <w:rsid w:val="00B06E24"/>
    <w:rsid w:val="00B07150"/>
    <w:rsid w:val="00B07895"/>
    <w:rsid w:val="00B11390"/>
    <w:rsid w:val="00B11432"/>
    <w:rsid w:val="00B114CD"/>
    <w:rsid w:val="00B115AA"/>
    <w:rsid w:val="00B1165D"/>
    <w:rsid w:val="00B12588"/>
    <w:rsid w:val="00B12DA3"/>
    <w:rsid w:val="00B12EAA"/>
    <w:rsid w:val="00B1398A"/>
    <w:rsid w:val="00B142E0"/>
    <w:rsid w:val="00B14A84"/>
    <w:rsid w:val="00B158D6"/>
    <w:rsid w:val="00B174A7"/>
    <w:rsid w:val="00B17BC0"/>
    <w:rsid w:val="00B17BDA"/>
    <w:rsid w:val="00B17DA9"/>
    <w:rsid w:val="00B206E1"/>
    <w:rsid w:val="00B20C3D"/>
    <w:rsid w:val="00B216BA"/>
    <w:rsid w:val="00B21DD2"/>
    <w:rsid w:val="00B229A5"/>
    <w:rsid w:val="00B23047"/>
    <w:rsid w:val="00B2313F"/>
    <w:rsid w:val="00B235B4"/>
    <w:rsid w:val="00B23A8E"/>
    <w:rsid w:val="00B23AC6"/>
    <w:rsid w:val="00B240C4"/>
    <w:rsid w:val="00B246F9"/>
    <w:rsid w:val="00B257D8"/>
    <w:rsid w:val="00B259F4"/>
    <w:rsid w:val="00B27020"/>
    <w:rsid w:val="00B27254"/>
    <w:rsid w:val="00B2725A"/>
    <w:rsid w:val="00B274D7"/>
    <w:rsid w:val="00B277D9"/>
    <w:rsid w:val="00B3007C"/>
    <w:rsid w:val="00B30669"/>
    <w:rsid w:val="00B32484"/>
    <w:rsid w:val="00B3373C"/>
    <w:rsid w:val="00B338E4"/>
    <w:rsid w:val="00B34503"/>
    <w:rsid w:val="00B348A0"/>
    <w:rsid w:val="00B34CAC"/>
    <w:rsid w:val="00B34F3B"/>
    <w:rsid w:val="00B35B99"/>
    <w:rsid w:val="00B35F6B"/>
    <w:rsid w:val="00B362EA"/>
    <w:rsid w:val="00B37138"/>
    <w:rsid w:val="00B404C3"/>
    <w:rsid w:val="00B41609"/>
    <w:rsid w:val="00B4196E"/>
    <w:rsid w:val="00B421AB"/>
    <w:rsid w:val="00B43081"/>
    <w:rsid w:val="00B43564"/>
    <w:rsid w:val="00B438ED"/>
    <w:rsid w:val="00B43A1D"/>
    <w:rsid w:val="00B4423F"/>
    <w:rsid w:val="00B449EC"/>
    <w:rsid w:val="00B45C5E"/>
    <w:rsid w:val="00B45D29"/>
    <w:rsid w:val="00B46910"/>
    <w:rsid w:val="00B46B4A"/>
    <w:rsid w:val="00B46FAA"/>
    <w:rsid w:val="00B472FA"/>
    <w:rsid w:val="00B4733E"/>
    <w:rsid w:val="00B47506"/>
    <w:rsid w:val="00B47553"/>
    <w:rsid w:val="00B47D98"/>
    <w:rsid w:val="00B50FBA"/>
    <w:rsid w:val="00B51114"/>
    <w:rsid w:val="00B54286"/>
    <w:rsid w:val="00B543E7"/>
    <w:rsid w:val="00B551DA"/>
    <w:rsid w:val="00B55681"/>
    <w:rsid w:val="00B5569A"/>
    <w:rsid w:val="00B55CBE"/>
    <w:rsid w:val="00B56164"/>
    <w:rsid w:val="00B57184"/>
    <w:rsid w:val="00B57726"/>
    <w:rsid w:val="00B57F3B"/>
    <w:rsid w:val="00B6087F"/>
    <w:rsid w:val="00B610B2"/>
    <w:rsid w:val="00B61111"/>
    <w:rsid w:val="00B616C5"/>
    <w:rsid w:val="00B6224E"/>
    <w:rsid w:val="00B62251"/>
    <w:rsid w:val="00B623A2"/>
    <w:rsid w:val="00B6398A"/>
    <w:rsid w:val="00B63F71"/>
    <w:rsid w:val="00B64DB5"/>
    <w:rsid w:val="00B64E9B"/>
    <w:rsid w:val="00B6553D"/>
    <w:rsid w:val="00B65ABB"/>
    <w:rsid w:val="00B65D63"/>
    <w:rsid w:val="00B678D6"/>
    <w:rsid w:val="00B7076B"/>
    <w:rsid w:val="00B70863"/>
    <w:rsid w:val="00B70B0D"/>
    <w:rsid w:val="00B721DD"/>
    <w:rsid w:val="00B723EF"/>
    <w:rsid w:val="00B72495"/>
    <w:rsid w:val="00B72F80"/>
    <w:rsid w:val="00B73C43"/>
    <w:rsid w:val="00B74377"/>
    <w:rsid w:val="00B74BAC"/>
    <w:rsid w:val="00B74FC9"/>
    <w:rsid w:val="00B75D1C"/>
    <w:rsid w:val="00B768B8"/>
    <w:rsid w:val="00B7747B"/>
    <w:rsid w:val="00B8184B"/>
    <w:rsid w:val="00B81DD7"/>
    <w:rsid w:val="00B81EBE"/>
    <w:rsid w:val="00B8236D"/>
    <w:rsid w:val="00B82777"/>
    <w:rsid w:val="00B82E21"/>
    <w:rsid w:val="00B834DB"/>
    <w:rsid w:val="00B849BE"/>
    <w:rsid w:val="00B858C8"/>
    <w:rsid w:val="00B85BA5"/>
    <w:rsid w:val="00B867AF"/>
    <w:rsid w:val="00B8688A"/>
    <w:rsid w:val="00B9157D"/>
    <w:rsid w:val="00B916E3"/>
    <w:rsid w:val="00B91915"/>
    <w:rsid w:val="00B9192E"/>
    <w:rsid w:val="00B94FD8"/>
    <w:rsid w:val="00B95A15"/>
    <w:rsid w:val="00B96645"/>
    <w:rsid w:val="00B9719B"/>
    <w:rsid w:val="00BA0EA0"/>
    <w:rsid w:val="00BA114B"/>
    <w:rsid w:val="00BA1D83"/>
    <w:rsid w:val="00BA22D1"/>
    <w:rsid w:val="00BA2831"/>
    <w:rsid w:val="00BA2A1B"/>
    <w:rsid w:val="00BA383B"/>
    <w:rsid w:val="00BA3E45"/>
    <w:rsid w:val="00BA40F7"/>
    <w:rsid w:val="00BA46B2"/>
    <w:rsid w:val="00BA4B38"/>
    <w:rsid w:val="00BA4CBC"/>
    <w:rsid w:val="00BA4F03"/>
    <w:rsid w:val="00BA52CB"/>
    <w:rsid w:val="00BA5B8B"/>
    <w:rsid w:val="00BA5E47"/>
    <w:rsid w:val="00BA6AA4"/>
    <w:rsid w:val="00BA727D"/>
    <w:rsid w:val="00BA7660"/>
    <w:rsid w:val="00BA7A18"/>
    <w:rsid w:val="00BA7FD8"/>
    <w:rsid w:val="00BB03A3"/>
    <w:rsid w:val="00BB0BB8"/>
    <w:rsid w:val="00BB0DB5"/>
    <w:rsid w:val="00BB0ECA"/>
    <w:rsid w:val="00BB0F03"/>
    <w:rsid w:val="00BB1556"/>
    <w:rsid w:val="00BB2078"/>
    <w:rsid w:val="00BB2AA5"/>
    <w:rsid w:val="00BB2BAA"/>
    <w:rsid w:val="00BB3F78"/>
    <w:rsid w:val="00BB3FD7"/>
    <w:rsid w:val="00BB4766"/>
    <w:rsid w:val="00BB4F89"/>
    <w:rsid w:val="00BB51C9"/>
    <w:rsid w:val="00BB53D1"/>
    <w:rsid w:val="00BB5EBC"/>
    <w:rsid w:val="00BB6A8D"/>
    <w:rsid w:val="00BB6B4D"/>
    <w:rsid w:val="00BB7932"/>
    <w:rsid w:val="00BB7A86"/>
    <w:rsid w:val="00BB7AB1"/>
    <w:rsid w:val="00BC0648"/>
    <w:rsid w:val="00BC108B"/>
    <w:rsid w:val="00BC12B4"/>
    <w:rsid w:val="00BC2150"/>
    <w:rsid w:val="00BC2307"/>
    <w:rsid w:val="00BC29BC"/>
    <w:rsid w:val="00BC2C7C"/>
    <w:rsid w:val="00BC3598"/>
    <w:rsid w:val="00BC3921"/>
    <w:rsid w:val="00BC396C"/>
    <w:rsid w:val="00BC3D68"/>
    <w:rsid w:val="00BC4061"/>
    <w:rsid w:val="00BC4E70"/>
    <w:rsid w:val="00BC6EED"/>
    <w:rsid w:val="00BC7D1F"/>
    <w:rsid w:val="00BC7DBD"/>
    <w:rsid w:val="00BC7F5F"/>
    <w:rsid w:val="00BD0053"/>
    <w:rsid w:val="00BD054F"/>
    <w:rsid w:val="00BD0733"/>
    <w:rsid w:val="00BD0D4B"/>
    <w:rsid w:val="00BD1707"/>
    <w:rsid w:val="00BD2508"/>
    <w:rsid w:val="00BD2D37"/>
    <w:rsid w:val="00BD2D39"/>
    <w:rsid w:val="00BD35C8"/>
    <w:rsid w:val="00BD390A"/>
    <w:rsid w:val="00BD3CC6"/>
    <w:rsid w:val="00BD3CE6"/>
    <w:rsid w:val="00BD48FF"/>
    <w:rsid w:val="00BD4B8C"/>
    <w:rsid w:val="00BD5CA2"/>
    <w:rsid w:val="00BD5CD7"/>
    <w:rsid w:val="00BD5FD2"/>
    <w:rsid w:val="00BD6390"/>
    <w:rsid w:val="00BD6739"/>
    <w:rsid w:val="00BD6CA5"/>
    <w:rsid w:val="00BD7613"/>
    <w:rsid w:val="00BE04D4"/>
    <w:rsid w:val="00BE08F4"/>
    <w:rsid w:val="00BE105A"/>
    <w:rsid w:val="00BE10AE"/>
    <w:rsid w:val="00BE1D8A"/>
    <w:rsid w:val="00BE2125"/>
    <w:rsid w:val="00BE2299"/>
    <w:rsid w:val="00BE2C26"/>
    <w:rsid w:val="00BE3045"/>
    <w:rsid w:val="00BE3EAA"/>
    <w:rsid w:val="00BE4183"/>
    <w:rsid w:val="00BE5105"/>
    <w:rsid w:val="00BE5DBA"/>
    <w:rsid w:val="00BE6889"/>
    <w:rsid w:val="00BE6F99"/>
    <w:rsid w:val="00BF027A"/>
    <w:rsid w:val="00BF07CD"/>
    <w:rsid w:val="00BF0AFE"/>
    <w:rsid w:val="00BF0C6B"/>
    <w:rsid w:val="00BF0CC1"/>
    <w:rsid w:val="00BF1AA1"/>
    <w:rsid w:val="00BF1BF0"/>
    <w:rsid w:val="00BF1CA0"/>
    <w:rsid w:val="00BF36FD"/>
    <w:rsid w:val="00BF3A3F"/>
    <w:rsid w:val="00BF402D"/>
    <w:rsid w:val="00BF4099"/>
    <w:rsid w:val="00BF5E8F"/>
    <w:rsid w:val="00BF6264"/>
    <w:rsid w:val="00BF68AA"/>
    <w:rsid w:val="00BF6B0F"/>
    <w:rsid w:val="00BF7381"/>
    <w:rsid w:val="00BF7D4E"/>
    <w:rsid w:val="00C01293"/>
    <w:rsid w:val="00C013CD"/>
    <w:rsid w:val="00C01567"/>
    <w:rsid w:val="00C01AD9"/>
    <w:rsid w:val="00C01CCC"/>
    <w:rsid w:val="00C02B6B"/>
    <w:rsid w:val="00C0404F"/>
    <w:rsid w:val="00C0416D"/>
    <w:rsid w:val="00C04546"/>
    <w:rsid w:val="00C05B3C"/>
    <w:rsid w:val="00C05BA3"/>
    <w:rsid w:val="00C05C0B"/>
    <w:rsid w:val="00C07452"/>
    <w:rsid w:val="00C07752"/>
    <w:rsid w:val="00C07C6C"/>
    <w:rsid w:val="00C10CF0"/>
    <w:rsid w:val="00C119C7"/>
    <w:rsid w:val="00C11D2A"/>
    <w:rsid w:val="00C11D4D"/>
    <w:rsid w:val="00C124BC"/>
    <w:rsid w:val="00C12EFF"/>
    <w:rsid w:val="00C13354"/>
    <w:rsid w:val="00C141F5"/>
    <w:rsid w:val="00C1425E"/>
    <w:rsid w:val="00C14650"/>
    <w:rsid w:val="00C1516F"/>
    <w:rsid w:val="00C1578A"/>
    <w:rsid w:val="00C15AAB"/>
    <w:rsid w:val="00C15CC8"/>
    <w:rsid w:val="00C15CFF"/>
    <w:rsid w:val="00C16313"/>
    <w:rsid w:val="00C164B8"/>
    <w:rsid w:val="00C16621"/>
    <w:rsid w:val="00C16BE0"/>
    <w:rsid w:val="00C17026"/>
    <w:rsid w:val="00C17082"/>
    <w:rsid w:val="00C172B6"/>
    <w:rsid w:val="00C21410"/>
    <w:rsid w:val="00C21680"/>
    <w:rsid w:val="00C2169F"/>
    <w:rsid w:val="00C21EA6"/>
    <w:rsid w:val="00C21EC9"/>
    <w:rsid w:val="00C21F55"/>
    <w:rsid w:val="00C2226C"/>
    <w:rsid w:val="00C22D55"/>
    <w:rsid w:val="00C22DB8"/>
    <w:rsid w:val="00C23236"/>
    <w:rsid w:val="00C23A2B"/>
    <w:rsid w:val="00C23B34"/>
    <w:rsid w:val="00C24781"/>
    <w:rsid w:val="00C24F85"/>
    <w:rsid w:val="00C24FA3"/>
    <w:rsid w:val="00C25481"/>
    <w:rsid w:val="00C2575D"/>
    <w:rsid w:val="00C257A1"/>
    <w:rsid w:val="00C25814"/>
    <w:rsid w:val="00C25B56"/>
    <w:rsid w:val="00C25F96"/>
    <w:rsid w:val="00C26038"/>
    <w:rsid w:val="00C26E28"/>
    <w:rsid w:val="00C2730B"/>
    <w:rsid w:val="00C3055E"/>
    <w:rsid w:val="00C30718"/>
    <w:rsid w:val="00C30BB7"/>
    <w:rsid w:val="00C30C59"/>
    <w:rsid w:val="00C31019"/>
    <w:rsid w:val="00C31278"/>
    <w:rsid w:val="00C31796"/>
    <w:rsid w:val="00C31FF3"/>
    <w:rsid w:val="00C328C8"/>
    <w:rsid w:val="00C32F7E"/>
    <w:rsid w:val="00C33613"/>
    <w:rsid w:val="00C33917"/>
    <w:rsid w:val="00C34AFC"/>
    <w:rsid w:val="00C34B04"/>
    <w:rsid w:val="00C3559D"/>
    <w:rsid w:val="00C363C8"/>
    <w:rsid w:val="00C3654A"/>
    <w:rsid w:val="00C369C1"/>
    <w:rsid w:val="00C370D5"/>
    <w:rsid w:val="00C37A26"/>
    <w:rsid w:val="00C4060C"/>
    <w:rsid w:val="00C4214F"/>
    <w:rsid w:val="00C4359E"/>
    <w:rsid w:val="00C43927"/>
    <w:rsid w:val="00C43DDB"/>
    <w:rsid w:val="00C46285"/>
    <w:rsid w:val="00C46328"/>
    <w:rsid w:val="00C46A2D"/>
    <w:rsid w:val="00C505CC"/>
    <w:rsid w:val="00C50C43"/>
    <w:rsid w:val="00C5114D"/>
    <w:rsid w:val="00C512B7"/>
    <w:rsid w:val="00C51480"/>
    <w:rsid w:val="00C518B7"/>
    <w:rsid w:val="00C52438"/>
    <w:rsid w:val="00C526E7"/>
    <w:rsid w:val="00C52F73"/>
    <w:rsid w:val="00C53A50"/>
    <w:rsid w:val="00C53BD2"/>
    <w:rsid w:val="00C54426"/>
    <w:rsid w:val="00C54AC7"/>
    <w:rsid w:val="00C54B47"/>
    <w:rsid w:val="00C559C6"/>
    <w:rsid w:val="00C55AF2"/>
    <w:rsid w:val="00C55F5B"/>
    <w:rsid w:val="00C56173"/>
    <w:rsid w:val="00C5656C"/>
    <w:rsid w:val="00C56661"/>
    <w:rsid w:val="00C57332"/>
    <w:rsid w:val="00C575F2"/>
    <w:rsid w:val="00C60157"/>
    <w:rsid w:val="00C6076F"/>
    <w:rsid w:val="00C60D0D"/>
    <w:rsid w:val="00C611A1"/>
    <w:rsid w:val="00C61DFC"/>
    <w:rsid w:val="00C620D5"/>
    <w:rsid w:val="00C62829"/>
    <w:rsid w:val="00C63F57"/>
    <w:rsid w:val="00C65425"/>
    <w:rsid w:val="00C6698B"/>
    <w:rsid w:val="00C703DD"/>
    <w:rsid w:val="00C708CA"/>
    <w:rsid w:val="00C71BCF"/>
    <w:rsid w:val="00C71EF5"/>
    <w:rsid w:val="00C71F9F"/>
    <w:rsid w:val="00C7209E"/>
    <w:rsid w:val="00C72543"/>
    <w:rsid w:val="00C728BA"/>
    <w:rsid w:val="00C73902"/>
    <w:rsid w:val="00C73B8D"/>
    <w:rsid w:val="00C752C7"/>
    <w:rsid w:val="00C756D7"/>
    <w:rsid w:val="00C760C2"/>
    <w:rsid w:val="00C769C0"/>
    <w:rsid w:val="00C76A13"/>
    <w:rsid w:val="00C77C3E"/>
    <w:rsid w:val="00C77DDC"/>
    <w:rsid w:val="00C8004F"/>
    <w:rsid w:val="00C80165"/>
    <w:rsid w:val="00C804EB"/>
    <w:rsid w:val="00C80998"/>
    <w:rsid w:val="00C80B78"/>
    <w:rsid w:val="00C80C35"/>
    <w:rsid w:val="00C81D9C"/>
    <w:rsid w:val="00C821EA"/>
    <w:rsid w:val="00C82B35"/>
    <w:rsid w:val="00C830AF"/>
    <w:rsid w:val="00C83E81"/>
    <w:rsid w:val="00C845E0"/>
    <w:rsid w:val="00C85224"/>
    <w:rsid w:val="00C8559F"/>
    <w:rsid w:val="00C85F54"/>
    <w:rsid w:val="00C86236"/>
    <w:rsid w:val="00C8623D"/>
    <w:rsid w:val="00C86939"/>
    <w:rsid w:val="00C8730A"/>
    <w:rsid w:val="00C87F98"/>
    <w:rsid w:val="00C901BD"/>
    <w:rsid w:val="00C90C15"/>
    <w:rsid w:val="00C90E7D"/>
    <w:rsid w:val="00C9116A"/>
    <w:rsid w:val="00C91927"/>
    <w:rsid w:val="00C9274D"/>
    <w:rsid w:val="00C92DB9"/>
    <w:rsid w:val="00C931E1"/>
    <w:rsid w:val="00C94208"/>
    <w:rsid w:val="00C94321"/>
    <w:rsid w:val="00C94DE6"/>
    <w:rsid w:val="00C94F18"/>
    <w:rsid w:val="00C9596C"/>
    <w:rsid w:val="00C95AD0"/>
    <w:rsid w:val="00C97EFD"/>
    <w:rsid w:val="00C97FD4"/>
    <w:rsid w:val="00CA06C8"/>
    <w:rsid w:val="00CA125F"/>
    <w:rsid w:val="00CA1506"/>
    <w:rsid w:val="00CA1508"/>
    <w:rsid w:val="00CA1A4C"/>
    <w:rsid w:val="00CA2306"/>
    <w:rsid w:val="00CA257A"/>
    <w:rsid w:val="00CA25E6"/>
    <w:rsid w:val="00CA2889"/>
    <w:rsid w:val="00CA2AB9"/>
    <w:rsid w:val="00CA367A"/>
    <w:rsid w:val="00CA494E"/>
    <w:rsid w:val="00CA5CF2"/>
    <w:rsid w:val="00CA5DB8"/>
    <w:rsid w:val="00CA6145"/>
    <w:rsid w:val="00CA69EA"/>
    <w:rsid w:val="00CA6C42"/>
    <w:rsid w:val="00CA7692"/>
    <w:rsid w:val="00CA7A4B"/>
    <w:rsid w:val="00CB0451"/>
    <w:rsid w:val="00CB06E6"/>
    <w:rsid w:val="00CB12B2"/>
    <w:rsid w:val="00CB1397"/>
    <w:rsid w:val="00CB2748"/>
    <w:rsid w:val="00CB2CC0"/>
    <w:rsid w:val="00CB2E16"/>
    <w:rsid w:val="00CB36D1"/>
    <w:rsid w:val="00CB430C"/>
    <w:rsid w:val="00CB4A3E"/>
    <w:rsid w:val="00CB541B"/>
    <w:rsid w:val="00CB6767"/>
    <w:rsid w:val="00CB6E49"/>
    <w:rsid w:val="00CC19B1"/>
    <w:rsid w:val="00CC2231"/>
    <w:rsid w:val="00CC2789"/>
    <w:rsid w:val="00CC29BF"/>
    <w:rsid w:val="00CC2C34"/>
    <w:rsid w:val="00CC31B8"/>
    <w:rsid w:val="00CC3C94"/>
    <w:rsid w:val="00CC474F"/>
    <w:rsid w:val="00CC5253"/>
    <w:rsid w:val="00CC55AC"/>
    <w:rsid w:val="00CC590E"/>
    <w:rsid w:val="00CC6840"/>
    <w:rsid w:val="00CC6A2A"/>
    <w:rsid w:val="00CC6F9E"/>
    <w:rsid w:val="00CC75F9"/>
    <w:rsid w:val="00CC7640"/>
    <w:rsid w:val="00CC776B"/>
    <w:rsid w:val="00CD028E"/>
    <w:rsid w:val="00CD0714"/>
    <w:rsid w:val="00CD0E70"/>
    <w:rsid w:val="00CD155E"/>
    <w:rsid w:val="00CD1918"/>
    <w:rsid w:val="00CD2F78"/>
    <w:rsid w:val="00CD305F"/>
    <w:rsid w:val="00CD390B"/>
    <w:rsid w:val="00CD4AE7"/>
    <w:rsid w:val="00CD59B8"/>
    <w:rsid w:val="00CD5D8B"/>
    <w:rsid w:val="00CD67B1"/>
    <w:rsid w:val="00CD6AA1"/>
    <w:rsid w:val="00CD74AE"/>
    <w:rsid w:val="00CE20C7"/>
    <w:rsid w:val="00CE20D9"/>
    <w:rsid w:val="00CE2C07"/>
    <w:rsid w:val="00CE3713"/>
    <w:rsid w:val="00CE39E4"/>
    <w:rsid w:val="00CE4247"/>
    <w:rsid w:val="00CE486F"/>
    <w:rsid w:val="00CE4F47"/>
    <w:rsid w:val="00CE56BA"/>
    <w:rsid w:val="00CE5DFD"/>
    <w:rsid w:val="00CE6038"/>
    <w:rsid w:val="00CE6151"/>
    <w:rsid w:val="00CE62C8"/>
    <w:rsid w:val="00CE6568"/>
    <w:rsid w:val="00CE66AB"/>
    <w:rsid w:val="00CE6950"/>
    <w:rsid w:val="00CE7106"/>
    <w:rsid w:val="00CE7771"/>
    <w:rsid w:val="00CE798E"/>
    <w:rsid w:val="00CE79D4"/>
    <w:rsid w:val="00CE7A22"/>
    <w:rsid w:val="00CF0AB7"/>
    <w:rsid w:val="00CF107E"/>
    <w:rsid w:val="00CF19B6"/>
    <w:rsid w:val="00CF1B21"/>
    <w:rsid w:val="00CF3046"/>
    <w:rsid w:val="00CF34A8"/>
    <w:rsid w:val="00CF361A"/>
    <w:rsid w:val="00CF3A99"/>
    <w:rsid w:val="00CF3D3C"/>
    <w:rsid w:val="00CF405C"/>
    <w:rsid w:val="00CF4260"/>
    <w:rsid w:val="00CF4CBF"/>
    <w:rsid w:val="00CF4DA4"/>
    <w:rsid w:val="00CF5004"/>
    <w:rsid w:val="00CF65AB"/>
    <w:rsid w:val="00CF6840"/>
    <w:rsid w:val="00CF6882"/>
    <w:rsid w:val="00CF6CA7"/>
    <w:rsid w:val="00CF735D"/>
    <w:rsid w:val="00CF79F9"/>
    <w:rsid w:val="00D00231"/>
    <w:rsid w:val="00D01363"/>
    <w:rsid w:val="00D01D37"/>
    <w:rsid w:val="00D024D4"/>
    <w:rsid w:val="00D0321D"/>
    <w:rsid w:val="00D040D1"/>
    <w:rsid w:val="00D0462B"/>
    <w:rsid w:val="00D05336"/>
    <w:rsid w:val="00D05448"/>
    <w:rsid w:val="00D063FF"/>
    <w:rsid w:val="00D0661C"/>
    <w:rsid w:val="00D06CFC"/>
    <w:rsid w:val="00D07754"/>
    <w:rsid w:val="00D07D62"/>
    <w:rsid w:val="00D07DCD"/>
    <w:rsid w:val="00D10227"/>
    <w:rsid w:val="00D113F4"/>
    <w:rsid w:val="00D12D19"/>
    <w:rsid w:val="00D132A3"/>
    <w:rsid w:val="00D135BE"/>
    <w:rsid w:val="00D1363C"/>
    <w:rsid w:val="00D1364D"/>
    <w:rsid w:val="00D13A3B"/>
    <w:rsid w:val="00D14CD6"/>
    <w:rsid w:val="00D1548B"/>
    <w:rsid w:val="00D157D8"/>
    <w:rsid w:val="00D16939"/>
    <w:rsid w:val="00D169A3"/>
    <w:rsid w:val="00D1703E"/>
    <w:rsid w:val="00D17F49"/>
    <w:rsid w:val="00D20BA6"/>
    <w:rsid w:val="00D20D3D"/>
    <w:rsid w:val="00D2127D"/>
    <w:rsid w:val="00D22465"/>
    <w:rsid w:val="00D23298"/>
    <w:rsid w:val="00D236A6"/>
    <w:rsid w:val="00D23A9B"/>
    <w:rsid w:val="00D24137"/>
    <w:rsid w:val="00D25638"/>
    <w:rsid w:val="00D256C5"/>
    <w:rsid w:val="00D25B40"/>
    <w:rsid w:val="00D25EDE"/>
    <w:rsid w:val="00D266CE"/>
    <w:rsid w:val="00D307C4"/>
    <w:rsid w:val="00D308B8"/>
    <w:rsid w:val="00D30B2D"/>
    <w:rsid w:val="00D31473"/>
    <w:rsid w:val="00D31B5C"/>
    <w:rsid w:val="00D31BB6"/>
    <w:rsid w:val="00D32909"/>
    <w:rsid w:val="00D33656"/>
    <w:rsid w:val="00D33836"/>
    <w:rsid w:val="00D34A7C"/>
    <w:rsid w:val="00D35158"/>
    <w:rsid w:val="00D354E7"/>
    <w:rsid w:val="00D35F28"/>
    <w:rsid w:val="00D37555"/>
    <w:rsid w:val="00D40B4E"/>
    <w:rsid w:val="00D40CF0"/>
    <w:rsid w:val="00D41F9C"/>
    <w:rsid w:val="00D4251F"/>
    <w:rsid w:val="00D431E9"/>
    <w:rsid w:val="00D434E5"/>
    <w:rsid w:val="00D43C7F"/>
    <w:rsid w:val="00D44F59"/>
    <w:rsid w:val="00D45A13"/>
    <w:rsid w:val="00D45AA9"/>
    <w:rsid w:val="00D45ABB"/>
    <w:rsid w:val="00D46AC9"/>
    <w:rsid w:val="00D46BBF"/>
    <w:rsid w:val="00D479B8"/>
    <w:rsid w:val="00D50248"/>
    <w:rsid w:val="00D50970"/>
    <w:rsid w:val="00D50AF9"/>
    <w:rsid w:val="00D50C82"/>
    <w:rsid w:val="00D534F3"/>
    <w:rsid w:val="00D53B19"/>
    <w:rsid w:val="00D53B29"/>
    <w:rsid w:val="00D540AC"/>
    <w:rsid w:val="00D545E1"/>
    <w:rsid w:val="00D54A6E"/>
    <w:rsid w:val="00D54FD3"/>
    <w:rsid w:val="00D5540C"/>
    <w:rsid w:val="00D55A99"/>
    <w:rsid w:val="00D56332"/>
    <w:rsid w:val="00D56423"/>
    <w:rsid w:val="00D57346"/>
    <w:rsid w:val="00D57DCA"/>
    <w:rsid w:val="00D57E8E"/>
    <w:rsid w:val="00D63138"/>
    <w:rsid w:val="00D635FA"/>
    <w:rsid w:val="00D63608"/>
    <w:rsid w:val="00D6461B"/>
    <w:rsid w:val="00D647B8"/>
    <w:rsid w:val="00D655FC"/>
    <w:rsid w:val="00D65993"/>
    <w:rsid w:val="00D662DD"/>
    <w:rsid w:val="00D672F7"/>
    <w:rsid w:val="00D67987"/>
    <w:rsid w:val="00D71328"/>
    <w:rsid w:val="00D71495"/>
    <w:rsid w:val="00D714A1"/>
    <w:rsid w:val="00D71BB0"/>
    <w:rsid w:val="00D733FF"/>
    <w:rsid w:val="00D73AD8"/>
    <w:rsid w:val="00D73E16"/>
    <w:rsid w:val="00D74D66"/>
    <w:rsid w:val="00D74EE3"/>
    <w:rsid w:val="00D7526D"/>
    <w:rsid w:val="00D75707"/>
    <w:rsid w:val="00D75CB1"/>
    <w:rsid w:val="00D76727"/>
    <w:rsid w:val="00D767DF"/>
    <w:rsid w:val="00D776E0"/>
    <w:rsid w:val="00D77B9C"/>
    <w:rsid w:val="00D802D4"/>
    <w:rsid w:val="00D80868"/>
    <w:rsid w:val="00D80AF3"/>
    <w:rsid w:val="00D81223"/>
    <w:rsid w:val="00D81417"/>
    <w:rsid w:val="00D814D1"/>
    <w:rsid w:val="00D81CA8"/>
    <w:rsid w:val="00D827CB"/>
    <w:rsid w:val="00D82835"/>
    <w:rsid w:val="00D829C0"/>
    <w:rsid w:val="00D838AA"/>
    <w:rsid w:val="00D83F52"/>
    <w:rsid w:val="00D84F1E"/>
    <w:rsid w:val="00D851D8"/>
    <w:rsid w:val="00D85614"/>
    <w:rsid w:val="00D85A69"/>
    <w:rsid w:val="00D86584"/>
    <w:rsid w:val="00D86985"/>
    <w:rsid w:val="00D86FC2"/>
    <w:rsid w:val="00D8710C"/>
    <w:rsid w:val="00D871CB"/>
    <w:rsid w:val="00D87BD4"/>
    <w:rsid w:val="00D90101"/>
    <w:rsid w:val="00D9027E"/>
    <w:rsid w:val="00D9108A"/>
    <w:rsid w:val="00D92171"/>
    <w:rsid w:val="00D9238D"/>
    <w:rsid w:val="00D93E78"/>
    <w:rsid w:val="00D94041"/>
    <w:rsid w:val="00D94C7C"/>
    <w:rsid w:val="00D9606D"/>
    <w:rsid w:val="00D974FE"/>
    <w:rsid w:val="00D97662"/>
    <w:rsid w:val="00D97A20"/>
    <w:rsid w:val="00DA035C"/>
    <w:rsid w:val="00DA18AB"/>
    <w:rsid w:val="00DA1E78"/>
    <w:rsid w:val="00DA24E8"/>
    <w:rsid w:val="00DA37EA"/>
    <w:rsid w:val="00DA4BF7"/>
    <w:rsid w:val="00DA50A5"/>
    <w:rsid w:val="00DA54C0"/>
    <w:rsid w:val="00DA5883"/>
    <w:rsid w:val="00DA5897"/>
    <w:rsid w:val="00DA58B8"/>
    <w:rsid w:val="00DA5A32"/>
    <w:rsid w:val="00DA5A54"/>
    <w:rsid w:val="00DA63E1"/>
    <w:rsid w:val="00DA693E"/>
    <w:rsid w:val="00DB0649"/>
    <w:rsid w:val="00DB0D2B"/>
    <w:rsid w:val="00DB14EE"/>
    <w:rsid w:val="00DB14FC"/>
    <w:rsid w:val="00DB19B2"/>
    <w:rsid w:val="00DB216A"/>
    <w:rsid w:val="00DB232D"/>
    <w:rsid w:val="00DB256A"/>
    <w:rsid w:val="00DB29F9"/>
    <w:rsid w:val="00DB2ADE"/>
    <w:rsid w:val="00DB2B34"/>
    <w:rsid w:val="00DB30F0"/>
    <w:rsid w:val="00DB32C0"/>
    <w:rsid w:val="00DB451A"/>
    <w:rsid w:val="00DB457B"/>
    <w:rsid w:val="00DB4B47"/>
    <w:rsid w:val="00DB5512"/>
    <w:rsid w:val="00DB5D04"/>
    <w:rsid w:val="00DB6028"/>
    <w:rsid w:val="00DB7B41"/>
    <w:rsid w:val="00DC01C9"/>
    <w:rsid w:val="00DC0911"/>
    <w:rsid w:val="00DC24E6"/>
    <w:rsid w:val="00DC2C6F"/>
    <w:rsid w:val="00DC2ECD"/>
    <w:rsid w:val="00DC4486"/>
    <w:rsid w:val="00DC4CD0"/>
    <w:rsid w:val="00DC518B"/>
    <w:rsid w:val="00DC51D7"/>
    <w:rsid w:val="00DC615F"/>
    <w:rsid w:val="00DC62B9"/>
    <w:rsid w:val="00DC6515"/>
    <w:rsid w:val="00DC7039"/>
    <w:rsid w:val="00DC7150"/>
    <w:rsid w:val="00DC7FBC"/>
    <w:rsid w:val="00DD01A9"/>
    <w:rsid w:val="00DD1AE2"/>
    <w:rsid w:val="00DD25EA"/>
    <w:rsid w:val="00DD26A1"/>
    <w:rsid w:val="00DD370E"/>
    <w:rsid w:val="00DD39ED"/>
    <w:rsid w:val="00DD3A2D"/>
    <w:rsid w:val="00DD3BD8"/>
    <w:rsid w:val="00DD4E51"/>
    <w:rsid w:val="00DD4EF6"/>
    <w:rsid w:val="00DD564A"/>
    <w:rsid w:val="00DD58E2"/>
    <w:rsid w:val="00DD7B67"/>
    <w:rsid w:val="00DD7FE9"/>
    <w:rsid w:val="00DE0433"/>
    <w:rsid w:val="00DE0A54"/>
    <w:rsid w:val="00DE0A82"/>
    <w:rsid w:val="00DE1B7B"/>
    <w:rsid w:val="00DE2FF2"/>
    <w:rsid w:val="00DE3789"/>
    <w:rsid w:val="00DE3B57"/>
    <w:rsid w:val="00DE3B61"/>
    <w:rsid w:val="00DE3F3D"/>
    <w:rsid w:val="00DE44E1"/>
    <w:rsid w:val="00DE44EF"/>
    <w:rsid w:val="00DE4A29"/>
    <w:rsid w:val="00DE4CA5"/>
    <w:rsid w:val="00DE5076"/>
    <w:rsid w:val="00DE5487"/>
    <w:rsid w:val="00DE5707"/>
    <w:rsid w:val="00DE5736"/>
    <w:rsid w:val="00DE5C38"/>
    <w:rsid w:val="00DE5EA8"/>
    <w:rsid w:val="00DE69ED"/>
    <w:rsid w:val="00DE7609"/>
    <w:rsid w:val="00DE7B26"/>
    <w:rsid w:val="00DE7EFC"/>
    <w:rsid w:val="00DF0BC5"/>
    <w:rsid w:val="00DF1D1E"/>
    <w:rsid w:val="00DF1E22"/>
    <w:rsid w:val="00DF24A7"/>
    <w:rsid w:val="00DF2916"/>
    <w:rsid w:val="00DF2A19"/>
    <w:rsid w:val="00DF35EB"/>
    <w:rsid w:val="00DF3958"/>
    <w:rsid w:val="00DF3C9B"/>
    <w:rsid w:val="00DF3DAC"/>
    <w:rsid w:val="00DF515C"/>
    <w:rsid w:val="00DF5E97"/>
    <w:rsid w:val="00DF65A0"/>
    <w:rsid w:val="00DF68B0"/>
    <w:rsid w:val="00DF6AC5"/>
    <w:rsid w:val="00DF7203"/>
    <w:rsid w:val="00DF7671"/>
    <w:rsid w:val="00E00273"/>
    <w:rsid w:val="00E00C79"/>
    <w:rsid w:val="00E00DB3"/>
    <w:rsid w:val="00E0285F"/>
    <w:rsid w:val="00E03229"/>
    <w:rsid w:val="00E03524"/>
    <w:rsid w:val="00E038AE"/>
    <w:rsid w:val="00E04463"/>
    <w:rsid w:val="00E04570"/>
    <w:rsid w:val="00E04BD8"/>
    <w:rsid w:val="00E0512B"/>
    <w:rsid w:val="00E052FF"/>
    <w:rsid w:val="00E0600A"/>
    <w:rsid w:val="00E062CB"/>
    <w:rsid w:val="00E06CF8"/>
    <w:rsid w:val="00E11B08"/>
    <w:rsid w:val="00E11FCB"/>
    <w:rsid w:val="00E1269B"/>
    <w:rsid w:val="00E1487F"/>
    <w:rsid w:val="00E14C36"/>
    <w:rsid w:val="00E1523C"/>
    <w:rsid w:val="00E15261"/>
    <w:rsid w:val="00E1562C"/>
    <w:rsid w:val="00E15AD8"/>
    <w:rsid w:val="00E1636B"/>
    <w:rsid w:val="00E1769C"/>
    <w:rsid w:val="00E17957"/>
    <w:rsid w:val="00E17AA9"/>
    <w:rsid w:val="00E17CB6"/>
    <w:rsid w:val="00E2215B"/>
    <w:rsid w:val="00E22F6D"/>
    <w:rsid w:val="00E2361B"/>
    <w:rsid w:val="00E23887"/>
    <w:rsid w:val="00E2443D"/>
    <w:rsid w:val="00E25691"/>
    <w:rsid w:val="00E2578A"/>
    <w:rsid w:val="00E26185"/>
    <w:rsid w:val="00E2680F"/>
    <w:rsid w:val="00E26B7C"/>
    <w:rsid w:val="00E26E34"/>
    <w:rsid w:val="00E26E39"/>
    <w:rsid w:val="00E27FF7"/>
    <w:rsid w:val="00E311AD"/>
    <w:rsid w:val="00E32AB4"/>
    <w:rsid w:val="00E32B3B"/>
    <w:rsid w:val="00E32CB5"/>
    <w:rsid w:val="00E33071"/>
    <w:rsid w:val="00E33125"/>
    <w:rsid w:val="00E3354A"/>
    <w:rsid w:val="00E33C4B"/>
    <w:rsid w:val="00E33F69"/>
    <w:rsid w:val="00E340A3"/>
    <w:rsid w:val="00E35E1E"/>
    <w:rsid w:val="00E374B7"/>
    <w:rsid w:val="00E37ACE"/>
    <w:rsid w:val="00E37B9C"/>
    <w:rsid w:val="00E400F7"/>
    <w:rsid w:val="00E40B4B"/>
    <w:rsid w:val="00E40EF1"/>
    <w:rsid w:val="00E41257"/>
    <w:rsid w:val="00E41700"/>
    <w:rsid w:val="00E419D3"/>
    <w:rsid w:val="00E42280"/>
    <w:rsid w:val="00E43074"/>
    <w:rsid w:val="00E442EB"/>
    <w:rsid w:val="00E44BF6"/>
    <w:rsid w:val="00E44C42"/>
    <w:rsid w:val="00E4686D"/>
    <w:rsid w:val="00E504E0"/>
    <w:rsid w:val="00E5101E"/>
    <w:rsid w:val="00E5236D"/>
    <w:rsid w:val="00E5276A"/>
    <w:rsid w:val="00E52902"/>
    <w:rsid w:val="00E52B03"/>
    <w:rsid w:val="00E52FD0"/>
    <w:rsid w:val="00E53332"/>
    <w:rsid w:val="00E53723"/>
    <w:rsid w:val="00E5429E"/>
    <w:rsid w:val="00E54B8B"/>
    <w:rsid w:val="00E54EBA"/>
    <w:rsid w:val="00E5539D"/>
    <w:rsid w:val="00E554DC"/>
    <w:rsid w:val="00E55752"/>
    <w:rsid w:val="00E56FC0"/>
    <w:rsid w:val="00E57053"/>
    <w:rsid w:val="00E5724B"/>
    <w:rsid w:val="00E60A87"/>
    <w:rsid w:val="00E61ABC"/>
    <w:rsid w:val="00E621E6"/>
    <w:rsid w:val="00E62C29"/>
    <w:rsid w:val="00E62EE4"/>
    <w:rsid w:val="00E63602"/>
    <w:rsid w:val="00E63D99"/>
    <w:rsid w:val="00E63EFE"/>
    <w:rsid w:val="00E65BD4"/>
    <w:rsid w:val="00E664A5"/>
    <w:rsid w:val="00E676E0"/>
    <w:rsid w:val="00E679FF"/>
    <w:rsid w:val="00E71604"/>
    <w:rsid w:val="00E71DBE"/>
    <w:rsid w:val="00E7223B"/>
    <w:rsid w:val="00E72CCA"/>
    <w:rsid w:val="00E73BC2"/>
    <w:rsid w:val="00E73E8D"/>
    <w:rsid w:val="00E7415B"/>
    <w:rsid w:val="00E74E68"/>
    <w:rsid w:val="00E7532B"/>
    <w:rsid w:val="00E76E49"/>
    <w:rsid w:val="00E77036"/>
    <w:rsid w:val="00E7727D"/>
    <w:rsid w:val="00E77FEB"/>
    <w:rsid w:val="00E80A85"/>
    <w:rsid w:val="00E80E88"/>
    <w:rsid w:val="00E812B4"/>
    <w:rsid w:val="00E8194E"/>
    <w:rsid w:val="00E81F02"/>
    <w:rsid w:val="00E83F82"/>
    <w:rsid w:val="00E84B44"/>
    <w:rsid w:val="00E84EFF"/>
    <w:rsid w:val="00E8501A"/>
    <w:rsid w:val="00E85C30"/>
    <w:rsid w:val="00E85F8B"/>
    <w:rsid w:val="00E86400"/>
    <w:rsid w:val="00E86897"/>
    <w:rsid w:val="00E86B24"/>
    <w:rsid w:val="00E86B35"/>
    <w:rsid w:val="00E86C11"/>
    <w:rsid w:val="00E86FD2"/>
    <w:rsid w:val="00E87C0A"/>
    <w:rsid w:val="00E90C18"/>
    <w:rsid w:val="00E90D74"/>
    <w:rsid w:val="00E90FB2"/>
    <w:rsid w:val="00E913B8"/>
    <w:rsid w:val="00E91CBD"/>
    <w:rsid w:val="00E920AD"/>
    <w:rsid w:val="00E9247E"/>
    <w:rsid w:val="00E9294F"/>
    <w:rsid w:val="00E93005"/>
    <w:rsid w:val="00E93019"/>
    <w:rsid w:val="00E93805"/>
    <w:rsid w:val="00E93AB0"/>
    <w:rsid w:val="00E93E3D"/>
    <w:rsid w:val="00E95829"/>
    <w:rsid w:val="00E969C2"/>
    <w:rsid w:val="00E972A5"/>
    <w:rsid w:val="00EA1202"/>
    <w:rsid w:val="00EA14C6"/>
    <w:rsid w:val="00EA197F"/>
    <w:rsid w:val="00EA1CDE"/>
    <w:rsid w:val="00EA1DFF"/>
    <w:rsid w:val="00EA26B9"/>
    <w:rsid w:val="00EA3E2F"/>
    <w:rsid w:val="00EA5A55"/>
    <w:rsid w:val="00EA5B8A"/>
    <w:rsid w:val="00EA6A14"/>
    <w:rsid w:val="00EA78AF"/>
    <w:rsid w:val="00EB0435"/>
    <w:rsid w:val="00EB0461"/>
    <w:rsid w:val="00EB0AAD"/>
    <w:rsid w:val="00EB174D"/>
    <w:rsid w:val="00EB2156"/>
    <w:rsid w:val="00EB22FD"/>
    <w:rsid w:val="00EB2A03"/>
    <w:rsid w:val="00EB3D1B"/>
    <w:rsid w:val="00EB3D2F"/>
    <w:rsid w:val="00EB4208"/>
    <w:rsid w:val="00EB4477"/>
    <w:rsid w:val="00EB4A4D"/>
    <w:rsid w:val="00EB4B05"/>
    <w:rsid w:val="00EB4BC4"/>
    <w:rsid w:val="00EB4D78"/>
    <w:rsid w:val="00EB4F9D"/>
    <w:rsid w:val="00EB5802"/>
    <w:rsid w:val="00EB5F71"/>
    <w:rsid w:val="00EC012E"/>
    <w:rsid w:val="00EC150A"/>
    <w:rsid w:val="00EC1594"/>
    <w:rsid w:val="00EC188E"/>
    <w:rsid w:val="00EC1CB0"/>
    <w:rsid w:val="00EC2E6F"/>
    <w:rsid w:val="00EC2F07"/>
    <w:rsid w:val="00EC34F8"/>
    <w:rsid w:val="00EC3BDD"/>
    <w:rsid w:val="00EC404F"/>
    <w:rsid w:val="00EC48D7"/>
    <w:rsid w:val="00EC4C0F"/>
    <w:rsid w:val="00EC4DEC"/>
    <w:rsid w:val="00EC5AA5"/>
    <w:rsid w:val="00EC651F"/>
    <w:rsid w:val="00EC74C3"/>
    <w:rsid w:val="00ED06B2"/>
    <w:rsid w:val="00ED0E8E"/>
    <w:rsid w:val="00ED0FD6"/>
    <w:rsid w:val="00ED1048"/>
    <w:rsid w:val="00ED2C4A"/>
    <w:rsid w:val="00ED2E07"/>
    <w:rsid w:val="00ED3055"/>
    <w:rsid w:val="00ED3115"/>
    <w:rsid w:val="00ED47C0"/>
    <w:rsid w:val="00ED4B26"/>
    <w:rsid w:val="00ED4C94"/>
    <w:rsid w:val="00ED502D"/>
    <w:rsid w:val="00ED5450"/>
    <w:rsid w:val="00ED5DED"/>
    <w:rsid w:val="00ED6F82"/>
    <w:rsid w:val="00ED7560"/>
    <w:rsid w:val="00ED791D"/>
    <w:rsid w:val="00ED7FAA"/>
    <w:rsid w:val="00ED7FCE"/>
    <w:rsid w:val="00EE0078"/>
    <w:rsid w:val="00EE049E"/>
    <w:rsid w:val="00EE19DC"/>
    <w:rsid w:val="00EE220E"/>
    <w:rsid w:val="00EE254C"/>
    <w:rsid w:val="00EE2D40"/>
    <w:rsid w:val="00EE3370"/>
    <w:rsid w:val="00EE3A14"/>
    <w:rsid w:val="00EE3F2B"/>
    <w:rsid w:val="00EE43DB"/>
    <w:rsid w:val="00EE4673"/>
    <w:rsid w:val="00EE52C4"/>
    <w:rsid w:val="00EE55D8"/>
    <w:rsid w:val="00EE5847"/>
    <w:rsid w:val="00EE59BA"/>
    <w:rsid w:val="00EE5F72"/>
    <w:rsid w:val="00EE78B9"/>
    <w:rsid w:val="00EE7916"/>
    <w:rsid w:val="00EE7C21"/>
    <w:rsid w:val="00EE7E16"/>
    <w:rsid w:val="00EF0933"/>
    <w:rsid w:val="00EF1A26"/>
    <w:rsid w:val="00EF2211"/>
    <w:rsid w:val="00EF22E3"/>
    <w:rsid w:val="00EF23BA"/>
    <w:rsid w:val="00EF2DF0"/>
    <w:rsid w:val="00EF32AE"/>
    <w:rsid w:val="00EF3A73"/>
    <w:rsid w:val="00EF41FD"/>
    <w:rsid w:val="00EF47C4"/>
    <w:rsid w:val="00EF496B"/>
    <w:rsid w:val="00EF4ED8"/>
    <w:rsid w:val="00EF4F1E"/>
    <w:rsid w:val="00EF5FB6"/>
    <w:rsid w:val="00EF638B"/>
    <w:rsid w:val="00EF6D4C"/>
    <w:rsid w:val="00EF7221"/>
    <w:rsid w:val="00EF72FC"/>
    <w:rsid w:val="00F0013A"/>
    <w:rsid w:val="00F0021A"/>
    <w:rsid w:val="00F005F6"/>
    <w:rsid w:val="00F00A5F"/>
    <w:rsid w:val="00F01616"/>
    <w:rsid w:val="00F02135"/>
    <w:rsid w:val="00F02A46"/>
    <w:rsid w:val="00F04F85"/>
    <w:rsid w:val="00F056ED"/>
    <w:rsid w:val="00F05ABF"/>
    <w:rsid w:val="00F079FB"/>
    <w:rsid w:val="00F109E3"/>
    <w:rsid w:val="00F10B4F"/>
    <w:rsid w:val="00F10BC0"/>
    <w:rsid w:val="00F11A86"/>
    <w:rsid w:val="00F1207A"/>
    <w:rsid w:val="00F121C4"/>
    <w:rsid w:val="00F123B7"/>
    <w:rsid w:val="00F12E6D"/>
    <w:rsid w:val="00F12EC8"/>
    <w:rsid w:val="00F138CD"/>
    <w:rsid w:val="00F14BDE"/>
    <w:rsid w:val="00F1522A"/>
    <w:rsid w:val="00F158CF"/>
    <w:rsid w:val="00F15AEE"/>
    <w:rsid w:val="00F16E0B"/>
    <w:rsid w:val="00F17409"/>
    <w:rsid w:val="00F1743E"/>
    <w:rsid w:val="00F2049E"/>
    <w:rsid w:val="00F20CC3"/>
    <w:rsid w:val="00F20E3E"/>
    <w:rsid w:val="00F2120A"/>
    <w:rsid w:val="00F212D3"/>
    <w:rsid w:val="00F21511"/>
    <w:rsid w:val="00F21D49"/>
    <w:rsid w:val="00F22488"/>
    <w:rsid w:val="00F23494"/>
    <w:rsid w:val="00F23E1C"/>
    <w:rsid w:val="00F23ED6"/>
    <w:rsid w:val="00F23FCE"/>
    <w:rsid w:val="00F25344"/>
    <w:rsid w:val="00F2536E"/>
    <w:rsid w:val="00F2557F"/>
    <w:rsid w:val="00F2564D"/>
    <w:rsid w:val="00F25E64"/>
    <w:rsid w:val="00F25EB6"/>
    <w:rsid w:val="00F265C9"/>
    <w:rsid w:val="00F26983"/>
    <w:rsid w:val="00F2754F"/>
    <w:rsid w:val="00F2762C"/>
    <w:rsid w:val="00F30393"/>
    <w:rsid w:val="00F307DC"/>
    <w:rsid w:val="00F31101"/>
    <w:rsid w:val="00F31295"/>
    <w:rsid w:val="00F314FD"/>
    <w:rsid w:val="00F3157C"/>
    <w:rsid w:val="00F3203B"/>
    <w:rsid w:val="00F3393F"/>
    <w:rsid w:val="00F33ED6"/>
    <w:rsid w:val="00F343C9"/>
    <w:rsid w:val="00F34671"/>
    <w:rsid w:val="00F34B8C"/>
    <w:rsid w:val="00F35094"/>
    <w:rsid w:val="00F365F1"/>
    <w:rsid w:val="00F36A4D"/>
    <w:rsid w:val="00F36FAF"/>
    <w:rsid w:val="00F37071"/>
    <w:rsid w:val="00F37F39"/>
    <w:rsid w:val="00F4139A"/>
    <w:rsid w:val="00F4225C"/>
    <w:rsid w:val="00F42AD7"/>
    <w:rsid w:val="00F438B1"/>
    <w:rsid w:val="00F44185"/>
    <w:rsid w:val="00F444BD"/>
    <w:rsid w:val="00F454DE"/>
    <w:rsid w:val="00F456FD"/>
    <w:rsid w:val="00F45841"/>
    <w:rsid w:val="00F4609B"/>
    <w:rsid w:val="00F4639B"/>
    <w:rsid w:val="00F46A03"/>
    <w:rsid w:val="00F46E48"/>
    <w:rsid w:val="00F46F2C"/>
    <w:rsid w:val="00F47DF9"/>
    <w:rsid w:val="00F50311"/>
    <w:rsid w:val="00F5062B"/>
    <w:rsid w:val="00F51802"/>
    <w:rsid w:val="00F51A08"/>
    <w:rsid w:val="00F51E53"/>
    <w:rsid w:val="00F52654"/>
    <w:rsid w:val="00F52F41"/>
    <w:rsid w:val="00F52F51"/>
    <w:rsid w:val="00F53C65"/>
    <w:rsid w:val="00F53E2E"/>
    <w:rsid w:val="00F53EBE"/>
    <w:rsid w:val="00F543EF"/>
    <w:rsid w:val="00F54541"/>
    <w:rsid w:val="00F553F1"/>
    <w:rsid w:val="00F55AA3"/>
    <w:rsid w:val="00F55DB5"/>
    <w:rsid w:val="00F56151"/>
    <w:rsid w:val="00F5632C"/>
    <w:rsid w:val="00F573C5"/>
    <w:rsid w:val="00F57C72"/>
    <w:rsid w:val="00F602ED"/>
    <w:rsid w:val="00F60727"/>
    <w:rsid w:val="00F6093B"/>
    <w:rsid w:val="00F60CD9"/>
    <w:rsid w:val="00F611CB"/>
    <w:rsid w:val="00F612BF"/>
    <w:rsid w:val="00F61A27"/>
    <w:rsid w:val="00F61C59"/>
    <w:rsid w:val="00F61EFA"/>
    <w:rsid w:val="00F623A1"/>
    <w:rsid w:val="00F63B9E"/>
    <w:rsid w:val="00F6408D"/>
    <w:rsid w:val="00F64B0C"/>
    <w:rsid w:val="00F64C89"/>
    <w:rsid w:val="00F64E46"/>
    <w:rsid w:val="00F65528"/>
    <w:rsid w:val="00F65959"/>
    <w:rsid w:val="00F67696"/>
    <w:rsid w:val="00F67BA2"/>
    <w:rsid w:val="00F70902"/>
    <w:rsid w:val="00F71345"/>
    <w:rsid w:val="00F72BB0"/>
    <w:rsid w:val="00F742FF"/>
    <w:rsid w:val="00F75416"/>
    <w:rsid w:val="00F75456"/>
    <w:rsid w:val="00F764DB"/>
    <w:rsid w:val="00F767C6"/>
    <w:rsid w:val="00F76A20"/>
    <w:rsid w:val="00F76D45"/>
    <w:rsid w:val="00F76EBF"/>
    <w:rsid w:val="00F76FF6"/>
    <w:rsid w:val="00F7707A"/>
    <w:rsid w:val="00F777E1"/>
    <w:rsid w:val="00F8021D"/>
    <w:rsid w:val="00F813E4"/>
    <w:rsid w:val="00F8285C"/>
    <w:rsid w:val="00F838E1"/>
    <w:rsid w:val="00F83C2F"/>
    <w:rsid w:val="00F83FD0"/>
    <w:rsid w:val="00F845CE"/>
    <w:rsid w:val="00F8523B"/>
    <w:rsid w:val="00F854C7"/>
    <w:rsid w:val="00F85871"/>
    <w:rsid w:val="00F858DA"/>
    <w:rsid w:val="00F85903"/>
    <w:rsid w:val="00F86E0D"/>
    <w:rsid w:val="00F87B75"/>
    <w:rsid w:val="00F90100"/>
    <w:rsid w:val="00F902BA"/>
    <w:rsid w:val="00F90572"/>
    <w:rsid w:val="00F905D8"/>
    <w:rsid w:val="00F905F8"/>
    <w:rsid w:val="00F91787"/>
    <w:rsid w:val="00F91843"/>
    <w:rsid w:val="00F9249C"/>
    <w:rsid w:val="00F92629"/>
    <w:rsid w:val="00F92857"/>
    <w:rsid w:val="00F928CF"/>
    <w:rsid w:val="00F9359C"/>
    <w:rsid w:val="00F93F7B"/>
    <w:rsid w:val="00F940A9"/>
    <w:rsid w:val="00F9492D"/>
    <w:rsid w:val="00F94C6B"/>
    <w:rsid w:val="00F94CE4"/>
    <w:rsid w:val="00F9526A"/>
    <w:rsid w:val="00F95451"/>
    <w:rsid w:val="00F965CD"/>
    <w:rsid w:val="00F9754B"/>
    <w:rsid w:val="00F97F6D"/>
    <w:rsid w:val="00FA05E5"/>
    <w:rsid w:val="00FA26EE"/>
    <w:rsid w:val="00FA405D"/>
    <w:rsid w:val="00FA44FC"/>
    <w:rsid w:val="00FA54F9"/>
    <w:rsid w:val="00FA5A37"/>
    <w:rsid w:val="00FA5BB8"/>
    <w:rsid w:val="00FA5E53"/>
    <w:rsid w:val="00FA5F7B"/>
    <w:rsid w:val="00FA6935"/>
    <w:rsid w:val="00FA6969"/>
    <w:rsid w:val="00FA6FBA"/>
    <w:rsid w:val="00FA7517"/>
    <w:rsid w:val="00FB0344"/>
    <w:rsid w:val="00FB04FE"/>
    <w:rsid w:val="00FB0FCD"/>
    <w:rsid w:val="00FB1B64"/>
    <w:rsid w:val="00FB1B94"/>
    <w:rsid w:val="00FB51F0"/>
    <w:rsid w:val="00FB540A"/>
    <w:rsid w:val="00FB61BF"/>
    <w:rsid w:val="00FB6C36"/>
    <w:rsid w:val="00FB76BF"/>
    <w:rsid w:val="00FB77F7"/>
    <w:rsid w:val="00FB7BD0"/>
    <w:rsid w:val="00FC00D8"/>
    <w:rsid w:val="00FC0D99"/>
    <w:rsid w:val="00FC0EC8"/>
    <w:rsid w:val="00FC1467"/>
    <w:rsid w:val="00FC1B71"/>
    <w:rsid w:val="00FC1F86"/>
    <w:rsid w:val="00FC1FBB"/>
    <w:rsid w:val="00FC28FE"/>
    <w:rsid w:val="00FC2A85"/>
    <w:rsid w:val="00FC3617"/>
    <w:rsid w:val="00FC3725"/>
    <w:rsid w:val="00FC37CA"/>
    <w:rsid w:val="00FC3B16"/>
    <w:rsid w:val="00FC4FD2"/>
    <w:rsid w:val="00FC7354"/>
    <w:rsid w:val="00FC7935"/>
    <w:rsid w:val="00FC7BDB"/>
    <w:rsid w:val="00FC7F0C"/>
    <w:rsid w:val="00FD00E3"/>
    <w:rsid w:val="00FD08D1"/>
    <w:rsid w:val="00FD0918"/>
    <w:rsid w:val="00FD1000"/>
    <w:rsid w:val="00FD18A8"/>
    <w:rsid w:val="00FD1A1D"/>
    <w:rsid w:val="00FD268C"/>
    <w:rsid w:val="00FD402E"/>
    <w:rsid w:val="00FD43FA"/>
    <w:rsid w:val="00FD4F58"/>
    <w:rsid w:val="00FD5D08"/>
    <w:rsid w:val="00FD5D95"/>
    <w:rsid w:val="00FD69DC"/>
    <w:rsid w:val="00FD72CD"/>
    <w:rsid w:val="00FE01DD"/>
    <w:rsid w:val="00FE0F2B"/>
    <w:rsid w:val="00FE1197"/>
    <w:rsid w:val="00FE11D0"/>
    <w:rsid w:val="00FE161D"/>
    <w:rsid w:val="00FE1C55"/>
    <w:rsid w:val="00FE2B0A"/>
    <w:rsid w:val="00FE3074"/>
    <w:rsid w:val="00FE346F"/>
    <w:rsid w:val="00FE35BE"/>
    <w:rsid w:val="00FE36B2"/>
    <w:rsid w:val="00FE3D0A"/>
    <w:rsid w:val="00FE419F"/>
    <w:rsid w:val="00FE448D"/>
    <w:rsid w:val="00FE4823"/>
    <w:rsid w:val="00FE4C5B"/>
    <w:rsid w:val="00FE565B"/>
    <w:rsid w:val="00FE73AE"/>
    <w:rsid w:val="00FE7800"/>
    <w:rsid w:val="00FF0589"/>
    <w:rsid w:val="00FF12E2"/>
    <w:rsid w:val="00FF1FDA"/>
    <w:rsid w:val="00FF2098"/>
    <w:rsid w:val="00FF254B"/>
    <w:rsid w:val="00FF31B1"/>
    <w:rsid w:val="00FF3BA7"/>
    <w:rsid w:val="00FF3F63"/>
    <w:rsid w:val="00FF4869"/>
    <w:rsid w:val="00FF5460"/>
    <w:rsid w:val="00FF5EC1"/>
    <w:rsid w:val="00FF6578"/>
    <w:rsid w:val="00FF7C14"/>
    <w:rsid w:val="28F72750"/>
    <w:rsid w:val="47B89462"/>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76C207"/>
  <w15:docId w15:val="{200C2B9E-79EC-408A-BCAD-A25209AA4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agraph"/>
    <w:qFormat/>
    <w:rsid w:val="004770E0"/>
    <w:pPr>
      <w:spacing w:before="180" w:after="240" w:line="276" w:lineRule="auto"/>
      <w:jc w:val="both"/>
    </w:pPr>
    <w:rPr>
      <w:rFonts w:ascii="Calibri Light" w:hAnsi="Calibri Light"/>
      <w:color w:val="4D4D4D" w:themeColor="accent6"/>
      <w:sz w:val="26"/>
    </w:rPr>
  </w:style>
  <w:style w:type="paragraph" w:styleId="Heading1">
    <w:name w:val="heading 1"/>
    <w:basedOn w:val="Normal"/>
    <w:next w:val="Normal"/>
    <w:link w:val="Heading1Char"/>
    <w:uiPriority w:val="9"/>
    <w:rsid w:val="00320A8D"/>
    <w:pPr>
      <w:keepNext/>
      <w:keepLines/>
      <w:spacing w:before="360" w:after="0"/>
      <w:outlineLvl w:val="0"/>
    </w:pPr>
    <w:rPr>
      <w:rFonts w:ascii="Tahoma" w:eastAsiaTheme="majorEastAsia" w:hAnsi="Tahoma" w:cs="Times New Roman (Headings CS)"/>
      <w:bCs/>
      <w:color w:val="595959" w:themeColor="text2" w:themeTint="A6"/>
      <w:spacing w:val="20"/>
      <w:sz w:val="48"/>
      <w:szCs w:val="28"/>
    </w:rPr>
  </w:style>
  <w:style w:type="paragraph" w:styleId="Heading2">
    <w:name w:val="heading 2"/>
    <w:basedOn w:val="Normal"/>
    <w:next w:val="Normal"/>
    <w:link w:val="Heading2Char"/>
    <w:uiPriority w:val="9"/>
    <w:unhideWhenUsed/>
    <w:rsid w:val="00320A8D"/>
    <w:pPr>
      <w:keepNext/>
      <w:keepLines/>
      <w:spacing w:before="120" w:after="0"/>
      <w:outlineLvl w:val="1"/>
    </w:pPr>
    <w:rPr>
      <w:rFonts w:eastAsiaTheme="majorEastAsia" w:cstheme="majorBidi"/>
      <w:b/>
      <w:bCs/>
      <w:color w:val="26664E" w:themeColor="accent1"/>
      <w:sz w:val="28"/>
      <w:szCs w:val="26"/>
    </w:rPr>
  </w:style>
  <w:style w:type="paragraph" w:styleId="Heading3">
    <w:name w:val="heading 3"/>
    <w:basedOn w:val="Normal"/>
    <w:next w:val="Normal"/>
    <w:link w:val="Heading3Char"/>
    <w:uiPriority w:val="9"/>
    <w:unhideWhenUsed/>
    <w:rsid w:val="00320A8D"/>
    <w:pPr>
      <w:keepNext/>
      <w:keepLines/>
      <w:spacing w:before="20" w:after="0"/>
      <w:outlineLvl w:val="2"/>
    </w:pPr>
    <w:rPr>
      <w:rFonts w:asciiTheme="majorHAnsi" w:eastAsiaTheme="majorEastAsia" w:hAnsiTheme="majorHAnsi" w:cstheme="majorBidi"/>
      <w:bCs/>
      <w:color w:val="000000" w:themeColor="text2"/>
      <w:spacing w:val="14"/>
      <w:sz w:val="24"/>
    </w:rPr>
  </w:style>
  <w:style w:type="paragraph" w:styleId="Heading4">
    <w:name w:val="heading 4"/>
    <w:basedOn w:val="Normal"/>
    <w:next w:val="Normal"/>
    <w:link w:val="Heading4Char"/>
    <w:uiPriority w:val="9"/>
    <w:unhideWhenUsed/>
    <w:rsid w:val="00320A8D"/>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unhideWhenUsed/>
    <w:rsid w:val="00320A8D"/>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unhideWhenUsed/>
    <w:rsid w:val="00320A8D"/>
    <w:pPr>
      <w:keepNext/>
      <w:keepLines/>
      <w:spacing w:before="200" w:after="0"/>
      <w:outlineLvl w:val="5"/>
    </w:pPr>
    <w:rPr>
      <w:rFonts w:asciiTheme="majorHAnsi" w:eastAsiaTheme="majorEastAsia" w:hAnsiTheme="majorHAnsi" w:cstheme="majorBidi"/>
      <w:iCs/>
      <w:color w:val="26664E" w:themeColor="accent1"/>
      <w:sz w:val="22"/>
    </w:rPr>
  </w:style>
  <w:style w:type="paragraph" w:styleId="Heading7">
    <w:name w:val="heading 7"/>
    <w:basedOn w:val="Normal"/>
    <w:next w:val="Normal"/>
    <w:link w:val="Heading7Char"/>
    <w:uiPriority w:val="9"/>
    <w:semiHidden/>
    <w:unhideWhenUsed/>
    <w:qFormat/>
    <w:rsid w:val="00320A8D"/>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320A8D"/>
    <w:pPr>
      <w:keepNext/>
      <w:keepLines/>
      <w:spacing w:before="200" w:after="0"/>
      <w:outlineLvl w:val="7"/>
    </w:pPr>
    <w:rPr>
      <w:rFonts w:asciiTheme="majorHAnsi" w:eastAsiaTheme="majorEastAsia" w:hAnsiTheme="majorHAnsi" w:cstheme="majorBidi"/>
      <w:color w:val="000000"/>
      <w:szCs w:val="20"/>
    </w:rPr>
  </w:style>
  <w:style w:type="paragraph" w:styleId="Heading9">
    <w:name w:val="heading 9"/>
    <w:basedOn w:val="Normal"/>
    <w:next w:val="Normal"/>
    <w:link w:val="Heading9Char"/>
    <w:uiPriority w:val="9"/>
    <w:semiHidden/>
    <w:unhideWhenUsed/>
    <w:qFormat/>
    <w:rsid w:val="00320A8D"/>
    <w:pPr>
      <w:keepNext/>
      <w:keepLines/>
      <w:spacing w:before="200" w:after="0"/>
      <w:outlineLvl w:val="8"/>
    </w:pPr>
    <w:rPr>
      <w:rFonts w:asciiTheme="majorHAnsi" w:eastAsiaTheme="majorEastAsia" w:hAnsiTheme="majorHAnsi" w:cstheme="majorBidi"/>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IRTCoverPageHeading">
    <w:name w:val="VIRT Cover Page Heading"/>
    <w:basedOn w:val="Normal"/>
    <w:next w:val="Normal"/>
    <w:rsid w:val="00713EE0"/>
    <w:rPr>
      <w:rFonts w:asciiTheme="minorHAnsi" w:hAnsiTheme="minorHAnsi"/>
      <w:noProof/>
      <w:color w:val="FFFFFF" w:themeColor="background1"/>
      <w:spacing w:val="20"/>
      <w:sz w:val="64"/>
      <w:lang w:val="en-US"/>
    </w:rPr>
  </w:style>
  <w:style w:type="paragraph" w:customStyle="1" w:styleId="VIRTCoverSubHeading">
    <w:name w:val="VIRT Cover Sub Heading"/>
    <w:basedOn w:val="VIRTCoverPageHeading"/>
    <w:next w:val="Normal"/>
    <w:rsid w:val="00713EE0"/>
    <w:pPr>
      <w:spacing w:before="120"/>
    </w:pPr>
    <w:rPr>
      <w:color w:val="BFBFBF" w:themeColor="background1" w:themeShade="BF"/>
      <w:sz w:val="48"/>
    </w:rPr>
  </w:style>
  <w:style w:type="paragraph" w:customStyle="1" w:styleId="VIRTImprinttext">
    <w:name w:val="VIRT Imprint text"/>
    <w:basedOn w:val="Normal"/>
    <w:rsid w:val="009047EC"/>
    <w:pPr>
      <w:ind w:right="1757"/>
    </w:pPr>
    <w:rPr>
      <w:rFonts w:cs="Arial"/>
      <w:sz w:val="16"/>
      <w:szCs w:val="20"/>
    </w:rPr>
  </w:style>
  <w:style w:type="paragraph" w:customStyle="1" w:styleId="PersonalName">
    <w:name w:val="Personal Name"/>
    <w:basedOn w:val="Title"/>
    <w:rsid w:val="00320A8D"/>
    <w:rPr>
      <w:b/>
      <w:caps/>
      <w:color w:val="000000"/>
      <w:sz w:val="28"/>
      <w:szCs w:val="28"/>
    </w:rPr>
  </w:style>
  <w:style w:type="paragraph" w:styleId="Title">
    <w:name w:val="Title"/>
    <w:basedOn w:val="Normal"/>
    <w:next w:val="Normal"/>
    <w:link w:val="TitleChar"/>
    <w:uiPriority w:val="10"/>
    <w:rsid w:val="00320A8D"/>
    <w:pPr>
      <w:spacing w:after="120"/>
      <w:contextualSpacing/>
    </w:pPr>
    <w:rPr>
      <w:rFonts w:asciiTheme="majorHAnsi" w:eastAsiaTheme="majorEastAsia" w:hAnsiTheme="majorHAnsi" w:cstheme="majorBidi"/>
      <w:color w:val="000000" w:themeColor="text2"/>
      <w:spacing w:val="30"/>
      <w:kern w:val="28"/>
      <w:sz w:val="96"/>
      <w:szCs w:val="52"/>
    </w:rPr>
  </w:style>
  <w:style w:type="character" w:customStyle="1" w:styleId="TitleChar">
    <w:name w:val="Title Char"/>
    <w:basedOn w:val="DefaultParagraphFont"/>
    <w:link w:val="Title"/>
    <w:uiPriority w:val="10"/>
    <w:rsid w:val="00320A8D"/>
    <w:rPr>
      <w:rFonts w:asciiTheme="majorHAnsi" w:eastAsiaTheme="majorEastAsia" w:hAnsiTheme="majorHAnsi" w:cstheme="majorBidi"/>
      <w:b w:val="0"/>
      <w:i w:val="0"/>
      <w:color w:val="000000" w:themeColor="text2"/>
      <w:spacing w:val="30"/>
      <w:kern w:val="28"/>
      <w:sz w:val="96"/>
      <w:szCs w:val="52"/>
    </w:rPr>
  </w:style>
  <w:style w:type="character" w:customStyle="1" w:styleId="Heading1Char">
    <w:name w:val="Heading 1 Char"/>
    <w:basedOn w:val="DefaultParagraphFont"/>
    <w:link w:val="Heading1"/>
    <w:uiPriority w:val="9"/>
    <w:rsid w:val="00320A8D"/>
    <w:rPr>
      <w:rFonts w:ascii="Tahoma" w:eastAsiaTheme="majorEastAsia" w:hAnsi="Tahoma" w:cs="Times New Roman (Headings CS)"/>
      <w:b w:val="0"/>
      <w:bCs/>
      <w:i w:val="0"/>
      <w:color w:val="595959" w:themeColor="text2" w:themeTint="A6"/>
      <w:spacing w:val="20"/>
      <w:sz w:val="48"/>
      <w:szCs w:val="28"/>
    </w:rPr>
  </w:style>
  <w:style w:type="character" w:customStyle="1" w:styleId="Heading2Char">
    <w:name w:val="Heading 2 Char"/>
    <w:basedOn w:val="DefaultParagraphFont"/>
    <w:link w:val="Heading2"/>
    <w:uiPriority w:val="9"/>
    <w:rsid w:val="00320A8D"/>
    <w:rPr>
      <w:rFonts w:ascii="Calibri Light" w:eastAsiaTheme="majorEastAsia" w:hAnsi="Calibri Light" w:cstheme="majorBidi"/>
      <w:b/>
      <w:bCs/>
      <w:color w:val="26664E" w:themeColor="accent1"/>
      <w:sz w:val="28"/>
      <w:szCs w:val="26"/>
    </w:rPr>
  </w:style>
  <w:style w:type="character" w:customStyle="1" w:styleId="Heading3Char">
    <w:name w:val="Heading 3 Char"/>
    <w:basedOn w:val="DefaultParagraphFont"/>
    <w:link w:val="Heading3"/>
    <w:uiPriority w:val="9"/>
    <w:rsid w:val="00320A8D"/>
    <w:rPr>
      <w:rFonts w:asciiTheme="majorHAnsi" w:eastAsiaTheme="majorEastAsia" w:hAnsiTheme="majorHAnsi" w:cstheme="majorBidi"/>
      <w:bCs/>
      <w:color w:val="000000" w:themeColor="text2"/>
      <w:spacing w:val="14"/>
      <w:sz w:val="24"/>
    </w:rPr>
  </w:style>
  <w:style w:type="character" w:customStyle="1" w:styleId="Heading4Char">
    <w:name w:val="Heading 4 Char"/>
    <w:basedOn w:val="DefaultParagraphFont"/>
    <w:link w:val="Heading4"/>
    <w:uiPriority w:val="9"/>
    <w:rsid w:val="00320A8D"/>
    <w:rPr>
      <w:rFonts w:ascii="Calibri Light" w:eastAsiaTheme="majorEastAsia" w:hAnsi="Calibri Light" w:cstheme="majorBidi"/>
      <w:b/>
      <w:bCs/>
      <w:i/>
      <w:iCs/>
      <w:color w:val="000000"/>
      <w:sz w:val="24"/>
    </w:rPr>
  </w:style>
  <w:style w:type="character" w:customStyle="1" w:styleId="Heading5Char">
    <w:name w:val="Heading 5 Char"/>
    <w:basedOn w:val="DefaultParagraphFont"/>
    <w:link w:val="Heading5"/>
    <w:uiPriority w:val="9"/>
    <w:rsid w:val="00320A8D"/>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rsid w:val="00320A8D"/>
    <w:rPr>
      <w:rFonts w:asciiTheme="majorHAnsi" w:eastAsiaTheme="majorEastAsia" w:hAnsiTheme="majorHAnsi" w:cstheme="majorBidi"/>
      <w:iCs/>
      <w:color w:val="26664E" w:themeColor="accent1"/>
    </w:rPr>
  </w:style>
  <w:style w:type="character" w:customStyle="1" w:styleId="Heading7Char">
    <w:name w:val="Heading 7 Char"/>
    <w:basedOn w:val="DefaultParagraphFont"/>
    <w:link w:val="Heading7"/>
    <w:uiPriority w:val="9"/>
    <w:semiHidden/>
    <w:rsid w:val="00320A8D"/>
    <w:rPr>
      <w:rFonts w:asciiTheme="majorHAnsi" w:eastAsiaTheme="majorEastAsia" w:hAnsiTheme="majorHAnsi" w:cstheme="majorBidi"/>
      <w:b w:val="0"/>
      <w:i/>
      <w:iCs/>
      <w:color w:val="000000"/>
      <w:sz w:val="20"/>
    </w:rPr>
  </w:style>
  <w:style w:type="character" w:customStyle="1" w:styleId="Heading8Char">
    <w:name w:val="Heading 8 Char"/>
    <w:basedOn w:val="DefaultParagraphFont"/>
    <w:link w:val="Heading8"/>
    <w:uiPriority w:val="9"/>
    <w:semiHidden/>
    <w:rsid w:val="00320A8D"/>
    <w:rPr>
      <w:rFonts w:asciiTheme="majorHAnsi" w:eastAsiaTheme="majorEastAsia" w:hAnsiTheme="majorHAnsi" w:cstheme="majorBidi"/>
      <w:b w:val="0"/>
      <w:i w:val="0"/>
      <w:color w:val="000000"/>
      <w:sz w:val="20"/>
      <w:szCs w:val="20"/>
    </w:rPr>
  </w:style>
  <w:style w:type="character" w:customStyle="1" w:styleId="Heading9Char">
    <w:name w:val="Heading 9 Char"/>
    <w:basedOn w:val="DefaultParagraphFont"/>
    <w:link w:val="Heading9"/>
    <w:uiPriority w:val="9"/>
    <w:semiHidden/>
    <w:rsid w:val="00320A8D"/>
    <w:rPr>
      <w:rFonts w:asciiTheme="majorHAnsi" w:eastAsiaTheme="majorEastAsia" w:hAnsiTheme="majorHAnsi" w:cstheme="majorBidi"/>
      <w:b w:val="0"/>
      <w:i/>
      <w:iCs/>
      <w:color w:val="000000"/>
      <w:sz w:val="20"/>
      <w:szCs w:val="20"/>
    </w:rPr>
  </w:style>
  <w:style w:type="paragraph" w:styleId="Caption">
    <w:name w:val="caption"/>
    <w:aliases w:val="VIRT Caption"/>
    <w:basedOn w:val="Normal"/>
    <w:next w:val="Normal"/>
    <w:uiPriority w:val="35"/>
    <w:unhideWhenUsed/>
    <w:rsid w:val="00624F87"/>
    <w:pPr>
      <w:jc w:val="center"/>
    </w:pPr>
    <w:rPr>
      <w:rFonts w:eastAsiaTheme="minorEastAsia"/>
      <w:bCs/>
      <w:color w:val="007449"/>
      <w:spacing w:val="6"/>
      <w:szCs w:val="18"/>
    </w:rPr>
  </w:style>
  <w:style w:type="paragraph" w:styleId="Subtitle">
    <w:name w:val="Subtitle"/>
    <w:basedOn w:val="Normal"/>
    <w:next w:val="Normal"/>
    <w:link w:val="SubtitleChar"/>
    <w:uiPriority w:val="11"/>
    <w:rsid w:val="00320A8D"/>
    <w:pPr>
      <w:numPr>
        <w:ilvl w:val="1"/>
      </w:numPr>
    </w:pPr>
    <w:rPr>
      <w:rFonts w:eastAsiaTheme="majorEastAsia" w:cstheme="majorBidi"/>
      <w:iCs/>
      <w:color w:val="000000" w:themeColor="text2"/>
      <w:sz w:val="40"/>
      <w:szCs w:val="24"/>
    </w:rPr>
  </w:style>
  <w:style w:type="character" w:customStyle="1" w:styleId="SubtitleChar">
    <w:name w:val="Subtitle Char"/>
    <w:basedOn w:val="DefaultParagraphFont"/>
    <w:link w:val="Subtitle"/>
    <w:uiPriority w:val="11"/>
    <w:rsid w:val="00320A8D"/>
    <w:rPr>
      <w:rFonts w:ascii="Arial" w:eastAsiaTheme="majorEastAsia" w:hAnsi="Arial" w:cstheme="majorBidi"/>
      <w:b w:val="0"/>
      <w:i w:val="0"/>
      <w:iCs/>
      <w:color w:val="000000" w:themeColor="text2"/>
      <w:sz w:val="40"/>
      <w:szCs w:val="24"/>
    </w:rPr>
  </w:style>
  <w:style w:type="character" w:styleId="Strong">
    <w:name w:val="Strong"/>
    <w:basedOn w:val="DefaultParagraphFont"/>
    <w:uiPriority w:val="22"/>
    <w:rsid w:val="00320A8D"/>
    <w:rPr>
      <w:rFonts w:ascii="Arial" w:hAnsi="Arial"/>
      <w:b w:val="0"/>
      <w:bCs/>
      <w:i/>
      <w:color w:val="000000" w:themeColor="text2"/>
      <w:sz w:val="20"/>
    </w:rPr>
  </w:style>
  <w:style w:type="character" w:styleId="Emphasis">
    <w:name w:val="Emphasis"/>
    <w:basedOn w:val="DefaultParagraphFont"/>
    <w:uiPriority w:val="20"/>
    <w:rsid w:val="00320A8D"/>
    <w:rPr>
      <w:rFonts w:ascii="Arial" w:hAnsi="Arial"/>
      <w:b/>
      <w:i/>
      <w:iCs/>
      <w:color w:val="7F7F7F" w:themeColor="text1" w:themeTint="80"/>
      <w:sz w:val="20"/>
    </w:rPr>
  </w:style>
  <w:style w:type="paragraph" w:styleId="NoSpacing">
    <w:name w:val="No Spacing"/>
    <w:link w:val="NoSpacingChar"/>
    <w:uiPriority w:val="1"/>
    <w:rsid w:val="00320A8D"/>
    <w:pPr>
      <w:spacing w:after="0"/>
    </w:pPr>
  </w:style>
  <w:style w:type="character" w:customStyle="1" w:styleId="NoSpacingChar">
    <w:name w:val="No Spacing Char"/>
    <w:basedOn w:val="DefaultParagraphFont"/>
    <w:link w:val="NoSpacing"/>
    <w:uiPriority w:val="1"/>
    <w:rsid w:val="00320A8D"/>
  </w:style>
  <w:style w:type="paragraph" w:styleId="ListParagraph">
    <w:name w:val="List Paragraph"/>
    <w:basedOn w:val="Normal"/>
    <w:link w:val="ListParagraphChar"/>
    <w:uiPriority w:val="34"/>
    <w:rsid w:val="009047EC"/>
    <w:pPr>
      <w:ind w:left="288" w:hanging="288"/>
      <w:contextualSpacing/>
    </w:pPr>
  </w:style>
  <w:style w:type="paragraph" w:styleId="Quote">
    <w:name w:val="Quote"/>
    <w:basedOn w:val="Normal"/>
    <w:next w:val="Normal"/>
    <w:link w:val="QuoteChar"/>
    <w:uiPriority w:val="29"/>
    <w:rsid w:val="00320A8D"/>
    <w:pPr>
      <w:spacing w:after="0" w:line="360" w:lineRule="auto"/>
      <w:jc w:val="center"/>
    </w:pPr>
    <w:rPr>
      <w:rFonts w:eastAsiaTheme="minorEastAsia"/>
      <w:b/>
      <w:i/>
      <w:iCs/>
      <w:color w:val="26664E" w:themeColor="accent1"/>
    </w:rPr>
  </w:style>
  <w:style w:type="character" w:customStyle="1" w:styleId="QuoteChar">
    <w:name w:val="Quote Char"/>
    <w:basedOn w:val="DefaultParagraphFont"/>
    <w:link w:val="Quote"/>
    <w:uiPriority w:val="29"/>
    <w:rsid w:val="00320A8D"/>
    <w:rPr>
      <w:rFonts w:ascii="Arial" w:eastAsiaTheme="minorEastAsia" w:hAnsi="Arial"/>
      <w:b/>
      <w:i/>
      <w:iCs/>
      <w:color w:val="26664E" w:themeColor="accent1"/>
      <w:sz w:val="26"/>
    </w:rPr>
  </w:style>
  <w:style w:type="paragraph" w:styleId="IntenseQuote">
    <w:name w:val="Intense Quote"/>
    <w:basedOn w:val="Normal"/>
    <w:next w:val="Normal"/>
    <w:link w:val="IntenseQuoteChar"/>
    <w:uiPriority w:val="30"/>
    <w:rsid w:val="00320A8D"/>
    <w:pPr>
      <w:pBdr>
        <w:top w:val="single" w:sz="36" w:space="8" w:color="26664E" w:themeColor="accent1"/>
        <w:left w:val="single" w:sz="36" w:space="8" w:color="26664E" w:themeColor="accent1"/>
        <w:bottom w:val="single" w:sz="36" w:space="8" w:color="26664E" w:themeColor="accent1"/>
        <w:right w:val="single" w:sz="36" w:space="8" w:color="26664E" w:themeColor="accent1"/>
      </w:pBdr>
      <w:shd w:val="clear" w:color="auto" w:fill="26664E"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320A8D"/>
    <w:rPr>
      <w:rFonts w:asciiTheme="majorHAnsi" w:eastAsiaTheme="minorEastAsia" w:hAnsiTheme="majorHAnsi"/>
      <w:b w:val="0"/>
      <w:bCs/>
      <w:i w:val="0"/>
      <w:iCs/>
      <w:color w:val="FFFFFF" w:themeColor="background1"/>
      <w:sz w:val="28"/>
      <w:shd w:val="clear" w:color="auto" w:fill="26664E" w:themeFill="accent1"/>
    </w:rPr>
  </w:style>
  <w:style w:type="character" w:styleId="SubtleEmphasis">
    <w:name w:val="Subtle Emphasis"/>
    <w:basedOn w:val="DefaultParagraphFont"/>
    <w:uiPriority w:val="19"/>
    <w:rsid w:val="00320A8D"/>
    <w:rPr>
      <w:rFonts w:ascii="Arial" w:hAnsi="Arial"/>
      <w:b w:val="0"/>
      <w:i/>
      <w:iCs/>
      <w:color w:val="000000"/>
      <w:sz w:val="20"/>
    </w:rPr>
  </w:style>
  <w:style w:type="character" w:styleId="IntenseEmphasis">
    <w:name w:val="Intense Emphasis"/>
    <w:basedOn w:val="DefaultParagraphFont"/>
    <w:uiPriority w:val="21"/>
    <w:rsid w:val="00320A8D"/>
    <w:rPr>
      <w:rFonts w:ascii="Arial" w:hAnsi="Arial"/>
      <w:b/>
      <w:bCs/>
      <w:i/>
      <w:iCs/>
      <w:color w:val="26664E" w:themeColor="accent1"/>
      <w:sz w:val="20"/>
    </w:rPr>
  </w:style>
  <w:style w:type="character" w:styleId="SubtleReference">
    <w:name w:val="Subtle Reference"/>
    <w:basedOn w:val="DefaultParagraphFont"/>
    <w:uiPriority w:val="31"/>
    <w:rsid w:val="00320A8D"/>
    <w:rPr>
      <w:rFonts w:ascii="Arial" w:hAnsi="Arial"/>
      <w:b w:val="0"/>
      <w:i w:val="0"/>
      <w:smallCaps/>
      <w:color w:val="000000"/>
      <w:sz w:val="20"/>
      <w:u w:val="single"/>
    </w:rPr>
  </w:style>
  <w:style w:type="character" w:styleId="IntenseReference">
    <w:name w:val="Intense Reference"/>
    <w:basedOn w:val="DefaultParagraphFont"/>
    <w:uiPriority w:val="32"/>
    <w:rsid w:val="00320A8D"/>
    <w:rPr>
      <w:rFonts w:ascii="Arial" w:hAnsi="Arial"/>
      <w:b w:val="0"/>
      <w:bCs/>
      <w:i w:val="0"/>
      <w:smallCaps/>
      <w:color w:val="26664E" w:themeColor="accent1"/>
      <w:spacing w:val="5"/>
      <w:sz w:val="20"/>
      <w:u w:val="single"/>
    </w:rPr>
  </w:style>
  <w:style w:type="character" w:styleId="BookTitle">
    <w:name w:val="Book Title"/>
    <w:basedOn w:val="DefaultParagraphFont"/>
    <w:uiPriority w:val="33"/>
    <w:rsid w:val="00320A8D"/>
    <w:rPr>
      <w:rFonts w:ascii="Arial" w:hAnsi="Arial"/>
      <w:b/>
      <w:bCs/>
      <w:i w:val="0"/>
      <w:caps/>
      <w:smallCaps w:val="0"/>
      <w:color w:val="000000" w:themeColor="text2"/>
      <w:spacing w:val="10"/>
      <w:sz w:val="20"/>
    </w:rPr>
  </w:style>
  <w:style w:type="paragraph" w:styleId="TOCHeading">
    <w:name w:val="TOC Heading"/>
    <w:basedOn w:val="Heading1"/>
    <w:next w:val="Normal"/>
    <w:uiPriority w:val="39"/>
    <w:unhideWhenUsed/>
    <w:qFormat/>
    <w:rsid w:val="00A602BE"/>
    <w:pPr>
      <w:spacing w:before="480"/>
      <w:outlineLvl w:val="9"/>
    </w:pPr>
    <w:rPr>
      <w:rFonts w:asciiTheme="majorHAnsi" w:hAnsiTheme="majorHAnsi" w:cstheme="majorBidi"/>
      <w:b/>
      <w:color w:val="1C4C3A" w:themeColor="accent1" w:themeShade="BF"/>
      <w:spacing w:val="0"/>
      <w:sz w:val="28"/>
      <w:lang w:val="en-US"/>
    </w:rPr>
  </w:style>
  <w:style w:type="character" w:styleId="PageNumber">
    <w:name w:val="page number"/>
    <w:basedOn w:val="DefaultParagraphFont"/>
    <w:uiPriority w:val="99"/>
    <w:semiHidden/>
    <w:unhideWhenUsed/>
    <w:rsid w:val="00326932"/>
    <w:rPr>
      <w:rFonts w:ascii="Arial" w:hAnsi="Arial"/>
      <w:b w:val="0"/>
      <w:i w:val="0"/>
      <w:color w:val="7F7F7F" w:themeColor="text1" w:themeTint="80"/>
      <w:sz w:val="20"/>
    </w:rPr>
  </w:style>
  <w:style w:type="paragraph" w:customStyle="1" w:styleId="VIRTBodyText">
    <w:name w:val="VIRT Body Text"/>
    <w:basedOn w:val="Normal"/>
    <w:rsid w:val="00544C50"/>
    <w:pPr>
      <w:spacing w:before="120"/>
    </w:pPr>
    <w:rPr>
      <w:rFonts w:cs="Arial"/>
      <w:noProof/>
      <w:szCs w:val="20"/>
      <w:lang w:val="en-US"/>
    </w:rPr>
  </w:style>
  <w:style w:type="paragraph" w:customStyle="1" w:styleId="Instrumentlevel3alphanumericallist">
    <w:name w:val="Instrument level 3 alphanumerical list"/>
    <w:basedOn w:val="Normal"/>
    <w:qFormat/>
    <w:rsid w:val="00AE26D8"/>
    <w:pPr>
      <w:numPr>
        <w:numId w:val="9"/>
      </w:numPr>
      <w:spacing w:before="0"/>
      <w:contextualSpacing/>
    </w:pPr>
    <w:rPr>
      <w:rFonts w:cs="Arial"/>
      <w:noProof/>
      <w:color w:val="auto"/>
      <w:szCs w:val="20"/>
      <w:lang w:val="en-US"/>
    </w:rPr>
  </w:style>
  <w:style w:type="table" w:styleId="TableGrid">
    <w:name w:val="Table Grid"/>
    <w:basedOn w:val="TableNormal"/>
    <w:uiPriority w:val="39"/>
    <w:rsid w:val="00277C7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RTHeading2">
    <w:name w:val="VIRT Heading 2"/>
    <w:basedOn w:val="Normal"/>
    <w:link w:val="VIRTHeading2Char"/>
    <w:autoRedefine/>
    <w:rsid w:val="00630EDC"/>
    <w:pPr>
      <w:spacing w:before="0" w:after="120" w:line="240" w:lineRule="auto"/>
      <w:jc w:val="left"/>
      <w:outlineLvl w:val="1"/>
    </w:pPr>
    <w:rPr>
      <w:rFonts w:asciiTheme="minorHAnsi" w:hAnsiTheme="minorHAnsi" w:cs="Times New Roman (Body CS)"/>
      <w:noProof/>
      <w:color w:val="007449"/>
      <w:sz w:val="44"/>
      <w:szCs w:val="44"/>
      <w:lang w:val="en-US"/>
    </w:rPr>
  </w:style>
  <w:style w:type="paragraph" w:customStyle="1" w:styleId="VIRTHeading3">
    <w:name w:val="VIRT Heading 3"/>
    <w:basedOn w:val="Normal"/>
    <w:link w:val="VIRTHeading3Char"/>
    <w:autoRedefine/>
    <w:rsid w:val="007A19EF"/>
    <w:pPr>
      <w:keepNext/>
      <w:spacing w:before="240" w:line="240" w:lineRule="auto"/>
      <w:jc w:val="left"/>
      <w:outlineLvl w:val="2"/>
    </w:pPr>
    <w:rPr>
      <w:rFonts w:ascii="Rockwell" w:hAnsi="Rockwell" w:cs="Arial"/>
      <w:color w:val="0F6745" w:themeColor="accent2" w:themeShade="BF"/>
      <w:spacing w:val="-6"/>
      <w:sz w:val="30"/>
    </w:rPr>
  </w:style>
  <w:style w:type="paragraph" w:customStyle="1" w:styleId="VIRTBreakouttext">
    <w:name w:val="VIRT Breakout text"/>
    <w:basedOn w:val="Normal"/>
    <w:link w:val="VIRTBreakouttextChar"/>
    <w:rsid w:val="009047EC"/>
    <w:pPr>
      <w:tabs>
        <w:tab w:val="center" w:pos="4680"/>
        <w:tab w:val="right" w:pos="9360"/>
      </w:tabs>
      <w:spacing w:before="240"/>
      <w:ind w:left="425"/>
    </w:pPr>
    <w:rPr>
      <w:rFonts w:asciiTheme="minorHAnsi" w:hAnsiTheme="minorHAnsi" w:cs="Times New Roman (Body CS)"/>
      <w:color w:val="0E7650"/>
      <w:sz w:val="24"/>
    </w:rPr>
  </w:style>
  <w:style w:type="character" w:customStyle="1" w:styleId="VIRTBreakouttextChar">
    <w:name w:val="VIRT Breakout text Char"/>
    <w:basedOn w:val="DefaultParagraphFont"/>
    <w:link w:val="VIRTBreakouttext"/>
    <w:rsid w:val="009047EC"/>
    <w:rPr>
      <w:rFonts w:cs="Times New Roman (Body CS)"/>
      <w:color w:val="0E7650"/>
      <w:sz w:val="24"/>
    </w:rPr>
  </w:style>
  <w:style w:type="paragraph" w:customStyle="1" w:styleId="VIRTbodyText0">
    <w:name w:val="VIRT body Text"/>
    <w:basedOn w:val="Normal"/>
    <w:rsid w:val="00544C50"/>
    <w:pPr>
      <w:spacing w:before="120"/>
    </w:pPr>
    <w:rPr>
      <w:rFonts w:cs="Arial"/>
      <w:noProof/>
      <w:szCs w:val="20"/>
      <w:lang w:val="en-US"/>
    </w:rPr>
  </w:style>
  <w:style w:type="paragraph" w:customStyle="1" w:styleId="ChapterHeading">
    <w:name w:val="Chapter Heading"/>
    <w:basedOn w:val="VIRTHeading2"/>
    <w:link w:val="ChapterHeadingChar"/>
    <w:autoRedefine/>
    <w:rsid w:val="00692AFC"/>
    <w:pPr>
      <w:spacing w:after="720"/>
      <w:outlineLvl w:val="0"/>
    </w:pPr>
    <w:rPr>
      <w:color w:val="26664E" w:themeColor="accent1"/>
      <w:sz w:val="56"/>
      <w:szCs w:val="72"/>
    </w:rPr>
  </w:style>
  <w:style w:type="paragraph" w:customStyle="1" w:styleId="VIRTHeading6">
    <w:name w:val="VIRT Heading 6"/>
    <w:basedOn w:val="Normal"/>
    <w:rsid w:val="00713EE0"/>
    <w:pPr>
      <w:outlineLvl w:val="5"/>
    </w:pPr>
    <w:rPr>
      <w:u w:val="single"/>
    </w:rPr>
  </w:style>
  <w:style w:type="paragraph" w:customStyle="1" w:styleId="VIRTHeading4">
    <w:name w:val="VIRT Heading 4"/>
    <w:basedOn w:val="Normal"/>
    <w:autoRedefine/>
    <w:rsid w:val="006255F0"/>
    <w:pPr>
      <w:spacing w:before="0" w:line="240" w:lineRule="auto"/>
      <w:jc w:val="left"/>
      <w:outlineLvl w:val="3"/>
    </w:pPr>
    <w:rPr>
      <w:rFonts w:asciiTheme="minorHAnsi" w:hAnsiTheme="minorHAnsi"/>
      <w:color w:val="148A5D" w:themeColor="accent2"/>
    </w:rPr>
  </w:style>
  <w:style w:type="paragraph" w:customStyle="1" w:styleId="VIRTHeading5">
    <w:name w:val="VIRT Heading 5"/>
    <w:basedOn w:val="Normal"/>
    <w:rsid w:val="00713EE0"/>
    <w:pPr>
      <w:spacing w:after="120"/>
      <w:outlineLvl w:val="4"/>
    </w:pPr>
    <w:rPr>
      <w:rFonts w:cs="Times New Roman (Body CS)"/>
      <w:i/>
      <w:spacing w:val="6"/>
    </w:rPr>
  </w:style>
  <w:style w:type="paragraph" w:customStyle="1" w:styleId="VIRTDotpoints">
    <w:name w:val="VIRT Dot points"/>
    <w:basedOn w:val="ListParagraph"/>
    <w:rsid w:val="001F0C7E"/>
    <w:pPr>
      <w:numPr>
        <w:numId w:val="1"/>
      </w:numPr>
      <w:spacing w:before="120" w:after="120"/>
      <w:ind w:left="425" w:hanging="357"/>
      <w:contextualSpacing w:val="0"/>
    </w:pPr>
    <w:rPr>
      <w:rFonts w:cs="Times New Roman (Body CS)"/>
    </w:rPr>
  </w:style>
  <w:style w:type="table" w:customStyle="1" w:styleId="PlainTable11">
    <w:name w:val="Plain Table 11"/>
    <w:basedOn w:val="TableNormal"/>
    <w:uiPriority w:val="99"/>
    <w:rsid w:val="00277C74"/>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99"/>
    <w:rsid w:val="00277C74"/>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99"/>
    <w:rsid w:val="00277C74"/>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21">
    <w:name w:val="Grid Table 1 Light - Accent 21"/>
    <w:basedOn w:val="TableNormal"/>
    <w:uiPriority w:val="46"/>
    <w:rsid w:val="00277C74"/>
    <w:pPr>
      <w:spacing w:after="0"/>
    </w:pPr>
    <w:tblPr>
      <w:tblStyleRowBandSize w:val="1"/>
      <w:tblStyleColBandSize w:val="1"/>
      <w:tblBorders>
        <w:top w:val="single" w:sz="4" w:space="0" w:color="83EDC4" w:themeColor="accent2" w:themeTint="66"/>
        <w:left w:val="single" w:sz="4" w:space="0" w:color="83EDC4" w:themeColor="accent2" w:themeTint="66"/>
        <w:bottom w:val="single" w:sz="4" w:space="0" w:color="83EDC4" w:themeColor="accent2" w:themeTint="66"/>
        <w:right w:val="single" w:sz="4" w:space="0" w:color="83EDC4" w:themeColor="accent2" w:themeTint="66"/>
        <w:insideH w:val="single" w:sz="4" w:space="0" w:color="83EDC4" w:themeColor="accent2" w:themeTint="66"/>
        <w:insideV w:val="single" w:sz="4" w:space="0" w:color="83EDC4" w:themeColor="accent2" w:themeTint="66"/>
      </w:tblBorders>
    </w:tblPr>
    <w:tblStylePr w:type="firstRow">
      <w:rPr>
        <w:b/>
        <w:bCs/>
      </w:rPr>
      <w:tblPr/>
      <w:tcPr>
        <w:tcBorders>
          <w:bottom w:val="single" w:sz="12" w:space="0" w:color="46E4A7" w:themeColor="accent2" w:themeTint="99"/>
        </w:tcBorders>
      </w:tcPr>
    </w:tblStylePr>
    <w:tblStylePr w:type="lastRow">
      <w:rPr>
        <w:b/>
        <w:bCs/>
      </w:rPr>
      <w:tblPr/>
      <w:tcPr>
        <w:tcBorders>
          <w:top w:val="double" w:sz="2" w:space="0" w:color="46E4A7" w:themeColor="accent2" w:themeTint="99"/>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277C74"/>
    <w:pPr>
      <w:spacing w:after="0"/>
    </w:pPr>
    <w:tblPr>
      <w:tblStyleRowBandSize w:val="1"/>
      <w:tblStyleColBandSize w:val="1"/>
      <w:tblBorders>
        <w:top w:val="single" w:sz="2" w:space="0" w:color="5DC29C" w:themeColor="accent1" w:themeTint="99"/>
        <w:bottom w:val="single" w:sz="2" w:space="0" w:color="5DC29C" w:themeColor="accent1" w:themeTint="99"/>
        <w:insideH w:val="single" w:sz="2" w:space="0" w:color="5DC29C" w:themeColor="accent1" w:themeTint="99"/>
        <w:insideV w:val="single" w:sz="2" w:space="0" w:color="5DC29C" w:themeColor="accent1" w:themeTint="99"/>
      </w:tblBorders>
    </w:tblPr>
    <w:tblStylePr w:type="firstRow">
      <w:rPr>
        <w:b/>
        <w:bCs/>
      </w:rPr>
      <w:tblPr/>
      <w:tcPr>
        <w:tcBorders>
          <w:top w:val="nil"/>
          <w:bottom w:val="single" w:sz="12" w:space="0" w:color="5DC29C" w:themeColor="accent1" w:themeTint="99"/>
          <w:insideH w:val="nil"/>
          <w:insideV w:val="nil"/>
        </w:tcBorders>
        <w:shd w:val="clear" w:color="auto" w:fill="FFFFFF" w:themeFill="background1"/>
      </w:tcPr>
    </w:tblStylePr>
    <w:tblStylePr w:type="lastRow">
      <w:rPr>
        <w:b/>
        <w:bCs/>
      </w:rPr>
      <w:tblPr/>
      <w:tcPr>
        <w:tcBorders>
          <w:top w:val="double" w:sz="2" w:space="0" w:color="5DC29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EBDE" w:themeFill="accent1" w:themeFillTint="33"/>
      </w:tcPr>
    </w:tblStylePr>
    <w:tblStylePr w:type="band1Horz">
      <w:tblPr/>
      <w:tcPr>
        <w:shd w:val="clear" w:color="auto" w:fill="C9EBDE" w:themeFill="accent1" w:themeFillTint="33"/>
      </w:tcPr>
    </w:tblStylePr>
  </w:style>
  <w:style w:type="table" w:customStyle="1" w:styleId="GridTable2-Accent41">
    <w:name w:val="Grid Table 2 - Accent 41"/>
    <w:basedOn w:val="TableNormal"/>
    <w:uiPriority w:val="47"/>
    <w:rsid w:val="00277C74"/>
    <w:pPr>
      <w:spacing w:after="0"/>
    </w:pPr>
    <w:tblPr>
      <w:tblStyleRowBandSize w:val="1"/>
      <w:tblStyleColBandSize w:val="1"/>
      <w:tblBorders>
        <w:top w:val="single" w:sz="2" w:space="0" w:color="9DB5AF" w:themeColor="accent4" w:themeTint="99"/>
        <w:bottom w:val="single" w:sz="2" w:space="0" w:color="9DB5AF" w:themeColor="accent4" w:themeTint="99"/>
        <w:insideH w:val="single" w:sz="2" w:space="0" w:color="9DB5AF" w:themeColor="accent4" w:themeTint="99"/>
        <w:insideV w:val="single" w:sz="2" w:space="0" w:color="9DB5AF" w:themeColor="accent4" w:themeTint="99"/>
      </w:tblBorders>
    </w:tblPr>
    <w:tblStylePr w:type="firstRow">
      <w:rPr>
        <w:b/>
        <w:bCs/>
      </w:rPr>
      <w:tblPr/>
      <w:tcPr>
        <w:tcBorders>
          <w:top w:val="nil"/>
          <w:bottom w:val="single" w:sz="12" w:space="0" w:color="9DB5AF" w:themeColor="accent4" w:themeTint="99"/>
          <w:insideH w:val="nil"/>
          <w:insideV w:val="nil"/>
        </w:tcBorders>
        <w:shd w:val="clear" w:color="auto" w:fill="FFFFFF" w:themeFill="background1"/>
      </w:tcPr>
    </w:tblStylePr>
    <w:tblStylePr w:type="lastRow">
      <w:rPr>
        <w:b/>
        <w:bCs/>
      </w:rPr>
      <w:tblPr/>
      <w:tcPr>
        <w:tcBorders>
          <w:top w:val="double" w:sz="2" w:space="0" w:color="9DB5A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6E4" w:themeFill="accent4" w:themeFillTint="33"/>
      </w:tcPr>
    </w:tblStylePr>
    <w:tblStylePr w:type="band1Horz">
      <w:tblPr/>
      <w:tcPr>
        <w:shd w:val="clear" w:color="auto" w:fill="DEE6E4" w:themeFill="accent4" w:themeFillTint="33"/>
      </w:tcPr>
    </w:tblStylePr>
  </w:style>
  <w:style w:type="table" w:customStyle="1" w:styleId="GridTable2-Accent21">
    <w:name w:val="Grid Table 2 - Accent 21"/>
    <w:basedOn w:val="TableNormal"/>
    <w:uiPriority w:val="47"/>
    <w:rsid w:val="00277C74"/>
    <w:pPr>
      <w:spacing w:after="0"/>
    </w:pPr>
    <w:tblPr>
      <w:tblStyleRowBandSize w:val="1"/>
      <w:tblStyleColBandSize w:val="1"/>
      <w:tblBorders>
        <w:top w:val="single" w:sz="2" w:space="0" w:color="46E4A7" w:themeColor="accent2" w:themeTint="99"/>
        <w:bottom w:val="single" w:sz="2" w:space="0" w:color="46E4A7" w:themeColor="accent2" w:themeTint="99"/>
        <w:insideH w:val="single" w:sz="2" w:space="0" w:color="46E4A7" w:themeColor="accent2" w:themeTint="99"/>
        <w:insideV w:val="single" w:sz="2" w:space="0" w:color="46E4A7" w:themeColor="accent2" w:themeTint="99"/>
      </w:tblBorders>
    </w:tblPr>
    <w:tcPr>
      <w:tcMar>
        <w:top w:w="57" w:type="dxa"/>
        <w:bottom w:w="28" w:type="dxa"/>
      </w:tcMar>
    </w:tcPr>
    <w:tblStylePr w:type="firstRow">
      <w:pPr>
        <w:wordWrap/>
        <w:spacing w:line="240" w:lineRule="auto"/>
        <w:ind w:leftChars="0" w:left="0" w:rightChars="0" w:right="0" w:firstLineChars="0" w:firstLine="0"/>
        <w:jc w:val="left"/>
      </w:pPr>
      <w:rPr>
        <w:rFonts w:ascii="Arial" w:hAnsi="Arial"/>
        <w:b/>
        <w:bCs/>
        <w:sz w:val="20"/>
      </w:rPr>
      <w:tblPr/>
      <w:tcPr>
        <w:tcBorders>
          <w:top w:val="nil"/>
          <w:bottom w:val="single" w:sz="12" w:space="0" w:color="46E4A7" w:themeColor="accent2" w:themeTint="99"/>
          <w:insideH w:val="nil"/>
          <w:insideV w:val="nil"/>
        </w:tcBorders>
        <w:shd w:val="clear" w:color="auto" w:fill="FFFFFF" w:themeFill="background1"/>
      </w:tcPr>
    </w:tblStylePr>
    <w:tblStylePr w:type="lastRow">
      <w:rPr>
        <w:b/>
        <w:bCs/>
      </w:rPr>
      <w:tblPr/>
      <w:tcPr>
        <w:tcBorders>
          <w:top w:val="double" w:sz="2" w:space="0" w:color="46E4A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6E1" w:themeFill="accent2" w:themeFillTint="33"/>
      </w:tcPr>
    </w:tblStylePr>
    <w:tblStylePr w:type="band1Horz">
      <w:tblPr/>
      <w:tcPr>
        <w:shd w:val="clear" w:color="auto" w:fill="C1F6E1" w:themeFill="accent2" w:themeFillTint="33"/>
      </w:tcPr>
    </w:tblStylePr>
  </w:style>
  <w:style w:type="table" w:customStyle="1" w:styleId="GridTable41">
    <w:name w:val="Grid Table 41"/>
    <w:basedOn w:val="TableNormal"/>
    <w:uiPriority w:val="49"/>
    <w:rsid w:val="00277C74"/>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277C74"/>
    <w:pPr>
      <w:spacing w:after="0"/>
    </w:pPr>
    <w:tblPr>
      <w:tblStyleRowBandSize w:val="1"/>
      <w:tblStyleColBandSize w:val="1"/>
      <w:tblBorders>
        <w:top w:val="single" w:sz="4" w:space="0" w:color="5DC29C" w:themeColor="accent1" w:themeTint="99"/>
        <w:left w:val="single" w:sz="4" w:space="0" w:color="5DC29C" w:themeColor="accent1" w:themeTint="99"/>
        <w:bottom w:val="single" w:sz="4" w:space="0" w:color="5DC29C" w:themeColor="accent1" w:themeTint="99"/>
        <w:right w:val="single" w:sz="4" w:space="0" w:color="5DC29C" w:themeColor="accent1" w:themeTint="99"/>
        <w:insideH w:val="single" w:sz="4" w:space="0" w:color="5DC29C" w:themeColor="accent1" w:themeTint="99"/>
        <w:insideV w:val="single" w:sz="4" w:space="0" w:color="5DC29C" w:themeColor="accent1" w:themeTint="99"/>
      </w:tblBorders>
    </w:tblPr>
    <w:tblStylePr w:type="firstRow">
      <w:rPr>
        <w:b/>
        <w:bCs/>
        <w:color w:val="FFFFFF" w:themeColor="background1"/>
      </w:rPr>
      <w:tblPr/>
      <w:tcPr>
        <w:tcBorders>
          <w:top w:val="single" w:sz="4" w:space="0" w:color="26664E" w:themeColor="accent1"/>
          <w:left w:val="single" w:sz="4" w:space="0" w:color="26664E" w:themeColor="accent1"/>
          <w:bottom w:val="single" w:sz="4" w:space="0" w:color="26664E" w:themeColor="accent1"/>
          <w:right w:val="single" w:sz="4" w:space="0" w:color="26664E" w:themeColor="accent1"/>
          <w:insideH w:val="nil"/>
          <w:insideV w:val="nil"/>
        </w:tcBorders>
        <w:shd w:val="clear" w:color="auto" w:fill="26664E" w:themeFill="accent1"/>
      </w:tcPr>
    </w:tblStylePr>
    <w:tblStylePr w:type="lastRow">
      <w:rPr>
        <w:b/>
        <w:bCs/>
      </w:rPr>
      <w:tblPr/>
      <w:tcPr>
        <w:tcBorders>
          <w:top w:val="double" w:sz="4" w:space="0" w:color="26664E" w:themeColor="accent1"/>
        </w:tcBorders>
      </w:tcPr>
    </w:tblStylePr>
    <w:tblStylePr w:type="firstCol">
      <w:rPr>
        <w:b/>
        <w:bCs/>
      </w:rPr>
    </w:tblStylePr>
    <w:tblStylePr w:type="lastCol">
      <w:rPr>
        <w:b/>
        <w:bCs/>
      </w:rPr>
    </w:tblStylePr>
    <w:tblStylePr w:type="band1Vert">
      <w:tblPr/>
      <w:tcPr>
        <w:shd w:val="clear" w:color="auto" w:fill="C9EBDE" w:themeFill="accent1" w:themeFillTint="33"/>
      </w:tcPr>
    </w:tblStylePr>
    <w:tblStylePr w:type="band1Horz">
      <w:tblPr/>
      <w:tcPr>
        <w:shd w:val="clear" w:color="auto" w:fill="C9EBDE" w:themeFill="accent1" w:themeFillTint="33"/>
      </w:tcPr>
    </w:tblStylePr>
  </w:style>
  <w:style w:type="table" w:customStyle="1" w:styleId="GridTable3-Accent41">
    <w:name w:val="Grid Table 3 - Accent 41"/>
    <w:basedOn w:val="TableNormal"/>
    <w:uiPriority w:val="48"/>
    <w:rsid w:val="00277C74"/>
    <w:pPr>
      <w:spacing w:after="0"/>
    </w:pPr>
    <w:tblPr>
      <w:tblStyleRowBandSize w:val="1"/>
      <w:tblStyleColBandSize w:val="1"/>
      <w:tblBorders>
        <w:top w:val="single" w:sz="4" w:space="0" w:color="9DB5AF" w:themeColor="accent4" w:themeTint="99"/>
        <w:left w:val="single" w:sz="4" w:space="0" w:color="9DB5AF" w:themeColor="accent4" w:themeTint="99"/>
        <w:bottom w:val="single" w:sz="4" w:space="0" w:color="9DB5AF" w:themeColor="accent4" w:themeTint="99"/>
        <w:right w:val="single" w:sz="4" w:space="0" w:color="9DB5AF" w:themeColor="accent4" w:themeTint="99"/>
        <w:insideH w:val="single" w:sz="4" w:space="0" w:color="9DB5AF" w:themeColor="accent4" w:themeTint="99"/>
        <w:insideV w:val="single" w:sz="4" w:space="0" w:color="9DB5A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6E4" w:themeFill="accent4" w:themeFillTint="33"/>
      </w:tcPr>
    </w:tblStylePr>
    <w:tblStylePr w:type="band1Horz">
      <w:tblPr/>
      <w:tcPr>
        <w:shd w:val="clear" w:color="auto" w:fill="DEE6E4" w:themeFill="accent4" w:themeFillTint="33"/>
      </w:tcPr>
    </w:tblStylePr>
    <w:tblStylePr w:type="neCell">
      <w:tblPr/>
      <w:tcPr>
        <w:tcBorders>
          <w:bottom w:val="single" w:sz="4" w:space="0" w:color="9DB5AF" w:themeColor="accent4" w:themeTint="99"/>
        </w:tcBorders>
      </w:tcPr>
    </w:tblStylePr>
    <w:tblStylePr w:type="nwCell">
      <w:tblPr/>
      <w:tcPr>
        <w:tcBorders>
          <w:bottom w:val="single" w:sz="4" w:space="0" w:color="9DB5AF" w:themeColor="accent4" w:themeTint="99"/>
        </w:tcBorders>
      </w:tcPr>
    </w:tblStylePr>
    <w:tblStylePr w:type="seCell">
      <w:tblPr/>
      <w:tcPr>
        <w:tcBorders>
          <w:top w:val="single" w:sz="4" w:space="0" w:color="9DB5AF" w:themeColor="accent4" w:themeTint="99"/>
        </w:tcBorders>
      </w:tcPr>
    </w:tblStylePr>
    <w:tblStylePr w:type="swCell">
      <w:tblPr/>
      <w:tcPr>
        <w:tcBorders>
          <w:top w:val="single" w:sz="4" w:space="0" w:color="9DB5AF" w:themeColor="accent4" w:themeTint="99"/>
        </w:tcBorders>
      </w:tcPr>
    </w:tblStylePr>
  </w:style>
  <w:style w:type="table" w:customStyle="1" w:styleId="GridTable3-Accent21">
    <w:name w:val="Grid Table 3 - Accent 21"/>
    <w:basedOn w:val="TableNormal"/>
    <w:uiPriority w:val="48"/>
    <w:rsid w:val="00277C74"/>
    <w:pPr>
      <w:spacing w:after="0"/>
    </w:pPr>
    <w:tblPr>
      <w:tblStyleRowBandSize w:val="1"/>
      <w:tblStyleColBandSize w:val="1"/>
      <w:tblBorders>
        <w:top w:val="single" w:sz="4" w:space="0" w:color="46E4A7" w:themeColor="accent2" w:themeTint="99"/>
        <w:left w:val="single" w:sz="4" w:space="0" w:color="46E4A7" w:themeColor="accent2" w:themeTint="99"/>
        <w:bottom w:val="single" w:sz="4" w:space="0" w:color="46E4A7" w:themeColor="accent2" w:themeTint="99"/>
        <w:right w:val="single" w:sz="4" w:space="0" w:color="46E4A7" w:themeColor="accent2" w:themeTint="99"/>
        <w:insideH w:val="single" w:sz="4" w:space="0" w:color="46E4A7" w:themeColor="accent2" w:themeTint="99"/>
        <w:insideV w:val="single" w:sz="4" w:space="0" w:color="46E4A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6E1" w:themeFill="accent2" w:themeFillTint="33"/>
      </w:tcPr>
    </w:tblStylePr>
    <w:tblStylePr w:type="band1Horz">
      <w:tblPr/>
      <w:tcPr>
        <w:shd w:val="clear" w:color="auto" w:fill="C1F6E1" w:themeFill="accent2" w:themeFillTint="33"/>
      </w:tcPr>
    </w:tblStylePr>
    <w:tblStylePr w:type="neCell">
      <w:tblPr/>
      <w:tcPr>
        <w:tcBorders>
          <w:bottom w:val="single" w:sz="4" w:space="0" w:color="46E4A7" w:themeColor="accent2" w:themeTint="99"/>
        </w:tcBorders>
      </w:tcPr>
    </w:tblStylePr>
    <w:tblStylePr w:type="nwCell">
      <w:tblPr/>
      <w:tcPr>
        <w:tcBorders>
          <w:bottom w:val="single" w:sz="4" w:space="0" w:color="46E4A7" w:themeColor="accent2" w:themeTint="99"/>
        </w:tcBorders>
      </w:tcPr>
    </w:tblStylePr>
    <w:tblStylePr w:type="seCell">
      <w:tblPr/>
      <w:tcPr>
        <w:tcBorders>
          <w:top w:val="single" w:sz="4" w:space="0" w:color="46E4A7" w:themeColor="accent2" w:themeTint="99"/>
        </w:tcBorders>
      </w:tcPr>
    </w:tblStylePr>
    <w:tblStylePr w:type="swCell">
      <w:tblPr/>
      <w:tcPr>
        <w:tcBorders>
          <w:top w:val="single" w:sz="4" w:space="0" w:color="46E4A7" w:themeColor="accent2" w:themeTint="99"/>
        </w:tcBorders>
      </w:tcPr>
    </w:tblStylePr>
  </w:style>
  <w:style w:type="table" w:customStyle="1" w:styleId="GridTable5Dark-Accent11">
    <w:name w:val="Grid Table 5 Dark - Accent 11"/>
    <w:basedOn w:val="TableNormal"/>
    <w:uiPriority w:val="50"/>
    <w:rsid w:val="00277C74"/>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EBD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66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66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66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664E" w:themeFill="accent1"/>
      </w:tcPr>
    </w:tblStylePr>
    <w:tblStylePr w:type="band1Vert">
      <w:tblPr/>
      <w:tcPr>
        <w:shd w:val="clear" w:color="auto" w:fill="93D6BD" w:themeFill="accent1" w:themeFillTint="66"/>
      </w:tcPr>
    </w:tblStylePr>
    <w:tblStylePr w:type="band1Horz">
      <w:tblPr/>
      <w:tcPr>
        <w:shd w:val="clear" w:color="auto" w:fill="93D6BD" w:themeFill="accent1" w:themeFillTint="66"/>
      </w:tcPr>
    </w:tblStylePr>
  </w:style>
  <w:style w:type="table" w:customStyle="1" w:styleId="GridTable6Colorful-Accent11">
    <w:name w:val="Grid Table 6 Colorful - Accent 11"/>
    <w:basedOn w:val="TableNormal"/>
    <w:uiPriority w:val="51"/>
    <w:rsid w:val="00277C74"/>
    <w:pPr>
      <w:spacing w:after="0"/>
    </w:pPr>
    <w:rPr>
      <w:color w:val="1C4C3A" w:themeColor="accent1" w:themeShade="BF"/>
    </w:rPr>
    <w:tblPr>
      <w:tblStyleRowBandSize w:val="1"/>
      <w:tblStyleColBandSize w:val="1"/>
      <w:tblBorders>
        <w:top w:val="single" w:sz="4" w:space="0" w:color="5DC29C" w:themeColor="accent1" w:themeTint="99"/>
        <w:left w:val="single" w:sz="4" w:space="0" w:color="5DC29C" w:themeColor="accent1" w:themeTint="99"/>
        <w:bottom w:val="single" w:sz="4" w:space="0" w:color="5DC29C" w:themeColor="accent1" w:themeTint="99"/>
        <w:right w:val="single" w:sz="4" w:space="0" w:color="5DC29C" w:themeColor="accent1" w:themeTint="99"/>
        <w:insideH w:val="single" w:sz="4" w:space="0" w:color="5DC29C" w:themeColor="accent1" w:themeTint="99"/>
        <w:insideV w:val="single" w:sz="4" w:space="0" w:color="5DC29C" w:themeColor="accent1" w:themeTint="99"/>
      </w:tblBorders>
    </w:tblPr>
    <w:tblStylePr w:type="firstRow">
      <w:rPr>
        <w:b/>
        <w:bCs/>
      </w:rPr>
      <w:tblPr/>
      <w:tcPr>
        <w:tcBorders>
          <w:bottom w:val="single" w:sz="12" w:space="0" w:color="5DC29C" w:themeColor="accent1" w:themeTint="99"/>
        </w:tcBorders>
      </w:tcPr>
    </w:tblStylePr>
    <w:tblStylePr w:type="lastRow">
      <w:rPr>
        <w:b/>
        <w:bCs/>
      </w:rPr>
      <w:tblPr/>
      <w:tcPr>
        <w:tcBorders>
          <w:top w:val="double" w:sz="4" w:space="0" w:color="5DC29C" w:themeColor="accent1" w:themeTint="99"/>
        </w:tcBorders>
      </w:tcPr>
    </w:tblStylePr>
    <w:tblStylePr w:type="firstCol">
      <w:rPr>
        <w:b/>
        <w:bCs/>
      </w:rPr>
    </w:tblStylePr>
    <w:tblStylePr w:type="lastCol">
      <w:rPr>
        <w:b/>
        <w:bCs/>
      </w:rPr>
    </w:tblStylePr>
    <w:tblStylePr w:type="band1Vert">
      <w:tblPr/>
      <w:tcPr>
        <w:shd w:val="clear" w:color="auto" w:fill="C9EBDE" w:themeFill="accent1" w:themeFillTint="33"/>
      </w:tcPr>
    </w:tblStylePr>
    <w:tblStylePr w:type="band1Horz">
      <w:tblPr/>
      <w:tcPr>
        <w:shd w:val="clear" w:color="auto" w:fill="C9EBDE" w:themeFill="accent1" w:themeFillTint="33"/>
      </w:tcPr>
    </w:tblStylePr>
  </w:style>
  <w:style w:type="table" w:customStyle="1" w:styleId="GridTable1Light-Accent11">
    <w:name w:val="Grid Table 1 Light - Accent 11"/>
    <w:basedOn w:val="TableNormal"/>
    <w:uiPriority w:val="46"/>
    <w:rsid w:val="00277C74"/>
    <w:pPr>
      <w:spacing w:after="0"/>
    </w:pPr>
    <w:tblPr>
      <w:tblStyleRowBandSize w:val="1"/>
      <w:tblStyleColBandSize w:val="1"/>
      <w:tblBorders>
        <w:top w:val="single" w:sz="4" w:space="0" w:color="93D6BD" w:themeColor="accent1" w:themeTint="66"/>
        <w:left w:val="single" w:sz="4" w:space="0" w:color="93D6BD" w:themeColor="accent1" w:themeTint="66"/>
        <w:bottom w:val="single" w:sz="4" w:space="0" w:color="93D6BD" w:themeColor="accent1" w:themeTint="66"/>
        <w:right w:val="single" w:sz="4" w:space="0" w:color="93D6BD" w:themeColor="accent1" w:themeTint="66"/>
        <w:insideH w:val="single" w:sz="4" w:space="0" w:color="93D6BD" w:themeColor="accent1" w:themeTint="66"/>
        <w:insideV w:val="single" w:sz="4" w:space="0" w:color="93D6BD" w:themeColor="accent1" w:themeTint="66"/>
      </w:tblBorders>
    </w:tblPr>
    <w:tblStylePr w:type="firstRow">
      <w:rPr>
        <w:b/>
        <w:bCs/>
      </w:rPr>
      <w:tblPr/>
      <w:tcPr>
        <w:tcBorders>
          <w:bottom w:val="single" w:sz="12" w:space="0" w:color="5DC29C" w:themeColor="accent1" w:themeTint="99"/>
        </w:tcBorders>
      </w:tcPr>
    </w:tblStylePr>
    <w:tblStylePr w:type="lastRow">
      <w:rPr>
        <w:b/>
        <w:bCs/>
      </w:rPr>
      <w:tblPr/>
      <w:tcPr>
        <w:tcBorders>
          <w:top w:val="double" w:sz="2" w:space="0" w:color="5DC29C" w:themeColor="accent1" w:themeTint="99"/>
        </w:tcBorders>
      </w:tcPr>
    </w:tblStylePr>
    <w:tblStylePr w:type="firstCol">
      <w:rPr>
        <w:b/>
        <w:bCs/>
      </w:rPr>
    </w:tblStylePr>
    <w:tblStylePr w:type="lastCol">
      <w:rPr>
        <w:b/>
        <w:bCs/>
      </w:rPr>
    </w:tblStylePr>
  </w:style>
  <w:style w:type="paragraph" w:styleId="TOC2">
    <w:name w:val="toc 2"/>
    <w:aliases w:val="TOC 2 VIRT"/>
    <w:basedOn w:val="Normal"/>
    <w:next w:val="Normal"/>
    <w:autoRedefine/>
    <w:uiPriority w:val="39"/>
    <w:unhideWhenUsed/>
    <w:qFormat/>
    <w:rsid w:val="00557732"/>
    <w:pPr>
      <w:tabs>
        <w:tab w:val="left" w:pos="800"/>
        <w:tab w:val="right" w:leader="dot" w:pos="9622"/>
      </w:tabs>
      <w:spacing w:before="120" w:after="120" w:line="60" w:lineRule="atLeast"/>
      <w:ind w:left="850" w:hanging="652"/>
      <w:jc w:val="left"/>
    </w:pPr>
    <w:rPr>
      <w:iCs/>
      <w:noProof/>
      <w:szCs w:val="20"/>
    </w:rPr>
  </w:style>
  <w:style w:type="table" w:customStyle="1" w:styleId="PlainTable21">
    <w:name w:val="Plain Table 21"/>
    <w:basedOn w:val="TableNormal"/>
    <w:uiPriority w:val="99"/>
    <w:rsid w:val="00277C74"/>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Accent61">
    <w:name w:val="Grid Table 1 Light - Accent 61"/>
    <w:basedOn w:val="TableNormal"/>
    <w:uiPriority w:val="46"/>
    <w:rsid w:val="00277C74"/>
    <w:pPr>
      <w:spacing w:after="0"/>
    </w:pPr>
    <w:tblPr>
      <w:tblStyleRowBandSize w:val="1"/>
      <w:tblStyleColBandSize w:val="1"/>
      <w:tblBorders>
        <w:top w:val="single" w:sz="4" w:space="0" w:color="B7B7B7" w:themeColor="accent6" w:themeTint="66"/>
        <w:left w:val="single" w:sz="4" w:space="0" w:color="B7B7B7" w:themeColor="accent6" w:themeTint="66"/>
        <w:bottom w:val="single" w:sz="4" w:space="0" w:color="B7B7B7" w:themeColor="accent6" w:themeTint="66"/>
        <w:right w:val="single" w:sz="4" w:space="0" w:color="B7B7B7" w:themeColor="accent6" w:themeTint="66"/>
        <w:insideH w:val="single" w:sz="4" w:space="0" w:color="B7B7B7" w:themeColor="accent6" w:themeTint="66"/>
        <w:insideV w:val="single" w:sz="4" w:space="0" w:color="B7B7B7" w:themeColor="accent6" w:themeTint="66"/>
      </w:tblBorders>
    </w:tblPr>
    <w:tblStylePr w:type="firstRow">
      <w:rPr>
        <w:b/>
        <w:bCs/>
      </w:rPr>
      <w:tblPr/>
      <w:tcPr>
        <w:tcBorders>
          <w:bottom w:val="single" w:sz="12" w:space="0" w:color="949494" w:themeColor="accent6" w:themeTint="99"/>
        </w:tcBorders>
      </w:tcPr>
    </w:tblStylePr>
    <w:tblStylePr w:type="lastRow">
      <w:rPr>
        <w:b/>
        <w:bCs/>
      </w:rPr>
      <w:tblPr/>
      <w:tcPr>
        <w:tcBorders>
          <w:top w:val="double" w:sz="2" w:space="0" w:color="949494" w:themeColor="accent6" w:themeTint="99"/>
        </w:tcBorders>
      </w:tcPr>
    </w:tblStylePr>
    <w:tblStylePr w:type="firstCol">
      <w:rPr>
        <w:b/>
        <w:bCs/>
      </w:rPr>
    </w:tblStylePr>
    <w:tblStylePr w:type="lastCol">
      <w:rPr>
        <w:b/>
        <w:bCs/>
      </w:rPr>
    </w:tblStylePr>
  </w:style>
  <w:style w:type="table" w:customStyle="1" w:styleId="Style1">
    <w:name w:val="Style1"/>
    <w:basedOn w:val="TableNormal"/>
    <w:uiPriority w:val="99"/>
    <w:rsid w:val="00277C74"/>
    <w:pPr>
      <w:spacing w:after="0"/>
    </w:pPr>
    <w:tblPr>
      <w:tblStyleRowBandSize w:val="1"/>
    </w:tblPr>
    <w:tblStylePr w:type="lastRow">
      <w:rPr>
        <w:rFonts w:ascii="Arial" w:hAnsi="Arial"/>
        <w:b/>
      </w:rPr>
    </w:tblStylePr>
    <w:tblStylePr w:type="band1Horz">
      <w:rPr>
        <w:rFonts w:ascii="Arial" w:hAnsi="Arial"/>
        <w:sz w:val="20"/>
      </w:rPr>
    </w:tblStylePr>
  </w:style>
  <w:style w:type="table" w:customStyle="1" w:styleId="TableGridLight1">
    <w:name w:val="Table Grid Light1"/>
    <w:basedOn w:val="TableNormal"/>
    <w:uiPriority w:val="99"/>
    <w:rsid w:val="00277C74"/>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41">
    <w:name w:val="Plain Table 41"/>
    <w:basedOn w:val="TableNormal"/>
    <w:uiPriority w:val="99"/>
    <w:rsid w:val="00277C74"/>
    <w:pPr>
      <w:spacing w:after="0"/>
    </w:pPr>
    <w:tblPr>
      <w:tblStyleRowBandSize w:val="1"/>
      <w:tblStyleColBandSize w:val="1"/>
    </w:tblPr>
    <w:tblStylePr w:type="firstRow">
      <w:rPr>
        <w:rFonts w:ascii="Arial" w:hAnsi="Arial"/>
        <w:b w:val="0"/>
        <w:bCs/>
        <w:color w:val="007449"/>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tyle2">
    <w:name w:val="Style2"/>
    <w:basedOn w:val="TableNormal"/>
    <w:uiPriority w:val="99"/>
    <w:rsid w:val="00277C74"/>
    <w:pPr>
      <w:spacing w:after="0"/>
    </w:pPr>
    <w:rPr>
      <w:rFonts w:ascii="Arial" w:hAnsi="Arial"/>
      <w:sz w:val="20"/>
    </w:rPr>
    <w:tblPr/>
  </w:style>
  <w:style w:type="table" w:customStyle="1" w:styleId="VIRTTablestyle">
    <w:name w:val="VIRT Table style"/>
    <w:basedOn w:val="TableNormal"/>
    <w:uiPriority w:val="99"/>
    <w:rsid w:val="00785818"/>
    <w:pPr>
      <w:spacing w:after="0"/>
    </w:pPr>
    <w:rPr>
      <w:rFonts w:ascii="Arial" w:hAnsi="Arial"/>
      <w:sz w:val="20"/>
    </w:rPr>
    <w:tblPr>
      <w:tblStyleRowBandSize w:val="1"/>
      <w:tblBorders>
        <w:top w:val="single" w:sz="2" w:space="0" w:color="BFBFBF" w:themeColor="background1" w:themeShade="BF"/>
        <w:bottom w:val="single" w:sz="2" w:space="0" w:color="BFBFBF" w:themeColor="background1" w:themeShade="BF"/>
        <w:insideH w:val="single" w:sz="2" w:space="0" w:color="BFBFBF" w:themeColor="background1" w:themeShade="BF"/>
      </w:tblBorders>
    </w:tblPr>
    <w:tcPr>
      <w:tcMar>
        <w:top w:w="57" w:type="dxa"/>
      </w:tcMar>
    </w:tcPr>
    <w:tblStylePr w:type="firstRow">
      <w:pPr>
        <w:wordWrap/>
        <w:spacing w:line="240" w:lineRule="auto"/>
        <w:jc w:val="left"/>
      </w:pPr>
      <w:rPr>
        <w:rFonts w:ascii="Arial" w:hAnsi="Arial"/>
        <w:b/>
      </w:rPr>
    </w:tblStylePr>
    <w:tblStylePr w:type="firstCol">
      <w:rPr>
        <w:rFonts w:ascii="Arial" w:hAnsi="Arial"/>
        <w:b/>
      </w:rPr>
    </w:tblStylePr>
    <w:tblStylePr w:type="band1Horz">
      <w:tblPr/>
      <w:tcPr>
        <w:shd w:val="clear" w:color="auto" w:fill="F2F2F2" w:themeFill="background1" w:themeFillShade="F2"/>
      </w:tcPr>
    </w:tblStylePr>
  </w:style>
  <w:style w:type="paragraph" w:styleId="TOC1">
    <w:name w:val="toc 1"/>
    <w:aliases w:val="TOC 1 VIRT"/>
    <w:basedOn w:val="Normal"/>
    <w:next w:val="Normal"/>
    <w:link w:val="TOC1Char"/>
    <w:autoRedefine/>
    <w:uiPriority w:val="39"/>
    <w:unhideWhenUsed/>
    <w:qFormat/>
    <w:rsid w:val="00211839"/>
    <w:pPr>
      <w:tabs>
        <w:tab w:val="left" w:pos="403"/>
        <w:tab w:val="right" w:leader="dot" w:pos="9622"/>
      </w:tabs>
      <w:spacing w:before="120" w:after="120" w:line="60" w:lineRule="atLeast"/>
      <w:jc w:val="left"/>
    </w:pPr>
    <w:rPr>
      <w:b/>
      <w:bCs/>
      <w:color w:val="auto"/>
      <w:szCs w:val="20"/>
    </w:rPr>
  </w:style>
  <w:style w:type="paragraph" w:styleId="TOC3">
    <w:name w:val="toc 3"/>
    <w:aliases w:val="TOC 3 VIRT"/>
    <w:basedOn w:val="Normal"/>
    <w:next w:val="Normal"/>
    <w:autoRedefine/>
    <w:uiPriority w:val="39"/>
    <w:unhideWhenUsed/>
    <w:rsid w:val="00403580"/>
    <w:pPr>
      <w:tabs>
        <w:tab w:val="right" w:leader="dot" w:pos="9622"/>
      </w:tabs>
      <w:spacing w:before="120" w:after="120"/>
    </w:pPr>
    <w:rPr>
      <w:szCs w:val="20"/>
    </w:rPr>
  </w:style>
  <w:style w:type="paragraph" w:styleId="TOC4">
    <w:name w:val="toc 4"/>
    <w:basedOn w:val="Normal"/>
    <w:next w:val="Normal"/>
    <w:autoRedefine/>
    <w:uiPriority w:val="39"/>
    <w:unhideWhenUsed/>
    <w:rsid w:val="00A602BE"/>
    <w:pPr>
      <w:spacing w:after="0"/>
      <w:ind w:left="600"/>
    </w:pPr>
    <w:rPr>
      <w:rFonts w:asciiTheme="minorHAnsi" w:hAnsiTheme="minorHAnsi"/>
      <w:szCs w:val="20"/>
    </w:rPr>
  </w:style>
  <w:style w:type="paragraph" w:styleId="TOC5">
    <w:name w:val="toc 5"/>
    <w:basedOn w:val="Normal"/>
    <w:next w:val="Normal"/>
    <w:autoRedefine/>
    <w:unhideWhenUsed/>
    <w:rsid w:val="00A602BE"/>
    <w:pPr>
      <w:spacing w:after="0"/>
      <w:ind w:left="800"/>
    </w:pPr>
    <w:rPr>
      <w:rFonts w:asciiTheme="minorHAnsi" w:hAnsiTheme="minorHAnsi"/>
      <w:szCs w:val="20"/>
    </w:rPr>
  </w:style>
  <w:style w:type="paragraph" w:styleId="TOC6">
    <w:name w:val="toc 6"/>
    <w:basedOn w:val="Normal"/>
    <w:next w:val="Normal"/>
    <w:autoRedefine/>
    <w:unhideWhenUsed/>
    <w:rsid w:val="00A602BE"/>
    <w:pPr>
      <w:spacing w:after="0"/>
      <w:ind w:left="1000"/>
    </w:pPr>
    <w:rPr>
      <w:rFonts w:asciiTheme="minorHAnsi" w:hAnsiTheme="minorHAnsi"/>
      <w:szCs w:val="20"/>
    </w:rPr>
  </w:style>
  <w:style w:type="paragraph" w:styleId="TOC7">
    <w:name w:val="toc 7"/>
    <w:basedOn w:val="Normal"/>
    <w:next w:val="Normal"/>
    <w:autoRedefine/>
    <w:unhideWhenUsed/>
    <w:rsid w:val="00A602BE"/>
    <w:pPr>
      <w:spacing w:after="0"/>
      <w:ind w:left="1200"/>
    </w:pPr>
    <w:rPr>
      <w:rFonts w:asciiTheme="minorHAnsi" w:hAnsiTheme="minorHAnsi"/>
      <w:szCs w:val="20"/>
    </w:rPr>
  </w:style>
  <w:style w:type="paragraph" w:styleId="TOC8">
    <w:name w:val="toc 8"/>
    <w:basedOn w:val="Normal"/>
    <w:next w:val="Normal"/>
    <w:autoRedefine/>
    <w:unhideWhenUsed/>
    <w:rsid w:val="00A602BE"/>
    <w:pPr>
      <w:spacing w:after="0"/>
      <w:ind w:left="1400"/>
    </w:pPr>
    <w:rPr>
      <w:rFonts w:asciiTheme="minorHAnsi" w:hAnsiTheme="minorHAnsi"/>
      <w:szCs w:val="20"/>
    </w:rPr>
  </w:style>
  <w:style w:type="paragraph" w:styleId="TOC9">
    <w:name w:val="toc 9"/>
    <w:basedOn w:val="Normal"/>
    <w:next w:val="Normal"/>
    <w:autoRedefine/>
    <w:unhideWhenUsed/>
    <w:rsid w:val="00A602BE"/>
    <w:pPr>
      <w:spacing w:after="0"/>
      <w:ind w:left="1600"/>
    </w:pPr>
    <w:rPr>
      <w:rFonts w:asciiTheme="minorHAnsi" w:hAnsiTheme="minorHAnsi"/>
      <w:szCs w:val="20"/>
    </w:rPr>
  </w:style>
  <w:style w:type="character" w:styleId="Hyperlink">
    <w:name w:val="Hyperlink"/>
    <w:basedOn w:val="DefaultParagraphFont"/>
    <w:uiPriority w:val="99"/>
    <w:unhideWhenUsed/>
    <w:rsid w:val="00A602BE"/>
    <w:rPr>
      <w:color w:val="5F5F5F" w:themeColor="hyperlink"/>
      <w:u w:val="single"/>
    </w:rPr>
  </w:style>
  <w:style w:type="paragraph" w:styleId="BalloonText">
    <w:name w:val="Balloon Text"/>
    <w:basedOn w:val="Normal"/>
    <w:link w:val="BalloonTextChar"/>
    <w:uiPriority w:val="99"/>
    <w:semiHidden/>
    <w:unhideWhenUsed/>
    <w:rsid w:val="00D169A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69A3"/>
    <w:rPr>
      <w:rFonts w:ascii="Tahoma" w:hAnsi="Tahoma" w:cs="Tahoma"/>
      <w:color w:val="7F7F7F" w:themeColor="text1" w:themeTint="80"/>
      <w:sz w:val="16"/>
      <w:szCs w:val="16"/>
    </w:rPr>
  </w:style>
  <w:style w:type="paragraph" w:styleId="Footer">
    <w:name w:val="footer"/>
    <w:basedOn w:val="Normal"/>
    <w:link w:val="FooterChar"/>
    <w:uiPriority w:val="99"/>
    <w:unhideWhenUsed/>
    <w:rsid w:val="00713EE0"/>
    <w:pPr>
      <w:tabs>
        <w:tab w:val="center" w:pos="4513"/>
        <w:tab w:val="right" w:pos="9026"/>
      </w:tabs>
      <w:spacing w:after="0"/>
    </w:pPr>
  </w:style>
  <w:style w:type="character" w:customStyle="1" w:styleId="FooterChar">
    <w:name w:val="Footer Char"/>
    <w:basedOn w:val="DefaultParagraphFont"/>
    <w:link w:val="Footer"/>
    <w:uiPriority w:val="99"/>
    <w:rsid w:val="00713EE0"/>
    <w:rPr>
      <w:rFonts w:ascii="Arial" w:hAnsi="Arial"/>
      <w:color w:val="7F7F7F" w:themeColor="text1" w:themeTint="80"/>
      <w:sz w:val="20"/>
    </w:rPr>
  </w:style>
  <w:style w:type="paragraph" w:styleId="Header">
    <w:name w:val="header"/>
    <w:basedOn w:val="Normal"/>
    <w:link w:val="HeaderChar"/>
    <w:uiPriority w:val="99"/>
    <w:unhideWhenUsed/>
    <w:rsid w:val="00713EE0"/>
    <w:pPr>
      <w:tabs>
        <w:tab w:val="center" w:pos="4513"/>
        <w:tab w:val="right" w:pos="9026"/>
      </w:tabs>
      <w:spacing w:after="0"/>
    </w:pPr>
  </w:style>
  <w:style w:type="character" w:customStyle="1" w:styleId="HeaderChar">
    <w:name w:val="Header Char"/>
    <w:basedOn w:val="DefaultParagraphFont"/>
    <w:link w:val="Header"/>
    <w:uiPriority w:val="99"/>
    <w:rsid w:val="00713EE0"/>
    <w:rPr>
      <w:rFonts w:ascii="Arial" w:hAnsi="Arial"/>
      <w:color w:val="7F7F7F" w:themeColor="text1" w:themeTint="80"/>
      <w:sz w:val="20"/>
    </w:rPr>
  </w:style>
  <w:style w:type="paragraph" w:styleId="TableofFigures">
    <w:name w:val="table of figures"/>
    <w:basedOn w:val="Normal"/>
    <w:next w:val="Normal"/>
    <w:uiPriority w:val="99"/>
    <w:unhideWhenUsed/>
    <w:rsid w:val="00573DCC"/>
    <w:pPr>
      <w:spacing w:after="0"/>
    </w:pPr>
  </w:style>
  <w:style w:type="paragraph" w:customStyle="1" w:styleId="VIRTContentsTitle">
    <w:name w:val="VIRT Contents Title"/>
    <w:basedOn w:val="ChapterHeading"/>
    <w:next w:val="Normal"/>
    <w:link w:val="VIRTContentsTitleChar"/>
    <w:qFormat/>
    <w:rsid w:val="00F00A5F"/>
    <w:pPr>
      <w:outlineLvl w:val="9"/>
    </w:pPr>
    <w:rPr>
      <w:lang w:val="en-AU" w:eastAsia="en-AU"/>
    </w:rPr>
  </w:style>
  <w:style w:type="paragraph" w:styleId="FootnoteText">
    <w:name w:val="footnote text"/>
    <w:basedOn w:val="Normal"/>
    <w:link w:val="FootnoteTextChar"/>
    <w:uiPriority w:val="99"/>
    <w:unhideWhenUsed/>
    <w:qFormat/>
    <w:rsid w:val="00052D06"/>
    <w:pPr>
      <w:spacing w:before="0" w:after="0" w:line="240" w:lineRule="auto"/>
    </w:pPr>
    <w:rPr>
      <w:color w:val="auto"/>
      <w:sz w:val="18"/>
      <w:szCs w:val="20"/>
    </w:rPr>
  </w:style>
  <w:style w:type="character" w:customStyle="1" w:styleId="VIRTHeading2Char">
    <w:name w:val="VIRT Heading 2 Char"/>
    <w:basedOn w:val="DefaultParagraphFont"/>
    <w:link w:val="VIRTHeading2"/>
    <w:rsid w:val="00630EDC"/>
    <w:rPr>
      <w:rFonts w:cs="Times New Roman (Body CS)"/>
      <w:noProof/>
      <w:color w:val="007449"/>
      <w:sz w:val="44"/>
      <w:szCs w:val="44"/>
      <w:lang w:val="en-US"/>
    </w:rPr>
  </w:style>
  <w:style w:type="character" w:customStyle="1" w:styleId="ChapterHeadingChar">
    <w:name w:val="Chapter Heading Char"/>
    <w:basedOn w:val="VIRTHeading2Char"/>
    <w:link w:val="ChapterHeading"/>
    <w:rsid w:val="00692AFC"/>
    <w:rPr>
      <w:rFonts w:cs="Times New Roman (Body CS)"/>
      <w:noProof/>
      <w:color w:val="26664E" w:themeColor="accent1"/>
      <w:sz w:val="56"/>
      <w:szCs w:val="72"/>
      <w:lang w:val="en-US"/>
    </w:rPr>
  </w:style>
  <w:style w:type="character" w:customStyle="1" w:styleId="VIRTContentsTitleChar">
    <w:name w:val="VIRT Contents Title Char"/>
    <w:basedOn w:val="ChapterHeadingChar"/>
    <w:link w:val="VIRTContentsTitle"/>
    <w:rsid w:val="00F00A5F"/>
    <w:rPr>
      <w:rFonts w:cs="Times New Roman (Body CS)"/>
      <w:noProof/>
      <w:color w:val="26664E" w:themeColor="accent1"/>
      <w:sz w:val="56"/>
      <w:szCs w:val="72"/>
      <w:lang w:val="en-US" w:eastAsia="en-AU"/>
    </w:rPr>
  </w:style>
  <w:style w:type="character" w:customStyle="1" w:styleId="FootnoteTextChar">
    <w:name w:val="Footnote Text Char"/>
    <w:basedOn w:val="DefaultParagraphFont"/>
    <w:link w:val="FootnoteText"/>
    <w:uiPriority w:val="99"/>
    <w:rsid w:val="00052D06"/>
    <w:rPr>
      <w:rFonts w:ascii="Calibri Light" w:hAnsi="Calibri Light"/>
      <w:sz w:val="18"/>
      <w:szCs w:val="20"/>
    </w:rPr>
  </w:style>
  <w:style w:type="character" w:styleId="FootnoteReference">
    <w:name w:val="footnote reference"/>
    <w:basedOn w:val="DefaultParagraphFont"/>
    <w:uiPriority w:val="99"/>
    <w:unhideWhenUsed/>
    <w:rsid w:val="0060268C"/>
    <w:rPr>
      <w:vertAlign w:val="superscript"/>
    </w:rPr>
  </w:style>
  <w:style w:type="table" w:styleId="MediumGrid3-Accent1">
    <w:name w:val="Medium Grid 3 Accent 1"/>
    <w:basedOn w:val="TableNormal"/>
    <w:uiPriority w:val="69"/>
    <w:rsid w:val="00747715"/>
    <w:pPr>
      <w:spacing w:after="0"/>
    </w:p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E6D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664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664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664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664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8CDA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8CDAD" w:themeFill="accent1" w:themeFillTint="7F"/>
      </w:tcPr>
    </w:tblStylePr>
  </w:style>
  <w:style w:type="table" w:styleId="GridTable3-Accent3">
    <w:name w:val="Grid Table 3 Accent 3"/>
    <w:basedOn w:val="TableNormal"/>
    <w:uiPriority w:val="48"/>
    <w:rsid w:val="00253076"/>
    <w:pPr>
      <w:spacing w:after="0"/>
    </w:pPr>
    <w:tblPr>
      <w:tblStyleRowBandSize w:val="1"/>
      <w:tblStyleColBandSize w:val="1"/>
      <w:tblBorders>
        <w:top w:val="single" w:sz="4" w:space="0" w:color="A9D5B5" w:themeColor="accent3" w:themeTint="99"/>
        <w:left w:val="single" w:sz="4" w:space="0" w:color="A9D5B5" w:themeColor="accent3" w:themeTint="99"/>
        <w:bottom w:val="single" w:sz="4" w:space="0" w:color="A9D5B5" w:themeColor="accent3" w:themeTint="99"/>
        <w:right w:val="single" w:sz="4" w:space="0" w:color="A9D5B5" w:themeColor="accent3" w:themeTint="99"/>
        <w:insideH w:val="single" w:sz="4" w:space="0" w:color="A9D5B5" w:themeColor="accent3" w:themeTint="99"/>
        <w:insideV w:val="single" w:sz="4" w:space="0" w:color="A9D5B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1E6" w:themeFill="accent3" w:themeFillTint="33"/>
      </w:tcPr>
    </w:tblStylePr>
    <w:tblStylePr w:type="band1Horz">
      <w:tblPr/>
      <w:tcPr>
        <w:shd w:val="clear" w:color="auto" w:fill="E2F1E6" w:themeFill="accent3" w:themeFillTint="33"/>
      </w:tcPr>
    </w:tblStylePr>
    <w:tblStylePr w:type="neCell">
      <w:tblPr/>
      <w:tcPr>
        <w:tcBorders>
          <w:bottom w:val="single" w:sz="4" w:space="0" w:color="A9D5B5" w:themeColor="accent3" w:themeTint="99"/>
        </w:tcBorders>
      </w:tcPr>
    </w:tblStylePr>
    <w:tblStylePr w:type="nwCell">
      <w:tblPr/>
      <w:tcPr>
        <w:tcBorders>
          <w:bottom w:val="single" w:sz="4" w:space="0" w:color="A9D5B5" w:themeColor="accent3" w:themeTint="99"/>
        </w:tcBorders>
      </w:tcPr>
    </w:tblStylePr>
    <w:tblStylePr w:type="seCell">
      <w:tblPr/>
      <w:tcPr>
        <w:tcBorders>
          <w:top w:val="single" w:sz="4" w:space="0" w:color="A9D5B5" w:themeColor="accent3" w:themeTint="99"/>
        </w:tcBorders>
      </w:tcPr>
    </w:tblStylePr>
    <w:tblStylePr w:type="swCell">
      <w:tblPr/>
      <w:tcPr>
        <w:tcBorders>
          <w:top w:val="single" w:sz="4" w:space="0" w:color="A9D5B5" w:themeColor="accent3" w:themeTint="99"/>
        </w:tcBorders>
      </w:tcPr>
    </w:tblStylePr>
  </w:style>
  <w:style w:type="table" w:styleId="GridTable6Colorful-Accent3">
    <w:name w:val="Grid Table 6 Colorful Accent 3"/>
    <w:basedOn w:val="TableNormal"/>
    <w:uiPriority w:val="51"/>
    <w:rsid w:val="00253076"/>
    <w:pPr>
      <w:spacing w:after="0"/>
    </w:pPr>
    <w:rPr>
      <w:color w:val="48965E" w:themeColor="accent3" w:themeShade="BF"/>
    </w:rPr>
    <w:tblPr>
      <w:tblStyleRowBandSize w:val="1"/>
      <w:tblStyleColBandSize w:val="1"/>
      <w:tblBorders>
        <w:top w:val="single" w:sz="4" w:space="0" w:color="A9D5B5" w:themeColor="accent3" w:themeTint="99"/>
        <w:left w:val="single" w:sz="4" w:space="0" w:color="A9D5B5" w:themeColor="accent3" w:themeTint="99"/>
        <w:bottom w:val="single" w:sz="4" w:space="0" w:color="A9D5B5" w:themeColor="accent3" w:themeTint="99"/>
        <w:right w:val="single" w:sz="4" w:space="0" w:color="A9D5B5" w:themeColor="accent3" w:themeTint="99"/>
        <w:insideH w:val="single" w:sz="4" w:space="0" w:color="A9D5B5" w:themeColor="accent3" w:themeTint="99"/>
        <w:insideV w:val="single" w:sz="4" w:space="0" w:color="A9D5B5" w:themeColor="accent3" w:themeTint="99"/>
      </w:tblBorders>
    </w:tblPr>
    <w:tblStylePr w:type="firstRow">
      <w:rPr>
        <w:b/>
        <w:bCs/>
      </w:rPr>
      <w:tblPr/>
      <w:tcPr>
        <w:tcBorders>
          <w:bottom w:val="single" w:sz="12" w:space="0" w:color="A9D5B5" w:themeColor="accent3" w:themeTint="99"/>
        </w:tcBorders>
      </w:tcPr>
    </w:tblStylePr>
    <w:tblStylePr w:type="lastRow">
      <w:rPr>
        <w:b/>
        <w:bCs/>
      </w:rPr>
      <w:tblPr/>
      <w:tcPr>
        <w:tcBorders>
          <w:top w:val="double" w:sz="4" w:space="0" w:color="A9D5B5" w:themeColor="accent3" w:themeTint="99"/>
        </w:tcBorders>
      </w:tcPr>
    </w:tblStylePr>
    <w:tblStylePr w:type="firstCol">
      <w:rPr>
        <w:b/>
        <w:bCs/>
      </w:rPr>
    </w:tblStylePr>
    <w:tblStylePr w:type="lastCol">
      <w:rPr>
        <w:b/>
        <w:bCs/>
      </w:rPr>
    </w:tblStylePr>
    <w:tblStylePr w:type="band1Vert">
      <w:tblPr/>
      <w:tcPr>
        <w:shd w:val="clear" w:color="auto" w:fill="E2F1E6" w:themeFill="accent3" w:themeFillTint="33"/>
      </w:tcPr>
    </w:tblStylePr>
    <w:tblStylePr w:type="band1Horz">
      <w:tblPr/>
      <w:tcPr>
        <w:shd w:val="clear" w:color="auto" w:fill="E2F1E6" w:themeFill="accent3" w:themeFillTint="33"/>
      </w:tcPr>
    </w:tblStylePr>
  </w:style>
  <w:style w:type="table" w:styleId="ListTable3-Accent2">
    <w:name w:val="List Table 3 Accent 2"/>
    <w:basedOn w:val="TableNormal"/>
    <w:uiPriority w:val="48"/>
    <w:rsid w:val="00E038AE"/>
    <w:pPr>
      <w:spacing w:after="0"/>
    </w:pPr>
    <w:rPr>
      <w:rFonts w:ascii="Calibri Light" w:hAnsi="Calibri Light"/>
      <w:color w:val="FFFFFF" w:themeColor="background1"/>
    </w:rPr>
    <w:tblPr>
      <w:tblStyleRowBandSize w:val="1"/>
      <w:tblStyleColBandSize w:val="1"/>
      <w:tblBorders>
        <w:top w:val="single" w:sz="4" w:space="0" w:color="148A5D" w:themeColor="accent2"/>
        <w:bottom w:val="single" w:sz="4" w:space="0" w:color="148A5D" w:themeColor="accent2"/>
      </w:tblBorders>
    </w:tblPr>
    <w:tcPr>
      <w:vAlign w:val="center"/>
    </w:tcPr>
    <w:tblStylePr w:type="firstRow">
      <w:pPr>
        <w:jc w:val="left"/>
      </w:pPr>
      <w:rPr>
        <w:rFonts w:ascii="Calibri Light" w:hAnsi="Calibri Light"/>
        <w:b/>
        <w:bCs/>
        <w:color w:val="FFFFFF" w:themeColor="background1"/>
        <w:sz w:val="22"/>
      </w:rPr>
      <w:tblPr/>
      <w:tcPr>
        <w:tcBorders>
          <w:top w:val="nil"/>
          <w:left w:val="nil"/>
          <w:bottom w:val="nil"/>
          <w:right w:val="nil"/>
          <w:insideH w:val="single" w:sz="4" w:space="0" w:color="26664E" w:themeColor="accent1"/>
          <w:insideV w:val="nil"/>
          <w:tl2br w:val="nil"/>
          <w:tr2bl w:val="nil"/>
        </w:tcBorders>
        <w:shd w:val="clear" w:color="auto" w:fill="148A5D" w:themeFill="accent2"/>
      </w:tcPr>
    </w:tblStylePr>
    <w:tblStylePr w:type="lastRow">
      <w:rPr>
        <w:b/>
        <w:bCs/>
      </w:rPr>
      <w:tblPr/>
      <w:tcPr>
        <w:tcBorders>
          <w:top w:val="double" w:sz="4" w:space="0" w:color="148A5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48A5D" w:themeColor="accent2"/>
          <w:right w:val="single" w:sz="4" w:space="0" w:color="148A5D" w:themeColor="accent2"/>
        </w:tcBorders>
      </w:tcPr>
    </w:tblStylePr>
    <w:tblStylePr w:type="band1Horz">
      <w:tblPr/>
      <w:tcPr>
        <w:tcBorders>
          <w:top w:val="single" w:sz="4" w:space="0" w:color="148A5D" w:themeColor="accent2"/>
          <w:bottom w:val="single" w:sz="4" w:space="0" w:color="148A5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themeColor="accent2"/>
          <w:left w:val="nil"/>
        </w:tcBorders>
      </w:tcPr>
    </w:tblStylePr>
    <w:tblStylePr w:type="swCell">
      <w:tblPr/>
      <w:tcPr>
        <w:tcBorders>
          <w:top w:val="double" w:sz="4" w:space="0" w:color="148A5D" w:themeColor="accent2"/>
          <w:right w:val="nil"/>
        </w:tcBorders>
      </w:tcPr>
    </w:tblStylePr>
  </w:style>
  <w:style w:type="character" w:styleId="CommentReference">
    <w:name w:val="annotation reference"/>
    <w:basedOn w:val="DefaultParagraphFont"/>
    <w:uiPriority w:val="99"/>
    <w:semiHidden/>
    <w:unhideWhenUsed/>
    <w:rsid w:val="00784359"/>
    <w:rPr>
      <w:sz w:val="16"/>
      <w:szCs w:val="16"/>
    </w:rPr>
  </w:style>
  <w:style w:type="paragraph" w:styleId="CommentText">
    <w:name w:val="annotation text"/>
    <w:basedOn w:val="Normal"/>
    <w:link w:val="CommentTextChar"/>
    <w:uiPriority w:val="99"/>
    <w:unhideWhenUsed/>
    <w:rsid w:val="00784359"/>
    <w:pPr>
      <w:spacing w:line="240" w:lineRule="auto"/>
    </w:pPr>
    <w:rPr>
      <w:sz w:val="20"/>
      <w:szCs w:val="20"/>
    </w:rPr>
  </w:style>
  <w:style w:type="character" w:customStyle="1" w:styleId="CommentTextChar">
    <w:name w:val="Comment Text Char"/>
    <w:basedOn w:val="DefaultParagraphFont"/>
    <w:link w:val="CommentText"/>
    <w:uiPriority w:val="99"/>
    <w:rsid w:val="00784359"/>
    <w:rPr>
      <w:rFonts w:ascii="Calibri Light" w:hAnsi="Calibri Light"/>
      <w:color w:val="7F7F7F" w:themeColor="text1" w:themeTint="80"/>
      <w:sz w:val="20"/>
      <w:szCs w:val="20"/>
    </w:rPr>
  </w:style>
  <w:style w:type="paragraph" w:styleId="CommentSubject">
    <w:name w:val="annotation subject"/>
    <w:basedOn w:val="CommentText"/>
    <w:next w:val="CommentText"/>
    <w:link w:val="CommentSubjectChar"/>
    <w:uiPriority w:val="99"/>
    <w:semiHidden/>
    <w:unhideWhenUsed/>
    <w:rsid w:val="00784359"/>
    <w:rPr>
      <w:b/>
      <w:bCs/>
    </w:rPr>
  </w:style>
  <w:style w:type="character" w:customStyle="1" w:styleId="CommentSubjectChar">
    <w:name w:val="Comment Subject Char"/>
    <w:basedOn w:val="CommentTextChar"/>
    <w:link w:val="CommentSubject"/>
    <w:uiPriority w:val="99"/>
    <w:semiHidden/>
    <w:rsid w:val="00784359"/>
    <w:rPr>
      <w:rFonts w:ascii="Calibri Light" w:hAnsi="Calibri Light"/>
      <w:b/>
      <w:bCs/>
      <w:color w:val="7F7F7F" w:themeColor="text1" w:themeTint="80"/>
      <w:sz w:val="20"/>
      <w:szCs w:val="20"/>
    </w:rPr>
  </w:style>
  <w:style w:type="paragraph" w:styleId="Revision">
    <w:name w:val="Revision"/>
    <w:hidden/>
    <w:uiPriority w:val="99"/>
    <w:rsid w:val="008258FB"/>
    <w:pPr>
      <w:spacing w:after="0"/>
    </w:pPr>
    <w:rPr>
      <w:rFonts w:ascii="Calibri Light" w:hAnsi="Calibri Light"/>
      <w:color w:val="7F7F7F" w:themeColor="text1" w:themeTint="80"/>
      <w:sz w:val="26"/>
    </w:rPr>
  </w:style>
  <w:style w:type="paragraph" w:customStyle="1" w:styleId="Parabeforebulletlist">
    <w:name w:val="Para before bullet list"/>
    <w:basedOn w:val="Normal"/>
    <w:link w:val="ParabeforebulletlistChar"/>
    <w:rsid w:val="00734F27"/>
    <w:pPr>
      <w:spacing w:before="120" w:after="120"/>
    </w:pPr>
  </w:style>
  <w:style w:type="paragraph" w:customStyle="1" w:styleId="Tableheading">
    <w:name w:val="Table heading"/>
    <w:basedOn w:val="Normal"/>
    <w:link w:val="TableheadingChar"/>
    <w:autoRedefine/>
    <w:rsid w:val="00144BE8"/>
    <w:pPr>
      <w:keepNext/>
      <w:spacing w:before="120" w:after="120" w:line="240" w:lineRule="auto"/>
      <w:jc w:val="left"/>
    </w:pPr>
    <w:rPr>
      <w:b/>
      <w:bCs/>
      <w:color w:val="auto"/>
      <w:sz w:val="24"/>
    </w:rPr>
  </w:style>
  <w:style w:type="character" w:customStyle="1" w:styleId="ParabeforebulletlistChar">
    <w:name w:val="Para before bullet list Char"/>
    <w:basedOn w:val="DefaultParagraphFont"/>
    <w:link w:val="Parabeforebulletlist"/>
    <w:rsid w:val="00734F27"/>
    <w:rPr>
      <w:rFonts w:ascii="Calibri Light" w:hAnsi="Calibri Light"/>
      <w:color w:val="4D4D4D" w:themeColor="accent6"/>
      <w:sz w:val="26"/>
    </w:rPr>
  </w:style>
  <w:style w:type="paragraph" w:customStyle="1" w:styleId="Instrumenttablenotes">
    <w:name w:val="Instrument table notes"/>
    <w:basedOn w:val="Normal"/>
    <w:link w:val="InstrumenttablenotesChar"/>
    <w:qFormat/>
    <w:rsid w:val="008538B3"/>
    <w:pPr>
      <w:spacing w:before="0" w:after="0" w:line="240" w:lineRule="auto"/>
      <w:ind w:left="227"/>
      <w:jc w:val="left"/>
    </w:pPr>
    <w:rPr>
      <w:color w:val="auto"/>
      <w:sz w:val="22"/>
    </w:rPr>
  </w:style>
  <w:style w:type="character" w:customStyle="1" w:styleId="TableheadingChar">
    <w:name w:val="Table heading Char"/>
    <w:basedOn w:val="DefaultParagraphFont"/>
    <w:link w:val="Tableheading"/>
    <w:rsid w:val="00144BE8"/>
    <w:rPr>
      <w:rFonts w:ascii="Calibri Light" w:hAnsi="Calibri Light"/>
      <w:b/>
      <w:bCs/>
      <w:sz w:val="24"/>
    </w:rPr>
  </w:style>
  <w:style w:type="table" w:customStyle="1" w:styleId="Style3">
    <w:name w:val="Style3"/>
    <w:basedOn w:val="TableNormal"/>
    <w:uiPriority w:val="99"/>
    <w:rsid w:val="00AD3CD5"/>
    <w:pPr>
      <w:spacing w:after="0"/>
      <w:jc w:val="center"/>
    </w:pPr>
    <w:rPr>
      <w:rFonts w:ascii="Calibri Light" w:hAnsi="Calibri Light"/>
      <w:color w:val="4D4D4D" w:themeColor="accent6"/>
    </w:rPr>
    <w:tblPr>
      <w:tblBorders>
        <w:insideH w:val="single" w:sz="4" w:space="0" w:color="148A5D" w:themeColor="accent2"/>
      </w:tblBorders>
    </w:tblPr>
    <w:tcPr>
      <w:shd w:val="clear" w:color="auto" w:fill="auto"/>
    </w:tcPr>
    <w:tblStylePr w:type="firstRow">
      <w:rPr>
        <w:rFonts w:ascii="Calibri Light" w:hAnsi="Calibri Light"/>
        <w:color w:val="FFFFFF" w:themeColor="background1"/>
        <w:sz w:val="22"/>
      </w:rPr>
    </w:tblStylePr>
  </w:style>
  <w:style w:type="character" w:customStyle="1" w:styleId="InstrumenttablenotesChar">
    <w:name w:val="Instrument table notes Char"/>
    <w:basedOn w:val="DefaultParagraphFont"/>
    <w:link w:val="Instrumenttablenotes"/>
    <w:rsid w:val="008538B3"/>
    <w:rPr>
      <w:rFonts w:ascii="Calibri Light" w:hAnsi="Calibri Light"/>
    </w:rPr>
  </w:style>
  <w:style w:type="paragraph" w:customStyle="1" w:styleId="Figuretitle">
    <w:name w:val="Figure title"/>
    <w:basedOn w:val="ChapterHeading"/>
    <w:link w:val="FiguretitleChar"/>
    <w:autoRedefine/>
    <w:rsid w:val="003404AA"/>
    <w:pPr>
      <w:spacing w:before="120" w:after="120"/>
      <w:ind w:left="1134" w:hanging="1134"/>
    </w:pPr>
    <w:rPr>
      <w:rFonts w:ascii="Calibri Light" w:hAnsi="Calibri Light"/>
      <w:b/>
      <w:color w:val="0F6745" w:themeColor="accent2" w:themeShade="BF"/>
      <w:sz w:val="24"/>
    </w:rPr>
  </w:style>
  <w:style w:type="character" w:customStyle="1" w:styleId="FiguretitleChar">
    <w:name w:val="Figure title Char"/>
    <w:basedOn w:val="ChapterHeadingChar"/>
    <w:link w:val="Figuretitle"/>
    <w:rsid w:val="003404AA"/>
    <w:rPr>
      <w:rFonts w:ascii="Calibri Light" w:hAnsi="Calibri Light" w:cs="Times New Roman (Body CS)"/>
      <w:b/>
      <w:noProof/>
      <w:color w:val="0F6745" w:themeColor="accent2" w:themeShade="BF"/>
      <w:sz w:val="24"/>
      <w:szCs w:val="72"/>
      <w:lang w:val="en-US"/>
    </w:rPr>
  </w:style>
  <w:style w:type="table" w:customStyle="1" w:styleId="ListTable3-Accent21">
    <w:name w:val="List Table 3 - Accent 21"/>
    <w:basedOn w:val="TableNormal"/>
    <w:next w:val="ListTable3-Accent2"/>
    <w:uiPriority w:val="48"/>
    <w:rsid w:val="00692AFC"/>
    <w:pPr>
      <w:spacing w:after="0"/>
    </w:pPr>
    <w:tblPr>
      <w:tblStyleRowBandSize w:val="1"/>
      <w:tblStyleColBandSize w:val="1"/>
      <w:tblBorders>
        <w:top w:val="single" w:sz="4" w:space="0" w:color="148A5D" w:themeColor="accent2"/>
        <w:left w:val="single" w:sz="4" w:space="0" w:color="148A5D" w:themeColor="accent2"/>
        <w:bottom w:val="single" w:sz="4" w:space="0" w:color="148A5D" w:themeColor="accent2"/>
        <w:right w:val="single" w:sz="4" w:space="0" w:color="148A5D" w:themeColor="accent2"/>
      </w:tblBorders>
    </w:tblPr>
    <w:tblStylePr w:type="firstRow">
      <w:rPr>
        <w:b/>
        <w:bCs/>
        <w:color w:val="FFFFFF" w:themeColor="background1"/>
      </w:rPr>
      <w:tblPr/>
      <w:tcPr>
        <w:shd w:val="clear" w:color="auto" w:fill="148A5D" w:themeFill="accent2"/>
      </w:tcPr>
    </w:tblStylePr>
    <w:tblStylePr w:type="lastRow">
      <w:rPr>
        <w:b/>
        <w:bCs/>
      </w:rPr>
      <w:tblPr/>
      <w:tcPr>
        <w:tcBorders>
          <w:top w:val="double" w:sz="4" w:space="0" w:color="148A5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48A5D" w:themeColor="accent2"/>
          <w:right w:val="single" w:sz="4" w:space="0" w:color="148A5D" w:themeColor="accent2"/>
        </w:tcBorders>
      </w:tcPr>
    </w:tblStylePr>
    <w:tblStylePr w:type="band1Horz">
      <w:tblPr/>
      <w:tcPr>
        <w:tcBorders>
          <w:top w:val="single" w:sz="4" w:space="0" w:color="148A5D" w:themeColor="accent2"/>
          <w:bottom w:val="single" w:sz="4" w:space="0" w:color="148A5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themeColor="accent2"/>
          <w:left w:val="nil"/>
        </w:tcBorders>
      </w:tcPr>
    </w:tblStylePr>
    <w:tblStylePr w:type="swCell">
      <w:tblPr/>
      <w:tcPr>
        <w:tcBorders>
          <w:top w:val="double" w:sz="4" w:space="0" w:color="148A5D" w:themeColor="accent2"/>
          <w:right w:val="nil"/>
        </w:tcBorders>
      </w:tcPr>
    </w:tblStylePr>
  </w:style>
  <w:style w:type="paragraph" w:customStyle="1" w:styleId="DPCbullet1">
    <w:name w:val="DPC bullet 1"/>
    <w:basedOn w:val="Normal"/>
    <w:rsid w:val="00692AFC"/>
    <w:pPr>
      <w:numPr>
        <w:numId w:val="2"/>
      </w:numPr>
      <w:spacing w:before="120" w:after="120" w:line="240" w:lineRule="auto"/>
      <w:jc w:val="left"/>
    </w:pPr>
    <w:rPr>
      <w:rFonts w:eastAsia="Times" w:cs="Arial"/>
      <w:color w:val="000000" w:themeColor="text1"/>
    </w:rPr>
  </w:style>
  <w:style w:type="paragraph" w:customStyle="1" w:styleId="DPCbullet2">
    <w:name w:val="DPC bullet 2"/>
    <w:basedOn w:val="Normal"/>
    <w:uiPriority w:val="2"/>
    <w:rsid w:val="00692AFC"/>
    <w:pPr>
      <w:numPr>
        <w:ilvl w:val="1"/>
        <w:numId w:val="2"/>
      </w:numPr>
      <w:spacing w:before="0" w:after="60" w:line="300" w:lineRule="atLeast"/>
      <w:jc w:val="left"/>
    </w:pPr>
    <w:rPr>
      <w:rFonts w:ascii="Calibri" w:eastAsia="Times" w:hAnsi="Calibri" w:cs="Arial"/>
      <w:color w:val="000000" w:themeColor="text1"/>
      <w:sz w:val="22"/>
    </w:rPr>
  </w:style>
  <w:style w:type="numbering" w:customStyle="1" w:styleId="ZZBullets">
    <w:name w:val="ZZ Bullets"/>
    <w:rsid w:val="00692AFC"/>
    <w:pPr>
      <w:numPr>
        <w:numId w:val="2"/>
      </w:numPr>
    </w:pPr>
  </w:style>
  <w:style w:type="paragraph" w:styleId="BodyText">
    <w:name w:val="Body Text"/>
    <w:aliases w:val="Body Text PB"/>
    <w:basedOn w:val="Normal"/>
    <w:link w:val="BodyTextChar"/>
    <w:rsid w:val="00692AFC"/>
    <w:pPr>
      <w:tabs>
        <w:tab w:val="left" w:pos="454"/>
      </w:tabs>
      <w:spacing w:before="240"/>
      <w:jc w:val="left"/>
    </w:pPr>
    <w:rPr>
      <w:rFonts w:eastAsia="Times New Roman" w:cs="Times New Roman"/>
      <w:color w:val="auto"/>
      <w:szCs w:val="20"/>
    </w:rPr>
  </w:style>
  <w:style w:type="character" w:customStyle="1" w:styleId="BodyTextChar">
    <w:name w:val="Body Text Char"/>
    <w:aliases w:val="Body Text PB Char"/>
    <w:basedOn w:val="DefaultParagraphFont"/>
    <w:link w:val="BodyText"/>
    <w:rsid w:val="00692AFC"/>
    <w:rPr>
      <w:rFonts w:ascii="Calibri Light" w:eastAsia="Times New Roman" w:hAnsi="Calibri Light" w:cs="Times New Roman"/>
      <w:sz w:val="26"/>
      <w:szCs w:val="20"/>
    </w:rPr>
  </w:style>
  <w:style w:type="table" w:customStyle="1" w:styleId="ListTable3-Accent211">
    <w:name w:val="List Table 3 - Accent 211"/>
    <w:basedOn w:val="TableNormal"/>
    <w:next w:val="ListTable3-Accent2"/>
    <w:uiPriority w:val="48"/>
    <w:rsid w:val="00692AFC"/>
    <w:pPr>
      <w:spacing w:after="0"/>
    </w:pPr>
    <w:tblPr>
      <w:tblStyleRowBandSize w:val="1"/>
      <w:tblStyleColBandSize w:val="1"/>
      <w:tblBorders>
        <w:top w:val="single" w:sz="4" w:space="0" w:color="148A5D"/>
        <w:left w:val="single" w:sz="4" w:space="0" w:color="148A5D"/>
        <w:bottom w:val="single" w:sz="4" w:space="0" w:color="148A5D"/>
        <w:right w:val="single" w:sz="4" w:space="0" w:color="148A5D"/>
      </w:tblBorders>
    </w:tblPr>
    <w:tblStylePr w:type="firstRow">
      <w:rPr>
        <w:b/>
        <w:bCs/>
        <w:color w:val="FFFFFF"/>
      </w:rPr>
      <w:tblPr/>
      <w:tcPr>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paragraph" w:customStyle="1" w:styleId="Footnotes">
    <w:name w:val="Footnotes"/>
    <w:basedOn w:val="FootnoteText"/>
    <w:link w:val="FootnotesChar"/>
    <w:qFormat/>
    <w:rsid w:val="009D5D0D"/>
    <w:pPr>
      <w:ind w:left="284" w:hanging="284"/>
      <w:contextualSpacing/>
    </w:pPr>
  </w:style>
  <w:style w:type="character" w:customStyle="1" w:styleId="FootnotesChar">
    <w:name w:val="Footnotes Char"/>
    <w:basedOn w:val="FootnoteTextChar"/>
    <w:link w:val="Footnotes"/>
    <w:rsid w:val="009D5D0D"/>
    <w:rPr>
      <w:rFonts w:ascii="Calibri Light" w:hAnsi="Calibri Light"/>
      <w:sz w:val="18"/>
      <w:szCs w:val="20"/>
    </w:rPr>
  </w:style>
  <w:style w:type="paragraph" w:customStyle="1" w:styleId="Sourcefortablesandfigures">
    <w:name w:val="Source for tables and figures"/>
    <w:basedOn w:val="Footnotes"/>
    <w:link w:val="SourcefortablesandfiguresChar"/>
    <w:autoRedefine/>
    <w:rsid w:val="00C33917"/>
    <w:pPr>
      <w:spacing w:after="240"/>
      <w:jc w:val="left"/>
    </w:pPr>
  </w:style>
  <w:style w:type="character" w:customStyle="1" w:styleId="SourcefortablesandfiguresChar">
    <w:name w:val="Source for tables and figures Char"/>
    <w:basedOn w:val="FootnotesChar"/>
    <w:link w:val="Sourcefortablesandfigures"/>
    <w:rsid w:val="00C33917"/>
    <w:rPr>
      <w:rFonts w:ascii="Calibri Light" w:hAnsi="Calibri Light"/>
      <w:color w:val="4D4D4D" w:themeColor="accent6"/>
      <w:sz w:val="18"/>
      <w:szCs w:val="20"/>
    </w:rPr>
  </w:style>
  <w:style w:type="paragraph" w:customStyle="1" w:styleId="Tablebullets">
    <w:name w:val="Table bullets"/>
    <w:basedOn w:val="ListParagraph"/>
    <w:link w:val="TablebulletsChar"/>
    <w:rsid w:val="009D16F9"/>
    <w:pPr>
      <w:numPr>
        <w:numId w:val="3"/>
      </w:numPr>
      <w:spacing w:before="0" w:after="0" w:line="240" w:lineRule="auto"/>
      <w:jc w:val="left"/>
    </w:pPr>
    <w:rPr>
      <w:rFonts w:eastAsia="Times" w:cs="Calibri Light"/>
      <w:sz w:val="22"/>
    </w:rPr>
  </w:style>
  <w:style w:type="character" w:customStyle="1" w:styleId="ListParagraphChar">
    <w:name w:val="List Paragraph Char"/>
    <w:basedOn w:val="DefaultParagraphFont"/>
    <w:link w:val="ListParagraph"/>
    <w:uiPriority w:val="34"/>
    <w:rsid w:val="009D16F9"/>
    <w:rPr>
      <w:rFonts w:ascii="Calibri Light" w:hAnsi="Calibri Light"/>
      <w:color w:val="4D4D4D" w:themeColor="accent6"/>
      <w:sz w:val="26"/>
    </w:rPr>
  </w:style>
  <w:style w:type="character" w:customStyle="1" w:styleId="TablebulletsChar">
    <w:name w:val="Table bullets Char"/>
    <w:basedOn w:val="ListParagraphChar"/>
    <w:link w:val="Tablebullets"/>
    <w:rsid w:val="009D16F9"/>
    <w:rPr>
      <w:rFonts w:ascii="Calibri Light" w:eastAsia="Times" w:hAnsi="Calibri Light" w:cs="Calibri Light"/>
      <w:color w:val="4D4D4D" w:themeColor="accent6"/>
      <w:sz w:val="26"/>
    </w:rPr>
  </w:style>
  <w:style w:type="paragraph" w:customStyle="1" w:styleId="Default">
    <w:name w:val="Default"/>
    <w:rsid w:val="003956A7"/>
    <w:pPr>
      <w:autoSpaceDE w:val="0"/>
      <w:autoSpaceDN w:val="0"/>
      <w:adjustRightInd w:val="0"/>
      <w:spacing w:after="0"/>
    </w:pPr>
    <w:rPr>
      <w:rFonts w:ascii="Times New Roman" w:hAnsi="Times New Roman" w:cs="Times New Roman"/>
      <w:color w:val="000000"/>
      <w:sz w:val="24"/>
      <w:szCs w:val="24"/>
    </w:rPr>
  </w:style>
  <w:style w:type="paragraph" w:customStyle="1" w:styleId="VIRTDeterminationbullets">
    <w:name w:val="VIRT Determination bullets"/>
    <w:basedOn w:val="Instrumentlevel3alphanumericallist"/>
    <w:rsid w:val="000F6CE8"/>
    <w:pPr>
      <w:numPr>
        <w:numId w:val="5"/>
      </w:numPr>
    </w:pPr>
  </w:style>
  <w:style w:type="paragraph" w:customStyle="1" w:styleId="VIRTBulletpoints">
    <w:name w:val="VIRT Bullet points"/>
    <w:basedOn w:val="Normal"/>
    <w:link w:val="VIRTBulletpointsChar"/>
    <w:autoRedefine/>
    <w:rsid w:val="009F05E6"/>
    <w:pPr>
      <w:numPr>
        <w:numId w:val="4"/>
      </w:numPr>
      <w:spacing w:before="0"/>
      <w:ind w:left="1418" w:hanging="1418"/>
      <w:contextualSpacing/>
    </w:pPr>
    <w:rPr>
      <w:rFonts w:cs="Arial"/>
      <w:noProof/>
      <w:szCs w:val="20"/>
      <w:lang w:val="en-US"/>
    </w:rPr>
  </w:style>
  <w:style w:type="character" w:styleId="PlaceholderText">
    <w:name w:val="Placeholder Text"/>
    <w:basedOn w:val="DefaultParagraphFont"/>
    <w:uiPriority w:val="99"/>
    <w:semiHidden/>
    <w:rsid w:val="001B01B2"/>
    <w:rPr>
      <w:color w:val="808080"/>
    </w:rPr>
  </w:style>
  <w:style w:type="paragraph" w:customStyle="1" w:styleId="Instrumentlevel2numberedparagraphs">
    <w:name w:val="Instrument level 2 numbered paragraphs"/>
    <w:basedOn w:val="ListParagraph"/>
    <w:link w:val="Instrumentlevel2numberedparagraphsChar"/>
    <w:qFormat/>
    <w:rsid w:val="00260C01"/>
    <w:pPr>
      <w:numPr>
        <w:ilvl w:val="1"/>
        <w:numId w:val="6"/>
      </w:numPr>
      <w:contextualSpacing w:val="0"/>
    </w:pPr>
    <w:rPr>
      <w:color w:val="auto"/>
    </w:rPr>
  </w:style>
  <w:style w:type="character" w:customStyle="1" w:styleId="Instrumentlevel2numberedparagraphsChar">
    <w:name w:val="Instrument level 2 numbered paragraphs Char"/>
    <w:basedOn w:val="ListParagraphChar"/>
    <w:link w:val="Instrumentlevel2numberedparagraphs"/>
    <w:rsid w:val="00260C01"/>
    <w:rPr>
      <w:rFonts w:ascii="Calibri Light" w:hAnsi="Calibri Light"/>
      <w:color w:val="4D4D4D" w:themeColor="accent6"/>
      <w:sz w:val="26"/>
    </w:rPr>
  </w:style>
  <w:style w:type="paragraph" w:customStyle="1" w:styleId="Instrumenttableofcontents">
    <w:name w:val="Instrument table of contents"/>
    <w:qFormat/>
    <w:rsid w:val="00D132A3"/>
    <w:pPr>
      <w:spacing w:before="180" w:after="180" w:line="276" w:lineRule="auto"/>
      <w:jc w:val="both"/>
    </w:pPr>
    <w:rPr>
      <w:rFonts w:ascii="Calibri Light" w:hAnsi="Calibri Light" w:cs="Arial"/>
      <w:bCs/>
      <w:sz w:val="26"/>
      <w:szCs w:val="20"/>
    </w:rPr>
  </w:style>
  <w:style w:type="paragraph" w:customStyle="1" w:styleId="Instrumentlevel1numberedparagraphs">
    <w:name w:val="Instrument level 1 numbered paragraphs"/>
    <w:basedOn w:val="ListParagraph"/>
    <w:link w:val="Instrumentlevel1numberedparagraphsChar"/>
    <w:qFormat/>
    <w:rsid w:val="00A408EB"/>
    <w:pPr>
      <w:numPr>
        <w:numId w:val="6"/>
      </w:numPr>
      <w:spacing w:after="0"/>
      <w:ind w:left="357" w:hanging="357"/>
      <w:contextualSpacing w:val="0"/>
    </w:pPr>
    <w:rPr>
      <w:b/>
      <w:color w:val="auto"/>
    </w:rPr>
  </w:style>
  <w:style w:type="character" w:customStyle="1" w:styleId="Instrumentlevel1numberedparagraphsChar">
    <w:name w:val="Instrument level 1 numbered paragraphs Char"/>
    <w:basedOn w:val="ListParagraphChar"/>
    <w:link w:val="Instrumentlevel1numberedparagraphs"/>
    <w:rsid w:val="00A408EB"/>
    <w:rPr>
      <w:rFonts w:ascii="Calibri Light" w:hAnsi="Calibri Light"/>
      <w:b/>
      <w:color w:val="4D4D4D" w:themeColor="accent6"/>
      <w:sz w:val="26"/>
    </w:rPr>
  </w:style>
  <w:style w:type="character" w:customStyle="1" w:styleId="VIRTHeading3Char">
    <w:name w:val="VIRT Heading 3 Char"/>
    <w:basedOn w:val="DefaultParagraphFont"/>
    <w:link w:val="VIRTHeading3"/>
    <w:locked/>
    <w:rsid w:val="007A19EF"/>
    <w:rPr>
      <w:rFonts w:ascii="Rockwell" w:hAnsi="Rockwell" w:cs="Arial"/>
      <w:color w:val="0F6745" w:themeColor="accent2" w:themeShade="BF"/>
      <w:spacing w:val="-6"/>
      <w:sz w:val="30"/>
    </w:rPr>
  </w:style>
  <w:style w:type="paragraph" w:customStyle="1" w:styleId="05Paragraph">
    <w:name w:val="05. Paragraph"/>
    <w:link w:val="05ParagraphChar"/>
    <w:qFormat/>
    <w:locked/>
    <w:rsid w:val="00384E76"/>
    <w:pPr>
      <w:spacing w:before="180" w:after="0" w:line="276" w:lineRule="auto"/>
      <w:jc w:val="both"/>
    </w:pPr>
    <w:rPr>
      <w:rFonts w:ascii="Calibri Light" w:hAnsi="Calibri Light" w:cs="Arial"/>
      <w:sz w:val="26"/>
      <w:szCs w:val="20"/>
    </w:rPr>
  </w:style>
  <w:style w:type="character" w:customStyle="1" w:styleId="05ParagraphChar">
    <w:name w:val="05. Paragraph Char"/>
    <w:basedOn w:val="DefaultParagraphFont"/>
    <w:link w:val="05Paragraph"/>
    <w:rsid w:val="00384E76"/>
    <w:rPr>
      <w:rFonts w:ascii="Calibri Light" w:hAnsi="Calibri Light" w:cs="Arial"/>
      <w:sz w:val="26"/>
      <w:szCs w:val="20"/>
    </w:rPr>
  </w:style>
  <w:style w:type="paragraph" w:customStyle="1" w:styleId="10Tabletext">
    <w:name w:val="10. Table text"/>
    <w:link w:val="10TabletextChar"/>
    <w:qFormat/>
    <w:locked/>
    <w:rsid w:val="0086059D"/>
    <w:pPr>
      <w:spacing w:after="0"/>
    </w:pPr>
    <w:rPr>
      <w:rFonts w:ascii="Calibri Light" w:eastAsia="Rockwell" w:hAnsi="Calibri Light" w:cs="Calibri Light"/>
      <w:bCs/>
    </w:rPr>
  </w:style>
  <w:style w:type="character" w:customStyle="1" w:styleId="10TabletextChar">
    <w:name w:val="10. Table text Char"/>
    <w:basedOn w:val="DefaultParagraphFont"/>
    <w:link w:val="10Tabletext"/>
    <w:rsid w:val="0086059D"/>
    <w:rPr>
      <w:rFonts w:ascii="Calibri Light" w:eastAsia="Rockwell" w:hAnsi="Calibri Light" w:cs="Calibri Light"/>
      <w:bCs/>
    </w:rPr>
  </w:style>
  <w:style w:type="paragraph" w:customStyle="1" w:styleId="Notesfortablesfigures">
    <w:name w:val="Notes for tables/figures"/>
    <w:link w:val="NotesfortablesfiguresChar"/>
    <w:locked/>
    <w:rsid w:val="004770E0"/>
    <w:pPr>
      <w:spacing w:after="0"/>
    </w:pPr>
    <w:rPr>
      <w:rFonts w:ascii="Calibri Light" w:hAnsi="Calibri Light"/>
      <w:color w:val="000000" w:themeColor="text1"/>
      <w:sz w:val="18"/>
      <w:szCs w:val="20"/>
    </w:rPr>
  </w:style>
  <w:style w:type="character" w:customStyle="1" w:styleId="NotesfortablesfiguresChar">
    <w:name w:val="Notes for tables/figures Char"/>
    <w:basedOn w:val="DefaultParagraphFont"/>
    <w:link w:val="Notesfortablesfigures"/>
    <w:rsid w:val="004770E0"/>
    <w:rPr>
      <w:rFonts w:ascii="Calibri Light" w:hAnsi="Calibri Light"/>
      <w:color w:val="000000" w:themeColor="text1"/>
      <w:sz w:val="18"/>
      <w:szCs w:val="20"/>
    </w:rPr>
  </w:style>
  <w:style w:type="paragraph" w:customStyle="1" w:styleId="09Sourcesandnotesfortablesfiguresboxes">
    <w:name w:val="09. Sources and notes for tables/figures/boxes"/>
    <w:basedOn w:val="Normal"/>
    <w:link w:val="09SourcesandnotesfortablesfiguresboxesChar"/>
    <w:qFormat/>
    <w:locked/>
    <w:rsid w:val="00245171"/>
    <w:pPr>
      <w:spacing w:before="0" w:line="240" w:lineRule="auto"/>
      <w:ind w:right="-149"/>
      <w:contextualSpacing/>
      <w:jc w:val="left"/>
    </w:pPr>
    <w:rPr>
      <w:rFonts w:cs="Calibri"/>
      <w:color w:val="auto"/>
      <w:sz w:val="18"/>
      <w:szCs w:val="20"/>
    </w:rPr>
  </w:style>
  <w:style w:type="character" w:customStyle="1" w:styleId="09SourcesandnotesfortablesfiguresboxesChar">
    <w:name w:val="09. Sources and notes for tables/figures/boxes Char"/>
    <w:basedOn w:val="DefaultParagraphFont"/>
    <w:link w:val="09Sourcesandnotesfortablesfiguresboxes"/>
    <w:rsid w:val="00245171"/>
    <w:rPr>
      <w:rFonts w:ascii="Calibri Light" w:hAnsi="Calibri Light" w:cs="Calibri"/>
      <w:sz w:val="18"/>
      <w:szCs w:val="20"/>
    </w:rPr>
  </w:style>
  <w:style w:type="paragraph" w:customStyle="1" w:styleId="Tabletext">
    <w:name w:val="Table text"/>
    <w:link w:val="TabletextChar"/>
    <w:qFormat/>
    <w:locked/>
    <w:rsid w:val="005704EF"/>
    <w:pPr>
      <w:spacing w:after="0"/>
    </w:pPr>
    <w:rPr>
      <w:rFonts w:ascii="Calibri Light" w:hAnsi="Calibri Light"/>
      <w:color w:val="000000" w:themeColor="text1"/>
    </w:rPr>
  </w:style>
  <w:style w:type="character" w:customStyle="1" w:styleId="TabletextChar">
    <w:name w:val="Table text Char"/>
    <w:basedOn w:val="DefaultParagraphFont"/>
    <w:link w:val="Tabletext"/>
    <w:rsid w:val="005704EF"/>
    <w:rPr>
      <w:rFonts w:ascii="Calibri Light" w:hAnsi="Calibri Light"/>
      <w:color w:val="000000" w:themeColor="text1"/>
    </w:rPr>
  </w:style>
  <w:style w:type="paragraph" w:customStyle="1" w:styleId="02VIRTHeading2">
    <w:name w:val="02. VIRT Heading 2"/>
    <w:basedOn w:val="Normal"/>
    <w:link w:val="02VIRTHeading2Char"/>
    <w:qFormat/>
    <w:locked/>
    <w:rsid w:val="005704EF"/>
    <w:pPr>
      <w:keepNext/>
      <w:spacing w:before="240" w:line="240" w:lineRule="auto"/>
      <w:ind w:left="1418" w:hanging="1418"/>
      <w:jc w:val="left"/>
      <w:outlineLvl w:val="1"/>
    </w:pPr>
    <w:rPr>
      <w:rFonts w:ascii="Rockwell" w:hAnsi="Rockwell" w:cs="Times New Roman (Body CS)"/>
      <w:color w:val="007449"/>
      <w:sz w:val="44"/>
      <w:szCs w:val="44"/>
    </w:rPr>
  </w:style>
  <w:style w:type="character" w:customStyle="1" w:styleId="02VIRTHeading2Char">
    <w:name w:val="02. VIRT Heading 2 Char"/>
    <w:basedOn w:val="DefaultParagraphFont"/>
    <w:link w:val="02VIRTHeading2"/>
    <w:rsid w:val="005704EF"/>
    <w:rPr>
      <w:rFonts w:ascii="Rockwell" w:hAnsi="Rockwell" w:cs="Times New Roman (Body CS)"/>
      <w:color w:val="007449"/>
      <w:sz w:val="44"/>
      <w:szCs w:val="44"/>
    </w:rPr>
  </w:style>
  <w:style w:type="paragraph" w:customStyle="1" w:styleId="03VIRTHeading3">
    <w:name w:val="03. VIRT Heading 3"/>
    <w:basedOn w:val="Normal"/>
    <w:link w:val="03VIRTHeading3Char"/>
    <w:qFormat/>
    <w:locked/>
    <w:rsid w:val="005704EF"/>
    <w:pPr>
      <w:keepNext/>
      <w:spacing w:before="240" w:line="240" w:lineRule="auto"/>
      <w:jc w:val="left"/>
      <w:outlineLvl w:val="2"/>
    </w:pPr>
    <w:rPr>
      <w:rFonts w:ascii="Rockwell" w:hAnsi="Rockwell" w:cs="Arial"/>
      <w:color w:val="0F6745" w:themeColor="accent2" w:themeShade="BF"/>
      <w:spacing w:val="-6"/>
      <w:sz w:val="30"/>
    </w:rPr>
  </w:style>
  <w:style w:type="character" w:customStyle="1" w:styleId="03VIRTHeading3Char">
    <w:name w:val="03. VIRT Heading 3 Char"/>
    <w:basedOn w:val="DefaultParagraphFont"/>
    <w:link w:val="03VIRTHeading3"/>
    <w:locked/>
    <w:rsid w:val="005704EF"/>
    <w:rPr>
      <w:rFonts w:ascii="Rockwell" w:hAnsi="Rockwell" w:cs="Arial"/>
      <w:color w:val="0F6745" w:themeColor="accent2" w:themeShade="BF"/>
      <w:spacing w:val="-6"/>
      <w:sz w:val="30"/>
    </w:rPr>
  </w:style>
  <w:style w:type="paragraph" w:customStyle="1" w:styleId="04VIRTheading4">
    <w:name w:val="04. VIRT heading 4"/>
    <w:link w:val="04VIRTheading4Char"/>
    <w:qFormat/>
    <w:locked/>
    <w:rsid w:val="005704EF"/>
    <w:pPr>
      <w:keepNext/>
      <w:spacing w:before="120" w:after="120"/>
    </w:pPr>
    <w:rPr>
      <w:rFonts w:ascii="Calibri Light" w:hAnsi="Calibri Light" w:cs="Arial"/>
      <w:b/>
      <w:color w:val="148A5D" w:themeColor="accent2"/>
      <w:sz w:val="26"/>
      <w:szCs w:val="20"/>
    </w:rPr>
  </w:style>
  <w:style w:type="character" w:customStyle="1" w:styleId="04VIRTheading4Char">
    <w:name w:val="04. VIRT heading 4 Char"/>
    <w:basedOn w:val="DefaultParagraphFont"/>
    <w:link w:val="04VIRTheading4"/>
    <w:rsid w:val="005704EF"/>
    <w:rPr>
      <w:rFonts w:ascii="Calibri Light" w:hAnsi="Calibri Light" w:cs="Arial"/>
      <w:b/>
      <w:color w:val="148A5D" w:themeColor="accent2"/>
      <w:sz w:val="26"/>
      <w:szCs w:val="20"/>
    </w:rPr>
  </w:style>
  <w:style w:type="character" w:customStyle="1" w:styleId="normaltextrun">
    <w:name w:val="normaltextrun"/>
    <w:basedOn w:val="DefaultParagraphFont"/>
    <w:rsid w:val="005704EF"/>
  </w:style>
  <w:style w:type="paragraph" w:customStyle="1" w:styleId="01Chapterheading">
    <w:name w:val="01. Chapter heading"/>
    <w:link w:val="01ChapterheadingChar"/>
    <w:qFormat/>
    <w:rsid w:val="00421581"/>
    <w:pPr>
      <w:spacing w:after="480"/>
      <w:outlineLvl w:val="0"/>
    </w:pPr>
    <w:rPr>
      <w:rFonts w:ascii="Rockwell" w:hAnsi="Rockwell" w:cs="Arial"/>
      <w:color w:val="26664E" w:themeColor="accent1"/>
      <w:sz w:val="72"/>
      <w:szCs w:val="20"/>
    </w:rPr>
  </w:style>
  <w:style w:type="character" w:customStyle="1" w:styleId="01ChapterheadingChar">
    <w:name w:val="01. Chapter heading Char"/>
    <w:basedOn w:val="DefaultParagraphFont"/>
    <w:link w:val="01Chapterheading"/>
    <w:rsid w:val="00421581"/>
    <w:rPr>
      <w:rFonts w:ascii="Rockwell" w:hAnsi="Rockwell" w:cs="Arial"/>
      <w:color w:val="26664E" w:themeColor="accent1"/>
      <w:sz w:val="72"/>
      <w:szCs w:val="20"/>
    </w:rPr>
  </w:style>
  <w:style w:type="paragraph" w:customStyle="1" w:styleId="06VIRTBulletpoints">
    <w:name w:val="06. VIRT Bullet points"/>
    <w:basedOn w:val="Normal"/>
    <w:link w:val="06VIRTBulletpointsChar"/>
    <w:qFormat/>
    <w:locked/>
    <w:rsid w:val="004770E0"/>
    <w:pPr>
      <w:numPr>
        <w:numId w:val="11"/>
      </w:numPr>
      <w:spacing w:before="120" w:after="120"/>
      <w:contextualSpacing/>
    </w:pPr>
    <w:rPr>
      <w:rFonts w:cs="Calibri"/>
      <w:color w:val="auto"/>
      <w:szCs w:val="20"/>
    </w:rPr>
  </w:style>
  <w:style w:type="character" w:customStyle="1" w:styleId="06VIRTBulletpointsChar">
    <w:name w:val="06. VIRT Bullet points Char"/>
    <w:basedOn w:val="DefaultParagraphFont"/>
    <w:link w:val="06VIRTBulletpoints"/>
    <w:locked/>
    <w:rsid w:val="004770E0"/>
    <w:rPr>
      <w:rFonts w:ascii="Calibri Light" w:hAnsi="Calibri Light" w:cs="Calibri"/>
      <w:sz w:val="26"/>
      <w:szCs w:val="20"/>
    </w:rPr>
  </w:style>
  <w:style w:type="numbering" w:customStyle="1" w:styleId="NoList1">
    <w:name w:val="No List1"/>
    <w:next w:val="NoList"/>
    <w:uiPriority w:val="99"/>
    <w:semiHidden/>
    <w:unhideWhenUsed/>
    <w:rsid w:val="00B1165D"/>
  </w:style>
  <w:style w:type="paragraph" w:customStyle="1" w:styleId="Chapterheading0">
    <w:name w:val="Chapter heading"/>
    <w:link w:val="ChapterheadingChar0"/>
    <w:locked/>
    <w:rsid w:val="00B1165D"/>
    <w:pPr>
      <w:spacing w:after="720"/>
      <w:outlineLvl w:val="0"/>
    </w:pPr>
    <w:rPr>
      <w:rFonts w:ascii="Rockwell" w:hAnsi="Rockwell" w:cs="Times New Roman (Body CS)"/>
      <w:noProof/>
      <w:color w:val="007449"/>
      <w:spacing w:val="-6"/>
      <w:sz w:val="72"/>
      <w:szCs w:val="72"/>
      <w:lang w:val="en-US"/>
    </w:rPr>
  </w:style>
  <w:style w:type="character" w:customStyle="1" w:styleId="ChapterheadingChar0">
    <w:name w:val="Chapter heading Char"/>
    <w:basedOn w:val="VIRTHeading2Char"/>
    <w:link w:val="Chapterheading0"/>
    <w:rsid w:val="00B1165D"/>
    <w:rPr>
      <w:rFonts w:ascii="Rockwell" w:hAnsi="Rockwell" w:cs="Times New Roman (Body CS)"/>
      <w:noProof/>
      <w:color w:val="007449"/>
      <w:spacing w:val="-6"/>
      <w:sz w:val="72"/>
      <w:szCs w:val="72"/>
      <w:lang w:val="en-US"/>
    </w:rPr>
  </w:style>
  <w:style w:type="character" w:customStyle="1" w:styleId="VIRTBulletpointsChar">
    <w:name w:val="VIRT Bullet points Char"/>
    <w:basedOn w:val="DefaultParagraphFont"/>
    <w:link w:val="VIRTBulletpoints"/>
    <w:locked/>
    <w:rsid w:val="00B1165D"/>
    <w:rPr>
      <w:rFonts w:ascii="Calibri Light" w:hAnsi="Calibri Light" w:cs="Arial"/>
      <w:noProof/>
      <w:color w:val="4D4D4D" w:themeColor="accent6"/>
      <w:sz w:val="26"/>
      <w:szCs w:val="20"/>
      <w:lang w:val="en-US"/>
    </w:rPr>
  </w:style>
  <w:style w:type="paragraph" w:customStyle="1" w:styleId="Sourcefortablesfigures">
    <w:name w:val="Source for tables/figures"/>
    <w:basedOn w:val="Normal"/>
    <w:link w:val="SourcefortablesfiguresChar"/>
    <w:locked/>
    <w:rsid w:val="00B1165D"/>
    <w:pPr>
      <w:spacing w:before="0" w:line="240" w:lineRule="auto"/>
      <w:ind w:right="-149"/>
      <w:contextualSpacing/>
      <w:jc w:val="left"/>
    </w:pPr>
    <w:rPr>
      <w:sz w:val="18"/>
      <w:szCs w:val="20"/>
    </w:rPr>
  </w:style>
  <w:style w:type="character" w:customStyle="1" w:styleId="SourcefortablesfiguresChar">
    <w:name w:val="Source for tables/figures Char"/>
    <w:basedOn w:val="DefaultParagraphFont"/>
    <w:link w:val="Sourcefortablesfigures"/>
    <w:rsid w:val="00B1165D"/>
    <w:rPr>
      <w:rFonts w:ascii="Calibri Light" w:hAnsi="Calibri Light"/>
      <w:color w:val="4D4D4D" w:themeColor="accent6"/>
      <w:sz w:val="18"/>
      <w:szCs w:val="20"/>
    </w:rPr>
  </w:style>
  <w:style w:type="paragraph" w:customStyle="1" w:styleId="Parapraphbeforeabulletlist">
    <w:name w:val="Parapraph before a bullet list"/>
    <w:basedOn w:val="Normal"/>
    <w:link w:val="ParapraphbeforeabulletlistChar"/>
    <w:autoRedefine/>
    <w:locked/>
    <w:rsid w:val="00B1165D"/>
    <w:pPr>
      <w:keepNext/>
      <w:spacing w:after="0"/>
    </w:pPr>
    <w:rPr>
      <w:rFonts w:cs="Times New Roman (Body CS)"/>
      <w:noProof/>
      <w:color w:val="000000"/>
      <w:szCs w:val="44"/>
    </w:rPr>
  </w:style>
  <w:style w:type="character" w:customStyle="1" w:styleId="ParapraphbeforeabulletlistChar">
    <w:name w:val="Parapraph before a bullet list Char"/>
    <w:basedOn w:val="DefaultParagraphFont"/>
    <w:link w:val="Parapraphbeforeabulletlist"/>
    <w:rsid w:val="00B1165D"/>
    <w:rPr>
      <w:rFonts w:ascii="Calibri Light" w:hAnsi="Calibri Light" w:cs="Times New Roman (Body CS)"/>
      <w:noProof/>
      <w:color w:val="000000"/>
      <w:sz w:val="26"/>
      <w:szCs w:val="44"/>
    </w:rPr>
  </w:style>
  <w:style w:type="table" w:customStyle="1" w:styleId="ListTable3-Accent22">
    <w:name w:val="List Table 3 - Accent 22"/>
    <w:basedOn w:val="TableNormal"/>
    <w:next w:val="ListTable3-Accent2"/>
    <w:uiPriority w:val="48"/>
    <w:locked/>
    <w:rsid w:val="00B1165D"/>
    <w:pPr>
      <w:spacing w:after="0"/>
    </w:pPr>
    <w:tblPr>
      <w:tblStyleRowBandSize w:val="1"/>
      <w:tblStyleColBandSize w:val="1"/>
      <w:tblBorders>
        <w:top w:val="single" w:sz="4" w:space="0" w:color="148A5D"/>
        <w:left w:val="single" w:sz="4" w:space="0" w:color="148A5D"/>
        <w:bottom w:val="single" w:sz="4" w:space="0" w:color="148A5D"/>
        <w:right w:val="single" w:sz="4" w:space="0" w:color="148A5D"/>
      </w:tblBorders>
    </w:tblPr>
    <w:tblStylePr w:type="firstRow">
      <w:rPr>
        <w:b/>
        <w:bCs/>
        <w:color w:val="FFFFFF"/>
      </w:rPr>
      <w:tblPr/>
      <w:tcPr>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paragraph" w:customStyle="1" w:styleId="Bulletsinatable">
    <w:name w:val="Bullets in a table"/>
    <w:link w:val="BulletsinatableChar"/>
    <w:locked/>
    <w:rsid w:val="00B1165D"/>
    <w:pPr>
      <w:numPr>
        <w:numId w:val="27"/>
      </w:numPr>
      <w:spacing w:after="0"/>
      <w:jc w:val="right"/>
    </w:pPr>
    <w:rPr>
      <w:rFonts w:ascii="Calibri Light" w:hAnsi="Calibri Light" w:cs="Arial"/>
      <w:bCs/>
      <w:color w:val="4D4D4D"/>
      <w:szCs w:val="20"/>
    </w:rPr>
  </w:style>
  <w:style w:type="character" w:customStyle="1" w:styleId="BulletsinatableChar">
    <w:name w:val="Bullets in a table Char"/>
    <w:basedOn w:val="DefaultParagraphFont"/>
    <w:link w:val="Bulletsinatable"/>
    <w:rsid w:val="00B1165D"/>
    <w:rPr>
      <w:rFonts w:ascii="Calibri Light" w:hAnsi="Calibri Light" w:cs="Arial"/>
      <w:bCs/>
      <w:color w:val="4D4D4D"/>
      <w:szCs w:val="20"/>
    </w:rPr>
  </w:style>
  <w:style w:type="paragraph" w:customStyle="1" w:styleId="Figureheading">
    <w:name w:val="Figure heading"/>
    <w:basedOn w:val="Tableheading"/>
    <w:link w:val="FigureheadingChar"/>
    <w:locked/>
    <w:rsid w:val="00B1165D"/>
    <w:pPr>
      <w:spacing w:before="180" w:after="0"/>
    </w:pPr>
    <w:rPr>
      <w:rFonts w:cs="Arial"/>
      <w:color w:val="26664E"/>
      <w:szCs w:val="20"/>
    </w:rPr>
  </w:style>
  <w:style w:type="paragraph" w:customStyle="1" w:styleId="VIRTheading40">
    <w:name w:val="VIRT heading 4"/>
    <w:link w:val="VIRTheading4Char"/>
    <w:autoRedefine/>
    <w:locked/>
    <w:rsid w:val="00B1165D"/>
    <w:pPr>
      <w:keepNext/>
      <w:spacing w:before="120" w:after="120"/>
    </w:pPr>
    <w:rPr>
      <w:rFonts w:ascii="Calibri Light" w:hAnsi="Calibri Light" w:cs="Arial"/>
      <w:b/>
      <w:color w:val="148A5D"/>
      <w:sz w:val="26"/>
      <w:szCs w:val="20"/>
    </w:rPr>
  </w:style>
  <w:style w:type="character" w:customStyle="1" w:styleId="FigureheadingChar">
    <w:name w:val="Figure heading Char"/>
    <w:basedOn w:val="TableheadingChar"/>
    <w:link w:val="Figureheading"/>
    <w:rsid w:val="00B1165D"/>
    <w:rPr>
      <w:rFonts w:ascii="Calibri Light" w:hAnsi="Calibri Light" w:cs="Arial"/>
      <w:b/>
      <w:bCs/>
      <w:color w:val="26664E"/>
      <w:sz w:val="24"/>
      <w:szCs w:val="20"/>
    </w:rPr>
  </w:style>
  <w:style w:type="character" w:customStyle="1" w:styleId="VIRTheading4Char">
    <w:name w:val="VIRT heading 4 Char"/>
    <w:basedOn w:val="DefaultParagraphFont"/>
    <w:link w:val="VIRTheading40"/>
    <w:rsid w:val="00B1165D"/>
    <w:rPr>
      <w:rFonts w:ascii="Calibri Light" w:hAnsi="Calibri Light" w:cs="Arial"/>
      <w:b/>
      <w:color w:val="148A5D"/>
      <w:sz w:val="26"/>
      <w:szCs w:val="20"/>
    </w:rPr>
  </w:style>
  <w:style w:type="paragraph" w:customStyle="1" w:styleId="Reportheading">
    <w:name w:val="Report heading"/>
    <w:basedOn w:val="Chapterheading0"/>
    <w:link w:val="ReportheadingChar"/>
    <w:autoRedefine/>
    <w:rsid w:val="00B1165D"/>
    <w:rPr>
      <w:color w:val="FFFFFF"/>
    </w:rPr>
  </w:style>
  <w:style w:type="paragraph" w:customStyle="1" w:styleId="Reportsubheading">
    <w:name w:val="Report subheading"/>
    <w:link w:val="ReportsubheadingChar"/>
    <w:autoRedefine/>
    <w:rsid w:val="00B1165D"/>
    <w:pPr>
      <w:spacing w:after="160" w:line="259" w:lineRule="auto"/>
    </w:pPr>
    <w:rPr>
      <w:rFonts w:ascii="Rockwell" w:hAnsi="Rockwell" w:cs="Times New Roman (Body CS)"/>
      <w:color w:val="FFFFFF"/>
      <w:spacing w:val="-6"/>
      <w:sz w:val="44"/>
      <w:szCs w:val="72"/>
    </w:rPr>
  </w:style>
  <w:style w:type="character" w:customStyle="1" w:styleId="ReportheadingChar">
    <w:name w:val="Report heading Char"/>
    <w:basedOn w:val="ChapterheadingChar0"/>
    <w:link w:val="Reportheading"/>
    <w:rsid w:val="00B1165D"/>
    <w:rPr>
      <w:rFonts w:ascii="Rockwell" w:hAnsi="Rockwell" w:cs="Times New Roman (Body CS)"/>
      <w:noProof/>
      <w:color w:val="FFFFFF"/>
      <w:spacing w:val="-6"/>
      <w:sz w:val="72"/>
      <w:szCs w:val="72"/>
      <w:lang w:val="en-US"/>
    </w:rPr>
  </w:style>
  <w:style w:type="character" w:customStyle="1" w:styleId="ReportsubheadingChar">
    <w:name w:val="Report subheading Char"/>
    <w:basedOn w:val="DefaultParagraphFont"/>
    <w:link w:val="Reportsubheading"/>
    <w:rsid w:val="00B1165D"/>
    <w:rPr>
      <w:rFonts w:ascii="Rockwell" w:hAnsi="Rockwell" w:cs="Times New Roman (Body CS)"/>
      <w:color w:val="FFFFFF"/>
      <w:spacing w:val="-6"/>
      <w:sz w:val="44"/>
      <w:szCs w:val="72"/>
    </w:rPr>
  </w:style>
  <w:style w:type="paragraph" w:customStyle="1" w:styleId="Bullets">
    <w:name w:val="Bullets"/>
    <w:basedOn w:val="Normal"/>
    <w:link w:val="BulletsChar"/>
    <w:uiPriority w:val="99"/>
    <w:rsid w:val="00B1165D"/>
    <w:pPr>
      <w:numPr>
        <w:numId w:val="21"/>
      </w:numPr>
      <w:spacing w:before="0" w:after="100" w:line="300" w:lineRule="atLeast"/>
      <w:jc w:val="left"/>
    </w:pPr>
    <w:rPr>
      <w:rFonts w:ascii="Arial" w:eastAsia="Calibri" w:hAnsi="Arial" w:cs="Tahoma"/>
      <w:color w:val="000000"/>
      <w:sz w:val="20"/>
    </w:rPr>
  </w:style>
  <w:style w:type="paragraph" w:customStyle="1" w:styleId="Bulletslevel2">
    <w:name w:val="Bullets (level 2)"/>
    <w:basedOn w:val="Bullets"/>
    <w:uiPriority w:val="99"/>
    <w:rsid w:val="00B1165D"/>
    <w:pPr>
      <w:numPr>
        <w:numId w:val="20"/>
      </w:numPr>
      <w:spacing w:after="120"/>
      <w:ind w:left="720"/>
    </w:pPr>
  </w:style>
  <w:style w:type="character" w:customStyle="1" w:styleId="BulletsChar">
    <w:name w:val="Bullets Char"/>
    <w:basedOn w:val="DefaultParagraphFont"/>
    <w:link w:val="Bullets"/>
    <w:uiPriority w:val="99"/>
    <w:rsid w:val="00B1165D"/>
    <w:rPr>
      <w:rFonts w:ascii="Arial" w:eastAsia="Calibri" w:hAnsi="Arial" w:cs="Tahoma"/>
      <w:color w:val="000000"/>
      <w:sz w:val="20"/>
    </w:rPr>
  </w:style>
  <w:style w:type="character" w:styleId="UnresolvedMention">
    <w:name w:val="Unresolved Mention"/>
    <w:basedOn w:val="DefaultParagraphFont"/>
    <w:uiPriority w:val="99"/>
    <w:unhideWhenUsed/>
    <w:rsid w:val="00B1165D"/>
    <w:rPr>
      <w:color w:val="605E5C"/>
      <w:shd w:val="clear" w:color="auto" w:fill="E1DFDD"/>
    </w:rPr>
  </w:style>
  <w:style w:type="character" w:customStyle="1" w:styleId="cf01">
    <w:name w:val="cf01"/>
    <w:basedOn w:val="DefaultParagraphFont"/>
    <w:rsid w:val="00B1165D"/>
    <w:rPr>
      <w:rFonts w:ascii="Segoe UI" w:hAnsi="Segoe UI" w:cs="Segoe UI" w:hint="default"/>
      <w:sz w:val="18"/>
      <w:szCs w:val="18"/>
    </w:rPr>
  </w:style>
  <w:style w:type="paragraph" w:styleId="EndnoteText">
    <w:name w:val="endnote text"/>
    <w:basedOn w:val="Normal"/>
    <w:link w:val="EndnoteTextChar"/>
    <w:semiHidden/>
    <w:unhideWhenUsed/>
    <w:rsid w:val="00B1165D"/>
    <w:pPr>
      <w:spacing w:before="0" w:after="0" w:line="240" w:lineRule="auto"/>
      <w:jc w:val="left"/>
    </w:pPr>
    <w:rPr>
      <w:rFonts w:ascii="Calibri" w:hAnsi="Calibri"/>
      <w:color w:val="auto"/>
      <w:sz w:val="20"/>
      <w:szCs w:val="20"/>
    </w:rPr>
  </w:style>
  <w:style w:type="character" w:customStyle="1" w:styleId="EndnoteTextChar">
    <w:name w:val="Endnote Text Char"/>
    <w:basedOn w:val="DefaultParagraphFont"/>
    <w:link w:val="EndnoteText"/>
    <w:semiHidden/>
    <w:rsid w:val="00B1165D"/>
    <w:rPr>
      <w:rFonts w:ascii="Calibri" w:hAnsi="Calibri"/>
      <w:sz w:val="20"/>
      <w:szCs w:val="20"/>
    </w:rPr>
  </w:style>
  <w:style w:type="character" w:styleId="EndnoteReference">
    <w:name w:val="endnote reference"/>
    <w:basedOn w:val="DefaultParagraphFont"/>
    <w:uiPriority w:val="99"/>
    <w:semiHidden/>
    <w:unhideWhenUsed/>
    <w:rsid w:val="00B1165D"/>
    <w:rPr>
      <w:vertAlign w:val="superscript"/>
    </w:rPr>
  </w:style>
  <w:style w:type="character" w:customStyle="1" w:styleId="FollowedHyperlink1">
    <w:name w:val="FollowedHyperlink1"/>
    <w:basedOn w:val="DefaultParagraphFont"/>
    <w:uiPriority w:val="99"/>
    <w:semiHidden/>
    <w:unhideWhenUsed/>
    <w:locked/>
    <w:rsid w:val="00B1165D"/>
    <w:rPr>
      <w:color w:val="919191"/>
      <w:u w:val="single"/>
    </w:rPr>
  </w:style>
  <w:style w:type="character" w:styleId="Mention">
    <w:name w:val="Mention"/>
    <w:basedOn w:val="DefaultParagraphFont"/>
    <w:uiPriority w:val="99"/>
    <w:unhideWhenUsed/>
    <w:rsid w:val="00B1165D"/>
    <w:rPr>
      <w:color w:val="2B579A"/>
      <w:shd w:val="clear" w:color="auto" w:fill="E1DFDD"/>
    </w:rPr>
  </w:style>
  <w:style w:type="paragraph" w:customStyle="1" w:styleId="Sourceandnotesfortablesfigures">
    <w:name w:val="Source and notes for tables/figures"/>
    <w:basedOn w:val="Normal"/>
    <w:link w:val="SourceandnotesfortablesfiguresChar"/>
    <w:locked/>
    <w:rsid w:val="00B1165D"/>
    <w:pPr>
      <w:spacing w:before="0" w:line="240" w:lineRule="auto"/>
      <w:ind w:right="-149"/>
      <w:contextualSpacing/>
      <w:jc w:val="left"/>
    </w:pPr>
    <w:rPr>
      <w:color w:val="000000"/>
      <w:sz w:val="18"/>
      <w:szCs w:val="20"/>
    </w:rPr>
  </w:style>
  <w:style w:type="character" w:customStyle="1" w:styleId="SourceandnotesfortablesfiguresChar">
    <w:name w:val="Source and notes for tables/figures Char"/>
    <w:basedOn w:val="DefaultParagraphFont"/>
    <w:link w:val="Sourceandnotesfortablesfigures"/>
    <w:rsid w:val="00B1165D"/>
    <w:rPr>
      <w:rFonts w:ascii="Calibri Light" w:hAnsi="Calibri Light"/>
      <w:color w:val="000000"/>
      <w:sz w:val="18"/>
      <w:szCs w:val="20"/>
    </w:rPr>
  </w:style>
  <w:style w:type="paragraph" w:customStyle="1" w:styleId="BoxText">
    <w:name w:val="Box Text"/>
    <w:basedOn w:val="Tabletext"/>
    <w:link w:val="BoxTextChar"/>
    <w:rsid w:val="00B1165D"/>
    <w:pPr>
      <w:spacing w:before="120"/>
    </w:pPr>
    <w:rPr>
      <w:color w:val="4D4D4D"/>
    </w:rPr>
  </w:style>
  <w:style w:type="character" w:customStyle="1" w:styleId="BoxTextChar">
    <w:name w:val="Box Text Char"/>
    <w:basedOn w:val="TabletextChar"/>
    <w:link w:val="BoxText"/>
    <w:rsid w:val="00B1165D"/>
    <w:rPr>
      <w:rFonts w:ascii="Calibri Light" w:hAnsi="Calibri Light"/>
      <w:color w:val="4D4D4D"/>
    </w:rPr>
  </w:style>
  <w:style w:type="paragraph" w:customStyle="1" w:styleId="Bulletswithinnumberedparaslvl1">
    <w:name w:val="Bullets within numbered paras lvl 1"/>
    <w:link w:val="Bulletswithinnumberedparaslvl1Char"/>
    <w:rsid w:val="00B1165D"/>
    <w:pPr>
      <w:numPr>
        <w:numId w:val="28"/>
      </w:numPr>
      <w:spacing w:after="120" w:line="276" w:lineRule="auto"/>
    </w:pPr>
    <w:rPr>
      <w:rFonts w:ascii="Calibri Light" w:hAnsi="Calibri Light" w:cs="Arial"/>
      <w:sz w:val="26"/>
      <w:szCs w:val="20"/>
    </w:rPr>
  </w:style>
  <w:style w:type="character" w:customStyle="1" w:styleId="Bulletswithinnumberedparaslvl1Char">
    <w:name w:val="Bullets within numbered paras lvl 1 Char"/>
    <w:basedOn w:val="DefaultParagraphFont"/>
    <w:link w:val="Bulletswithinnumberedparaslvl1"/>
    <w:rsid w:val="00B1165D"/>
    <w:rPr>
      <w:rFonts w:ascii="Calibri Light" w:hAnsi="Calibri Light" w:cs="Arial"/>
      <w:sz w:val="26"/>
      <w:szCs w:val="20"/>
    </w:rPr>
  </w:style>
  <w:style w:type="character" w:styleId="FollowedHyperlink">
    <w:name w:val="FollowedHyperlink"/>
    <w:basedOn w:val="DefaultParagraphFont"/>
    <w:uiPriority w:val="99"/>
    <w:semiHidden/>
    <w:unhideWhenUsed/>
    <w:rsid w:val="00B1165D"/>
    <w:rPr>
      <w:color w:val="919191" w:themeColor="followedHyperlink"/>
      <w:u w:val="single"/>
    </w:rPr>
  </w:style>
  <w:style w:type="table" w:customStyle="1" w:styleId="ListTable3-Accent23">
    <w:name w:val="List Table 3 - Accent 23"/>
    <w:basedOn w:val="TableNormal"/>
    <w:next w:val="ListTable3-Accent2"/>
    <w:uiPriority w:val="48"/>
    <w:locked/>
    <w:rsid w:val="00BF7D4E"/>
    <w:pPr>
      <w:spacing w:after="0"/>
    </w:pPr>
    <w:tblPr>
      <w:tblStyleRowBandSize w:val="1"/>
      <w:tblStyleColBandSize w:val="1"/>
      <w:tblBorders>
        <w:top w:val="single" w:sz="4" w:space="0" w:color="148A5D"/>
        <w:left w:val="single" w:sz="4" w:space="0" w:color="148A5D"/>
        <w:bottom w:val="single" w:sz="4" w:space="0" w:color="148A5D"/>
        <w:right w:val="single" w:sz="4" w:space="0" w:color="148A5D"/>
      </w:tblBorders>
    </w:tblPr>
    <w:tblStylePr w:type="firstRow">
      <w:rPr>
        <w:b/>
        <w:bCs/>
        <w:color w:val="FFFFFF"/>
      </w:rPr>
      <w:tblPr/>
      <w:tcPr>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numbering" w:customStyle="1" w:styleId="NoList2">
    <w:name w:val="No List2"/>
    <w:next w:val="NoList"/>
    <w:uiPriority w:val="99"/>
    <w:semiHidden/>
    <w:unhideWhenUsed/>
    <w:rsid w:val="000B5528"/>
  </w:style>
  <w:style w:type="paragraph" w:customStyle="1" w:styleId="11Bulletsinatable">
    <w:name w:val="11. Bullets in a table"/>
    <w:basedOn w:val="10Tabletext"/>
    <w:link w:val="11BulletsinatableChar"/>
    <w:qFormat/>
    <w:locked/>
    <w:rsid w:val="00310AE8"/>
    <w:pPr>
      <w:numPr>
        <w:numId w:val="53"/>
      </w:numPr>
      <w:ind w:left="357" w:hanging="357"/>
    </w:pPr>
    <w:rPr>
      <w:rFonts w:cs="Arial"/>
      <w:bCs w:val="0"/>
      <w:szCs w:val="20"/>
    </w:rPr>
  </w:style>
  <w:style w:type="character" w:customStyle="1" w:styleId="11BulletsinatableChar">
    <w:name w:val="11. Bullets in a table Char"/>
    <w:basedOn w:val="DefaultParagraphFont"/>
    <w:link w:val="11Bulletsinatable"/>
    <w:rsid w:val="00310AE8"/>
    <w:rPr>
      <w:rFonts w:ascii="Calibri Light" w:eastAsia="Rockwell" w:hAnsi="Calibri Light" w:cs="Arial"/>
      <w:szCs w:val="20"/>
    </w:rPr>
  </w:style>
  <w:style w:type="paragraph" w:customStyle="1" w:styleId="08Figuretableboxheading">
    <w:name w:val="08. Figure/table/box heading"/>
    <w:basedOn w:val="Tableheading"/>
    <w:link w:val="08FiguretableboxheadingChar"/>
    <w:qFormat/>
    <w:locked/>
    <w:rsid w:val="000B5528"/>
    <w:pPr>
      <w:spacing w:before="180" w:after="60"/>
    </w:pPr>
    <w:rPr>
      <w:rFonts w:cs="Arial"/>
      <w:color w:val="26664E"/>
      <w:szCs w:val="20"/>
    </w:rPr>
  </w:style>
  <w:style w:type="character" w:customStyle="1" w:styleId="08FiguretableboxheadingChar">
    <w:name w:val="08. Figure/table/box heading Char"/>
    <w:basedOn w:val="TableheadingChar"/>
    <w:link w:val="08Figuretableboxheading"/>
    <w:rsid w:val="000B5528"/>
    <w:rPr>
      <w:rFonts w:ascii="Calibri Light" w:hAnsi="Calibri Light" w:cs="Arial"/>
      <w:b/>
      <w:bCs/>
      <w:color w:val="26664E"/>
      <w:sz w:val="24"/>
      <w:szCs w:val="20"/>
    </w:rPr>
  </w:style>
  <w:style w:type="table" w:customStyle="1" w:styleId="ListTable3-Accent24">
    <w:name w:val="List Table 3 - Accent 24"/>
    <w:basedOn w:val="TableNormal"/>
    <w:next w:val="ListTable3-Accent2"/>
    <w:uiPriority w:val="48"/>
    <w:rsid w:val="000B5528"/>
    <w:pPr>
      <w:spacing w:after="0"/>
    </w:pPr>
    <w:rPr>
      <w:rFonts w:ascii="Calibri Light" w:hAnsi="Calibri Light"/>
    </w:rPr>
    <w:tblPr>
      <w:tblStyleRowBandSize w:val="1"/>
      <w:tblStyleColBandSize w:val="1"/>
      <w:tblBorders>
        <w:top w:val="single" w:sz="4" w:space="0" w:color="148A5D"/>
        <w:bottom w:val="single" w:sz="4" w:space="0" w:color="148A5D"/>
        <w:insideH w:val="single" w:sz="4" w:space="0" w:color="148A5D"/>
      </w:tblBorders>
    </w:tblPr>
    <w:tblStylePr w:type="firstRow">
      <w:rPr>
        <w:b/>
        <w:bCs/>
        <w:color w:val="FFFFFF"/>
      </w:rPr>
      <w:tblPr/>
      <w:tcPr>
        <w:shd w:val="clear" w:color="auto" w:fill="148A5D"/>
      </w:tcPr>
    </w:tblStylePr>
    <w:tblStylePr w:type="lastRow">
      <w:rPr>
        <w:b/>
        <w:bCs/>
      </w:rPr>
      <w:tblPr/>
      <w:tcPr>
        <w:tcBorders>
          <w:top w:val="double" w:sz="4" w:space="0" w:color="148A5D"/>
        </w:tcBorders>
        <w:shd w:val="clear" w:color="auto" w:fill="FFFFFF"/>
      </w:tcPr>
    </w:tblStylePr>
    <w:tblStylePr w:type="firstCol">
      <w:rPr>
        <w:b w:val="0"/>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paragraph" w:customStyle="1" w:styleId="07VIRTBreakouttext">
    <w:name w:val="07. VIRT Breakout text"/>
    <w:basedOn w:val="Normal"/>
    <w:link w:val="07VIRTBreakouttextChar"/>
    <w:qFormat/>
    <w:locked/>
    <w:rsid w:val="000B5528"/>
    <w:pPr>
      <w:tabs>
        <w:tab w:val="center" w:pos="4680"/>
        <w:tab w:val="right" w:pos="9360"/>
      </w:tabs>
      <w:spacing w:after="180"/>
      <w:ind w:left="567" w:right="567"/>
      <w:mirrorIndents/>
    </w:pPr>
    <w:rPr>
      <w:rFonts w:cs="Times New Roman (Body CS)"/>
      <w:i/>
      <w:color w:val="0E7650"/>
      <w:spacing w:val="-6"/>
    </w:rPr>
  </w:style>
  <w:style w:type="character" w:customStyle="1" w:styleId="07VIRTBreakouttextChar">
    <w:name w:val="07. VIRT Breakout text Char"/>
    <w:basedOn w:val="DefaultParagraphFont"/>
    <w:link w:val="07VIRTBreakouttext"/>
    <w:rsid w:val="000B5528"/>
    <w:rPr>
      <w:rFonts w:ascii="Calibri Light" w:hAnsi="Calibri Light" w:cs="Times New Roman (Body CS)"/>
      <w:i/>
      <w:color w:val="0E7650"/>
      <w:spacing w:val="-6"/>
      <w:sz w:val="26"/>
    </w:rPr>
  </w:style>
  <w:style w:type="paragraph" w:customStyle="1" w:styleId="Revision2">
    <w:name w:val="Revision2"/>
    <w:next w:val="Revision"/>
    <w:hidden/>
    <w:uiPriority w:val="71"/>
    <w:rsid w:val="000B5528"/>
    <w:pPr>
      <w:spacing w:after="0"/>
    </w:pPr>
    <w:rPr>
      <w:rFonts w:ascii="Arial" w:hAnsi="Arial"/>
      <w:color w:val="7F7F7F"/>
      <w:sz w:val="20"/>
    </w:rPr>
  </w:style>
  <w:style w:type="table" w:customStyle="1" w:styleId="Style11">
    <w:name w:val="Style11"/>
    <w:basedOn w:val="TableNormal"/>
    <w:uiPriority w:val="99"/>
    <w:rsid w:val="000B5528"/>
    <w:pPr>
      <w:spacing w:after="0"/>
    </w:pPr>
    <w:rPr>
      <w:rFonts w:ascii="Calibri Light" w:hAnsi="Calibri Light"/>
    </w:rPr>
    <w:tblPr>
      <w:tblBorders>
        <w:bottom w:val="single" w:sz="4" w:space="0" w:color="148A5D"/>
        <w:insideH w:val="single" w:sz="4" w:space="0" w:color="148A5D"/>
      </w:tblBorders>
    </w:tblPr>
    <w:tcPr>
      <w:shd w:val="clear" w:color="auto" w:fill="auto"/>
    </w:tcPr>
    <w:tblStylePr w:type="firstRow">
      <w:rPr>
        <w:rFonts w:ascii="Calibri Light" w:hAnsi="Calibri Light"/>
        <w:b/>
        <w:color w:val="FFFFFF"/>
        <w:sz w:val="22"/>
      </w:rPr>
      <w:tblPr/>
      <w:tcPr>
        <w:shd w:val="clear" w:color="auto" w:fill="148A5D"/>
      </w:tcPr>
    </w:tblStylePr>
  </w:style>
  <w:style w:type="paragraph" w:customStyle="1" w:styleId="Textinthetable">
    <w:name w:val="Text in the table"/>
    <w:link w:val="TextinthetableChar"/>
    <w:rsid w:val="000B5528"/>
    <w:pPr>
      <w:keepNext/>
      <w:spacing w:after="0"/>
      <w:contextualSpacing/>
    </w:pPr>
    <w:rPr>
      <w:rFonts w:ascii="Calibri Light" w:eastAsia="Rockwell" w:hAnsi="Calibri Light" w:cs="Arial"/>
      <w:lang w:val="en-US"/>
    </w:rPr>
  </w:style>
  <w:style w:type="character" w:customStyle="1" w:styleId="TextinthetableChar">
    <w:name w:val="Text in the table Char"/>
    <w:basedOn w:val="DefaultParagraphFont"/>
    <w:link w:val="Textinthetable"/>
    <w:rsid w:val="000B5528"/>
    <w:rPr>
      <w:rFonts w:ascii="Calibri Light" w:eastAsia="Rockwell" w:hAnsi="Calibri Light" w:cs="Arial"/>
      <w:lang w:val="en-US"/>
    </w:rPr>
  </w:style>
  <w:style w:type="paragraph" w:customStyle="1" w:styleId="Parabeforeabulletlist">
    <w:name w:val="Para before a bullet list"/>
    <w:basedOn w:val="Normal"/>
    <w:link w:val="ParabeforeabulletlistChar"/>
    <w:rsid w:val="000B5528"/>
    <w:pPr>
      <w:spacing w:before="240" w:after="120"/>
    </w:pPr>
    <w:rPr>
      <w:rFonts w:cs="Times New Roman (Body CS)"/>
      <w:szCs w:val="44"/>
    </w:rPr>
  </w:style>
  <w:style w:type="character" w:customStyle="1" w:styleId="ParabeforeabulletlistChar">
    <w:name w:val="Para before a bullet list Char"/>
    <w:basedOn w:val="DefaultParagraphFont"/>
    <w:link w:val="Parabeforeabulletlist"/>
    <w:rsid w:val="000B5528"/>
    <w:rPr>
      <w:rFonts w:ascii="Calibri Light" w:hAnsi="Calibri Light" w:cs="Times New Roman (Body CS)"/>
      <w:color w:val="4D4D4D" w:themeColor="accent6"/>
      <w:sz w:val="26"/>
      <w:szCs w:val="44"/>
    </w:rPr>
  </w:style>
  <w:style w:type="paragraph" w:customStyle="1" w:styleId="gmail-p1">
    <w:name w:val="gmail-p1"/>
    <w:basedOn w:val="Normal"/>
    <w:rsid w:val="000B5528"/>
    <w:pPr>
      <w:spacing w:before="100" w:beforeAutospacing="1" w:after="100" w:afterAutospacing="1" w:line="240" w:lineRule="auto"/>
      <w:jc w:val="left"/>
    </w:pPr>
    <w:rPr>
      <w:rFonts w:ascii="Calibri" w:hAnsi="Calibri" w:cs="Calibri"/>
      <w:color w:val="auto"/>
      <w:sz w:val="22"/>
      <w:lang w:eastAsia="en-AU"/>
    </w:rPr>
  </w:style>
  <w:style w:type="paragraph" w:customStyle="1" w:styleId="gmail-p2">
    <w:name w:val="gmail-p2"/>
    <w:basedOn w:val="Normal"/>
    <w:rsid w:val="000B5528"/>
    <w:pPr>
      <w:spacing w:before="100" w:beforeAutospacing="1" w:after="100" w:afterAutospacing="1" w:line="240" w:lineRule="auto"/>
      <w:jc w:val="left"/>
    </w:pPr>
    <w:rPr>
      <w:rFonts w:ascii="Calibri" w:hAnsi="Calibri" w:cs="Calibri"/>
      <w:color w:val="auto"/>
      <w:sz w:val="22"/>
      <w:lang w:eastAsia="en-AU"/>
    </w:rPr>
  </w:style>
  <w:style w:type="character" w:customStyle="1" w:styleId="gmail-apple-converted-space">
    <w:name w:val="gmail-apple-converted-space"/>
    <w:basedOn w:val="DefaultParagraphFont"/>
    <w:rsid w:val="000B5528"/>
  </w:style>
  <w:style w:type="paragraph" w:styleId="Bibliography">
    <w:name w:val="Bibliography"/>
    <w:basedOn w:val="Normal"/>
    <w:next w:val="Normal"/>
    <w:uiPriority w:val="37"/>
    <w:semiHidden/>
    <w:unhideWhenUsed/>
    <w:rsid w:val="000B5528"/>
    <w:pPr>
      <w:spacing w:before="0" w:after="180" w:line="240" w:lineRule="auto"/>
      <w:jc w:val="left"/>
    </w:pPr>
    <w:rPr>
      <w:rFonts w:ascii="Arial" w:hAnsi="Arial"/>
      <w:color w:val="7F7F7F"/>
      <w:sz w:val="20"/>
    </w:rPr>
  </w:style>
  <w:style w:type="paragraph" w:customStyle="1" w:styleId="BlockText1">
    <w:name w:val="Block Text1"/>
    <w:basedOn w:val="Normal"/>
    <w:next w:val="BlockText"/>
    <w:uiPriority w:val="99"/>
    <w:semiHidden/>
    <w:unhideWhenUsed/>
    <w:rsid w:val="000B5528"/>
    <w:pPr>
      <w:pBdr>
        <w:top w:val="single" w:sz="2" w:space="10" w:color="26664E"/>
        <w:left w:val="single" w:sz="2" w:space="10" w:color="26664E"/>
        <w:bottom w:val="single" w:sz="2" w:space="10" w:color="26664E"/>
        <w:right w:val="single" w:sz="2" w:space="10" w:color="26664E"/>
      </w:pBdr>
      <w:spacing w:before="0" w:after="180" w:line="240" w:lineRule="auto"/>
      <w:ind w:left="1152" w:right="1152"/>
      <w:jc w:val="left"/>
    </w:pPr>
    <w:rPr>
      <w:rFonts w:ascii="Rockwell" w:eastAsia="HGMinchoB" w:hAnsi="Rockwell"/>
      <w:i/>
      <w:iCs/>
      <w:color w:val="26664E"/>
      <w:sz w:val="20"/>
    </w:rPr>
  </w:style>
  <w:style w:type="paragraph" w:styleId="BodyText2">
    <w:name w:val="Body Text 2"/>
    <w:basedOn w:val="Normal"/>
    <w:link w:val="BodyText2Char"/>
    <w:uiPriority w:val="99"/>
    <w:semiHidden/>
    <w:unhideWhenUsed/>
    <w:rsid w:val="000B5528"/>
    <w:pPr>
      <w:spacing w:before="0" w:after="120" w:line="480" w:lineRule="auto"/>
      <w:jc w:val="left"/>
    </w:pPr>
    <w:rPr>
      <w:rFonts w:ascii="Arial" w:hAnsi="Arial"/>
      <w:color w:val="7F7F7F"/>
      <w:sz w:val="20"/>
    </w:rPr>
  </w:style>
  <w:style w:type="character" w:customStyle="1" w:styleId="BodyText2Char">
    <w:name w:val="Body Text 2 Char"/>
    <w:basedOn w:val="DefaultParagraphFont"/>
    <w:link w:val="BodyText2"/>
    <w:uiPriority w:val="99"/>
    <w:semiHidden/>
    <w:rsid w:val="000B5528"/>
    <w:rPr>
      <w:rFonts w:ascii="Arial" w:hAnsi="Arial"/>
      <w:color w:val="7F7F7F"/>
      <w:sz w:val="20"/>
    </w:rPr>
  </w:style>
  <w:style w:type="paragraph" w:styleId="BodyText3">
    <w:name w:val="Body Text 3"/>
    <w:basedOn w:val="Normal"/>
    <w:link w:val="BodyText3Char"/>
    <w:uiPriority w:val="99"/>
    <w:semiHidden/>
    <w:unhideWhenUsed/>
    <w:rsid w:val="000B5528"/>
    <w:pPr>
      <w:spacing w:before="0" w:after="120" w:line="240" w:lineRule="auto"/>
      <w:jc w:val="left"/>
    </w:pPr>
    <w:rPr>
      <w:rFonts w:ascii="Arial" w:hAnsi="Arial"/>
      <w:color w:val="7F7F7F"/>
      <w:sz w:val="16"/>
      <w:szCs w:val="16"/>
    </w:rPr>
  </w:style>
  <w:style w:type="character" w:customStyle="1" w:styleId="BodyText3Char">
    <w:name w:val="Body Text 3 Char"/>
    <w:basedOn w:val="DefaultParagraphFont"/>
    <w:link w:val="BodyText3"/>
    <w:uiPriority w:val="99"/>
    <w:semiHidden/>
    <w:rsid w:val="000B5528"/>
    <w:rPr>
      <w:rFonts w:ascii="Arial" w:hAnsi="Arial"/>
      <w:color w:val="7F7F7F"/>
      <w:sz w:val="16"/>
      <w:szCs w:val="16"/>
    </w:rPr>
  </w:style>
  <w:style w:type="paragraph" w:styleId="BodyTextFirstIndent">
    <w:name w:val="Body Text First Indent"/>
    <w:basedOn w:val="BodyText"/>
    <w:link w:val="BodyTextFirstIndentChar"/>
    <w:uiPriority w:val="99"/>
    <w:semiHidden/>
    <w:unhideWhenUsed/>
    <w:rsid w:val="000B5528"/>
    <w:pPr>
      <w:tabs>
        <w:tab w:val="clear" w:pos="454"/>
      </w:tabs>
      <w:spacing w:before="0" w:after="180" w:line="240" w:lineRule="auto"/>
      <w:ind w:firstLine="360"/>
    </w:pPr>
    <w:rPr>
      <w:rFonts w:ascii="Arial" w:eastAsia="Rockwell" w:hAnsi="Arial"/>
      <w:color w:val="7F7F7F"/>
      <w:sz w:val="20"/>
      <w:szCs w:val="22"/>
    </w:rPr>
  </w:style>
  <w:style w:type="character" w:customStyle="1" w:styleId="BodyTextFirstIndentChar">
    <w:name w:val="Body Text First Indent Char"/>
    <w:basedOn w:val="BodyTextChar"/>
    <w:link w:val="BodyTextFirstIndent"/>
    <w:uiPriority w:val="99"/>
    <w:semiHidden/>
    <w:rsid w:val="000B5528"/>
    <w:rPr>
      <w:rFonts w:ascii="Arial" w:eastAsia="Rockwell" w:hAnsi="Arial" w:cs="Times New Roman"/>
      <w:color w:val="7F7F7F"/>
      <w:sz w:val="20"/>
      <w:szCs w:val="20"/>
    </w:rPr>
  </w:style>
  <w:style w:type="paragraph" w:styleId="BodyTextIndent">
    <w:name w:val="Body Text Indent"/>
    <w:basedOn w:val="Normal"/>
    <w:link w:val="BodyTextIndentChar"/>
    <w:uiPriority w:val="99"/>
    <w:semiHidden/>
    <w:unhideWhenUsed/>
    <w:rsid w:val="000B5528"/>
    <w:pPr>
      <w:spacing w:before="0" w:after="120" w:line="240" w:lineRule="auto"/>
      <w:ind w:left="283"/>
      <w:jc w:val="left"/>
    </w:pPr>
    <w:rPr>
      <w:rFonts w:ascii="Arial" w:hAnsi="Arial"/>
      <w:color w:val="7F7F7F"/>
      <w:sz w:val="20"/>
    </w:rPr>
  </w:style>
  <w:style w:type="character" w:customStyle="1" w:styleId="BodyTextIndentChar">
    <w:name w:val="Body Text Indent Char"/>
    <w:basedOn w:val="DefaultParagraphFont"/>
    <w:link w:val="BodyTextIndent"/>
    <w:uiPriority w:val="99"/>
    <w:semiHidden/>
    <w:rsid w:val="000B5528"/>
    <w:rPr>
      <w:rFonts w:ascii="Arial" w:hAnsi="Arial"/>
      <w:color w:val="7F7F7F"/>
      <w:sz w:val="20"/>
    </w:rPr>
  </w:style>
  <w:style w:type="paragraph" w:styleId="BodyTextFirstIndent2">
    <w:name w:val="Body Text First Indent 2"/>
    <w:basedOn w:val="BodyTextIndent"/>
    <w:link w:val="BodyTextFirstIndent2Char"/>
    <w:uiPriority w:val="99"/>
    <w:semiHidden/>
    <w:unhideWhenUsed/>
    <w:rsid w:val="000B5528"/>
    <w:pPr>
      <w:spacing w:after="180"/>
      <w:ind w:left="360" w:firstLine="360"/>
    </w:pPr>
  </w:style>
  <w:style w:type="character" w:customStyle="1" w:styleId="BodyTextFirstIndent2Char">
    <w:name w:val="Body Text First Indent 2 Char"/>
    <w:basedOn w:val="BodyTextIndentChar"/>
    <w:link w:val="BodyTextFirstIndent2"/>
    <w:uiPriority w:val="99"/>
    <w:semiHidden/>
    <w:rsid w:val="000B5528"/>
    <w:rPr>
      <w:rFonts w:ascii="Arial" w:hAnsi="Arial"/>
      <w:color w:val="7F7F7F"/>
      <w:sz w:val="20"/>
    </w:rPr>
  </w:style>
  <w:style w:type="paragraph" w:styleId="BodyTextIndent2">
    <w:name w:val="Body Text Indent 2"/>
    <w:basedOn w:val="Normal"/>
    <w:link w:val="BodyTextIndent2Char"/>
    <w:uiPriority w:val="99"/>
    <w:semiHidden/>
    <w:unhideWhenUsed/>
    <w:rsid w:val="000B5528"/>
    <w:pPr>
      <w:spacing w:before="0" w:after="120" w:line="480" w:lineRule="auto"/>
      <w:ind w:left="283"/>
      <w:jc w:val="left"/>
    </w:pPr>
    <w:rPr>
      <w:rFonts w:ascii="Arial" w:hAnsi="Arial"/>
      <w:color w:val="7F7F7F"/>
      <w:sz w:val="20"/>
    </w:rPr>
  </w:style>
  <w:style w:type="character" w:customStyle="1" w:styleId="BodyTextIndent2Char">
    <w:name w:val="Body Text Indent 2 Char"/>
    <w:basedOn w:val="DefaultParagraphFont"/>
    <w:link w:val="BodyTextIndent2"/>
    <w:uiPriority w:val="99"/>
    <w:semiHidden/>
    <w:rsid w:val="000B5528"/>
    <w:rPr>
      <w:rFonts w:ascii="Arial" w:hAnsi="Arial"/>
      <w:color w:val="7F7F7F"/>
      <w:sz w:val="20"/>
    </w:rPr>
  </w:style>
  <w:style w:type="paragraph" w:styleId="BodyTextIndent3">
    <w:name w:val="Body Text Indent 3"/>
    <w:basedOn w:val="Normal"/>
    <w:link w:val="BodyTextIndent3Char"/>
    <w:uiPriority w:val="99"/>
    <w:semiHidden/>
    <w:unhideWhenUsed/>
    <w:rsid w:val="000B5528"/>
    <w:pPr>
      <w:spacing w:before="0" w:after="120" w:line="240" w:lineRule="auto"/>
      <w:ind w:left="283"/>
      <w:jc w:val="left"/>
    </w:pPr>
    <w:rPr>
      <w:rFonts w:ascii="Arial" w:hAnsi="Arial"/>
      <w:color w:val="7F7F7F"/>
      <w:sz w:val="16"/>
      <w:szCs w:val="16"/>
    </w:rPr>
  </w:style>
  <w:style w:type="character" w:customStyle="1" w:styleId="BodyTextIndent3Char">
    <w:name w:val="Body Text Indent 3 Char"/>
    <w:basedOn w:val="DefaultParagraphFont"/>
    <w:link w:val="BodyTextIndent3"/>
    <w:uiPriority w:val="99"/>
    <w:semiHidden/>
    <w:rsid w:val="000B5528"/>
    <w:rPr>
      <w:rFonts w:ascii="Arial" w:hAnsi="Arial"/>
      <w:color w:val="7F7F7F"/>
      <w:sz w:val="16"/>
      <w:szCs w:val="16"/>
    </w:rPr>
  </w:style>
  <w:style w:type="paragraph" w:styleId="Closing">
    <w:name w:val="Closing"/>
    <w:basedOn w:val="Normal"/>
    <w:link w:val="ClosingChar"/>
    <w:uiPriority w:val="99"/>
    <w:semiHidden/>
    <w:unhideWhenUsed/>
    <w:rsid w:val="000B5528"/>
    <w:pPr>
      <w:spacing w:before="0" w:after="0" w:line="240" w:lineRule="auto"/>
      <w:ind w:left="4252"/>
      <w:jc w:val="left"/>
    </w:pPr>
    <w:rPr>
      <w:rFonts w:ascii="Arial" w:hAnsi="Arial"/>
      <w:color w:val="7F7F7F"/>
      <w:sz w:val="20"/>
    </w:rPr>
  </w:style>
  <w:style w:type="character" w:customStyle="1" w:styleId="ClosingChar">
    <w:name w:val="Closing Char"/>
    <w:basedOn w:val="DefaultParagraphFont"/>
    <w:link w:val="Closing"/>
    <w:uiPriority w:val="99"/>
    <w:semiHidden/>
    <w:rsid w:val="000B5528"/>
    <w:rPr>
      <w:rFonts w:ascii="Arial" w:hAnsi="Arial"/>
      <w:color w:val="7F7F7F"/>
      <w:sz w:val="20"/>
    </w:rPr>
  </w:style>
  <w:style w:type="paragraph" w:styleId="Date">
    <w:name w:val="Date"/>
    <w:basedOn w:val="Normal"/>
    <w:next w:val="Normal"/>
    <w:link w:val="DateChar"/>
    <w:uiPriority w:val="99"/>
    <w:semiHidden/>
    <w:unhideWhenUsed/>
    <w:rsid w:val="000B5528"/>
    <w:pPr>
      <w:spacing w:before="0" w:after="180" w:line="240" w:lineRule="auto"/>
      <w:jc w:val="left"/>
    </w:pPr>
    <w:rPr>
      <w:rFonts w:ascii="Arial" w:hAnsi="Arial"/>
      <w:color w:val="7F7F7F"/>
      <w:sz w:val="20"/>
    </w:rPr>
  </w:style>
  <w:style w:type="character" w:customStyle="1" w:styleId="DateChar">
    <w:name w:val="Date Char"/>
    <w:basedOn w:val="DefaultParagraphFont"/>
    <w:link w:val="Date"/>
    <w:uiPriority w:val="99"/>
    <w:semiHidden/>
    <w:rsid w:val="000B5528"/>
    <w:rPr>
      <w:rFonts w:ascii="Arial" w:hAnsi="Arial"/>
      <w:color w:val="7F7F7F"/>
      <w:sz w:val="20"/>
    </w:rPr>
  </w:style>
  <w:style w:type="paragraph" w:styleId="DocumentMap">
    <w:name w:val="Document Map"/>
    <w:basedOn w:val="Normal"/>
    <w:link w:val="DocumentMapChar"/>
    <w:uiPriority w:val="99"/>
    <w:semiHidden/>
    <w:unhideWhenUsed/>
    <w:rsid w:val="000B5528"/>
    <w:pPr>
      <w:spacing w:before="0" w:after="0" w:line="240" w:lineRule="auto"/>
      <w:jc w:val="left"/>
    </w:pPr>
    <w:rPr>
      <w:rFonts w:ascii="Segoe UI" w:hAnsi="Segoe UI" w:cs="Segoe UI"/>
      <w:color w:val="7F7F7F"/>
      <w:sz w:val="16"/>
      <w:szCs w:val="16"/>
    </w:rPr>
  </w:style>
  <w:style w:type="character" w:customStyle="1" w:styleId="DocumentMapChar">
    <w:name w:val="Document Map Char"/>
    <w:basedOn w:val="DefaultParagraphFont"/>
    <w:link w:val="DocumentMap"/>
    <w:uiPriority w:val="99"/>
    <w:semiHidden/>
    <w:rsid w:val="000B5528"/>
    <w:rPr>
      <w:rFonts w:ascii="Segoe UI" w:hAnsi="Segoe UI" w:cs="Segoe UI"/>
      <w:color w:val="7F7F7F"/>
      <w:sz w:val="16"/>
      <w:szCs w:val="16"/>
    </w:rPr>
  </w:style>
  <w:style w:type="paragraph" w:styleId="E-mailSignature">
    <w:name w:val="E-mail Signature"/>
    <w:basedOn w:val="Normal"/>
    <w:link w:val="E-mailSignatureChar"/>
    <w:uiPriority w:val="99"/>
    <w:semiHidden/>
    <w:unhideWhenUsed/>
    <w:rsid w:val="000B5528"/>
    <w:pPr>
      <w:spacing w:before="0" w:after="0" w:line="240" w:lineRule="auto"/>
      <w:jc w:val="left"/>
    </w:pPr>
    <w:rPr>
      <w:rFonts w:ascii="Arial" w:hAnsi="Arial"/>
      <w:color w:val="7F7F7F"/>
      <w:sz w:val="20"/>
    </w:rPr>
  </w:style>
  <w:style w:type="character" w:customStyle="1" w:styleId="E-mailSignatureChar">
    <w:name w:val="E-mail Signature Char"/>
    <w:basedOn w:val="DefaultParagraphFont"/>
    <w:link w:val="E-mailSignature"/>
    <w:uiPriority w:val="99"/>
    <w:semiHidden/>
    <w:rsid w:val="000B5528"/>
    <w:rPr>
      <w:rFonts w:ascii="Arial" w:hAnsi="Arial"/>
      <w:color w:val="7F7F7F"/>
      <w:sz w:val="20"/>
    </w:rPr>
  </w:style>
  <w:style w:type="paragraph" w:customStyle="1" w:styleId="EnvelopeAddress1">
    <w:name w:val="Envelope Address1"/>
    <w:basedOn w:val="Normal"/>
    <w:next w:val="EnvelopeAddress"/>
    <w:uiPriority w:val="99"/>
    <w:semiHidden/>
    <w:unhideWhenUsed/>
    <w:rsid w:val="000B5528"/>
    <w:pPr>
      <w:framePr w:w="7920" w:h="1980" w:hRule="exact" w:hSpace="180" w:wrap="auto" w:hAnchor="page" w:xAlign="center" w:yAlign="bottom"/>
      <w:spacing w:before="0" w:after="0" w:line="240" w:lineRule="auto"/>
      <w:ind w:left="2880"/>
      <w:jc w:val="left"/>
    </w:pPr>
    <w:rPr>
      <w:rFonts w:ascii="Tw Cen MT" w:eastAsia="HGPGothicE" w:hAnsi="Tw Cen MT" w:cs="Arial"/>
      <w:color w:val="7F7F7F"/>
      <w:sz w:val="24"/>
      <w:szCs w:val="24"/>
    </w:rPr>
  </w:style>
  <w:style w:type="paragraph" w:customStyle="1" w:styleId="EnvelopeReturn1">
    <w:name w:val="Envelope Return1"/>
    <w:basedOn w:val="Normal"/>
    <w:next w:val="EnvelopeReturn"/>
    <w:uiPriority w:val="99"/>
    <w:semiHidden/>
    <w:unhideWhenUsed/>
    <w:rsid w:val="000B5528"/>
    <w:pPr>
      <w:spacing w:before="0" w:after="0" w:line="240" w:lineRule="auto"/>
      <w:jc w:val="left"/>
    </w:pPr>
    <w:rPr>
      <w:rFonts w:ascii="Tw Cen MT" w:eastAsia="HGPGothicE" w:hAnsi="Tw Cen MT" w:cs="Arial"/>
      <w:color w:val="7F7F7F"/>
      <w:sz w:val="20"/>
      <w:szCs w:val="20"/>
    </w:rPr>
  </w:style>
  <w:style w:type="paragraph" w:styleId="HTMLAddress">
    <w:name w:val="HTML Address"/>
    <w:basedOn w:val="Normal"/>
    <w:link w:val="HTMLAddressChar"/>
    <w:uiPriority w:val="99"/>
    <w:semiHidden/>
    <w:unhideWhenUsed/>
    <w:rsid w:val="000B5528"/>
    <w:pPr>
      <w:spacing w:before="0" w:after="0" w:line="240" w:lineRule="auto"/>
      <w:jc w:val="left"/>
    </w:pPr>
    <w:rPr>
      <w:rFonts w:ascii="Arial" w:hAnsi="Arial"/>
      <w:i/>
      <w:iCs/>
      <w:color w:val="7F7F7F"/>
      <w:sz w:val="20"/>
    </w:rPr>
  </w:style>
  <w:style w:type="character" w:customStyle="1" w:styleId="HTMLAddressChar">
    <w:name w:val="HTML Address Char"/>
    <w:basedOn w:val="DefaultParagraphFont"/>
    <w:link w:val="HTMLAddress"/>
    <w:uiPriority w:val="99"/>
    <w:semiHidden/>
    <w:rsid w:val="000B5528"/>
    <w:rPr>
      <w:rFonts w:ascii="Arial" w:hAnsi="Arial"/>
      <w:i/>
      <w:iCs/>
      <w:color w:val="7F7F7F"/>
      <w:sz w:val="20"/>
    </w:rPr>
  </w:style>
  <w:style w:type="paragraph" w:styleId="HTMLPreformatted">
    <w:name w:val="HTML Preformatted"/>
    <w:basedOn w:val="Normal"/>
    <w:link w:val="HTMLPreformattedChar"/>
    <w:uiPriority w:val="99"/>
    <w:semiHidden/>
    <w:unhideWhenUsed/>
    <w:rsid w:val="000B5528"/>
    <w:pPr>
      <w:spacing w:before="0" w:after="0" w:line="240" w:lineRule="auto"/>
      <w:jc w:val="left"/>
    </w:pPr>
    <w:rPr>
      <w:rFonts w:ascii="Consolas" w:hAnsi="Consolas"/>
      <w:color w:val="7F7F7F"/>
      <w:sz w:val="20"/>
      <w:szCs w:val="20"/>
    </w:rPr>
  </w:style>
  <w:style w:type="character" w:customStyle="1" w:styleId="HTMLPreformattedChar">
    <w:name w:val="HTML Preformatted Char"/>
    <w:basedOn w:val="DefaultParagraphFont"/>
    <w:link w:val="HTMLPreformatted"/>
    <w:uiPriority w:val="99"/>
    <w:semiHidden/>
    <w:rsid w:val="000B5528"/>
    <w:rPr>
      <w:rFonts w:ascii="Consolas" w:hAnsi="Consolas"/>
      <w:color w:val="7F7F7F"/>
      <w:sz w:val="20"/>
      <w:szCs w:val="20"/>
    </w:rPr>
  </w:style>
  <w:style w:type="paragraph" w:styleId="Index1">
    <w:name w:val="index 1"/>
    <w:basedOn w:val="Normal"/>
    <w:next w:val="Normal"/>
    <w:autoRedefine/>
    <w:uiPriority w:val="99"/>
    <w:semiHidden/>
    <w:unhideWhenUsed/>
    <w:rsid w:val="000B5528"/>
    <w:pPr>
      <w:spacing w:before="0" w:after="0" w:line="240" w:lineRule="auto"/>
      <w:ind w:left="200" w:hanging="200"/>
      <w:jc w:val="left"/>
    </w:pPr>
    <w:rPr>
      <w:rFonts w:ascii="Arial" w:hAnsi="Arial"/>
      <w:color w:val="7F7F7F"/>
      <w:sz w:val="20"/>
    </w:rPr>
  </w:style>
  <w:style w:type="paragraph" w:styleId="Index2">
    <w:name w:val="index 2"/>
    <w:basedOn w:val="Normal"/>
    <w:next w:val="Normal"/>
    <w:autoRedefine/>
    <w:uiPriority w:val="99"/>
    <w:semiHidden/>
    <w:unhideWhenUsed/>
    <w:rsid w:val="000B5528"/>
    <w:pPr>
      <w:spacing w:before="0" w:after="0" w:line="240" w:lineRule="auto"/>
      <w:ind w:left="400" w:hanging="200"/>
      <w:jc w:val="left"/>
    </w:pPr>
    <w:rPr>
      <w:rFonts w:ascii="Arial" w:hAnsi="Arial"/>
      <w:color w:val="7F7F7F"/>
      <w:sz w:val="20"/>
    </w:rPr>
  </w:style>
  <w:style w:type="paragraph" w:styleId="Index3">
    <w:name w:val="index 3"/>
    <w:basedOn w:val="Normal"/>
    <w:next w:val="Normal"/>
    <w:autoRedefine/>
    <w:uiPriority w:val="99"/>
    <w:semiHidden/>
    <w:unhideWhenUsed/>
    <w:rsid w:val="000B5528"/>
    <w:pPr>
      <w:spacing w:before="0" w:after="0" w:line="240" w:lineRule="auto"/>
      <w:ind w:left="600" w:hanging="200"/>
      <w:jc w:val="left"/>
    </w:pPr>
    <w:rPr>
      <w:rFonts w:ascii="Arial" w:hAnsi="Arial"/>
      <w:color w:val="7F7F7F"/>
      <w:sz w:val="20"/>
    </w:rPr>
  </w:style>
  <w:style w:type="paragraph" w:styleId="Index4">
    <w:name w:val="index 4"/>
    <w:basedOn w:val="Normal"/>
    <w:next w:val="Normal"/>
    <w:autoRedefine/>
    <w:uiPriority w:val="99"/>
    <w:semiHidden/>
    <w:unhideWhenUsed/>
    <w:rsid w:val="000B5528"/>
    <w:pPr>
      <w:spacing w:before="0" w:after="0" w:line="240" w:lineRule="auto"/>
      <w:ind w:left="800" w:hanging="200"/>
      <w:jc w:val="left"/>
    </w:pPr>
    <w:rPr>
      <w:rFonts w:ascii="Arial" w:hAnsi="Arial"/>
      <w:color w:val="7F7F7F"/>
      <w:sz w:val="20"/>
    </w:rPr>
  </w:style>
  <w:style w:type="paragraph" w:styleId="Index5">
    <w:name w:val="index 5"/>
    <w:basedOn w:val="Normal"/>
    <w:next w:val="Normal"/>
    <w:autoRedefine/>
    <w:uiPriority w:val="99"/>
    <w:semiHidden/>
    <w:unhideWhenUsed/>
    <w:rsid w:val="000B5528"/>
    <w:pPr>
      <w:spacing w:before="0" w:after="0" w:line="240" w:lineRule="auto"/>
      <w:ind w:left="1000" w:hanging="200"/>
      <w:jc w:val="left"/>
    </w:pPr>
    <w:rPr>
      <w:rFonts w:ascii="Arial" w:hAnsi="Arial"/>
      <w:color w:val="7F7F7F"/>
      <w:sz w:val="20"/>
    </w:rPr>
  </w:style>
  <w:style w:type="paragraph" w:styleId="Index6">
    <w:name w:val="index 6"/>
    <w:basedOn w:val="Normal"/>
    <w:next w:val="Normal"/>
    <w:autoRedefine/>
    <w:uiPriority w:val="99"/>
    <w:semiHidden/>
    <w:unhideWhenUsed/>
    <w:rsid w:val="000B5528"/>
    <w:pPr>
      <w:spacing w:before="0" w:after="0" w:line="240" w:lineRule="auto"/>
      <w:ind w:left="1200" w:hanging="200"/>
      <w:jc w:val="left"/>
    </w:pPr>
    <w:rPr>
      <w:rFonts w:ascii="Arial" w:hAnsi="Arial"/>
      <w:color w:val="7F7F7F"/>
      <w:sz w:val="20"/>
    </w:rPr>
  </w:style>
  <w:style w:type="paragraph" w:styleId="Index7">
    <w:name w:val="index 7"/>
    <w:basedOn w:val="Normal"/>
    <w:next w:val="Normal"/>
    <w:autoRedefine/>
    <w:uiPriority w:val="99"/>
    <w:semiHidden/>
    <w:unhideWhenUsed/>
    <w:rsid w:val="000B5528"/>
    <w:pPr>
      <w:spacing w:before="0" w:after="0" w:line="240" w:lineRule="auto"/>
      <w:ind w:left="1400" w:hanging="200"/>
      <w:jc w:val="left"/>
    </w:pPr>
    <w:rPr>
      <w:rFonts w:ascii="Arial" w:hAnsi="Arial"/>
      <w:color w:val="7F7F7F"/>
      <w:sz w:val="20"/>
    </w:rPr>
  </w:style>
  <w:style w:type="paragraph" w:styleId="Index8">
    <w:name w:val="index 8"/>
    <w:basedOn w:val="Normal"/>
    <w:next w:val="Normal"/>
    <w:autoRedefine/>
    <w:uiPriority w:val="99"/>
    <w:semiHidden/>
    <w:unhideWhenUsed/>
    <w:rsid w:val="000B5528"/>
    <w:pPr>
      <w:spacing w:before="0" w:after="0" w:line="240" w:lineRule="auto"/>
      <w:ind w:left="1600" w:hanging="200"/>
      <w:jc w:val="left"/>
    </w:pPr>
    <w:rPr>
      <w:rFonts w:ascii="Arial" w:hAnsi="Arial"/>
      <w:color w:val="7F7F7F"/>
      <w:sz w:val="20"/>
    </w:rPr>
  </w:style>
  <w:style w:type="paragraph" w:styleId="Index9">
    <w:name w:val="index 9"/>
    <w:basedOn w:val="Normal"/>
    <w:next w:val="Normal"/>
    <w:autoRedefine/>
    <w:uiPriority w:val="99"/>
    <w:semiHidden/>
    <w:unhideWhenUsed/>
    <w:rsid w:val="000B5528"/>
    <w:pPr>
      <w:spacing w:before="0" w:after="0" w:line="240" w:lineRule="auto"/>
      <w:ind w:left="1800" w:hanging="200"/>
      <w:jc w:val="left"/>
    </w:pPr>
    <w:rPr>
      <w:rFonts w:ascii="Arial" w:hAnsi="Arial"/>
      <w:color w:val="7F7F7F"/>
      <w:sz w:val="20"/>
    </w:rPr>
  </w:style>
  <w:style w:type="paragraph" w:customStyle="1" w:styleId="IndexHeading1">
    <w:name w:val="Index Heading1"/>
    <w:basedOn w:val="Normal"/>
    <w:next w:val="Index1"/>
    <w:uiPriority w:val="99"/>
    <w:semiHidden/>
    <w:unhideWhenUsed/>
    <w:rsid w:val="000B5528"/>
    <w:pPr>
      <w:spacing w:before="0" w:after="180" w:line="240" w:lineRule="auto"/>
      <w:jc w:val="left"/>
    </w:pPr>
    <w:rPr>
      <w:rFonts w:ascii="Tw Cen MT" w:eastAsia="HGPGothicE" w:hAnsi="Tw Cen MT" w:cs="Arial"/>
      <w:b/>
      <w:bCs/>
      <w:color w:val="7F7F7F"/>
      <w:sz w:val="20"/>
    </w:rPr>
  </w:style>
  <w:style w:type="paragraph" w:styleId="List">
    <w:name w:val="List"/>
    <w:basedOn w:val="Normal"/>
    <w:uiPriority w:val="99"/>
    <w:semiHidden/>
    <w:unhideWhenUsed/>
    <w:rsid w:val="000B5528"/>
    <w:pPr>
      <w:spacing w:before="0" w:after="180" w:line="240" w:lineRule="auto"/>
      <w:ind w:left="283" w:hanging="283"/>
      <w:contextualSpacing/>
      <w:jc w:val="left"/>
    </w:pPr>
    <w:rPr>
      <w:rFonts w:ascii="Arial" w:hAnsi="Arial"/>
      <w:color w:val="7F7F7F"/>
      <w:sz w:val="20"/>
    </w:rPr>
  </w:style>
  <w:style w:type="paragraph" w:styleId="List2">
    <w:name w:val="List 2"/>
    <w:basedOn w:val="Normal"/>
    <w:uiPriority w:val="99"/>
    <w:semiHidden/>
    <w:unhideWhenUsed/>
    <w:rsid w:val="000B5528"/>
    <w:pPr>
      <w:spacing w:before="0" w:after="180" w:line="240" w:lineRule="auto"/>
      <w:ind w:left="566" w:hanging="283"/>
      <w:contextualSpacing/>
      <w:jc w:val="left"/>
    </w:pPr>
    <w:rPr>
      <w:rFonts w:ascii="Arial" w:hAnsi="Arial"/>
      <w:color w:val="7F7F7F"/>
      <w:sz w:val="20"/>
    </w:rPr>
  </w:style>
  <w:style w:type="paragraph" w:styleId="List3">
    <w:name w:val="List 3"/>
    <w:basedOn w:val="Normal"/>
    <w:uiPriority w:val="99"/>
    <w:semiHidden/>
    <w:unhideWhenUsed/>
    <w:rsid w:val="000B5528"/>
    <w:pPr>
      <w:spacing w:before="0" w:after="180" w:line="240" w:lineRule="auto"/>
      <w:ind w:left="849" w:hanging="283"/>
      <w:contextualSpacing/>
      <w:jc w:val="left"/>
    </w:pPr>
    <w:rPr>
      <w:rFonts w:ascii="Arial" w:hAnsi="Arial"/>
      <w:color w:val="7F7F7F"/>
      <w:sz w:val="20"/>
    </w:rPr>
  </w:style>
  <w:style w:type="paragraph" w:styleId="List4">
    <w:name w:val="List 4"/>
    <w:basedOn w:val="Normal"/>
    <w:uiPriority w:val="99"/>
    <w:semiHidden/>
    <w:unhideWhenUsed/>
    <w:rsid w:val="000B5528"/>
    <w:pPr>
      <w:spacing w:before="0" w:after="180" w:line="240" w:lineRule="auto"/>
      <w:ind w:left="1132" w:hanging="283"/>
      <w:contextualSpacing/>
      <w:jc w:val="left"/>
    </w:pPr>
    <w:rPr>
      <w:rFonts w:ascii="Arial" w:hAnsi="Arial"/>
      <w:color w:val="7F7F7F"/>
      <w:sz w:val="20"/>
    </w:rPr>
  </w:style>
  <w:style w:type="paragraph" w:styleId="List5">
    <w:name w:val="List 5"/>
    <w:basedOn w:val="Normal"/>
    <w:uiPriority w:val="99"/>
    <w:semiHidden/>
    <w:unhideWhenUsed/>
    <w:rsid w:val="000B5528"/>
    <w:pPr>
      <w:spacing w:before="0" w:after="180" w:line="240" w:lineRule="auto"/>
      <w:ind w:left="1415" w:hanging="283"/>
      <w:contextualSpacing/>
      <w:jc w:val="left"/>
    </w:pPr>
    <w:rPr>
      <w:rFonts w:ascii="Arial" w:hAnsi="Arial"/>
      <w:color w:val="7F7F7F"/>
      <w:sz w:val="20"/>
    </w:rPr>
  </w:style>
  <w:style w:type="paragraph" w:styleId="ListBullet">
    <w:name w:val="List Bullet"/>
    <w:basedOn w:val="Normal"/>
    <w:uiPriority w:val="99"/>
    <w:semiHidden/>
    <w:unhideWhenUsed/>
    <w:rsid w:val="000B5528"/>
    <w:pPr>
      <w:numPr>
        <w:numId w:val="32"/>
      </w:numPr>
      <w:tabs>
        <w:tab w:val="clear" w:pos="360"/>
      </w:tabs>
      <w:spacing w:before="0" w:after="180" w:line="240" w:lineRule="auto"/>
      <w:contextualSpacing/>
      <w:jc w:val="left"/>
    </w:pPr>
    <w:rPr>
      <w:rFonts w:ascii="Arial" w:hAnsi="Arial"/>
      <w:color w:val="7F7F7F"/>
      <w:sz w:val="20"/>
    </w:rPr>
  </w:style>
  <w:style w:type="paragraph" w:styleId="ListBullet2">
    <w:name w:val="List Bullet 2"/>
    <w:basedOn w:val="Normal"/>
    <w:uiPriority w:val="99"/>
    <w:semiHidden/>
    <w:unhideWhenUsed/>
    <w:rsid w:val="000B5528"/>
    <w:pPr>
      <w:numPr>
        <w:numId w:val="33"/>
      </w:numPr>
      <w:tabs>
        <w:tab w:val="clear" w:pos="643"/>
      </w:tabs>
      <w:spacing w:before="0" w:after="180" w:line="240" w:lineRule="auto"/>
      <w:ind w:left="360"/>
      <w:contextualSpacing/>
      <w:jc w:val="left"/>
    </w:pPr>
    <w:rPr>
      <w:rFonts w:ascii="Arial" w:hAnsi="Arial"/>
      <w:color w:val="7F7F7F"/>
      <w:sz w:val="20"/>
    </w:rPr>
  </w:style>
  <w:style w:type="paragraph" w:styleId="ListBullet3">
    <w:name w:val="List Bullet 3"/>
    <w:basedOn w:val="Normal"/>
    <w:uiPriority w:val="99"/>
    <w:semiHidden/>
    <w:unhideWhenUsed/>
    <w:rsid w:val="000B5528"/>
    <w:pPr>
      <w:numPr>
        <w:numId w:val="34"/>
      </w:numPr>
      <w:tabs>
        <w:tab w:val="clear" w:pos="926"/>
      </w:tabs>
      <w:spacing w:before="0" w:after="180" w:line="240" w:lineRule="auto"/>
      <w:ind w:left="360"/>
      <w:contextualSpacing/>
      <w:jc w:val="left"/>
    </w:pPr>
    <w:rPr>
      <w:rFonts w:ascii="Arial" w:hAnsi="Arial"/>
      <w:color w:val="7F7F7F"/>
      <w:sz w:val="20"/>
    </w:rPr>
  </w:style>
  <w:style w:type="paragraph" w:styleId="ListBullet4">
    <w:name w:val="List Bullet 4"/>
    <w:basedOn w:val="Normal"/>
    <w:uiPriority w:val="99"/>
    <w:semiHidden/>
    <w:unhideWhenUsed/>
    <w:rsid w:val="000B5528"/>
    <w:pPr>
      <w:numPr>
        <w:numId w:val="35"/>
      </w:numPr>
      <w:spacing w:before="0" w:after="180" w:line="240" w:lineRule="auto"/>
      <w:contextualSpacing/>
      <w:jc w:val="left"/>
    </w:pPr>
    <w:rPr>
      <w:rFonts w:ascii="Arial" w:hAnsi="Arial"/>
      <w:color w:val="7F7F7F"/>
      <w:sz w:val="20"/>
    </w:rPr>
  </w:style>
  <w:style w:type="paragraph" w:styleId="ListBullet5">
    <w:name w:val="List Bullet 5"/>
    <w:basedOn w:val="Normal"/>
    <w:uiPriority w:val="99"/>
    <w:semiHidden/>
    <w:unhideWhenUsed/>
    <w:rsid w:val="000B5528"/>
    <w:pPr>
      <w:numPr>
        <w:numId w:val="36"/>
      </w:numPr>
      <w:tabs>
        <w:tab w:val="clear" w:pos="1492"/>
      </w:tabs>
      <w:spacing w:before="0" w:after="180" w:line="240" w:lineRule="auto"/>
      <w:ind w:left="360"/>
      <w:contextualSpacing/>
      <w:jc w:val="left"/>
    </w:pPr>
    <w:rPr>
      <w:rFonts w:ascii="Arial" w:hAnsi="Arial"/>
      <w:color w:val="7F7F7F"/>
      <w:sz w:val="20"/>
    </w:rPr>
  </w:style>
  <w:style w:type="paragraph" w:styleId="ListContinue">
    <w:name w:val="List Continue"/>
    <w:basedOn w:val="Normal"/>
    <w:uiPriority w:val="99"/>
    <w:semiHidden/>
    <w:unhideWhenUsed/>
    <w:rsid w:val="000B5528"/>
    <w:pPr>
      <w:spacing w:before="0" w:after="120" w:line="240" w:lineRule="auto"/>
      <w:ind w:left="283"/>
      <w:contextualSpacing/>
      <w:jc w:val="left"/>
    </w:pPr>
    <w:rPr>
      <w:rFonts w:ascii="Arial" w:hAnsi="Arial"/>
      <w:color w:val="7F7F7F"/>
      <w:sz w:val="20"/>
    </w:rPr>
  </w:style>
  <w:style w:type="paragraph" w:styleId="ListContinue2">
    <w:name w:val="List Continue 2"/>
    <w:basedOn w:val="Normal"/>
    <w:uiPriority w:val="99"/>
    <w:semiHidden/>
    <w:unhideWhenUsed/>
    <w:rsid w:val="000B5528"/>
    <w:pPr>
      <w:spacing w:before="0" w:after="120" w:line="240" w:lineRule="auto"/>
      <w:ind w:left="566"/>
      <w:contextualSpacing/>
      <w:jc w:val="left"/>
    </w:pPr>
    <w:rPr>
      <w:rFonts w:ascii="Arial" w:hAnsi="Arial"/>
      <w:color w:val="7F7F7F"/>
      <w:sz w:val="20"/>
    </w:rPr>
  </w:style>
  <w:style w:type="paragraph" w:styleId="ListContinue3">
    <w:name w:val="List Continue 3"/>
    <w:basedOn w:val="Normal"/>
    <w:uiPriority w:val="99"/>
    <w:semiHidden/>
    <w:unhideWhenUsed/>
    <w:rsid w:val="000B5528"/>
    <w:pPr>
      <w:spacing w:before="0" w:after="120" w:line="240" w:lineRule="auto"/>
      <w:ind w:left="849"/>
      <w:contextualSpacing/>
      <w:jc w:val="left"/>
    </w:pPr>
    <w:rPr>
      <w:rFonts w:ascii="Arial" w:hAnsi="Arial"/>
      <w:color w:val="7F7F7F"/>
      <w:sz w:val="20"/>
    </w:rPr>
  </w:style>
  <w:style w:type="paragraph" w:styleId="ListContinue4">
    <w:name w:val="List Continue 4"/>
    <w:basedOn w:val="Normal"/>
    <w:uiPriority w:val="99"/>
    <w:semiHidden/>
    <w:unhideWhenUsed/>
    <w:rsid w:val="000B5528"/>
    <w:pPr>
      <w:spacing w:before="0" w:after="120" w:line="240" w:lineRule="auto"/>
      <w:ind w:left="1132"/>
      <w:contextualSpacing/>
      <w:jc w:val="left"/>
    </w:pPr>
    <w:rPr>
      <w:rFonts w:ascii="Arial" w:hAnsi="Arial"/>
      <w:color w:val="7F7F7F"/>
      <w:sz w:val="20"/>
    </w:rPr>
  </w:style>
  <w:style w:type="paragraph" w:styleId="ListContinue5">
    <w:name w:val="List Continue 5"/>
    <w:basedOn w:val="Normal"/>
    <w:uiPriority w:val="99"/>
    <w:semiHidden/>
    <w:unhideWhenUsed/>
    <w:rsid w:val="000B5528"/>
    <w:pPr>
      <w:spacing w:before="0" w:after="120" w:line="240" w:lineRule="auto"/>
      <w:ind w:left="1415"/>
      <w:contextualSpacing/>
      <w:jc w:val="left"/>
    </w:pPr>
    <w:rPr>
      <w:rFonts w:ascii="Arial" w:hAnsi="Arial"/>
      <w:color w:val="7F7F7F"/>
      <w:sz w:val="20"/>
    </w:rPr>
  </w:style>
  <w:style w:type="paragraph" w:styleId="ListNumber">
    <w:name w:val="List Number"/>
    <w:basedOn w:val="Normal"/>
    <w:uiPriority w:val="99"/>
    <w:semiHidden/>
    <w:unhideWhenUsed/>
    <w:rsid w:val="000B5528"/>
    <w:pPr>
      <w:numPr>
        <w:numId w:val="37"/>
      </w:numPr>
      <w:tabs>
        <w:tab w:val="clear" w:pos="360"/>
      </w:tabs>
      <w:spacing w:before="0" w:after="180" w:line="240" w:lineRule="auto"/>
      <w:ind w:left="720"/>
      <w:contextualSpacing/>
      <w:jc w:val="left"/>
    </w:pPr>
    <w:rPr>
      <w:rFonts w:ascii="Arial" w:hAnsi="Arial"/>
      <w:color w:val="7F7F7F"/>
      <w:sz w:val="20"/>
    </w:rPr>
  </w:style>
  <w:style w:type="paragraph" w:styleId="ListNumber2">
    <w:name w:val="List Number 2"/>
    <w:basedOn w:val="Normal"/>
    <w:uiPriority w:val="99"/>
    <w:semiHidden/>
    <w:unhideWhenUsed/>
    <w:rsid w:val="000B5528"/>
    <w:pPr>
      <w:numPr>
        <w:numId w:val="38"/>
      </w:numPr>
      <w:tabs>
        <w:tab w:val="clear" w:pos="643"/>
      </w:tabs>
      <w:spacing w:before="0" w:after="180" w:line="240" w:lineRule="auto"/>
      <w:ind w:left="1267"/>
      <w:contextualSpacing/>
      <w:jc w:val="left"/>
    </w:pPr>
    <w:rPr>
      <w:rFonts w:ascii="Arial" w:hAnsi="Arial"/>
      <w:color w:val="7F7F7F"/>
      <w:sz w:val="20"/>
    </w:rPr>
  </w:style>
  <w:style w:type="paragraph" w:styleId="ListNumber3">
    <w:name w:val="List Number 3"/>
    <w:basedOn w:val="Normal"/>
    <w:uiPriority w:val="99"/>
    <w:semiHidden/>
    <w:unhideWhenUsed/>
    <w:rsid w:val="000B5528"/>
    <w:pPr>
      <w:numPr>
        <w:numId w:val="39"/>
      </w:numPr>
      <w:tabs>
        <w:tab w:val="clear" w:pos="926"/>
      </w:tabs>
      <w:spacing w:before="0" w:after="180" w:line="240" w:lineRule="auto"/>
      <w:ind w:left="1267"/>
      <w:contextualSpacing/>
      <w:jc w:val="left"/>
    </w:pPr>
    <w:rPr>
      <w:rFonts w:ascii="Arial" w:hAnsi="Arial"/>
      <w:color w:val="7F7F7F"/>
      <w:sz w:val="20"/>
    </w:rPr>
  </w:style>
  <w:style w:type="paragraph" w:styleId="ListNumber4">
    <w:name w:val="List Number 4"/>
    <w:basedOn w:val="Normal"/>
    <w:uiPriority w:val="99"/>
    <w:semiHidden/>
    <w:unhideWhenUsed/>
    <w:rsid w:val="000B5528"/>
    <w:pPr>
      <w:numPr>
        <w:numId w:val="40"/>
      </w:numPr>
      <w:tabs>
        <w:tab w:val="clear" w:pos="1209"/>
      </w:tabs>
      <w:spacing w:before="0" w:after="180" w:line="240" w:lineRule="auto"/>
      <w:ind w:left="1267"/>
      <w:contextualSpacing/>
      <w:jc w:val="left"/>
    </w:pPr>
    <w:rPr>
      <w:rFonts w:ascii="Arial" w:hAnsi="Arial"/>
      <w:color w:val="7F7F7F"/>
      <w:sz w:val="20"/>
    </w:rPr>
  </w:style>
  <w:style w:type="paragraph" w:styleId="ListNumber5">
    <w:name w:val="List Number 5"/>
    <w:basedOn w:val="Normal"/>
    <w:uiPriority w:val="99"/>
    <w:semiHidden/>
    <w:unhideWhenUsed/>
    <w:rsid w:val="000B5528"/>
    <w:pPr>
      <w:numPr>
        <w:numId w:val="41"/>
      </w:numPr>
      <w:tabs>
        <w:tab w:val="clear" w:pos="1492"/>
      </w:tabs>
      <w:spacing w:before="0" w:after="180" w:line="240" w:lineRule="auto"/>
      <w:ind w:left="360"/>
      <w:contextualSpacing/>
      <w:jc w:val="left"/>
    </w:pPr>
    <w:rPr>
      <w:rFonts w:ascii="Arial" w:hAnsi="Arial"/>
      <w:color w:val="7F7F7F"/>
      <w:sz w:val="20"/>
    </w:rPr>
  </w:style>
  <w:style w:type="paragraph" w:customStyle="1" w:styleId="MacroText1">
    <w:name w:val="Macro Text1"/>
    <w:next w:val="MacroText"/>
    <w:link w:val="MacroTextChar"/>
    <w:uiPriority w:val="99"/>
    <w:semiHidden/>
    <w:unhideWhenUsed/>
    <w:rsid w:val="000B552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olor w:val="7F7F7F"/>
      <w:sz w:val="20"/>
      <w:szCs w:val="20"/>
    </w:rPr>
  </w:style>
  <w:style w:type="character" w:customStyle="1" w:styleId="MacroTextChar">
    <w:name w:val="Macro Text Char"/>
    <w:basedOn w:val="DefaultParagraphFont"/>
    <w:link w:val="MacroText1"/>
    <w:uiPriority w:val="99"/>
    <w:semiHidden/>
    <w:rsid w:val="000B5528"/>
    <w:rPr>
      <w:rFonts w:ascii="Consolas" w:hAnsi="Consolas"/>
      <w:color w:val="7F7F7F"/>
      <w:sz w:val="20"/>
      <w:szCs w:val="20"/>
    </w:rPr>
  </w:style>
  <w:style w:type="paragraph" w:customStyle="1" w:styleId="MessageHeader1">
    <w:name w:val="Message Header1"/>
    <w:basedOn w:val="Normal"/>
    <w:next w:val="MessageHeader"/>
    <w:link w:val="MessageHeaderChar"/>
    <w:uiPriority w:val="99"/>
    <w:semiHidden/>
    <w:unhideWhenUsed/>
    <w:rsid w:val="000B5528"/>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jc w:val="left"/>
    </w:pPr>
    <w:rPr>
      <w:rFonts w:ascii="Tw Cen MT" w:eastAsia="HGPGothicE" w:hAnsi="Tw Cen MT" w:cs="Arial"/>
      <w:color w:val="7F7F7F"/>
      <w:sz w:val="24"/>
      <w:szCs w:val="24"/>
    </w:rPr>
  </w:style>
  <w:style w:type="character" w:customStyle="1" w:styleId="MessageHeaderChar">
    <w:name w:val="Message Header Char"/>
    <w:basedOn w:val="DefaultParagraphFont"/>
    <w:link w:val="MessageHeader1"/>
    <w:uiPriority w:val="99"/>
    <w:semiHidden/>
    <w:rsid w:val="000B5528"/>
    <w:rPr>
      <w:rFonts w:ascii="Tw Cen MT" w:eastAsia="HGPGothicE" w:hAnsi="Tw Cen MT" w:cs="Arial"/>
      <w:color w:val="7F7F7F"/>
      <w:sz w:val="24"/>
      <w:szCs w:val="24"/>
      <w:shd w:val="pct20" w:color="auto" w:fill="auto"/>
    </w:rPr>
  </w:style>
  <w:style w:type="paragraph" w:styleId="NormalWeb">
    <w:name w:val="Normal (Web)"/>
    <w:basedOn w:val="Normal"/>
    <w:uiPriority w:val="99"/>
    <w:unhideWhenUsed/>
    <w:rsid w:val="000B5528"/>
    <w:pPr>
      <w:spacing w:before="0" w:after="180" w:line="240" w:lineRule="auto"/>
      <w:jc w:val="left"/>
    </w:pPr>
    <w:rPr>
      <w:rFonts w:ascii="Times New Roman" w:hAnsi="Times New Roman" w:cs="Times New Roman"/>
      <w:color w:val="7F7F7F"/>
      <w:sz w:val="24"/>
      <w:szCs w:val="24"/>
    </w:rPr>
  </w:style>
  <w:style w:type="paragraph" w:styleId="NormalIndent">
    <w:name w:val="Normal Indent"/>
    <w:basedOn w:val="Normal"/>
    <w:uiPriority w:val="99"/>
    <w:semiHidden/>
    <w:unhideWhenUsed/>
    <w:rsid w:val="000B5528"/>
    <w:pPr>
      <w:spacing w:before="0" w:after="180" w:line="240" w:lineRule="auto"/>
      <w:ind w:left="720"/>
      <w:jc w:val="left"/>
    </w:pPr>
    <w:rPr>
      <w:rFonts w:ascii="Arial" w:hAnsi="Arial"/>
      <w:color w:val="7F7F7F"/>
      <w:sz w:val="20"/>
    </w:rPr>
  </w:style>
  <w:style w:type="paragraph" w:styleId="NoteHeading">
    <w:name w:val="Note Heading"/>
    <w:basedOn w:val="Normal"/>
    <w:next w:val="Normal"/>
    <w:link w:val="NoteHeadingChar"/>
    <w:uiPriority w:val="99"/>
    <w:semiHidden/>
    <w:unhideWhenUsed/>
    <w:rsid w:val="000B5528"/>
    <w:pPr>
      <w:spacing w:before="0" w:after="0" w:line="240" w:lineRule="auto"/>
      <w:jc w:val="left"/>
    </w:pPr>
    <w:rPr>
      <w:rFonts w:ascii="Arial" w:hAnsi="Arial"/>
      <w:color w:val="7F7F7F"/>
      <w:sz w:val="20"/>
    </w:rPr>
  </w:style>
  <w:style w:type="character" w:customStyle="1" w:styleId="NoteHeadingChar">
    <w:name w:val="Note Heading Char"/>
    <w:basedOn w:val="DefaultParagraphFont"/>
    <w:link w:val="NoteHeading"/>
    <w:uiPriority w:val="99"/>
    <w:semiHidden/>
    <w:rsid w:val="000B5528"/>
    <w:rPr>
      <w:rFonts w:ascii="Arial" w:hAnsi="Arial"/>
      <w:color w:val="7F7F7F"/>
      <w:sz w:val="20"/>
    </w:rPr>
  </w:style>
  <w:style w:type="paragraph" w:styleId="PlainText">
    <w:name w:val="Plain Text"/>
    <w:basedOn w:val="Normal"/>
    <w:link w:val="PlainTextChar"/>
    <w:uiPriority w:val="99"/>
    <w:semiHidden/>
    <w:unhideWhenUsed/>
    <w:rsid w:val="000B5528"/>
    <w:pPr>
      <w:spacing w:before="0" w:after="0" w:line="240" w:lineRule="auto"/>
      <w:jc w:val="left"/>
    </w:pPr>
    <w:rPr>
      <w:rFonts w:ascii="Consolas" w:hAnsi="Consolas"/>
      <w:color w:val="7F7F7F"/>
      <w:sz w:val="21"/>
      <w:szCs w:val="21"/>
    </w:rPr>
  </w:style>
  <w:style w:type="character" w:customStyle="1" w:styleId="PlainTextChar">
    <w:name w:val="Plain Text Char"/>
    <w:basedOn w:val="DefaultParagraphFont"/>
    <w:link w:val="PlainText"/>
    <w:uiPriority w:val="99"/>
    <w:semiHidden/>
    <w:rsid w:val="000B5528"/>
    <w:rPr>
      <w:rFonts w:ascii="Consolas" w:hAnsi="Consolas"/>
      <w:color w:val="7F7F7F"/>
      <w:sz w:val="21"/>
      <w:szCs w:val="21"/>
    </w:rPr>
  </w:style>
  <w:style w:type="paragraph" w:styleId="Salutation">
    <w:name w:val="Salutation"/>
    <w:basedOn w:val="Normal"/>
    <w:next w:val="Normal"/>
    <w:link w:val="SalutationChar"/>
    <w:uiPriority w:val="99"/>
    <w:semiHidden/>
    <w:unhideWhenUsed/>
    <w:rsid w:val="000B5528"/>
    <w:pPr>
      <w:spacing w:before="0" w:after="180" w:line="240" w:lineRule="auto"/>
      <w:jc w:val="left"/>
    </w:pPr>
    <w:rPr>
      <w:rFonts w:ascii="Arial" w:hAnsi="Arial"/>
      <w:color w:val="7F7F7F"/>
      <w:sz w:val="20"/>
    </w:rPr>
  </w:style>
  <w:style w:type="character" w:customStyle="1" w:styleId="SalutationChar">
    <w:name w:val="Salutation Char"/>
    <w:basedOn w:val="DefaultParagraphFont"/>
    <w:link w:val="Salutation"/>
    <w:uiPriority w:val="99"/>
    <w:semiHidden/>
    <w:rsid w:val="000B5528"/>
    <w:rPr>
      <w:rFonts w:ascii="Arial" w:hAnsi="Arial"/>
      <w:color w:val="7F7F7F"/>
      <w:sz w:val="20"/>
    </w:rPr>
  </w:style>
  <w:style w:type="paragraph" w:styleId="Signature">
    <w:name w:val="Signature"/>
    <w:basedOn w:val="Normal"/>
    <w:link w:val="SignatureChar"/>
    <w:uiPriority w:val="99"/>
    <w:semiHidden/>
    <w:unhideWhenUsed/>
    <w:rsid w:val="000B5528"/>
    <w:pPr>
      <w:spacing w:before="0" w:after="0" w:line="240" w:lineRule="auto"/>
      <w:ind w:left="4252"/>
      <w:jc w:val="left"/>
    </w:pPr>
    <w:rPr>
      <w:rFonts w:ascii="Arial" w:hAnsi="Arial"/>
      <w:color w:val="7F7F7F"/>
      <w:sz w:val="20"/>
    </w:rPr>
  </w:style>
  <w:style w:type="character" w:customStyle="1" w:styleId="SignatureChar">
    <w:name w:val="Signature Char"/>
    <w:basedOn w:val="DefaultParagraphFont"/>
    <w:link w:val="Signature"/>
    <w:uiPriority w:val="99"/>
    <w:semiHidden/>
    <w:rsid w:val="000B5528"/>
    <w:rPr>
      <w:rFonts w:ascii="Arial" w:hAnsi="Arial"/>
      <w:color w:val="7F7F7F"/>
      <w:sz w:val="20"/>
    </w:rPr>
  </w:style>
  <w:style w:type="paragraph" w:styleId="TableofAuthorities">
    <w:name w:val="table of authorities"/>
    <w:basedOn w:val="Normal"/>
    <w:next w:val="Normal"/>
    <w:uiPriority w:val="99"/>
    <w:semiHidden/>
    <w:unhideWhenUsed/>
    <w:rsid w:val="000B5528"/>
    <w:pPr>
      <w:spacing w:before="0" w:after="0" w:line="240" w:lineRule="auto"/>
      <w:ind w:left="200" w:hanging="200"/>
      <w:jc w:val="left"/>
    </w:pPr>
    <w:rPr>
      <w:rFonts w:ascii="Arial" w:hAnsi="Arial"/>
      <w:color w:val="7F7F7F"/>
      <w:sz w:val="20"/>
    </w:rPr>
  </w:style>
  <w:style w:type="paragraph" w:customStyle="1" w:styleId="TOAHeading1">
    <w:name w:val="TOA Heading1"/>
    <w:basedOn w:val="Normal"/>
    <w:next w:val="Normal"/>
    <w:uiPriority w:val="99"/>
    <w:semiHidden/>
    <w:unhideWhenUsed/>
    <w:rsid w:val="000B5528"/>
    <w:pPr>
      <w:spacing w:before="120" w:after="180" w:line="240" w:lineRule="auto"/>
      <w:jc w:val="left"/>
    </w:pPr>
    <w:rPr>
      <w:rFonts w:ascii="Tw Cen MT" w:eastAsia="HGPGothicE" w:hAnsi="Tw Cen MT" w:cs="Arial"/>
      <w:b/>
      <w:bCs/>
      <w:color w:val="7F7F7F"/>
      <w:sz w:val="24"/>
      <w:szCs w:val="24"/>
    </w:rPr>
  </w:style>
  <w:style w:type="character" w:customStyle="1" w:styleId="CommentTextChar1">
    <w:name w:val="Comment Text Char1"/>
    <w:basedOn w:val="DefaultParagraphFont"/>
    <w:uiPriority w:val="99"/>
    <w:rsid w:val="000B5528"/>
    <w:rPr>
      <w:rFonts w:ascii="Arial" w:hAnsi="Arial"/>
      <w:color w:val="7F7F7F"/>
      <w:sz w:val="20"/>
      <w:szCs w:val="20"/>
    </w:rPr>
  </w:style>
  <w:style w:type="paragraph" w:customStyle="1" w:styleId="paragraph">
    <w:name w:val="paragraph"/>
    <w:aliases w:val="a"/>
    <w:basedOn w:val="Normal"/>
    <w:link w:val="paragraphChar"/>
    <w:rsid w:val="000B5528"/>
    <w:pPr>
      <w:spacing w:before="100" w:beforeAutospacing="1" w:after="100" w:afterAutospacing="1" w:line="240" w:lineRule="auto"/>
      <w:jc w:val="left"/>
    </w:pPr>
    <w:rPr>
      <w:rFonts w:ascii="Times New Roman" w:eastAsia="Times New Roman" w:hAnsi="Times New Roman" w:cs="Times New Roman"/>
      <w:color w:val="auto"/>
      <w:sz w:val="24"/>
      <w:szCs w:val="24"/>
      <w:lang w:eastAsia="en-AU"/>
    </w:rPr>
  </w:style>
  <w:style w:type="character" w:customStyle="1" w:styleId="eop">
    <w:name w:val="eop"/>
    <w:basedOn w:val="DefaultParagraphFont"/>
    <w:rsid w:val="000B5528"/>
  </w:style>
  <w:style w:type="paragraph" w:customStyle="1" w:styleId="outlineelement">
    <w:name w:val="outlineelement"/>
    <w:basedOn w:val="Normal"/>
    <w:rsid w:val="000B5528"/>
    <w:pPr>
      <w:spacing w:before="100" w:beforeAutospacing="1" w:after="100" w:afterAutospacing="1" w:line="240" w:lineRule="auto"/>
      <w:jc w:val="left"/>
    </w:pPr>
    <w:rPr>
      <w:rFonts w:ascii="Times New Roman" w:eastAsia="Times New Roman" w:hAnsi="Times New Roman" w:cs="Times New Roman"/>
      <w:color w:val="auto"/>
      <w:sz w:val="24"/>
      <w:szCs w:val="24"/>
      <w:lang w:eastAsia="en-AU"/>
    </w:rPr>
  </w:style>
  <w:style w:type="paragraph" w:customStyle="1" w:styleId="Paragraphbeforeabulletlist">
    <w:name w:val="Paragraph before a bullet list"/>
    <w:basedOn w:val="Normal"/>
    <w:link w:val="ParagraphbeforeabulletlistChar"/>
    <w:autoRedefine/>
    <w:locked/>
    <w:rsid w:val="000B5528"/>
    <w:pPr>
      <w:keepNext/>
      <w:spacing w:before="0" w:after="0"/>
    </w:pPr>
    <w:rPr>
      <w:rFonts w:cs="Times New Roman (Body CS)"/>
      <w:noProof/>
      <w:color w:val="auto"/>
      <w:szCs w:val="44"/>
    </w:rPr>
  </w:style>
  <w:style w:type="character" w:customStyle="1" w:styleId="ParagraphbeforeabulletlistChar">
    <w:name w:val="Paragraph before a bullet list Char"/>
    <w:basedOn w:val="DefaultParagraphFont"/>
    <w:link w:val="Paragraphbeforeabulletlist"/>
    <w:rsid w:val="000B5528"/>
    <w:rPr>
      <w:rFonts w:ascii="Calibri Light" w:hAnsi="Calibri Light" w:cs="Times New Roman (Body CS)"/>
      <w:noProof/>
      <w:sz w:val="26"/>
      <w:szCs w:val="44"/>
    </w:rPr>
  </w:style>
  <w:style w:type="table" w:customStyle="1" w:styleId="Glossary">
    <w:name w:val="Glossary"/>
    <w:basedOn w:val="TableNormal"/>
    <w:uiPriority w:val="99"/>
    <w:rsid w:val="000B5528"/>
    <w:pPr>
      <w:spacing w:after="0"/>
    </w:pPr>
    <w:tblPr>
      <w:tblBorders>
        <w:top w:val="single" w:sz="4" w:space="0" w:color="148A5D"/>
        <w:bottom w:val="single" w:sz="4" w:space="0" w:color="148A5D"/>
        <w:insideH w:val="single" w:sz="4" w:space="0" w:color="148A5D"/>
      </w:tblBorders>
    </w:tblPr>
    <w:tblStylePr w:type="firstRow">
      <w:rPr>
        <w:b/>
        <w:color w:val="FFFFFF"/>
      </w:rPr>
      <w:tblPr/>
      <w:tcPr>
        <w:shd w:val="clear" w:color="auto" w:fill="148A5D"/>
      </w:tcPr>
    </w:tblStylePr>
  </w:style>
  <w:style w:type="table" w:customStyle="1" w:styleId="ListTable3-Accent221">
    <w:name w:val="List Table 3 - Accent 221"/>
    <w:basedOn w:val="TableNormal"/>
    <w:next w:val="ListTable3-Accent2"/>
    <w:uiPriority w:val="48"/>
    <w:rsid w:val="000B5528"/>
    <w:pPr>
      <w:spacing w:after="0"/>
    </w:pPr>
    <w:tblPr>
      <w:tblStyleRowBandSize w:val="1"/>
      <w:tblStyleColBandSize w:val="1"/>
      <w:tblBorders>
        <w:top w:val="single" w:sz="4" w:space="0" w:color="148A5D"/>
        <w:left w:val="single" w:sz="4" w:space="0" w:color="148A5D"/>
        <w:bottom w:val="single" w:sz="4" w:space="0" w:color="148A5D"/>
        <w:right w:val="single" w:sz="4" w:space="0" w:color="148A5D"/>
      </w:tblBorders>
    </w:tblPr>
    <w:tblStylePr w:type="firstRow">
      <w:rPr>
        <w:b/>
        <w:bCs/>
        <w:color w:val="FFFFFF"/>
      </w:rPr>
      <w:tblPr/>
      <w:tcPr>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paragraph" w:customStyle="1" w:styleId="Tableheaderrow">
    <w:name w:val="Table header row"/>
    <w:link w:val="TableheaderrowChar"/>
    <w:rsid w:val="000B5528"/>
    <w:pPr>
      <w:spacing w:after="0"/>
    </w:pPr>
    <w:rPr>
      <w:rFonts w:ascii="Calibri Light" w:eastAsia="Rockwell" w:hAnsi="Calibri Light" w:cs="Arial"/>
      <w:b/>
      <w:bCs/>
      <w:color w:val="4D4D4D"/>
    </w:rPr>
  </w:style>
  <w:style w:type="character" w:customStyle="1" w:styleId="TableheaderrowChar">
    <w:name w:val="Table header row Char"/>
    <w:basedOn w:val="DefaultParagraphFont"/>
    <w:link w:val="Tableheaderrow"/>
    <w:rsid w:val="000B5528"/>
    <w:rPr>
      <w:rFonts w:ascii="Calibri Light" w:eastAsia="Rockwell" w:hAnsi="Calibri Light" w:cs="Arial"/>
      <w:b/>
      <w:bCs/>
      <w:color w:val="4D4D4D"/>
    </w:rPr>
  </w:style>
  <w:style w:type="table" w:customStyle="1" w:styleId="ListTable3-Accent212">
    <w:name w:val="List Table 3 - Accent 212"/>
    <w:basedOn w:val="TableNormal"/>
    <w:next w:val="ListTable3-Accent2"/>
    <w:uiPriority w:val="48"/>
    <w:rsid w:val="000B5528"/>
    <w:pPr>
      <w:spacing w:after="0"/>
    </w:pPr>
    <w:rPr>
      <w:rFonts w:ascii="Calibri Light" w:eastAsia="Rockwell" w:hAnsi="Calibri Light" w:cs="Times New Roman"/>
      <w:color w:val="4D4D4D"/>
    </w:rPr>
    <w:tblPr>
      <w:tblStyleRowBandSize w:val="1"/>
      <w:tblStyleColBandSize w:val="1"/>
      <w:tblInd w:w="0" w:type="nil"/>
      <w:tblBorders>
        <w:top w:val="single" w:sz="4" w:space="0" w:color="148A5D"/>
        <w:bottom w:val="single" w:sz="4" w:space="0" w:color="148A5D"/>
      </w:tblBorders>
    </w:tblPr>
    <w:tblStylePr w:type="firstRow">
      <w:pPr>
        <w:jc w:val="left"/>
      </w:pPr>
      <w:rPr>
        <w:rFonts w:ascii="Calibri Light" w:hAnsi="Calibri Light" w:cs="Calibri Light" w:hint="default"/>
        <w:b/>
        <w:bCs/>
        <w:color w:val="FFFFFF"/>
        <w:sz w:val="22"/>
        <w:szCs w:val="22"/>
      </w:rPr>
      <w:tblPr/>
      <w:tcPr>
        <w:tcBorders>
          <w:top w:val="nil"/>
          <w:left w:val="nil"/>
          <w:bottom w:val="nil"/>
          <w:right w:val="nil"/>
          <w:insideH w:val="single" w:sz="4" w:space="0" w:color="148A5D"/>
          <w:insideV w:val="nil"/>
          <w:tl2br w:val="nil"/>
          <w:tr2bl w:val="nil"/>
        </w:tcBorders>
        <w:shd w:val="clear" w:color="auto" w:fill="148A5D"/>
      </w:tcPr>
    </w:tblStylePr>
    <w:tblStylePr w:type="lastRow">
      <w:rPr>
        <w:b/>
        <w:bCs/>
      </w:rPr>
      <w:tblPr/>
      <w:tcPr>
        <w:tcBorders>
          <w:top w:val="double" w:sz="4" w:space="0" w:color="148A5D"/>
        </w:tcBorders>
        <w:shd w:val="clear" w:color="auto" w:fill="FFFFFF"/>
      </w:tcPr>
    </w:tblStylePr>
    <w:tblStylePr w:type="firstCol">
      <w:pPr>
        <w:wordWrap/>
        <w:contextualSpacing w:val="0"/>
        <w:mirrorIndents w:val="0"/>
      </w:pPr>
      <w:rPr>
        <w:b w:val="0"/>
        <w:bCs/>
      </w:rPr>
      <w:tblPr/>
      <w:tcPr>
        <w:tcBorders>
          <w:right w:val="nil"/>
        </w:tcBorders>
        <w:shd w:val="clear" w:color="auto" w:fill="FFFFFF"/>
      </w:tcPr>
    </w:tblStylePr>
    <w:tblStylePr w:type="lastCol">
      <w:rPr>
        <w:b w:val="0"/>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paragraph" w:customStyle="1" w:styleId="Parapraph">
    <w:name w:val="Parapraph"/>
    <w:link w:val="ParapraphChar"/>
    <w:rsid w:val="000B5528"/>
    <w:pPr>
      <w:spacing w:before="180" w:after="180" w:line="276" w:lineRule="auto"/>
      <w:jc w:val="both"/>
    </w:pPr>
    <w:rPr>
      <w:rFonts w:ascii="Calibri Light" w:hAnsi="Calibri Light" w:cs="Times New Roman (Body CS)"/>
      <w:color w:val="4D4D4D"/>
      <w:sz w:val="26"/>
      <w:szCs w:val="44"/>
    </w:rPr>
  </w:style>
  <w:style w:type="character" w:customStyle="1" w:styleId="ParapraphChar">
    <w:name w:val="Parapraph Char"/>
    <w:basedOn w:val="DefaultParagraphFont"/>
    <w:link w:val="Parapraph"/>
    <w:rsid w:val="000B5528"/>
    <w:rPr>
      <w:rFonts w:ascii="Calibri Light" w:hAnsi="Calibri Light" w:cs="Times New Roman (Body CS)"/>
      <w:color w:val="4D4D4D"/>
      <w:sz w:val="26"/>
      <w:szCs w:val="44"/>
    </w:rPr>
  </w:style>
  <w:style w:type="paragraph" w:customStyle="1" w:styleId="Heading">
    <w:name w:val="Heading"/>
    <w:link w:val="HeadingChar"/>
    <w:autoRedefine/>
    <w:locked/>
    <w:rsid w:val="000B5528"/>
    <w:pPr>
      <w:spacing w:after="720"/>
      <w:outlineLvl w:val="0"/>
    </w:pPr>
    <w:rPr>
      <w:rFonts w:ascii="Rockwell" w:hAnsi="Rockwell" w:cs="Times New Roman (Body CS)"/>
      <w:color w:val="FFFFFF"/>
      <w:spacing w:val="-6"/>
      <w:sz w:val="56"/>
      <w:szCs w:val="72"/>
    </w:rPr>
  </w:style>
  <w:style w:type="character" w:customStyle="1" w:styleId="HeadingChar">
    <w:name w:val="Heading Char"/>
    <w:basedOn w:val="02VIRTHeading2Char"/>
    <w:link w:val="Heading"/>
    <w:rsid w:val="000B5528"/>
    <w:rPr>
      <w:rFonts w:ascii="Rockwell" w:hAnsi="Rockwell" w:cs="Times New Roman (Body CS)"/>
      <w:color w:val="FFFFFF"/>
      <w:spacing w:val="-6"/>
      <w:sz w:val="56"/>
      <w:szCs w:val="72"/>
    </w:rPr>
  </w:style>
  <w:style w:type="paragraph" w:customStyle="1" w:styleId="Numberedparagraphs">
    <w:name w:val="Numbered paragraphs"/>
    <w:link w:val="NumberedparagraphsChar"/>
    <w:locked/>
    <w:rsid w:val="000B5528"/>
    <w:pPr>
      <w:numPr>
        <w:numId w:val="43"/>
      </w:numPr>
      <w:spacing w:before="180" w:after="180" w:line="276" w:lineRule="auto"/>
    </w:pPr>
    <w:rPr>
      <w:rFonts w:ascii="Calibri Light" w:hAnsi="Calibri Light" w:cs="Times New Roman (Body CS)"/>
      <w:color w:val="4D4D4D"/>
      <w:sz w:val="26"/>
      <w:szCs w:val="44"/>
    </w:rPr>
  </w:style>
  <w:style w:type="character" w:customStyle="1" w:styleId="NumberedparagraphsChar">
    <w:name w:val="Numbered paragraphs Char"/>
    <w:basedOn w:val="DefaultParagraphFont"/>
    <w:link w:val="Numberedparagraphs"/>
    <w:rsid w:val="000B5528"/>
    <w:rPr>
      <w:rFonts w:ascii="Calibri Light" w:hAnsi="Calibri Light" w:cs="Times New Roman (Body CS)"/>
      <w:color w:val="4D4D4D"/>
      <w:sz w:val="26"/>
      <w:szCs w:val="44"/>
    </w:rPr>
  </w:style>
  <w:style w:type="paragraph" w:customStyle="1" w:styleId="DPCnumberdigit">
    <w:name w:val="DPC number digit"/>
    <w:basedOn w:val="Normal"/>
    <w:uiPriority w:val="4"/>
    <w:rsid w:val="000B5528"/>
    <w:pPr>
      <w:numPr>
        <w:numId w:val="44"/>
      </w:numPr>
      <w:tabs>
        <w:tab w:val="clear" w:pos="397"/>
      </w:tabs>
      <w:spacing w:before="0" w:after="160" w:line="300" w:lineRule="atLeast"/>
      <w:ind w:left="720" w:hanging="360"/>
      <w:jc w:val="left"/>
    </w:pPr>
    <w:rPr>
      <w:rFonts w:ascii="Rockwell" w:eastAsia="Times" w:hAnsi="Rockwell" w:cs="Arial"/>
      <w:color w:val="000000"/>
      <w:sz w:val="22"/>
    </w:rPr>
  </w:style>
  <w:style w:type="paragraph" w:customStyle="1" w:styleId="DPCnumberdigitindent">
    <w:name w:val="DPC number digit indent"/>
    <w:basedOn w:val="Normal"/>
    <w:uiPriority w:val="4"/>
    <w:rsid w:val="000B5528"/>
    <w:pPr>
      <w:numPr>
        <w:ilvl w:val="1"/>
        <w:numId w:val="44"/>
      </w:numPr>
      <w:tabs>
        <w:tab w:val="clear" w:pos="794"/>
      </w:tabs>
      <w:spacing w:before="0" w:after="160" w:line="300" w:lineRule="atLeast"/>
      <w:ind w:left="1440" w:hanging="360"/>
      <w:jc w:val="left"/>
    </w:pPr>
    <w:rPr>
      <w:rFonts w:ascii="Rockwell" w:eastAsia="Times" w:hAnsi="Rockwell" w:cs="Arial"/>
      <w:color w:val="000000"/>
      <w:sz w:val="22"/>
    </w:rPr>
  </w:style>
  <w:style w:type="paragraph" w:customStyle="1" w:styleId="DPCtabletext">
    <w:name w:val="DPC table text"/>
    <w:uiPriority w:val="3"/>
    <w:rsid w:val="000B5528"/>
    <w:pPr>
      <w:spacing w:before="60" w:after="40"/>
    </w:pPr>
    <w:rPr>
      <w:rFonts w:eastAsia="Times New Roman" w:cs="Times New Roman"/>
      <w:color w:val="000000"/>
      <w:sz w:val="20"/>
      <w:szCs w:val="20"/>
    </w:rPr>
  </w:style>
  <w:style w:type="numbering" w:customStyle="1" w:styleId="ZZNumbersdigit">
    <w:name w:val="ZZ Numbers digit"/>
    <w:basedOn w:val="NoList"/>
    <w:uiPriority w:val="99"/>
    <w:rsid w:val="000B5528"/>
    <w:pPr>
      <w:numPr>
        <w:numId w:val="44"/>
      </w:numPr>
    </w:pPr>
  </w:style>
  <w:style w:type="paragraph" w:customStyle="1" w:styleId="DPCbulletafternumbers1">
    <w:name w:val="DPC bullet after numbers 1"/>
    <w:basedOn w:val="Normal"/>
    <w:rsid w:val="000B5528"/>
    <w:pPr>
      <w:numPr>
        <w:ilvl w:val="2"/>
        <w:numId w:val="44"/>
      </w:numPr>
      <w:spacing w:before="0" w:after="160" w:line="300" w:lineRule="atLeast"/>
      <w:ind w:left="2160" w:hanging="360"/>
      <w:jc w:val="left"/>
    </w:pPr>
    <w:rPr>
      <w:rFonts w:ascii="Rockwell" w:eastAsia="Times" w:hAnsi="Rockwell" w:cs="Arial"/>
      <w:color w:val="000000"/>
      <w:sz w:val="22"/>
    </w:rPr>
  </w:style>
  <w:style w:type="paragraph" w:customStyle="1" w:styleId="DPCbulletafternumbers2">
    <w:name w:val="DPC bullet after numbers 2"/>
    <w:basedOn w:val="Normal"/>
    <w:rsid w:val="000B5528"/>
    <w:pPr>
      <w:numPr>
        <w:ilvl w:val="3"/>
        <w:numId w:val="44"/>
      </w:numPr>
      <w:spacing w:before="0" w:after="160" w:line="300" w:lineRule="atLeast"/>
      <w:ind w:left="2880" w:hanging="360"/>
      <w:jc w:val="left"/>
    </w:pPr>
    <w:rPr>
      <w:rFonts w:ascii="Rockwell" w:eastAsia="Times" w:hAnsi="Rockwell" w:cs="Arial"/>
      <w:color w:val="000000"/>
      <w:sz w:val="22"/>
    </w:rPr>
  </w:style>
  <w:style w:type="character" w:customStyle="1" w:styleId="frag-no">
    <w:name w:val="frag-no"/>
    <w:basedOn w:val="DefaultParagraphFont"/>
    <w:rsid w:val="000B5528"/>
  </w:style>
  <w:style w:type="paragraph" w:customStyle="1" w:styleId="TOClevel1">
    <w:name w:val="TOC level 1"/>
    <w:basedOn w:val="TOC1"/>
    <w:link w:val="TOClevel1Char"/>
    <w:qFormat/>
    <w:rsid w:val="000B5528"/>
    <w:pPr>
      <w:tabs>
        <w:tab w:val="clear" w:pos="9622"/>
        <w:tab w:val="left" w:pos="440"/>
        <w:tab w:val="right" w:leader="dot" w:pos="8494"/>
      </w:tabs>
      <w:spacing w:before="0" w:after="100" w:line="259" w:lineRule="auto"/>
    </w:pPr>
  </w:style>
  <w:style w:type="character" w:customStyle="1" w:styleId="TOC1Char">
    <w:name w:val="TOC 1 Char"/>
    <w:aliases w:val="TOC 1 VIRT Char"/>
    <w:basedOn w:val="DefaultParagraphFont"/>
    <w:link w:val="TOC1"/>
    <w:uiPriority w:val="39"/>
    <w:rsid w:val="00DD3A2D"/>
    <w:rPr>
      <w:rFonts w:ascii="Calibri Light" w:hAnsi="Calibri Light"/>
      <w:b/>
      <w:bCs/>
      <w:sz w:val="26"/>
      <w:szCs w:val="20"/>
    </w:rPr>
  </w:style>
  <w:style w:type="character" w:customStyle="1" w:styleId="TOClevel1Char">
    <w:name w:val="TOC level 1 Char"/>
    <w:basedOn w:val="TOC1Char"/>
    <w:link w:val="TOClevel1"/>
    <w:rsid w:val="000B5528"/>
    <w:rPr>
      <w:rFonts w:ascii="Calibri Light" w:hAnsi="Calibri Light"/>
      <w:b/>
      <w:bCs/>
      <w:color w:val="4D4D4D" w:themeColor="accent6"/>
      <w:sz w:val="26"/>
      <w:szCs w:val="20"/>
    </w:rPr>
  </w:style>
  <w:style w:type="paragraph" w:customStyle="1" w:styleId="Romanbullets">
    <w:name w:val="Roman bullets"/>
    <w:basedOn w:val="VIRTBulletpoints"/>
    <w:link w:val="RomanbulletsChar"/>
    <w:rsid w:val="000B5528"/>
    <w:pPr>
      <w:numPr>
        <w:numId w:val="0"/>
      </w:numPr>
      <w:spacing w:before="120" w:after="120"/>
      <w:ind w:left="360" w:hanging="360"/>
    </w:pPr>
    <w:rPr>
      <w:color w:val="000000"/>
    </w:rPr>
  </w:style>
  <w:style w:type="character" w:customStyle="1" w:styleId="RomanbulletsChar">
    <w:name w:val="Roman bullets Char"/>
    <w:basedOn w:val="VIRTBulletpointsChar"/>
    <w:link w:val="Romanbullets"/>
    <w:rsid w:val="000B5528"/>
    <w:rPr>
      <w:rFonts w:ascii="Calibri Light" w:hAnsi="Calibri Light" w:cs="Arial"/>
      <w:noProof/>
      <w:color w:val="000000"/>
      <w:sz w:val="26"/>
      <w:szCs w:val="20"/>
      <w:lang w:val="en-US"/>
    </w:rPr>
  </w:style>
  <w:style w:type="table" w:customStyle="1" w:styleId="ListTable3-Accent231">
    <w:name w:val="List Table 3 - Accent 231"/>
    <w:basedOn w:val="TableNormal"/>
    <w:next w:val="ListTable3-Accent2"/>
    <w:uiPriority w:val="48"/>
    <w:locked/>
    <w:rsid w:val="000B5528"/>
    <w:pPr>
      <w:spacing w:after="0"/>
    </w:pPr>
    <w:tblPr>
      <w:tblStyleRowBandSize w:val="1"/>
      <w:tblStyleColBandSize w:val="1"/>
      <w:tblBorders>
        <w:top w:val="single" w:sz="4" w:space="0" w:color="148A5D"/>
        <w:left w:val="single" w:sz="4" w:space="0" w:color="148A5D"/>
        <w:bottom w:val="single" w:sz="4" w:space="0" w:color="148A5D"/>
        <w:right w:val="single" w:sz="4" w:space="0" w:color="148A5D"/>
      </w:tblBorders>
    </w:tblPr>
    <w:tblStylePr w:type="firstRow">
      <w:rPr>
        <w:b/>
        <w:bCs/>
        <w:color w:val="FFFFFF"/>
      </w:rPr>
      <w:tblPr/>
      <w:tcPr>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character" w:customStyle="1" w:styleId="apple-converted-space">
    <w:name w:val="apple-converted-space"/>
    <w:basedOn w:val="DefaultParagraphFont"/>
    <w:rsid w:val="000B5528"/>
  </w:style>
  <w:style w:type="character" w:customStyle="1" w:styleId="Hyperlink1">
    <w:name w:val="Hyperlink1"/>
    <w:basedOn w:val="DefaultParagraphFont"/>
    <w:uiPriority w:val="99"/>
    <w:unhideWhenUsed/>
    <w:locked/>
    <w:rsid w:val="000B5528"/>
    <w:rPr>
      <w:color w:val="5F5F5F"/>
      <w:u w:val="single"/>
    </w:rPr>
  </w:style>
  <w:style w:type="table" w:customStyle="1" w:styleId="ListTable3-Accent241">
    <w:name w:val="List Table 3 - Accent 241"/>
    <w:basedOn w:val="TableNormal"/>
    <w:next w:val="ListTable3-Accent2"/>
    <w:uiPriority w:val="48"/>
    <w:locked/>
    <w:rsid w:val="000B5528"/>
    <w:pPr>
      <w:spacing w:after="0"/>
    </w:pPr>
    <w:tblPr>
      <w:tblStyleRowBandSize w:val="1"/>
      <w:tblStyleColBandSize w:val="1"/>
      <w:tblBorders>
        <w:top w:val="single" w:sz="4" w:space="0" w:color="148A5D"/>
        <w:left w:val="single" w:sz="4" w:space="0" w:color="148A5D"/>
        <w:bottom w:val="single" w:sz="4" w:space="0" w:color="148A5D"/>
        <w:right w:val="single" w:sz="4" w:space="0" w:color="148A5D"/>
      </w:tblBorders>
    </w:tblPr>
    <w:tblStylePr w:type="firstRow">
      <w:rPr>
        <w:b/>
        <w:bCs/>
        <w:color w:val="FFFFFF"/>
      </w:rPr>
      <w:tblPr/>
      <w:tcPr>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paragraph" w:customStyle="1" w:styleId="QuoteinBox">
    <w:name w:val="Quote in Box"/>
    <w:basedOn w:val="12BoxText"/>
    <w:link w:val="QuoteinBoxChar"/>
    <w:qFormat/>
    <w:rsid w:val="000B5528"/>
    <w:rPr>
      <w:rFonts w:cs="Times New Roman (Body CS)"/>
      <w:color w:val="0E7650"/>
      <w:spacing w:val="-6"/>
      <w:sz w:val="26"/>
    </w:rPr>
  </w:style>
  <w:style w:type="character" w:customStyle="1" w:styleId="QuoteinBoxChar">
    <w:name w:val="Quote in Box Char"/>
    <w:basedOn w:val="07VIRTBreakouttextChar"/>
    <w:link w:val="QuoteinBox"/>
    <w:rsid w:val="000B5528"/>
    <w:rPr>
      <w:rFonts w:ascii="Calibri Light" w:hAnsi="Calibri Light" w:cs="Times New Roman (Body CS)"/>
      <w:i w:val="0"/>
      <w:color w:val="0E7650"/>
      <w:spacing w:val="-6"/>
      <w:sz w:val="26"/>
    </w:rPr>
  </w:style>
  <w:style w:type="table" w:customStyle="1" w:styleId="ListTable3-Accent2121">
    <w:name w:val="List Table 3 - Accent 2121"/>
    <w:basedOn w:val="TableNormal"/>
    <w:next w:val="ListTable3-Accent2"/>
    <w:uiPriority w:val="48"/>
    <w:rsid w:val="000B5528"/>
    <w:pPr>
      <w:spacing w:after="0"/>
    </w:pPr>
    <w:rPr>
      <w:rFonts w:ascii="Calibri Light" w:eastAsia="Rockwell" w:hAnsi="Calibri Light" w:cs="Times New Roman"/>
      <w:color w:val="4D4D4D"/>
    </w:rPr>
    <w:tblPr>
      <w:tblStyleRowBandSize w:val="1"/>
      <w:tblStyleColBandSize w:val="1"/>
      <w:tblInd w:w="0" w:type="nil"/>
      <w:tblBorders>
        <w:top w:val="single" w:sz="4" w:space="0" w:color="148A5D"/>
        <w:bottom w:val="single" w:sz="4" w:space="0" w:color="148A5D"/>
      </w:tblBorders>
    </w:tblPr>
    <w:tblStylePr w:type="firstRow">
      <w:pPr>
        <w:jc w:val="left"/>
      </w:pPr>
      <w:rPr>
        <w:rFonts w:ascii="Calibri Light" w:hAnsi="Calibri Light" w:cs="Calibri Light" w:hint="default"/>
        <w:b/>
        <w:bCs/>
        <w:color w:val="FFFFFF"/>
        <w:sz w:val="22"/>
        <w:szCs w:val="22"/>
      </w:rPr>
      <w:tblPr/>
      <w:tcPr>
        <w:tcBorders>
          <w:top w:val="nil"/>
          <w:left w:val="nil"/>
          <w:bottom w:val="nil"/>
          <w:right w:val="nil"/>
          <w:insideH w:val="single" w:sz="4" w:space="0" w:color="148A5D"/>
          <w:insideV w:val="nil"/>
          <w:tl2br w:val="nil"/>
          <w:tr2bl w:val="nil"/>
        </w:tcBorders>
        <w:shd w:val="clear" w:color="auto" w:fill="148A5D"/>
      </w:tcPr>
    </w:tblStylePr>
    <w:tblStylePr w:type="lastRow">
      <w:rPr>
        <w:b/>
        <w:bCs/>
      </w:rPr>
      <w:tblPr/>
      <w:tcPr>
        <w:tcBorders>
          <w:top w:val="double" w:sz="4" w:space="0" w:color="148A5D"/>
        </w:tcBorders>
        <w:shd w:val="clear" w:color="auto" w:fill="FFFFFF"/>
      </w:tcPr>
    </w:tblStylePr>
    <w:tblStylePr w:type="firstCol">
      <w:pPr>
        <w:wordWrap/>
        <w:contextualSpacing w:val="0"/>
        <w:mirrorIndents w:val="0"/>
      </w:pPr>
      <w:rPr>
        <w:b w:val="0"/>
        <w:bCs/>
      </w:rPr>
      <w:tblPr/>
      <w:tcPr>
        <w:tcBorders>
          <w:right w:val="nil"/>
        </w:tcBorders>
        <w:shd w:val="clear" w:color="auto" w:fill="FFFFFF"/>
      </w:tcPr>
    </w:tblStylePr>
    <w:tblStylePr w:type="lastCol">
      <w:rPr>
        <w:b w:val="0"/>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table" w:customStyle="1" w:styleId="TableGrid1">
    <w:name w:val="Table Grid1"/>
    <w:basedOn w:val="TableNormal"/>
    <w:next w:val="TableGrid"/>
    <w:uiPriority w:val="39"/>
    <w:locked/>
    <w:rsid w:val="000B552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25">
    <w:name w:val="List Table 3 - Accent 25"/>
    <w:basedOn w:val="TableNormal"/>
    <w:next w:val="ListTable3-Accent2"/>
    <w:uiPriority w:val="48"/>
    <w:locked/>
    <w:rsid w:val="000B5528"/>
    <w:pPr>
      <w:spacing w:after="0"/>
    </w:pPr>
    <w:tblPr>
      <w:tblStyleRowBandSize w:val="1"/>
      <w:tblStyleColBandSize w:val="1"/>
      <w:tblBorders>
        <w:top w:val="single" w:sz="4" w:space="0" w:color="148A5D"/>
        <w:left w:val="single" w:sz="4" w:space="0" w:color="148A5D"/>
        <w:bottom w:val="single" w:sz="4" w:space="0" w:color="148A5D"/>
        <w:right w:val="single" w:sz="4" w:space="0" w:color="148A5D"/>
      </w:tblBorders>
    </w:tblPr>
    <w:tblStylePr w:type="firstRow">
      <w:rPr>
        <w:b/>
        <w:bCs/>
        <w:color w:val="FFFFFF"/>
      </w:rPr>
      <w:tblPr/>
      <w:tcPr>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table" w:customStyle="1" w:styleId="ListTable3-Accent213">
    <w:name w:val="List Table 3 - Accent 213"/>
    <w:basedOn w:val="TableNormal"/>
    <w:uiPriority w:val="48"/>
    <w:locked/>
    <w:rsid w:val="000B5528"/>
    <w:pPr>
      <w:spacing w:after="0"/>
    </w:pPr>
    <w:tblPr>
      <w:tblStyleRowBandSize w:val="1"/>
      <w:tblStyleColBandSize w:val="1"/>
      <w:tblBorders>
        <w:top w:val="single" w:sz="4" w:space="0" w:color="148A5D"/>
        <w:left w:val="single" w:sz="4" w:space="0" w:color="148A5D"/>
        <w:bottom w:val="single" w:sz="4" w:space="0" w:color="148A5D"/>
        <w:right w:val="single" w:sz="4" w:space="0" w:color="148A5D"/>
      </w:tblBorders>
    </w:tblPr>
    <w:tblStylePr w:type="firstRow">
      <w:rPr>
        <w:b/>
        <w:bCs/>
        <w:color w:val="FFFFFF"/>
      </w:rPr>
      <w:tblPr/>
      <w:tcPr>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numbering" w:customStyle="1" w:styleId="ZZNumbersdigit1">
    <w:name w:val="ZZ Numbers digit1"/>
    <w:basedOn w:val="NoList"/>
    <w:uiPriority w:val="99"/>
    <w:rsid w:val="000B5528"/>
    <w:pPr>
      <w:numPr>
        <w:numId w:val="35"/>
      </w:numPr>
    </w:pPr>
  </w:style>
  <w:style w:type="table" w:customStyle="1" w:styleId="Glossary1">
    <w:name w:val="Glossary1"/>
    <w:basedOn w:val="TableNormal"/>
    <w:uiPriority w:val="99"/>
    <w:rsid w:val="000B5528"/>
    <w:pPr>
      <w:spacing w:after="0"/>
    </w:pPr>
    <w:tblPr>
      <w:tblBorders>
        <w:top w:val="single" w:sz="4" w:space="0" w:color="148A5D"/>
        <w:bottom w:val="single" w:sz="4" w:space="0" w:color="148A5D"/>
        <w:insideH w:val="single" w:sz="4" w:space="0" w:color="148A5D"/>
      </w:tblBorders>
    </w:tblPr>
    <w:tblStylePr w:type="firstRow">
      <w:rPr>
        <w:b/>
        <w:color w:val="FFFFFF"/>
      </w:rPr>
      <w:tblPr/>
      <w:tcPr>
        <w:shd w:val="clear" w:color="auto" w:fill="148A5D"/>
      </w:tcPr>
    </w:tblStylePr>
  </w:style>
  <w:style w:type="table" w:customStyle="1" w:styleId="ListTable3-Accent2211">
    <w:name w:val="List Table 3 - Accent 2211"/>
    <w:basedOn w:val="TableNormal"/>
    <w:next w:val="ListTable3-Accent2"/>
    <w:uiPriority w:val="48"/>
    <w:rsid w:val="000B5528"/>
    <w:pPr>
      <w:spacing w:after="0"/>
    </w:pPr>
    <w:tblPr>
      <w:tblStyleRowBandSize w:val="1"/>
      <w:tblStyleColBandSize w:val="1"/>
      <w:tblBorders>
        <w:top w:val="single" w:sz="4" w:space="0" w:color="148A5D"/>
        <w:left w:val="single" w:sz="4" w:space="0" w:color="148A5D"/>
        <w:bottom w:val="single" w:sz="4" w:space="0" w:color="148A5D"/>
        <w:right w:val="single" w:sz="4" w:space="0" w:color="148A5D"/>
      </w:tblBorders>
    </w:tblPr>
    <w:tblStylePr w:type="firstRow">
      <w:rPr>
        <w:b/>
        <w:bCs/>
        <w:color w:val="FFFFFF"/>
      </w:rPr>
      <w:tblPr/>
      <w:tcPr>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table" w:customStyle="1" w:styleId="ListTable3-Accent2311">
    <w:name w:val="List Table 3 - Accent 2311"/>
    <w:basedOn w:val="TableNormal"/>
    <w:next w:val="ListTable3-Accent2"/>
    <w:uiPriority w:val="48"/>
    <w:locked/>
    <w:rsid w:val="000B5528"/>
    <w:pPr>
      <w:spacing w:after="0"/>
    </w:pPr>
    <w:tblPr>
      <w:tblStyleRowBandSize w:val="1"/>
      <w:tblStyleColBandSize w:val="1"/>
      <w:tblBorders>
        <w:top w:val="single" w:sz="4" w:space="0" w:color="148A5D"/>
        <w:left w:val="single" w:sz="4" w:space="0" w:color="148A5D"/>
        <w:bottom w:val="single" w:sz="4" w:space="0" w:color="148A5D"/>
        <w:right w:val="single" w:sz="4" w:space="0" w:color="148A5D"/>
      </w:tblBorders>
    </w:tblPr>
    <w:tblStylePr w:type="firstRow">
      <w:rPr>
        <w:b/>
        <w:bCs/>
        <w:color w:val="FFFFFF"/>
      </w:rPr>
      <w:tblPr/>
      <w:tcPr>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table" w:customStyle="1" w:styleId="ListTable3-Accent2411">
    <w:name w:val="List Table 3 - Accent 2411"/>
    <w:basedOn w:val="TableNormal"/>
    <w:next w:val="ListTable3-Accent2"/>
    <w:uiPriority w:val="48"/>
    <w:locked/>
    <w:rsid w:val="000B5528"/>
    <w:pPr>
      <w:spacing w:after="0"/>
    </w:pPr>
    <w:tblPr>
      <w:tblStyleRowBandSize w:val="1"/>
      <w:tblStyleColBandSize w:val="1"/>
      <w:tblBorders>
        <w:top w:val="single" w:sz="4" w:space="0" w:color="148A5D"/>
        <w:left w:val="single" w:sz="4" w:space="0" w:color="148A5D"/>
        <w:bottom w:val="single" w:sz="4" w:space="0" w:color="148A5D"/>
        <w:right w:val="single" w:sz="4" w:space="0" w:color="148A5D"/>
      </w:tblBorders>
    </w:tblPr>
    <w:tblStylePr w:type="firstRow">
      <w:rPr>
        <w:b/>
        <w:bCs/>
        <w:color w:val="FFFFFF"/>
      </w:rPr>
      <w:tblPr/>
      <w:tcPr>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paragraph" w:customStyle="1" w:styleId="Instrumenttableheading">
    <w:name w:val="Instrument table heading"/>
    <w:basedOn w:val="Tableheading"/>
    <w:link w:val="InstrumenttableheadingChar"/>
    <w:qFormat/>
    <w:rsid w:val="000B5528"/>
    <w:pPr>
      <w:spacing w:before="180" w:after="60"/>
      <w:ind w:left="907" w:hanging="907"/>
    </w:pPr>
    <w:rPr>
      <w:rFonts w:cs="Arial"/>
      <w:color w:val="148A5D"/>
    </w:rPr>
  </w:style>
  <w:style w:type="character" w:customStyle="1" w:styleId="InstrumenttableheadingChar">
    <w:name w:val="Instrument table heading Char"/>
    <w:basedOn w:val="TableheadingChar"/>
    <w:link w:val="Instrumenttableheading"/>
    <w:rsid w:val="000B5528"/>
    <w:rPr>
      <w:rFonts w:ascii="Calibri Light" w:hAnsi="Calibri Light" w:cs="Arial"/>
      <w:b/>
      <w:bCs/>
      <w:color w:val="148A5D"/>
      <w:sz w:val="24"/>
    </w:rPr>
  </w:style>
  <w:style w:type="paragraph" w:customStyle="1" w:styleId="12BoxText">
    <w:name w:val="12. Box Text"/>
    <w:basedOn w:val="Tabletext"/>
    <w:link w:val="12BoxTextChar"/>
    <w:qFormat/>
    <w:rsid w:val="000B5528"/>
    <w:pPr>
      <w:spacing w:before="120"/>
    </w:pPr>
  </w:style>
  <w:style w:type="paragraph" w:customStyle="1" w:styleId="13Boxbullets">
    <w:name w:val="13. Box bullets"/>
    <w:basedOn w:val="12BoxText"/>
    <w:link w:val="13BoxbulletsChar"/>
    <w:qFormat/>
    <w:rsid w:val="00305E3F"/>
    <w:pPr>
      <w:numPr>
        <w:numId w:val="55"/>
      </w:numPr>
      <w:spacing w:before="0"/>
    </w:pPr>
    <w:rPr>
      <w:color w:val="000000"/>
    </w:rPr>
  </w:style>
  <w:style w:type="character" w:customStyle="1" w:styleId="12BoxTextChar">
    <w:name w:val="12. Box Text Char"/>
    <w:basedOn w:val="TabletextChar"/>
    <w:link w:val="12BoxText"/>
    <w:rsid w:val="000B5528"/>
    <w:rPr>
      <w:rFonts w:ascii="Calibri Light" w:hAnsi="Calibri Light"/>
      <w:color w:val="000000" w:themeColor="text1"/>
    </w:rPr>
  </w:style>
  <w:style w:type="character" w:customStyle="1" w:styleId="13BoxbulletsChar">
    <w:name w:val="13. Box bullets Char"/>
    <w:basedOn w:val="11BulletsinatableChar"/>
    <w:link w:val="13Boxbullets"/>
    <w:rsid w:val="008F380D"/>
    <w:rPr>
      <w:rFonts w:ascii="Calibri Light" w:eastAsia="Rockwell" w:hAnsi="Calibri Light" w:cs="Arial"/>
      <w:color w:val="000000"/>
      <w:szCs w:val="20"/>
    </w:rPr>
  </w:style>
  <w:style w:type="table" w:customStyle="1" w:styleId="ListTable3-Accent26">
    <w:name w:val="List Table 3 - Accent 26"/>
    <w:basedOn w:val="TableNormal"/>
    <w:next w:val="ListTable3-Accent2"/>
    <w:uiPriority w:val="48"/>
    <w:rsid w:val="000B5528"/>
    <w:pPr>
      <w:spacing w:after="0"/>
    </w:pPr>
    <w:tblPr>
      <w:tblStyleRowBandSize w:val="1"/>
      <w:tblStyleColBandSize w:val="1"/>
      <w:tblBorders>
        <w:top w:val="single" w:sz="4" w:space="0" w:color="148A5D"/>
        <w:left w:val="single" w:sz="4" w:space="0" w:color="148A5D"/>
        <w:bottom w:val="single" w:sz="4" w:space="0" w:color="148A5D"/>
        <w:right w:val="single" w:sz="4" w:space="0" w:color="148A5D"/>
      </w:tblBorders>
    </w:tblPr>
    <w:tblStylePr w:type="firstRow">
      <w:rPr>
        <w:b/>
        <w:bCs/>
        <w:color w:val="FFFFFF"/>
      </w:rPr>
      <w:tblPr/>
      <w:tcPr>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table" w:customStyle="1" w:styleId="ListTable3-Accent27">
    <w:name w:val="List Table 3 - Accent 27"/>
    <w:basedOn w:val="TableNormal"/>
    <w:next w:val="ListTable3-Accent2"/>
    <w:uiPriority w:val="48"/>
    <w:rsid w:val="000B5528"/>
    <w:pPr>
      <w:spacing w:after="0"/>
    </w:pPr>
    <w:tblPr>
      <w:tblStyleRowBandSize w:val="1"/>
      <w:tblStyleColBandSize w:val="1"/>
      <w:tblBorders>
        <w:top w:val="single" w:sz="4" w:space="0" w:color="148A5D"/>
        <w:left w:val="single" w:sz="4" w:space="0" w:color="148A5D"/>
        <w:bottom w:val="single" w:sz="4" w:space="0" w:color="148A5D"/>
        <w:right w:val="single" w:sz="4" w:space="0" w:color="148A5D"/>
      </w:tblBorders>
    </w:tblPr>
    <w:tblStylePr w:type="firstRow">
      <w:rPr>
        <w:b/>
        <w:bCs/>
        <w:color w:val="FFFFFF"/>
      </w:rPr>
      <w:tblPr/>
      <w:tcPr>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paragraph" w:customStyle="1" w:styleId="Instrumentclauses">
    <w:name w:val="Instrument clauses"/>
    <w:basedOn w:val="Instrumenttableofcontents"/>
    <w:qFormat/>
    <w:rsid w:val="000B5528"/>
    <w:pPr>
      <w:numPr>
        <w:ilvl w:val="1"/>
        <w:numId w:val="42"/>
      </w:numPr>
      <w:ind w:left="720" w:hanging="720"/>
    </w:pPr>
  </w:style>
  <w:style w:type="paragraph" w:customStyle="1" w:styleId="APSCBlocktext">
    <w:name w:val="APSC Block text"/>
    <w:basedOn w:val="Normal"/>
    <w:rsid w:val="000B5528"/>
    <w:pPr>
      <w:spacing w:before="120" w:after="120" w:line="300" w:lineRule="auto"/>
    </w:pPr>
    <w:rPr>
      <w:rFonts w:ascii="Times New Roman" w:eastAsia="HGMinchoB" w:hAnsi="Times New Roman"/>
      <w:iCs/>
      <w:color w:val="auto"/>
      <w:sz w:val="24"/>
      <w:lang w:eastAsia="en-AU"/>
    </w:rPr>
  </w:style>
  <w:style w:type="paragraph" w:customStyle="1" w:styleId="subsection">
    <w:name w:val="subsection"/>
    <w:aliases w:val="ss"/>
    <w:basedOn w:val="Normal"/>
    <w:link w:val="subsectionChar"/>
    <w:rsid w:val="000B5528"/>
    <w:pPr>
      <w:tabs>
        <w:tab w:val="right" w:pos="1021"/>
      </w:tabs>
      <w:spacing w:after="0" w:line="240" w:lineRule="auto"/>
      <w:ind w:left="1134" w:hanging="1134"/>
      <w:jc w:val="left"/>
    </w:pPr>
    <w:rPr>
      <w:rFonts w:ascii="Times New Roman" w:eastAsia="Times New Roman" w:hAnsi="Times New Roman" w:cs="Times New Roman"/>
      <w:color w:val="auto"/>
      <w:sz w:val="22"/>
      <w:szCs w:val="20"/>
      <w:lang w:eastAsia="en-AU"/>
    </w:rPr>
  </w:style>
  <w:style w:type="character" w:customStyle="1" w:styleId="paragraphChar">
    <w:name w:val="paragraph Char"/>
    <w:aliases w:val="a Char"/>
    <w:link w:val="paragraph"/>
    <w:locked/>
    <w:rsid w:val="000B5528"/>
    <w:rPr>
      <w:rFonts w:ascii="Times New Roman" w:eastAsia="Times New Roman" w:hAnsi="Times New Roman" w:cs="Times New Roman"/>
      <w:sz w:val="24"/>
      <w:szCs w:val="24"/>
      <w:lang w:eastAsia="en-AU"/>
    </w:rPr>
  </w:style>
  <w:style w:type="character" w:customStyle="1" w:styleId="subsectionChar">
    <w:name w:val="subsection Char"/>
    <w:aliases w:val="ss Char"/>
    <w:link w:val="subsection"/>
    <w:locked/>
    <w:rsid w:val="000B5528"/>
    <w:rPr>
      <w:rFonts w:ascii="Times New Roman" w:eastAsia="Times New Roman" w:hAnsi="Times New Roman" w:cs="Times New Roman"/>
      <w:szCs w:val="20"/>
      <w:lang w:eastAsia="en-AU"/>
    </w:rPr>
  </w:style>
  <w:style w:type="character" w:customStyle="1" w:styleId="sr-only">
    <w:name w:val="sr-only"/>
    <w:basedOn w:val="DefaultParagraphFont"/>
    <w:rsid w:val="000B5528"/>
  </w:style>
  <w:style w:type="numbering" w:customStyle="1" w:styleId="NoList11">
    <w:name w:val="No List11"/>
    <w:next w:val="NoList"/>
    <w:uiPriority w:val="99"/>
    <w:semiHidden/>
    <w:unhideWhenUsed/>
    <w:rsid w:val="000B5528"/>
  </w:style>
  <w:style w:type="table" w:customStyle="1" w:styleId="ListTable3-Accent28">
    <w:name w:val="List Table 3 - Accent 28"/>
    <w:basedOn w:val="TableNormal"/>
    <w:next w:val="ListTable3-Accent2"/>
    <w:uiPriority w:val="48"/>
    <w:locked/>
    <w:rsid w:val="000B5528"/>
    <w:pPr>
      <w:spacing w:after="0"/>
    </w:pPr>
    <w:tblPr>
      <w:tblStyleRowBandSize w:val="1"/>
      <w:tblStyleColBandSize w:val="1"/>
      <w:tblBorders>
        <w:top w:val="single" w:sz="4" w:space="0" w:color="148A5D"/>
        <w:left w:val="single" w:sz="4" w:space="0" w:color="148A5D"/>
        <w:bottom w:val="single" w:sz="4" w:space="0" w:color="148A5D"/>
        <w:right w:val="single" w:sz="4" w:space="0" w:color="148A5D"/>
      </w:tblBorders>
    </w:tblPr>
    <w:tblStylePr w:type="firstRow">
      <w:rPr>
        <w:b/>
        <w:bCs/>
        <w:color w:val="FFFFFF"/>
      </w:rPr>
      <w:tblPr/>
      <w:tcPr>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paragraph" w:styleId="BlockText">
    <w:name w:val="Block Text"/>
    <w:basedOn w:val="Normal"/>
    <w:uiPriority w:val="99"/>
    <w:semiHidden/>
    <w:unhideWhenUsed/>
    <w:rsid w:val="000B5528"/>
    <w:pPr>
      <w:pBdr>
        <w:top w:val="single" w:sz="2" w:space="10" w:color="26664E" w:themeColor="accent1"/>
        <w:left w:val="single" w:sz="2" w:space="10" w:color="26664E" w:themeColor="accent1"/>
        <w:bottom w:val="single" w:sz="2" w:space="10" w:color="26664E" w:themeColor="accent1"/>
        <w:right w:val="single" w:sz="2" w:space="10" w:color="26664E" w:themeColor="accent1"/>
      </w:pBdr>
      <w:ind w:left="1152" w:right="1152"/>
    </w:pPr>
    <w:rPr>
      <w:rFonts w:asciiTheme="minorHAnsi" w:eastAsiaTheme="minorEastAsia" w:hAnsiTheme="minorHAnsi"/>
      <w:i/>
      <w:iCs/>
      <w:color w:val="26664E" w:themeColor="accent1"/>
    </w:rPr>
  </w:style>
  <w:style w:type="paragraph" w:styleId="EnvelopeAddress">
    <w:name w:val="envelope address"/>
    <w:basedOn w:val="Normal"/>
    <w:uiPriority w:val="99"/>
    <w:semiHidden/>
    <w:unhideWhenUsed/>
    <w:rsid w:val="000B5528"/>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B5528"/>
    <w:pPr>
      <w:spacing w:before="0" w:after="0" w:line="240" w:lineRule="auto"/>
    </w:pPr>
    <w:rPr>
      <w:rFonts w:asciiTheme="majorHAnsi" w:eastAsiaTheme="majorEastAsia" w:hAnsiTheme="majorHAnsi" w:cstheme="majorBidi"/>
      <w:sz w:val="20"/>
      <w:szCs w:val="20"/>
    </w:rPr>
  </w:style>
  <w:style w:type="paragraph" w:styleId="MacroText">
    <w:name w:val="macro"/>
    <w:link w:val="MacroTextChar1"/>
    <w:uiPriority w:val="99"/>
    <w:semiHidden/>
    <w:unhideWhenUsed/>
    <w:rsid w:val="000B5528"/>
    <w:pPr>
      <w:tabs>
        <w:tab w:val="left" w:pos="480"/>
        <w:tab w:val="left" w:pos="960"/>
        <w:tab w:val="left" w:pos="1440"/>
        <w:tab w:val="left" w:pos="1920"/>
        <w:tab w:val="left" w:pos="2400"/>
        <w:tab w:val="left" w:pos="2880"/>
        <w:tab w:val="left" w:pos="3360"/>
        <w:tab w:val="left" w:pos="3840"/>
        <w:tab w:val="left" w:pos="4320"/>
      </w:tabs>
      <w:spacing w:before="180" w:after="0" w:line="276" w:lineRule="auto"/>
      <w:jc w:val="both"/>
    </w:pPr>
    <w:rPr>
      <w:rFonts w:ascii="Consolas" w:hAnsi="Consolas"/>
      <w:color w:val="4D4D4D" w:themeColor="accent6"/>
      <w:sz w:val="20"/>
      <w:szCs w:val="20"/>
    </w:rPr>
  </w:style>
  <w:style w:type="character" w:customStyle="1" w:styleId="MacroTextChar1">
    <w:name w:val="Macro Text Char1"/>
    <w:basedOn w:val="DefaultParagraphFont"/>
    <w:link w:val="MacroText"/>
    <w:uiPriority w:val="99"/>
    <w:semiHidden/>
    <w:rsid w:val="000B5528"/>
    <w:rPr>
      <w:rFonts w:ascii="Consolas" w:hAnsi="Consolas"/>
      <w:color w:val="4D4D4D" w:themeColor="accent6"/>
      <w:sz w:val="20"/>
      <w:szCs w:val="20"/>
    </w:rPr>
  </w:style>
  <w:style w:type="paragraph" w:styleId="MessageHeader">
    <w:name w:val="Message Header"/>
    <w:basedOn w:val="Normal"/>
    <w:link w:val="MessageHeaderChar1"/>
    <w:uiPriority w:val="99"/>
    <w:semiHidden/>
    <w:unhideWhenUsed/>
    <w:rsid w:val="000B5528"/>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1">
    <w:name w:val="Message Header Char1"/>
    <w:basedOn w:val="DefaultParagraphFont"/>
    <w:link w:val="MessageHeader"/>
    <w:uiPriority w:val="99"/>
    <w:semiHidden/>
    <w:rsid w:val="000B5528"/>
    <w:rPr>
      <w:rFonts w:asciiTheme="majorHAnsi" w:eastAsiaTheme="majorEastAsia" w:hAnsiTheme="majorHAnsi" w:cstheme="majorBidi"/>
      <w:color w:val="4D4D4D" w:themeColor="accent6"/>
      <w:sz w:val="24"/>
      <w:szCs w:val="24"/>
      <w:shd w:val="pct20" w:color="auto" w:fill="auto"/>
    </w:rPr>
  </w:style>
  <w:style w:type="numbering" w:customStyle="1" w:styleId="NoList3">
    <w:name w:val="No List3"/>
    <w:next w:val="NoList"/>
    <w:uiPriority w:val="99"/>
    <w:semiHidden/>
    <w:unhideWhenUsed/>
    <w:rsid w:val="00DB216A"/>
  </w:style>
  <w:style w:type="table" w:customStyle="1" w:styleId="ListTable3-Accent29">
    <w:name w:val="List Table 3 - Accent 29"/>
    <w:basedOn w:val="TableNormal"/>
    <w:next w:val="ListTable3-Accent2"/>
    <w:uiPriority w:val="48"/>
    <w:locked/>
    <w:rsid w:val="00DB216A"/>
    <w:pPr>
      <w:spacing w:after="0"/>
    </w:pPr>
    <w:tblPr>
      <w:tblStyleRowBandSize w:val="1"/>
      <w:tblStyleColBandSize w:val="1"/>
      <w:tblBorders>
        <w:top w:val="single" w:sz="4" w:space="0" w:color="148A5D"/>
        <w:left w:val="single" w:sz="4" w:space="0" w:color="148A5D"/>
        <w:bottom w:val="single" w:sz="4" w:space="0" w:color="148A5D"/>
        <w:right w:val="single" w:sz="4" w:space="0" w:color="148A5D"/>
      </w:tblBorders>
    </w:tblPr>
    <w:tblStylePr w:type="firstRow">
      <w:rPr>
        <w:b/>
        <w:bCs/>
        <w:color w:val="FFFFFF"/>
      </w:rPr>
      <w:tblPr/>
      <w:tcPr>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numbering" w:customStyle="1" w:styleId="NoList4">
    <w:name w:val="No List4"/>
    <w:next w:val="NoList"/>
    <w:uiPriority w:val="99"/>
    <w:semiHidden/>
    <w:unhideWhenUsed/>
    <w:rsid w:val="008478FE"/>
  </w:style>
  <w:style w:type="table" w:customStyle="1" w:styleId="ListTable3-Accent210">
    <w:name w:val="List Table 3 - Accent 210"/>
    <w:basedOn w:val="TableNormal"/>
    <w:next w:val="ListTable3-Accent2"/>
    <w:uiPriority w:val="48"/>
    <w:rsid w:val="008478FE"/>
    <w:pPr>
      <w:spacing w:after="0"/>
    </w:pPr>
    <w:rPr>
      <w:rFonts w:ascii="Calibri Light" w:hAnsi="Calibri Light"/>
    </w:rPr>
    <w:tblPr>
      <w:tblStyleRowBandSize w:val="1"/>
      <w:tblStyleColBandSize w:val="1"/>
      <w:tblBorders>
        <w:top w:val="single" w:sz="4" w:space="0" w:color="148A5D"/>
        <w:bottom w:val="single" w:sz="4" w:space="0" w:color="148A5D"/>
        <w:insideH w:val="single" w:sz="4" w:space="0" w:color="148A5D"/>
      </w:tblBorders>
    </w:tblPr>
    <w:tblStylePr w:type="firstRow">
      <w:rPr>
        <w:b/>
        <w:bCs/>
        <w:color w:val="FFFFFF"/>
      </w:rPr>
      <w:tblPr/>
      <w:tcPr>
        <w:shd w:val="clear" w:color="auto" w:fill="148A5D"/>
      </w:tcPr>
    </w:tblStylePr>
    <w:tblStylePr w:type="lastRow">
      <w:rPr>
        <w:b/>
        <w:bCs/>
      </w:rPr>
      <w:tblPr/>
      <w:tcPr>
        <w:tcBorders>
          <w:top w:val="double" w:sz="4" w:space="0" w:color="148A5D"/>
        </w:tcBorders>
        <w:shd w:val="clear" w:color="auto" w:fill="FFFFFF"/>
      </w:tcPr>
    </w:tblStylePr>
    <w:tblStylePr w:type="firstCol">
      <w:rPr>
        <w:b w:val="0"/>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table" w:customStyle="1" w:styleId="Style12">
    <w:name w:val="Style12"/>
    <w:basedOn w:val="TableNormal"/>
    <w:uiPriority w:val="99"/>
    <w:rsid w:val="008478FE"/>
    <w:pPr>
      <w:spacing w:after="0"/>
    </w:pPr>
    <w:rPr>
      <w:rFonts w:ascii="Calibri Light" w:hAnsi="Calibri Light"/>
    </w:rPr>
    <w:tblPr>
      <w:tblBorders>
        <w:bottom w:val="single" w:sz="4" w:space="0" w:color="148A5D"/>
        <w:insideH w:val="single" w:sz="4" w:space="0" w:color="148A5D"/>
      </w:tblBorders>
    </w:tblPr>
    <w:tcPr>
      <w:shd w:val="clear" w:color="auto" w:fill="auto"/>
    </w:tcPr>
    <w:tblStylePr w:type="firstRow">
      <w:rPr>
        <w:rFonts w:ascii="Calibri Light" w:hAnsi="Calibri Light"/>
        <w:b/>
        <w:color w:val="FFFFFF"/>
        <w:sz w:val="22"/>
      </w:rPr>
      <w:tblPr/>
      <w:tcPr>
        <w:shd w:val="clear" w:color="auto" w:fill="148A5D"/>
      </w:tcPr>
    </w:tblStylePr>
  </w:style>
  <w:style w:type="paragraph" w:customStyle="1" w:styleId="IndexHeading2">
    <w:name w:val="Index Heading2"/>
    <w:basedOn w:val="Normal"/>
    <w:next w:val="Index1"/>
    <w:uiPriority w:val="99"/>
    <w:semiHidden/>
    <w:unhideWhenUsed/>
    <w:rsid w:val="008478FE"/>
    <w:pPr>
      <w:spacing w:before="0" w:after="180" w:line="240" w:lineRule="auto"/>
      <w:jc w:val="left"/>
    </w:pPr>
    <w:rPr>
      <w:rFonts w:ascii="Tw Cen MT" w:eastAsia="HGPGothicE" w:hAnsi="Tw Cen MT" w:cs="Arial"/>
      <w:b/>
      <w:bCs/>
      <w:color w:val="7F7F7F"/>
      <w:sz w:val="20"/>
    </w:rPr>
  </w:style>
  <w:style w:type="paragraph" w:customStyle="1" w:styleId="TOAHeading2">
    <w:name w:val="TOA Heading2"/>
    <w:basedOn w:val="Normal"/>
    <w:next w:val="Normal"/>
    <w:uiPriority w:val="99"/>
    <w:semiHidden/>
    <w:unhideWhenUsed/>
    <w:rsid w:val="008478FE"/>
    <w:pPr>
      <w:spacing w:before="120" w:after="180" w:line="240" w:lineRule="auto"/>
      <w:jc w:val="left"/>
    </w:pPr>
    <w:rPr>
      <w:rFonts w:ascii="Tw Cen MT" w:eastAsia="HGPGothicE" w:hAnsi="Tw Cen MT" w:cs="Arial"/>
      <w:b/>
      <w:bCs/>
      <w:color w:val="7F7F7F"/>
      <w:sz w:val="24"/>
      <w:szCs w:val="24"/>
    </w:rPr>
  </w:style>
  <w:style w:type="table" w:customStyle="1" w:styleId="Glossary2">
    <w:name w:val="Glossary2"/>
    <w:basedOn w:val="TableNormal"/>
    <w:uiPriority w:val="99"/>
    <w:rsid w:val="008478FE"/>
    <w:pPr>
      <w:spacing w:after="0"/>
    </w:pPr>
    <w:tblPr>
      <w:tblBorders>
        <w:top w:val="single" w:sz="4" w:space="0" w:color="148A5D"/>
        <w:bottom w:val="single" w:sz="4" w:space="0" w:color="148A5D"/>
        <w:insideH w:val="single" w:sz="4" w:space="0" w:color="148A5D"/>
      </w:tblBorders>
    </w:tblPr>
    <w:tblStylePr w:type="firstRow">
      <w:rPr>
        <w:b/>
        <w:color w:val="FFFFFF"/>
      </w:rPr>
      <w:tblPr/>
      <w:tcPr>
        <w:shd w:val="clear" w:color="auto" w:fill="148A5D"/>
      </w:tcPr>
    </w:tblStylePr>
  </w:style>
  <w:style w:type="table" w:customStyle="1" w:styleId="ListTable3-Accent222">
    <w:name w:val="List Table 3 - Accent 222"/>
    <w:basedOn w:val="TableNormal"/>
    <w:next w:val="ListTable3-Accent2"/>
    <w:uiPriority w:val="48"/>
    <w:rsid w:val="008478FE"/>
    <w:pPr>
      <w:spacing w:after="0"/>
    </w:pPr>
    <w:tblPr>
      <w:tblStyleRowBandSize w:val="1"/>
      <w:tblStyleColBandSize w:val="1"/>
      <w:tblBorders>
        <w:top w:val="single" w:sz="4" w:space="0" w:color="148A5D"/>
        <w:left w:val="single" w:sz="4" w:space="0" w:color="148A5D"/>
        <w:bottom w:val="single" w:sz="4" w:space="0" w:color="148A5D"/>
        <w:right w:val="single" w:sz="4" w:space="0" w:color="148A5D"/>
      </w:tblBorders>
    </w:tblPr>
    <w:tblStylePr w:type="firstRow">
      <w:rPr>
        <w:b/>
        <w:bCs/>
        <w:color w:val="FFFFFF"/>
      </w:rPr>
      <w:tblPr/>
      <w:tcPr>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table" w:customStyle="1" w:styleId="ListTable3-Accent214">
    <w:name w:val="List Table 3 - Accent 214"/>
    <w:basedOn w:val="TableNormal"/>
    <w:next w:val="ListTable3-Accent2"/>
    <w:uiPriority w:val="48"/>
    <w:rsid w:val="008478FE"/>
    <w:pPr>
      <w:spacing w:after="0"/>
    </w:pPr>
    <w:rPr>
      <w:rFonts w:ascii="Calibri Light" w:eastAsia="Rockwell" w:hAnsi="Calibri Light" w:cs="Times New Roman"/>
      <w:color w:val="4D4D4D"/>
    </w:rPr>
    <w:tblPr>
      <w:tblStyleRowBandSize w:val="1"/>
      <w:tblStyleColBandSize w:val="1"/>
      <w:tblInd w:w="0" w:type="nil"/>
      <w:tblBorders>
        <w:top w:val="single" w:sz="4" w:space="0" w:color="148A5D"/>
        <w:bottom w:val="single" w:sz="4" w:space="0" w:color="148A5D"/>
      </w:tblBorders>
    </w:tblPr>
    <w:tblStylePr w:type="firstRow">
      <w:pPr>
        <w:jc w:val="left"/>
      </w:pPr>
      <w:rPr>
        <w:rFonts w:ascii="Calibri Light" w:hAnsi="Calibri Light" w:cs="Calibri Light" w:hint="default"/>
        <w:b/>
        <w:bCs/>
        <w:color w:val="FFFFFF"/>
        <w:sz w:val="22"/>
        <w:szCs w:val="22"/>
      </w:rPr>
      <w:tblPr/>
      <w:tcPr>
        <w:tcBorders>
          <w:top w:val="nil"/>
          <w:left w:val="nil"/>
          <w:bottom w:val="nil"/>
          <w:right w:val="nil"/>
          <w:insideH w:val="single" w:sz="4" w:space="0" w:color="148A5D"/>
          <w:insideV w:val="nil"/>
          <w:tl2br w:val="nil"/>
          <w:tr2bl w:val="nil"/>
        </w:tcBorders>
        <w:shd w:val="clear" w:color="auto" w:fill="148A5D"/>
      </w:tcPr>
    </w:tblStylePr>
    <w:tblStylePr w:type="lastRow">
      <w:rPr>
        <w:b/>
        <w:bCs/>
      </w:rPr>
      <w:tblPr/>
      <w:tcPr>
        <w:tcBorders>
          <w:top w:val="double" w:sz="4" w:space="0" w:color="148A5D"/>
        </w:tcBorders>
        <w:shd w:val="clear" w:color="auto" w:fill="FFFFFF"/>
      </w:tcPr>
    </w:tblStylePr>
    <w:tblStylePr w:type="firstCol">
      <w:pPr>
        <w:wordWrap/>
        <w:contextualSpacing w:val="0"/>
        <w:mirrorIndents w:val="0"/>
      </w:pPr>
      <w:rPr>
        <w:b w:val="0"/>
        <w:bCs/>
      </w:rPr>
      <w:tblPr/>
      <w:tcPr>
        <w:tcBorders>
          <w:right w:val="nil"/>
        </w:tcBorders>
        <w:shd w:val="clear" w:color="auto" w:fill="FFFFFF"/>
      </w:tcPr>
    </w:tblStylePr>
    <w:tblStylePr w:type="lastCol">
      <w:rPr>
        <w:b w:val="0"/>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numbering" w:customStyle="1" w:styleId="ZZNumbersdigit2">
    <w:name w:val="ZZ Numbers digit2"/>
    <w:basedOn w:val="NoList"/>
    <w:uiPriority w:val="99"/>
    <w:rsid w:val="008478FE"/>
    <w:pPr>
      <w:numPr>
        <w:numId w:val="14"/>
      </w:numPr>
    </w:pPr>
  </w:style>
  <w:style w:type="table" w:customStyle="1" w:styleId="ListTable3-Accent232">
    <w:name w:val="List Table 3 - Accent 232"/>
    <w:basedOn w:val="TableNormal"/>
    <w:next w:val="ListTable3-Accent2"/>
    <w:uiPriority w:val="48"/>
    <w:locked/>
    <w:rsid w:val="008478FE"/>
    <w:pPr>
      <w:spacing w:after="0"/>
    </w:pPr>
    <w:tblPr>
      <w:tblStyleRowBandSize w:val="1"/>
      <w:tblStyleColBandSize w:val="1"/>
      <w:tblBorders>
        <w:top w:val="single" w:sz="4" w:space="0" w:color="148A5D"/>
        <w:left w:val="single" w:sz="4" w:space="0" w:color="148A5D"/>
        <w:bottom w:val="single" w:sz="4" w:space="0" w:color="148A5D"/>
        <w:right w:val="single" w:sz="4" w:space="0" w:color="148A5D"/>
      </w:tblBorders>
    </w:tblPr>
    <w:tblStylePr w:type="firstRow">
      <w:rPr>
        <w:b/>
        <w:bCs/>
        <w:color w:val="FFFFFF"/>
      </w:rPr>
      <w:tblPr/>
      <w:tcPr>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table" w:customStyle="1" w:styleId="ListTable3-Accent242">
    <w:name w:val="List Table 3 - Accent 242"/>
    <w:basedOn w:val="TableNormal"/>
    <w:next w:val="ListTable3-Accent2"/>
    <w:uiPriority w:val="48"/>
    <w:locked/>
    <w:rsid w:val="008478FE"/>
    <w:pPr>
      <w:spacing w:after="0"/>
    </w:pPr>
    <w:tblPr>
      <w:tblStyleRowBandSize w:val="1"/>
      <w:tblStyleColBandSize w:val="1"/>
      <w:tblBorders>
        <w:top w:val="single" w:sz="4" w:space="0" w:color="148A5D"/>
        <w:left w:val="single" w:sz="4" w:space="0" w:color="148A5D"/>
        <w:bottom w:val="single" w:sz="4" w:space="0" w:color="148A5D"/>
        <w:right w:val="single" w:sz="4" w:space="0" w:color="148A5D"/>
      </w:tblBorders>
    </w:tblPr>
    <w:tblStylePr w:type="firstRow">
      <w:rPr>
        <w:b/>
        <w:bCs/>
        <w:color w:val="FFFFFF"/>
      </w:rPr>
      <w:tblPr/>
      <w:tcPr>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table" w:customStyle="1" w:styleId="ListTable3-Accent2122">
    <w:name w:val="List Table 3 - Accent 2122"/>
    <w:basedOn w:val="TableNormal"/>
    <w:next w:val="ListTable3-Accent2"/>
    <w:uiPriority w:val="48"/>
    <w:rsid w:val="008478FE"/>
    <w:pPr>
      <w:spacing w:after="0"/>
    </w:pPr>
    <w:rPr>
      <w:rFonts w:ascii="Calibri Light" w:eastAsia="Rockwell" w:hAnsi="Calibri Light" w:cs="Times New Roman"/>
      <w:color w:val="4D4D4D"/>
    </w:rPr>
    <w:tblPr>
      <w:tblStyleRowBandSize w:val="1"/>
      <w:tblStyleColBandSize w:val="1"/>
      <w:tblInd w:w="0" w:type="nil"/>
      <w:tblBorders>
        <w:top w:val="single" w:sz="4" w:space="0" w:color="148A5D"/>
        <w:bottom w:val="single" w:sz="4" w:space="0" w:color="148A5D"/>
      </w:tblBorders>
    </w:tblPr>
    <w:tblStylePr w:type="firstRow">
      <w:pPr>
        <w:jc w:val="left"/>
      </w:pPr>
      <w:rPr>
        <w:rFonts w:ascii="Calibri Light" w:hAnsi="Calibri Light" w:cs="Calibri Light" w:hint="default"/>
        <w:b/>
        <w:bCs/>
        <w:color w:val="FFFFFF"/>
        <w:sz w:val="22"/>
        <w:szCs w:val="22"/>
      </w:rPr>
      <w:tblPr/>
      <w:tcPr>
        <w:tcBorders>
          <w:top w:val="nil"/>
          <w:left w:val="nil"/>
          <w:bottom w:val="nil"/>
          <w:right w:val="nil"/>
          <w:insideH w:val="single" w:sz="4" w:space="0" w:color="148A5D"/>
          <w:insideV w:val="nil"/>
          <w:tl2br w:val="nil"/>
          <w:tr2bl w:val="nil"/>
        </w:tcBorders>
        <w:shd w:val="clear" w:color="auto" w:fill="148A5D"/>
      </w:tcPr>
    </w:tblStylePr>
    <w:tblStylePr w:type="lastRow">
      <w:rPr>
        <w:b/>
        <w:bCs/>
      </w:rPr>
      <w:tblPr/>
      <w:tcPr>
        <w:tcBorders>
          <w:top w:val="double" w:sz="4" w:space="0" w:color="148A5D"/>
        </w:tcBorders>
        <w:shd w:val="clear" w:color="auto" w:fill="FFFFFF"/>
      </w:tcPr>
    </w:tblStylePr>
    <w:tblStylePr w:type="firstCol">
      <w:pPr>
        <w:wordWrap/>
        <w:contextualSpacing w:val="0"/>
        <w:mirrorIndents w:val="0"/>
      </w:pPr>
      <w:rPr>
        <w:b w:val="0"/>
        <w:bCs/>
      </w:rPr>
      <w:tblPr/>
      <w:tcPr>
        <w:tcBorders>
          <w:right w:val="nil"/>
        </w:tcBorders>
        <w:shd w:val="clear" w:color="auto" w:fill="FFFFFF"/>
      </w:tcPr>
    </w:tblStylePr>
    <w:tblStylePr w:type="lastCol">
      <w:rPr>
        <w:b w:val="0"/>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numbering" w:customStyle="1" w:styleId="ZZNumbersdigit11">
    <w:name w:val="ZZ Numbers digit11"/>
    <w:basedOn w:val="NoList"/>
    <w:uiPriority w:val="99"/>
    <w:rsid w:val="008478FE"/>
    <w:pPr>
      <w:numPr>
        <w:numId w:val="5"/>
      </w:numPr>
    </w:pPr>
  </w:style>
  <w:style w:type="table" w:customStyle="1" w:styleId="ListTable3-Accent2212">
    <w:name w:val="List Table 3 - Accent 2212"/>
    <w:basedOn w:val="TableNormal"/>
    <w:next w:val="ListTable3-Accent2"/>
    <w:uiPriority w:val="48"/>
    <w:rsid w:val="008478FE"/>
    <w:pPr>
      <w:spacing w:after="0"/>
    </w:pPr>
    <w:tblPr>
      <w:tblStyleRowBandSize w:val="1"/>
      <w:tblStyleColBandSize w:val="1"/>
      <w:tblBorders>
        <w:top w:val="single" w:sz="4" w:space="0" w:color="148A5D"/>
        <w:left w:val="single" w:sz="4" w:space="0" w:color="148A5D"/>
        <w:bottom w:val="single" w:sz="4" w:space="0" w:color="148A5D"/>
        <w:right w:val="single" w:sz="4" w:space="0" w:color="148A5D"/>
      </w:tblBorders>
    </w:tblPr>
    <w:tblStylePr w:type="firstRow">
      <w:rPr>
        <w:b/>
        <w:bCs/>
        <w:color w:val="FFFFFF"/>
      </w:rPr>
      <w:tblPr/>
      <w:tcPr>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table" w:customStyle="1" w:styleId="ListTable3-Accent2312">
    <w:name w:val="List Table 3 - Accent 2312"/>
    <w:basedOn w:val="TableNormal"/>
    <w:next w:val="ListTable3-Accent2"/>
    <w:uiPriority w:val="48"/>
    <w:locked/>
    <w:rsid w:val="008478FE"/>
    <w:pPr>
      <w:spacing w:after="0"/>
    </w:pPr>
    <w:tblPr>
      <w:tblStyleRowBandSize w:val="1"/>
      <w:tblStyleColBandSize w:val="1"/>
      <w:tblBorders>
        <w:top w:val="single" w:sz="4" w:space="0" w:color="148A5D"/>
        <w:left w:val="single" w:sz="4" w:space="0" w:color="148A5D"/>
        <w:bottom w:val="single" w:sz="4" w:space="0" w:color="148A5D"/>
        <w:right w:val="single" w:sz="4" w:space="0" w:color="148A5D"/>
      </w:tblBorders>
    </w:tblPr>
    <w:tblStylePr w:type="firstRow">
      <w:rPr>
        <w:b/>
        <w:bCs/>
        <w:color w:val="FFFFFF"/>
      </w:rPr>
      <w:tblPr/>
      <w:tcPr>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table" w:customStyle="1" w:styleId="ListTable3-Accent2412">
    <w:name w:val="List Table 3 - Accent 2412"/>
    <w:basedOn w:val="TableNormal"/>
    <w:next w:val="ListTable3-Accent2"/>
    <w:uiPriority w:val="48"/>
    <w:locked/>
    <w:rsid w:val="008478FE"/>
    <w:pPr>
      <w:spacing w:after="0"/>
    </w:pPr>
    <w:tblPr>
      <w:tblStyleRowBandSize w:val="1"/>
      <w:tblStyleColBandSize w:val="1"/>
      <w:tblBorders>
        <w:top w:val="single" w:sz="4" w:space="0" w:color="148A5D"/>
        <w:left w:val="single" w:sz="4" w:space="0" w:color="148A5D"/>
        <w:bottom w:val="single" w:sz="4" w:space="0" w:color="148A5D"/>
        <w:right w:val="single" w:sz="4" w:space="0" w:color="148A5D"/>
      </w:tblBorders>
    </w:tblPr>
    <w:tblStylePr w:type="firstRow">
      <w:rPr>
        <w:b/>
        <w:bCs/>
        <w:color w:val="FFFFFF"/>
      </w:rPr>
      <w:tblPr/>
      <w:tcPr>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table" w:styleId="ListTable3-Accent1">
    <w:name w:val="List Table 3 Accent 1"/>
    <w:basedOn w:val="TableNormal"/>
    <w:uiPriority w:val="48"/>
    <w:rsid w:val="00671CB5"/>
    <w:pPr>
      <w:spacing w:after="0"/>
    </w:pPr>
    <w:tblPr>
      <w:tblStyleRowBandSize w:val="1"/>
      <w:tblStyleColBandSize w:val="1"/>
      <w:tblBorders>
        <w:top w:val="single" w:sz="4" w:space="0" w:color="26664E" w:themeColor="accent1"/>
        <w:left w:val="single" w:sz="4" w:space="0" w:color="26664E" w:themeColor="accent1"/>
        <w:bottom w:val="single" w:sz="4" w:space="0" w:color="26664E" w:themeColor="accent1"/>
        <w:right w:val="single" w:sz="4" w:space="0" w:color="26664E" w:themeColor="accent1"/>
      </w:tblBorders>
    </w:tblPr>
    <w:tblStylePr w:type="firstRow">
      <w:rPr>
        <w:b/>
        <w:bCs/>
        <w:color w:val="FFFFFF" w:themeColor="background1"/>
      </w:rPr>
      <w:tblPr/>
      <w:tcPr>
        <w:shd w:val="clear" w:color="auto" w:fill="26664E" w:themeFill="accent1"/>
      </w:tcPr>
    </w:tblStylePr>
    <w:tblStylePr w:type="lastRow">
      <w:rPr>
        <w:b/>
        <w:bCs/>
      </w:rPr>
      <w:tblPr/>
      <w:tcPr>
        <w:tcBorders>
          <w:top w:val="double" w:sz="4" w:space="0" w:color="26664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664E" w:themeColor="accent1"/>
          <w:right w:val="single" w:sz="4" w:space="0" w:color="26664E" w:themeColor="accent1"/>
        </w:tcBorders>
      </w:tcPr>
    </w:tblStylePr>
    <w:tblStylePr w:type="band1Horz">
      <w:tblPr/>
      <w:tcPr>
        <w:tcBorders>
          <w:top w:val="single" w:sz="4" w:space="0" w:color="26664E" w:themeColor="accent1"/>
          <w:bottom w:val="single" w:sz="4" w:space="0" w:color="26664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664E" w:themeColor="accent1"/>
          <w:left w:val="nil"/>
        </w:tcBorders>
      </w:tcPr>
    </w:tblStylePr>
    <w:tblStylePr w:type="swCell">
      <w:tblPr/>
      <w:tcPr>
        <w:tcBorders>
          <w:top w:val="double" w:sz="4" w:space="0" w:color="26664E" w:themeColor="accent1"/>
          <w:right w:val="nil"/>
        </w:tcBorders>
      </w:tcPr>
    </w:tblStylePr>
  </w:style>
  <w:style w:type="paragraph" w:customStyle="1" w:styleId="Tablerowcolumnheading">
    <w:name w:val="Table row/column heading"/>
    <w:rsid w:val="00671CB5"/>
    <w:pPr>
      <w:keepNext/>
      <w:spacing w:before="60" w:after="60"/>
    </w:pPr>
    <w:rPr>
      <w:rFonts w:ascii="Calibri Light" w:hAnsi="Calibri Light"/>
      <w:b/>
      <w:color w:val="FFFFFF"/>
    </w:rPr>
  </w:style>
  <w:style w:type="numbering" w:customStyle="1" w:styleId="NoList5">
    <w:name w:val="No List5"/>
    <w:next w:val="NoList"/>
    <w:uiPriority w:val="99"/>
    <w:semiHidden/>
    <w:unhideWhenUsed/>
    <w:rsid w:val="006F2BB8"/>
  </w:style>
  <w:style w:type="table" w:customStyle="1" w:styleId="ListTable3-Accent215">
    <w:name w:val="List Table 3 - Accent 215"/>
    <w:basedOn w:val="TableNormal"/>
    <w:next w:val="ListTable3-Accent2"/>
    <w:uiPriority w:val="48"/>
    <w:locked/>
    <w:rsid w:val="006F2BB8"/>
    <w:pPr>
      <w:spacing w:after="0"/>
    </w:pPr>
    <w:tblPr>
      <w:tblStyleRowBandSize w:val="1"/>
      <w:tblStyleColBandSize w:val="1"/>
      <w:tblBorders>
        <w:top w:val="single" w:sz="4" w:space="0" w:color="148A5D"/>
        <w:left w:val="single" w:sz="4" w:space="0" w:color="148A5D"/>
        <w:bottom w:val="single" w:sz="4" w:space="0" w:color="148A5D"/>
        <w:right w:val="single" w:sz="4" w:space="0" w:color="148A5D"/>
      </w:tblBorders>
    </w:tblPr>
    <w:tblStylePr w:type="firstRow">
      <w:rPr>
        <w:b/>
        <w:bCs/>
        <w:color w:val="FFFFFF"/>
      </w:rPr>
      <w:tblPr/>
      <w:tcPr>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paragraph" w:customStyle="1" w:styleId="Style4">
    <w:name w:val="Style4"/>
    <w:basedOn w:val="Chapterheading0"/>
    <w:link w:val="Style4Char"/>
    <w:rsid w:val="003F1272"/>
    <w:pPr>
      <w:outlineLvl w:val="9"/>
    </w:pPr>
    <w:rPr>
      <w:color w:val="26664E" w:themeColor="accent1"/>
    </w:rPr>
  </w:style>
  <w:style w:type="character" w:customStyle="1" w:styleId="Style4Char">
    <w:name w:val="Style4 Char"/>
    <w:basedOn w:val="ChapterheadingChar0"/>
    <w:link w:val="Style4"/>
    <w:rsid w:val="003F1272"/>
    <w:rPr>
      <w:rFonts w:ascii="Rockwell" w:hAnsi="Rockwell" w:cs="Times New Roman (Body CS)"/>
      <w:noProof/>
      <w:color w:val="26664E" w:themeColor="accent1"/>
      <w:spacing w:val="-6"/>
      <w:sz w:val="72"/>
      <w:szCs w:val="72"/>
      <w:lang w:val="en-US"/>
    </w:rPr>
  </w:style>
  <w:style w:type="table" w:customStyle="1" w:styleId="ListTable3-Accent233">
    <w:name w:val="List Table 3 - Accent 233"/>
    <w:basedOn w:val="TableNormal"/>
    <w:next w:val="ListTable3-Accent2"/>
    <w:uiPriority w:val="48"/>
    <w:locked/>
    <w:rsid w:val="00A417E8"/>
    <w:pPr>
      <w:spacing w:after="0"/>
    </w:pPr>
    <w:tblPr>
      <w:tblStyleRowBandSize w:val="1"/>
      <w:tblStyleColBandSize w:val="1"/>
      <w:tblBorders>
        <w:top w:val="single" w:sz="4" w:space="0" w:color="148A5D"/>
        <w:left w:val="single" w:sz="4" w:space="0" w:color="148A5D"/>
        <w:bottom w:val="single" w:sz="4" w:space="0" w:color="148A5D"/>
        <w:right w:val="single" w:sz="4" w:space="0" w:color="148A5D"/>
      </w:tblBorders>
    </w:tblPr>
    <w:tblStylePr w:type="firstRow">
      <w:rPr>
        <w:b/>
        <w:bCs/>
        <w:color w:val="FFFFFF"/>
      </w:rPr>
      <w:tblPr/>
      <w:tcPr>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97413">
      <w:bodyDiv w:val="1"/>
      <w:marLeft w:val="0"/>
      <w:marRight w:val="0"/>
      <w:marTop w:val="0"/>
      <w:marBottom w:val="0"/>
      <w:divBdr>
        <w:top w:val="none" w:sz="0" w:space="0" w:color="auto"/>
        <w:left w:val="none" w:sz="0" w:space="0" w:color="auto"/>
        <w:bottom w:val="none" w:sz="0" w:space="0" w:color="auto"/>
        <w:right w:val="none" w:sz="0" w:space="0" w:color="auto"/>
      </w:divBdr>
      <w:divsChild>
        <w:div w:id="386729151">
          <w:marLeft w:val="0"/>
          <w:marRight w:val="0"/>
          <w:marTop w:val="0"/>
          <w:marBottom w:val="0"/>
          <w:divBdr>
            <w:top w:val="none" w:sz="0" w:space="0" w:color="auto"/>
            <w:left w:val="none" w:sz="0" w:space="0" w:color="auto"/>
            <w:bottom w:val="none" w:sz="0" w:space="0" w:color="auto"/>
            <w:right w:val="none" w:sz="0" w:space="0" w:color="auto"/>
          </w:divBdr>
        </w:div>
        <w:div w:id="430398225">
          <w:marLeft w:val="0"/>
          <w:marRight w:val="0"/>
          <w:marTop w:val="0"/>
          <w:marBottom w:val="0"/>
          <w:divBdr>
            <w:top w:val="none" w:sz="0" w:space="0" w:color="auto"/>
            <w:left w:val="none" w:sz="0" w:space="0" w:color="auto"/>
            <w:bottom w:val="none" w:sz="0" w:space="0" w:color="auto"/>
            <w:right w:val="none" w:sz="0" w:space="0" w:color="auto"/>
          </w:divBdr>
        </w:div>
        <w:div w:id="655958166">
          <w:marLeft w:val="0"/>
          <w:marRight w:val="0"/>
          <w:marTop w:val="0"/>
          <w:marBottom w:val="0"/>
          <w:divBdr>
            <w:top w:val="none" w:sz="0" w:space="0" w:color="auto"/>
            <w:left w:val="none" w:sz="0" w:space="0" w:color="auto"/>
            <w:bottom w:val="none" w:sz="0" w:space="0" w:color="auto"/>
            <w:right w:val="none" w:sz="0" w:space="0" w:color="auto"/>
          </w:divBdr>
        </w:div>
        <w:div w:id="847523785">
          <w:marLeft w:val="0"/>
          <w:marRight w:val="0"/>
          <w:marTop w:val="0"/>
          <w:marBottom w:val="0"/>
          <w:divBdr>
            <w:top w:val="none" w:sz="0" w:space="0" w:color="auto"/>
            <w:left w:val="none" w:sz="0" w:space="0" w:color="auto"/>
            <w:bottom w:val="none" w:sz="0" w:space="0" w:color="auto"/>
            <w:right w:val="none" w:sz="0" w:space="0" w:color="auto"/>
          </w:divBdr>
        </w:div>
        <w:div w:id="963852827">
          <w:marLeft w:val="0"/>
          <w:marRight w:val="0"/>
          <w:marTop w:val="0"/>
          <w:marBottom w:val="0"/>
          <w:divBdr>
            <w:top w:val="none" w:sz="0" w:space="0" w:color="auto"/>
            <w:left w:val="none" w:sz="0" w:space="0" w:color="auto"/>
            <w:bottom w:val="none" w:sz="0" w:space="0" w:color="auto"/>
            <w:right w:val="none" w:sz="0" w:space="0" w:color="auto"/>
          </w:divBdr>
        </w:div>
        <w:div w:id="1308168684">
          <w:marLeft w:val="0"/>
          <w:marRight w:val="0"/>
          <w:marTop w:val="0"/>
          <w:marBottom w:val="0"/>
          <w:divBdr>
            <w:top w:val="none" w:sz="0" w:space="0" w:color="auto"/>
            <w:left w:val="none" w:sz="0" w:space="0" w:color="auto"/>
            <w:bottom w:val="none" w:sz="0" w:space="0" w:color="auto"/>
            <w:right w:val="none" w:sz="0" w:space="0" w:color="auto"/>
          </w:divBdr>
        </w:div>
        <w:div w:id="1334451544">
          <w:marLeft w:val="0"/>
          <w:marRight w:val="0"/>
          <w:marTop w:val="0"/>
          <w:marBottom w:val="0"/>
          <w:divBdr>
            <w:top w:val="none" w:sz="0" w:space="0" w:color="auto"/>
            <w:left w:val="none" w:sz="0" w:space="0" w:color="auto"/>
            <w:bottom w:val="none" w:sz="0" w:space="0" w:color="auto"/>
            <w:right w:val="none" w:sz="0" w:space="0" w:color="auto"/>
          </w:divBdr>
        </w:div>
        <w:div w:id="1436555849">
          <w:marLeft w:val="0"/>
          <w:marRight w:val="0"/>
          <w:marTop w:val="0"/>
          <w:marBottom w:val="0"/>
          <w:divBdr>
            <w:top w:val="none" w:sz="0" w:space="0" w:color="auto"/>
            <w:left w:val="none" w:sz="0" w:space="0" w:color="auto"/>
            <w:bottom w:val="none" w:sz="0" w:space="0" w:color="auto"/>
            <w:right w:val="none" w:sz="0" w:space="0" w:color="auto"/>
          </w:divBdr>
        </w:div>
        <w:div w:id="1968194049">
          <w:marLeft w:val="0"/>
          <w:marRight w:val="0"/>
          <w:marTop w:val="0"/>
          <w:marBottom w:val="0"/>
          <w:divBdr>
            <w:top w:val="none" w:sz="0" w:space="0" w:color="auto"/>
            <w:left w:val="none" w:sz="0" w:space="0" w:color="auto"/>
            <w:bottom w:val="none" w:sz="0" w:space="0" w:color="auto"/>
            <w:right w:val="none" w:sz="0" w:space="0" w:color="auto"/>
          </w:divBdr>
        </w:div>
      </w:divsChild>
    </w:div>
    <w:div w:id="62995513">
      <w:bodyDiv w:val="1"/>
      <w:marLeft w:val="0"/>
      <w:marRight w:val="0"/>
      <w:marTop w:val="0"/>
      <w:marBottom w:val="0"/>
      <w:divBdr>
        <w:top w:val="none" w:sz="0" w:space="0" w:color="auto"/>
        <w:left w:val="none" w:sz="0" w:space="0" w:color="auto"/>
        <w:bottom w:val="none" w:sz="0" w:space="0" w:color="auto"/>
        <w:right w:val="none" w:sz="0" w:space="0" w:color="auto"/>
      </w:divBdr>
    </w:div>
    <w:div w:id="131949727">
      <w:bodyDiv w:val="1"/>
      <w:marLeft w:val="0"/>
      <w:marRight w:val="0"/>
      <w:marTop w:val="0"/>
      <w:marBottom w:val="0"/>
      <w:divBdr>
        <w:top w:val="none" w:sz="0" w:space="0" w:color="auto"/>
        <w:left w:val="none" w:sz="0" w:space="0" w:color="auto"/>
        <w:bottom w:val="none" w:sz="0" w:space="0" w:color="auto"/>
        <w:right w:val="none" w:sz="0" w:space="0" w:color="auto"/>
      </w:divBdr>
      <w:divsChild>
        <w:div w:id="68385761">
          <w:marLeft w:val="0"/>
          <w:marRight w:val="0"/>
          <w:marTop w:val="0"/>
          <w:marBottom w:val="0"/>
          <w:divBdr>
            <w:top w:val="none" w:sz="0" w:space="0" w:color="auto"/>
            <w:left w:val="none" w:sz="0" w:space="0" w:color="auto"/>
            <w:bottom w:val="none" w:sz="0" w:space="0" w:color="auto"/>
            <w:right w:val="none" w:sz="0" w:space="0" w:color="auto"/>
          </w:divBdr>
        </w:div>
        <w:div w:id="372270893">
          <w:marLeft w:val="0"/>
          <w:marRight w:val="0"/>
          <w:marTop w:val="0"/>
          <w:marBottom w:val="0"/>
          <w:divBdr>
            <w:top w:val="none" w:sz="0" w:space="0" w:color="auto"/>
            <w:left w:val="none" w:sz="0" w:space="0" w:color="auto"/>
            <w:bottom w:val="none" w:sz="0" w:space="0" w:color="auto"/>
            <w:right w:val="none" w:sz="0" w:space="0" w:color="auto"/>
          </w:divBdr>
        </w:div>
        <w:div w:id="553003029">
          <w:marLeft w:val="0"/>
          <w:marRight w:val="0"/>
          <w:marTop w:val="0"/>
          <w:marBottom w:val="0"/>
          <w:divBdr>
            <w:top w:val="none" w:sz="0" w:space="0" w:color="auto"/>
            <w:left w:val="none" w:sz="0" w:space="0" w:color="auto"/>
            <w:bottom w:val="none" w:sz="0" w:space="0" w:color="auto"/>
            <w:right w:val="none" w:sz="0" w:space="0" w:color="auto"/>
          </w:divBdr>
        </w:div>
        <w:div w:id="955797530">
          <w:marLeft w:val="0"/>
          <w:marRight w:val="0"/>
          <w:marTop w:val="0"/>
          <w:marBottom w:val="0"/>
          <w:divBdr>
            <w:top w:val="none" w:sz="0" w:space="0" w:color="auto"/>
            <w:left w:val="none" w:sz="0" w:space="0" w:color="auto"/>
            <w:bottom w:val="none" w:sz="0" w:space="0" w:color="auto"/>
            <w:right w:val="none" w:sz="0" w:space="0" w:color="auto"/>
          </w:divBdr>
        </w:div>
        <w:div w:id="1258176860">
          <w:marLeft w:val="0"/>
          <w:marRight w:val="0"/>
          <w:marTop w:val="0"/>
          <w:marBottom w:val="0"/>
          <w:divBdr>
            <w:top w:val="none" w:sz="0" w:space="0" w:color="auto"/>
            <w:left w:val="none" w:sz="0" w:space="0" w:color="auto"/>
            <w:bottom w:val="none" w:sz="0" w:space="0" w:color="auto"/>
            <w:right w:val="none" w:sz="0" w:space="0" w:color="auto"/>
          </w:divBdr>
        </w:div>
      </w:divsChild>
    </w:div>
    <w:div w:id="163514496">
      <w:bodyDiv w:val="1"/>
      <w:marLeft w:val="0"/>
      <w:marRight w:val="0"/>
      <w:marTop w:val="0"/>
      <w:marBottom w:val="0"/>
      <w:divBdr>
        <w:top w:val="none" w:sz="0" w:space="0" w:color="auto"/>
        <w:left w:val="none" w:sz="0" w:space="0" w:color="auto"/>
        <w:bottom w:val="none" w:sz="0" w:space="0" w:color="auto"/>
        <w:right w:val="none" w:sz="0" w:space="0" w:color="auto"/>
      </w:divBdr>
    </w:div>
    <w:div w:id="246304348">
      <w:bodyDiv w:val="1"/>
      <w:marLeft w:val="0"/>
      <w:marRight w:val="0"/>
      <w:marTop w:val="0"/>
      <w:marBottom w:val="0"/>
      <w:divBdr>
        <w:top w:val="none" w:sz="0" w:space="0" w:color="auto"/>
        <w:left w:val="none" w:sz="0" w:space="0" w:color="auto"/>
        <w:bottom w:val="none" w:sz="0" w:space="0" w:color="auto"/>
        <w:right w:val="none" w:sz="0" w:space="0" w:color="auto"/>
      </w:divBdr>
    </w:div>
    <w:div w:id="399443925">
      <w:bodyDiv w:val="1"/>
      <w:marLeft w:val="0"/>
      <w:marRight w:val="0"/>
      <w:marTop w:val="0"/>
      <w:marBottom w:val="0"/>
      <w:divBdr>
        <w:top w:val="none" w:sz="0" w:space="0" w:color="auto"/>
        <w:left w:val="none" w:sz="0" w:space="0" w:color="auto"/>
        <w:bottom w:val="none" w:sz="0" w:space="0" w:color="auto"/>
        <w:right w:val="none" w:sz="0" w:space="0" w:color="auto"/>
      </w:divBdr>
    </w:div>
    <w:div w:id="405228446">
      <w:bodyDiv w:val="1"/>
      <w:marLeft w:val="0"/>
      <w:marRight w:val="0"/>
      <w:marTop w:val="0"/>
      <w:marBottom w:val="0"/>
      <w:divBdr>
        <w:top w:val="none" w:sz="0" w:space="0" w:color="auto"/>
        <w:left w:val="none" w:sz="0" w:space="0" w:color="auto"/>
        <w:bottom w:val="none" w:sz="0" w:space="0" w:color="auto"/>
        <w:right w:val="none" w:sz="0" w:space="0" w:color="auto"/>
      </w:divBdr>
    </w:div>
    <w:div w:id="420491732">
      <w:bodyDiv w:val="1"/>
      <w:marLeft w:val="0"/>
      <w:marRight w:val="0"/>
      <w:marTop w:val="0"/>
      <w:marBottom w:val="0"/>
      <w:divBdr>
        <w:top w:val="none" w:sz="0" w:space="0" w:color="auto"/>
        <w:left w:val="none" w:sz="0" w:space="0" w:color="auto"/>
        <w:bottom w:val="none" w:sz="0" w:space="0" w:color="auto"/>
        <w:right w:val="none" w:sz="0" w:space="0" w:color="auto"/>
      </w:divBdr>
    </w:div>
    <w:div w:id="558441213">
      <w:bodyDiv w:val="1"/>
      <w:marLeft w:val="0"/>
      <w:marRight w:val="0"/>
      <w:marTop w:val="0"/>
      <w:marBottom w:val="0"/>
      <w:divBdr>
        <w:top w:val="none" w:sz="0" w:space="0" w:color="auto"/>
        <w:left w:val="none" w:sz="0" w:space="0" w:color="auto"/>
        <w:bottom w:val="none" w:sz="0" w:space="0" w:color="auto"/>
        <w:right w:val="none" w:sz="0" w:space="0" w:color="auto"/>
      </w:divBdr>
    </w:div>
    <w:div w:id="633758515">
      <w:bodyDiv w:val="1"/>
      <w:marLeft w:val="0"/>
      <w:marRight w:val="0"/>
      <w:marTop w:val="0"/>
      <w:marBottom w:val="0"/>
      <w:divBdr>
        <w:top w:val="none" w:sz="0" w:space="0" w:color="auto"/>
        <w:left w:val="none" w:sz="0" w:space="0" w:color="auto"/>
        <w:bottom w:val="none" w:sz="0" w:space="0" w:color="auto"/>
        <w:right w:val="none" w:sz="0" w:space="0" w:color="auto"/>
      </w:divBdr>
    </w:div>
    <w:div w:id="678242232">
      <w:bodyDiv w:val="1"/>
      <w:marLeft w:val="0"/>
      <w:marRight w:val="0"/>
      <w:marTop w:val="0"/>
      <w:marBottom w:val="0"/>
      <w:divBdr>
        <w:top w:val="none" w:sz="0" w:space="0" w:color="auto"/>
        <w:left w:val="none" w:sz="0" w:space="0" w:color="auto"/>
        <w:bottom w:val="none" w:sz="0" w:space="0" w:color="auto"/>
        <w:right w:val="none" w:sz="0" w:space="0" w:color="auto"/>
      </w:divBdr>
    </w:div>
    <w:div w:id="688140491">
      <w:bodyDiv w:val="1"/>
      <w:marLeft w:val="0"/>
      <w:marRight w:val="0"/>
      <w:marTop w:val="0"/>
      <w:marBottom w:val="0"/>
      <w:divBdr>
        <w:top w:val="none" w:sz="0" w:space="0" w:color="auto"/>
        <w:left w:val="none" w:sz="0" w:space="0" w:color="auto"/>
        <w:bottom w:val="none" w:sz="0" w:space="0" w:color="auto"/>
        <w:right w:val="none" w:sz="0" w:space="0" w:color="auto"/>
      </w:divBdr>
    </w:div>
    <w:div w:id="722867963">
      <w:bodyDiv w:val="1"/>
      <w:marLeft w:val="0"/>
      <w:marRight w:val="0"/>
      <w:marTop w:val="0"/>
      <w:marBottom w:val="0"/>
      <w:divBdr>
        <w:top w:val="none" w:sz="0" w:space="0" w:color="auto"/>
        <w:left w:val="none" w:sz="0" w:space="0" w:color="auto"/>
        <w:bottom w:val="none" w:sz="0" w:space="0" w:color="auto"/>
        <w:right w:val="none" w:sz="0" w:space="0" w:color="auto"/>
      </w:divBdr>
    </w:div>
    <w:div w:id="744451955">
      <w:bodyDiv w:val="1"/>
      <w:marLeft w:val="0"/>
      <w:marRight w:val="0"/>
      <w:marTop w:val="0"/>
      <w:marBottom w:val="0"/>
      <w:divBdr>
        <w:top w:val="none" w:sz="0" w:space="0" w:color="auto"/>
        <w:left w:val="none" w:sz="0" w:space="0" w:color="auto"/>
        <w:bottom w:val="none" w:sz="0" w:space="0" w:color="auto"/>
        <w:right w:val="none" w:sz="0" w:space="0" w:color="auto"/>
      </w:divBdr>
    </w:div>
    <w:div w:id="746459783">
      <w:bodyDiv w:val="1"/>
      <w:marLeft w:val="0"/>
      <w:marRight w:val="0"/>
      <w:marTop w:val="0"/>
      <w:marBottom w:val="0"/>
      <w:divBdr>
        <w:top w:val="none" w:sz="0" w:space="0" w:color="auto"/>
        <w:left w:val="none" w:sz="0" w:space="0" w:color="auto"/>
        <w:bottom w:val="none" w:sz="0" w:space="0" w:color="auto"/>
        <w:right w:val="none" w:sz="0" w:space="0" w:color="auto"/>
      </w:divBdr>
    </w:div>
    <w:div w:id="834951329">
      <w:bodyDiv w:val="1"/>
      <w:marLeft w:val="0"/>
      <w:marRight w:val="0"/>
      <w:marTop w:val="0"/>
      <w:marBottom w:val="0"/>
      <w:divBdr>
        <w:top w:val="none" w:sz="0" w:space="0" w:color="auto"/>
        <w:left w:val="none" w:sz="0" w:space="0" w:color="auto"/>
        <w:bottom w:val="none" w:sz="0" w:space="0" w:color="auto"/>
        <w:right w:val="none" w:sz="0" w:space="0" w:color="auto"/>
      </w:divBdr>
    </w:div>
    <w:div w:id="839933185">
      <w:bodyDiv w:val="1"/>
      <w:marLeft w:val="0"/>
      <w:marRight w:val="0"/>
      <w:marTop w:val="0"/>
      <w:marBottom w:val="0"/>
      <w:divBdr>
        <w:top w:val="none" w:sz="0" w:space="0" w:color="auto"/>
        <w:left w:val="none" w:sz="0" w:space="0" w:color="auto"/>
        <w:bottom w:val="none" w:sz="0" w:space="0" w:color="auto"/>
        <w:right w:val="none" w:sz="0" w:space="0" w:color="auto"/>
      </w:divBdr>
    </w:div>
    <w:div w:id="841161493">
      <w:bodyDiv w:val="1"/>
      <w:marLeft w:val="0"/>
      <w:marRight w:val="0"/>
      <w:marTop w:val="0"/>
      <w:marBottom w:val="0"/>
      <w:divBdr>
        <w:top w:val="none" w:sz="0" w:space="0" w:color="auto"/>
        <w:left w:val="none" w:sz="0" w:space="0" w:color="auto"/>
        <w:bottom w:val="none" w:sz="0" w:space="0" w:color="auto"/>
        <w:right w:val="none" w:sz="0" w:space="0" w:color="auto"/>
      </w:divBdr>
    </w:div>
    <w:div w:id="844368525">
      <w:bodyDiv w:val="1"/>
      <w:marLeft w:val="0"/>
      <w:marRight w:val="0"/>
      <w:marTop w:val="0"/>
      <w:marBottom w:val="0"/>
      <w:divBdr>
        <w:top w:val="none" w:sz="0" w:space="0" w:color="auto"/>
        <w:left w:val="none" w:sz="0" w:space="0" w:color="auto"/>
        <w:bottom w:val="none" w:sz="0" w:space="0" w:color="auto"/>
        <w:right w:val="none" w:sz="0" w:space="0" w:color="auto"/>
      </w:divBdr>
      <w:divsChild>
        <w:div w:id="214314802">
          <w:marLeft w:val="0"/>
          <w:marRight w:val="0"/>
          <w:marTop w:val="0"/>
          <w:marBottom w:val="0"/>
          <w:divBdr>
            <w:top w:val="none" w:sz="0" w:space="0" w:color="auto"/>
            <w:left w:val="none" w:sz="0" w:space="0" w:color="auto"/>
            <w:bottom w:val="none" w:sz="0" w:space="0" w:color="auto"/>
            <w:right w:val="none" w:sz="0" w:space="0" w:color="auto"/>
          </w:divBdr>
        </w:div>
        <w:div w:id="223565804">
          <w:marLeft w:val="0"/>
          <w:marRight w:val="0"/>
          <w:marTop w:val="0"/>
          <w:marBottom w:val="0"/>
          <w:divBdr>
            <w:top w:val="none" w:sz="0" w:space="0" w:color="auto"/>
            <w:left w:val="none" w:sz="0" w:space="0" w:color="auto"/>
            <w:bottom w:val="none" w:sz="0" w:space="0" w:color="auto"/>
            <w:right w:val="none" w:sz="0" w:space="0" w:color="auto"/>
          </w:divBdr>
        </w:div>
        <w:div w:id="374351984">
          <w:marLeft w:val="0"/>
          <w:marRight w:val="0"/>
          <w:marTop w:val="0"/>
          <w:marBottom w:val="0"/>
          <w:divBdr>
            <w:top w:val="none" w:sz="0" w:space="0" w:color="auto"/>
            <w:left w:val="none" w:sz="0" w:space="0" w:color="auto"/>
            <w:bottom w:val="none" w:sz="0" w:space="0" w:color="auto"/>
            <w:right w:val="none" w:sz="0" w:space="0" w:color="auto"/>
          </w:divBdr>
        </w:div>
        <w:div w:id="520509475">
          <w:marLeft w:val="0"/>
          <w:marRight w:val="0"/>
          <w:marTop w:val="0"/>
          <w:marBottom w:val="0"/>
          <w:divBdr>
            <w:top w:val="none" w:sz="0" w:space="0" w:color="auto"/>
            <w:left w:val="none" w:sz="0" w:space="0" w:color="auto"/>
            <w:bottom w:val="none" w:sz="0" w:space="0" w:color="auto"/>
            <w:right w:val="none" w:sz="0" w:space="0" w:color="auto"/>
          </w:divBdr>
        </w:div>
        <w:div w:id="634869356">
          <w:marLeft w:val="0"/>
          <w:marRight w:val="0"/>
          <w:marTop w:val="0"/>
          <w:marBottom w:val="0"/>
          <w:divBdr>
            <w:top w:val="none" w:sz="0" w:space="0" w:color="auto"/>
            <w:left w:val="none" w:sz="0" w:space="0" w:color="auto"/>
            <w:bottom w:val="none" w:sz="0" w:space="0" w:color="auto"/>
            <w:right w:val="none" w:sz="0" w:space="0" w:color="auto"/>
          </w:divBdr>
        </w:div>
        <w:div w:id="1276641461">
          <w:marLeft w:val="0"/>
          <w:marRight w:val="0"/>
          <w:marTop w:val="0"/>
          <w:marBottom w:val="0"/>
          <w:divBdr>
            <w:top w:val="none" w:sz="0" w:space="0" w:color="auto"/>
            <w:left w:val="none" w:sz="0" w:space="0" w:color="auto"/>
            <w:bottom w:val="none" w:sz="0" w:space="0" w:color="auto"/>
            <w:right w:val="none" w:sz="0" w:space="0" w:color="auto"/>
          </w:divBdr>
        </w:div>
        <w:div w:id="1559248113">
          <w:marLeft w:val="0"/>
          <w:marRight w:val="0"/>
          <w:marTop w:val="0"/>
          <w:marBottom w:val="0"/>
          <w:divBdr>
            <w:top w:val="none" w:sz="0" w:space="0" w:color="auto"/>
            <w:left w:val="none" w:sz="0" w:space="0" w:color="auto"/>
            <w:bottom w:val="none" w:sz="0" w:space="0" w:color="auto"/>
            <w:right w:val="none" w:sz="0" w:space="0" w:color="auto"/>
          </w:divBdr>
        </w:div>
        <w:div w:id="1711803652">
          <w:marLeft w:val="0"/>
          <w:marRight w:val="0"/>
          <w:marTop w:val="0"/>
          <w:marBottom w:val="0"/>
          <w:divBdr>
            <w:top w:val="none" w:sz="0" w:space="0" w:color="auto"/>
            <w:left w:val="none" w:sz="0" w:space="0" w:color="auto"/>
            <w:bottom w:val="none" w:sz="0" w:space="0" w:color="auto"/>
            <w:right w:val="none" w:sz="0" w:space="0" w:color="auto"/>
          </w:divBdr>
        </w:div>
        <w:div w:id="1719354365">
          <w:marLeft w:val="0"/>
          <w:marRight w:val="0"/>
          <w:marTop w:val="0"/>
          <w:marBottom w:val="0"/>
          <w:divBdr>
            <w:top w:val="none" w:sz="0" w:space="0" w:color="auto"/>
            <w:left w:val="none" w:sz="0" w:space="0" w:color="auto"/>
            <w:bottom w:val="none" w:sz="0" w:space="0" w:color="auto"/>
            <w:right w:val="none" w:sz="0" w:space="0" w:color="auto"/>
          </w:divBdr>
        </w:div>
      </w:divsChild>
    </w:div>
    <w:div w:id="862397736">
      <w:bodyDiv w:val="1"/>
      <w:marLeft w:val="0"/>
      <w:marRight w:val="0"/>
      <w:marTop w:val="0"/>
      <w:marBottom w:val="0"/>
      <w:divBdr>
        <w:top w:val="none" w:sz="0" w:space="0" w:color="auto"/>
        <w:left w:val="none" w:sz="0" w:space="0" w:color="auto"/>
        <w:bottom w:val="none" w:sz="0" w:space="0" w:color="auto"/>
        <w:right w:val="none" w:sz="0" w:space="0" w:color="auto"/>
      </w:divBdr>
    </w:div>
    <w:div w:id="920066639">
      <w:bodyDiv w:val="1"/>
      <w:marLeft w:val="0"/>
      <w:marRight w:val="0"/>
      <w:marTop w:val="0"/>
      <w:marBottom w:val="0"/>
      <w:divBdr>
        <w:top w:val="none" w:sz="0" w:space="0" w:color="auto"/>
        <w:left w:val="none" w:sz="0" w:space="0" w:color="auto"/>
        <w:bottom w:val="none" w:sz="0" w:space="0" w:color="auto"/>
        <w:right w:val="none" w:sz="0" w:space="0" w:color="auto"/>
      </w:divBdr>
    </w:div>
    <w:div w:id="953514988">
      <w:bodyDiv w:val="1"/>
      <w:marLeft w:val="0"/>
      <w:marRight w:val="0"/>
      <w:marTop w:val="0"/>
      <w:marBottom w:val="0"/>
      <w:divBdr>
        <w:top w:val="none" w:sz="0" w:space="0" w:color="auto"/>
        <w:left w:val="none" w:sz="0" w:space="0" w:color="auto"/>
        <w:bottom w:val="none" w:sz="0" w:space="0" w:color="auto"/>
        <w:right w:val="none" w:sz="0" w:space="0" w:color="auto"/>
      </w:divBdr>
      <w:divsChild>
        <w:div w:id="437062334">
          <w:marLeft w:val="0"/>
          <w:marRight w:val="0"/>
          <w:marTop w:val="0"/>
          <w:marBottom w:val="0"/>
          <w:divBdr>
            <w:top w:val="none" w:sz="0" w:space="0" w:color="auto"/>
            <w:left w:val="none" w:sz="0" w:space="0" w:color="auto"/>
            <w:bottom w:val="none" w:sz="0" w:space="0" w:color="auto"/>
            <w:right w:val="none" w:sz="0" w:space="0" w:color="auto"/>
          </w:divBdr>
        </w:div>
        <w:div w:id="1593775906">
          <w:marLeft w:val="0"/>
          <w:marRight w:val="0"/>
          <w:marTop w:val="0"/>
          <w:marBottom w:val="0"/>
          <w:divBdr>
            <w:top w:val="none" w:sz="0" w:space="0" w:color="auto"/>
            <w:left w:val="none" w:sz="0" w:space="0" w:color="auto"/>
            <w:bottom w:val="none" w:sz="0" w:space="0" w:color="auto"/>
            <w:right w:val="none" w:sz="0" w:space="0" w:color="auto"/>
          </w:divBdr>
        </w:div>
        <w:div w:id="2032219187">
          <w:marLeft w:val="0"/>
          <w:marRight w:val="0"/>
          <w:marTop w:val="0"/>
          <w:marBottom w:val="0"/>
          <w:divBdr>
            <w:top w:val="none" w:sz="0" w:space="0" w:color="auto"/>
            <w:left w:val="none" w:sz="0" w:space="0" w:color="auto"/>
            <w:bottom w:val="none" w:sz="0" w:space="0" w:color="auto"/>
            <w:right w:val="none" w:sz="0" w:space="0" w:color="auto"/>
          </w:divBdr>
        </w:div>
      </w:divsChild>
    </w:div>
    <w:div w:id="983237299">
      <w:bodyDiv w:val="1"/>
      <w:marLeft w:val="0"/>
      <w:marRight w:val="0"/>
      <w:marTop w:val="0"/>
      <w:marBottom w:val="0"/>
      <w:divBdr>
        <w:top w:val="none" w:sz="0" w:space="0" w:color="auto"/>
        <w:left w:val="none" w:sz="0" w:space="0" w:color="auto"/>
        <w:bottom w:val="none" w:sz="0" w:space="0" w:color="auto"/>
        <w:right w:val="none" w:sz="0" w:space="0" w:color="auto"/>
      </w:divBdr>
      <w:divsChild>
        <w:div w:id="386538868">
          <w:marLeft w:val="0"/>
          <w:marRight w:val="0"/>
          <w:marTop w:val="0"/>
          <w:marBottom w:val="0"/>
          <w:divBdr>
            <w:top w:val="none" w:sz="0" w:space="0" w:color="auto"/>
            <w:left w:val="none" w:sz="0" w:space="0" w:color="auto"/>
            <w:bottom w:val="none" w:sz="0" w:space="0" w:color="auto"/>
            <w:right w:val="none" w:sz="0" w:space="0" w:color="auto"/>
          </w:divBdr>
        </w:div>
      </w:divsChild>
    </w:div>
    <w:div w:id="1093279346">
      <w:bodyDiv w:val="1"/>
      <w:marLeft w:val="0"/>
      <w:marRight w:val="0"/>
      <w:marTop w:val="0"/>
      <w:marBottom w:val="0"/>
      <w:divBdr>
        <w:top w:val="none" w:sz="0" w:space="0" w:color="auto"/>
        <w:left w:val="none" w:sz="0" w:space="0" w:color="auto"/>
        <w:bottom w:val="none" w:sz="0" w:space="0" w:color="auto"/>
        <w:right w:val="none" w:sz="0" w:space="0" w:color="auto"/>
      </w:divBdr>
    </w:div>
    <w:div w:id="1104766397">
      <w:bodyDiv w:val="1"/>
      <w:marLeft w:val="0"/>
      <w:marRight w:val="0"/>
      <w:marTop w:val="0"/>
      <w:marBottom w:val="0"/>
      <w:divBdr>
        <w:top w:val="none" w:sz="0" w:space="0" w:color="auto"/>
        <w:left w:val="none" w:sz="0" w:space="0" w:color="auto"/>
        <w:bottom w:val="none" w:sz="0" w:space="0" w:color="auto"/>
        <w:right w:val="none" w:sz="0" w:space="0" w:color="auto"/>
      </w:divBdr>
    </w:div>
    <w:div w:id="1109621014">
      <w:bodyDiv w:val="1"/>
      <w:marLeft w:val="0"/>
      <w:marRight w:val="0"/>
      <w:marTop w:val="0"/>
      <w:marBottom w:val="0"/>
      <w:divBdr>
        <w:top w:val="none" w:sz="0" w:space="0" w:color="auto"/>
        <w:left w:val="none" w:sz="0" w:space="0" w:color="auto"/>
        <w:bottom w:val="none" w:sz="0" w:space="0" w:color="auto"/>
        <w:right w:val="none" w:sz="0" w:space="0" w:color="auto"/>
      </w:divBdr>
    </w:div>
    <w:div w:id="1110277854">
      <w:bodyDiv w:val="1"/>
      <w:marLeft w:val="0"/>
      <w:marRight w:val="0"/>
      <w:marTop w:val="0"/>
      <w:marBottom w:val="0"/>
      <w:divBdr>
        <w:top w:val="none" w:sz="0" w:space="0" w:color="auto"/>
        <w:left w:val="none" w:sz="0" w:space="0" w:color="auto"/>
        <w:bottom w:val="none" w:sz="0" w:space="0" w:color="auto"/>
        <w:right w:val="none" w:sz="0" w:space="0" w:color="auto"/>
      </w:divBdr>
    </w:div>
    <w:div w:id="1237129263">
      <w:bodyDiv w:val="1"/>
      <w:marLeft w:val="0"/>
      <w:marRight w:val="0"/>
      <w:marTop w:val="0"/>
      <w:marBottom w:val="0"/>
      <w:divBdr>
        <w:top w:val="none" w:sz="0" w:space="0" w:color="auto"/>
        <w:left w:val="none" w:sz="0" w:space="0" w:color="auto"/>
        <w:bottom w:val="none" w:sz="0" w:space="0" w:color="auto"/>
        <w:right w:val="none" w:sz="0" w:space="0" w:color="auto"/>
      </w:divBdr>
    </w:div>
    <w:div w:id="1247422728">
      <w:bodyDiv w:val="1"/>
      <w:marLeft w:val="0"/>
      <w:marRight w:val="0"/>
      <w:marTop w:val="0"/>
      <w:marBottom w:val="0"/>
      <w:divBdr>
        <w:top w:val="none" w:sz="0" w:space="0" w:color="auto"/>
        <w:left w:val="none" w:sz="0" w:space="0" w:color="auto"/>
        <w:bottom w:val="none" w:sz="0" w:space="0" w:color="auto"/>
        <w:right w:val="none" w:sz="0" w:space="0" w:color="auto"/>
      </w:divBdr>
      <w:divsChild>
        <w:div w:id="29646683">
          <w:marLeft w:val="0"/>
          <w:marRight w:val="0"/>
          <w:marTop w:val="0"/>
          <w:marBottom w:val="0"/>
          <w:divBdr>
            <w:top w:val="none" w:sz="0" w:space="0" w:color="auto"/>
            <w:left w:val="none" w:sz="0" w:space="0" w:color="auto"/>
            <w:bottom w:val="none" w:sz="0" w:space="0" w:color="auto"/>
            <w:right w:val="none" w:sz="0" w:space="0" w:color="auto"/>
          </w:divBdr>
        </w:div>
        <w:div w:id="29697041">
          <w:marLeft w:val="0"/>
          <w:marRight w:val="0"/>
          <w:marTop w:val="0"/>
          <w:marBottom w:val="0"/>
          <w:divBdr>
            <w:top w:val="none" w:sz="0" w:space="0" w:color="auto"/>
            <w:left w:val="none" w:sz="0" w:space="0" w:color="auto"/>
            <w:bottom w:val="none" w:sz="0" w:space="0" w:color="auto"/>
            <w:right w:val="none" w:sz="0" w:space="0" w:color="auto"/>
          </w:divBdr>
        </w:div>
        <w:div w:id="435171862">
          <w:marLeft w:val="0"/>
          <w:marRight w:val="0"/>
          <w:marTop w:val="0"/>
          <w:marBottom w:val="0"/>
          <w:divBdr>
            <w:top w:val="none" w:sz="0" w:space="0" w:color="auto"/>
            <w:left w:val="none" w:sz="0" w:space="0" w:color="auto"/>
            <w:bottom w:val="none" w:sz="0" w:space="0" w:color="auto"/>
            <w:right w:val="none" w:sz="0" w:space="0" w:color="auto"/>
          </w:divBdr>
        </w:div>
        <w:div w:id="461924654">
          <w:marLeft w:val="0"/>
          <w:marRight w:val="0"/>
          <w:marTop w:val="0"/>
          <w:marBottom w:val="0"/>
          <w:divBdr>
            <w:top w:val="none" w:sz="0" w:space="0" w:color="auto"/>
            <w:left w:val="none" w:sz="0" w:space="0" w:color="auto"/>
            <w:bottom w:val="none" w:sz="0" w:space="0" w:color="auto"/>
            <w:right w:val="none" w:sz="0" w:space="0" w:color="auto"/>
          </w:divBdr>
        </w:div>
        <w:div w:id="852576170">
          <w:marLeft w:val="0"/>
          <w:marRight w:val="0"/>
          <w:marTop w:val="0"/>
          <w:marBottom w:val="0"/>
          <w:divBdr>
            <w:top w:val="none" w:sz="0" w:space="0" w:color="auto"/>
            <w:left w:val="none" w:sz="0" w:space="0" w:color="auto"/>
            <w:bottom w:val="none" w:sz="0" w:space="0" w:color="auto"/>
            <w:right w:val="none" w:sz="0" w:space="0" w:color="auto"/>
          </w:divBdr>
        </w:div>
        <w:div w:id="1237780677">
          <w:marLeft w:val="0"/>
          <w:marRight w:val="0"/>
          <w:marTop w:val="0"/>
          <w:marBottom w:val="0"/>
          <w:divBdr>
            <w:top w:val="none" w:sz="0" w:space="0" w:color="auto"/>
            <w:left w:val="none" w:sz="0" w:space="0" w:color="auto"/>
            <w:bottom w:val="none" w:sz="0" w:space="0" w:color="auto"/>
            <w:right w:val="none" w:sz="0" w:space="0" w:color="auto"/>
          </w:divBdr>
        </w:div>
        <w:div w:id="1510557486">
          <w:marLeft w:val="0"/>
          <w:marRight w:val="0"/>
          <w:marTop w:val="0"/>
          <w:marBottom w:val="0"/>
          <w:divBdr>
            <w:top w:val="none" w:sz="0" w:space="0" w:color="auto"/>
            <w:left w:val="none" w:sz="0" w:space="0" w:color="auto"/>
            <w:bottom w:val="none" w:sz="0" w:space="0" w:color="auto"/>
            <w:right w:val="none" w:sz="0" w:space="0" w:color="auto"/>
          </w:divBdr>
        </w:div>
        <w:div w:id="1713118464">
          <w:marLeft w:val="0"/>
          <w:marRight w:val="0"/>
          <w:marTop w:val="0"/>
          <w:marBottom w:val="0"/>
          <w:divBdr>
            <w:top w:val="none" w:sz="0" w:space="0" w:color="auto"/>
            <w:left w:val="none" w:sz="0" w:space="0" w:color="auto"/>
            <w:bottom w:val="none" w:sz="0" w:space="0" w:color="auto"/>
            <w:right w:val="none" w:sz="0" w:space="0" w:color="auto"/>
          </w:divBdr>
        </w:div>
        <w:div w:id="1764178026">
          <w:marLeft w:val="0"/>
          <w:marRight w:val="0"/>
          <w:marTop w:val="0"/>
          <w:marBottom w:val="0"/>
          <w:divBdr>
            <w:top w:val="none" w:sz="0" w:space="0" w:color="auto"/>
            <w:left w:val="none" w:sz="0" w:space="0" w:color="auto"/>
            <w:bottom w:val="none" w:sz="0" w:space="0" w:color="auto"/>
            <w:right w:val="none" w:sz="0" w:space="0" w:color="auto"/>
          </w:divBdr>
        </w:div>
        <w:div w:id="1900245392">
          <w:marLeft w:val="0"/>
          <w:marRight w:val="0"/>
          <w:marTop w:val="0"/>
          <w:marBottom w:val="0"/>
          <w:divBdr>
            <w:top w:val="none" w:sz="0" w:space="0" w:color="auto"/>
            <w:left w:val="none" w:sz="0" w:space="0" w:color="auto"/>
            <w:bottom w:val="none" w:sz="0" w:space="0" w:color="auto"/>
            <w:right w:val="none" w:sz="0" w:space="0" w:color="auto"/>
          </w:divBdr>
        </w:div>
      </w:divsChild>
    </w:div>
    <w:div w:id="1247884858">
      <w:bodyDiv w:val="1"/>
      <w:marLeft w:val="0"/>
      <w:marRight w:val="0"/>
      <w:marTop w:val="0"/>
      <w:marBottom w:val="0"/>
      <w:divBdr>
        <w:top w:val="none" w:sz="0" w:space="0" w:color="auto"/>
        <w:left w:val="none" w:sz="0" w:space="0" w:color="auto"/>
        <w:bottom w:val="none" w:sz="0" w:space="0" w:color="auto"/>
        <w:right w:val="none" w:sz="0" w:space="0" w:color="auto"/>
      </w:divBdr>
    </w:div>
    <w:div w:id="1451242511">
      <w:bodyDiv w:val="1"/>
      <w:marLeft w:val="0"/>
      <w:marRight w:val="0"/>
      <w:marTop w:val="0"/>
      <w:marBottom w:val="0"/>
      <w:divBdr>
        <w:top w:val="none" w:sz="0" w:space="0" w:color="auto"/>
        <w:left w:val="none" w:sz="0" w:space="0" w:color="auto"/>
        <w:bottom w:val="none" w:sz="0" w:space="0" w:color="auto"/>
        <w:right w:val="none" w:sz="0" w:space="0" w:color="auto"/>
      </w:divBdr>
    </w:div>
    <w:div w:id="1495876964">
      <w:bodyDiv w:val="1"/>
      <w:marLeft w:val="0"/>
      <w:marRight w:val="0"/>
      <w:marTop w:val="0"/>
      <w:marBottom w:val="0"/>
      <w:divBdr>
        <w:top w:val="none" w:sz="0" w:space="0" w:color="auto"/>
        <w:left w:val="none" w:sz="0" w:space="0" w:color="auto"/>
        <w:bottom w:val="none" w:sz="0" w:space="0" w:color="auto"/>
        <w:right w:val="none" w:sz="0" w:space="0" w:color="auto"/>
      </w:divBdr>
    </w:div>
    <w:div w:id="1568108370">
      <w:bodyDiv w:val="1"/>
      <w:marLeft w:val="0"/>
      <w:marRight w:val="0"/>
      <w:marTop w:val="0"/>
      <w:marBottom w:val="0"/>
      <w:divBdr>
        <w:top w:val="none" w:sz="0" w:space="0" w:color="auto"/>
        <w:left w:val="none" w:sz="0" w:space="0" w:color="auto"/>
        <w:bottom w:val="none" w:sz="0" w:space="0" w:color="auto"/>
        <w:right w:val="none" w:sz="0" w:space="0" w:color="auto"/>
      </w:divBdr>
      <w:divsChild>
        <w:div w:id="181361843">
          <w:marLeft w:val="0"/>
          <w:marRight w:val="0"/>
          <w:marTop w:val="0"/>
          <w:marBottom w:val="0"/>
          <w:divBdr>
            <w:top w:val="none" w:sz="0" w:space="0" w:color="auto"/>
            <w:left w:val="none" w:sz="0" w:space="0" w:color="auto"/>
            <w:bottom w:val="none" w:sz="0" w:space="0" w:color="auto"/>
            <w:right w:val="none" w:sz="0" w:space="0" w:color="auto"/>
          </w:divBdr>
        </w:div>
        <w:div w:id="671296202">
          <w:marLeft w:val="0"/>
          <w:marRight w:val="0"/>
          <w:marTop w:val="0"/>
          <w:marBottom w:val="0"/>
          <w:divBdr>
            <w:top w:val="none" w:sz="0" w:space="0" w:color="auto"/>
            <w:left w:val="none" w:sz="0" w:space="0" w:color="auto"/>
            <w:bottom w:val="none" w:sz="0" w:space="0" w:color="auto"/>
            <w:right w:val="none" w:sz="0" w:space="0" w:color="auto"/>
          </w:divBdr>
        </w:div>
        <w:div w:id="701638708">
          <w:marLeft w:val="0"/>
          <w:marRight w:val="0"/>
          <w:marTop w:val="0"/>
          <w:marBottom w:val="0"/>
          <w:divBdr>
            <w:top w:val="none" w:sz="0" w:space="0" w:color="auto"/>
            <w:left w:val="none" w:sz="0" w:space="0" w:color="auto"/>
            <w:bottom w:val="none" w:sz="0" w:space="0" w:color="auto"/>
            <w:right w:val="none" w:sz="0" w:space="0" w:color="auto"/>
          </w:divBdr>
        </w:div>
        <w:div w:id="962080029">
          <w:marLeft w:val="0"/>
          <w:marRight w:val="0"/>
          <w:marTop w:val="0"/>
          <w:marBottom w:val="0"/>
          <w:divBdr>
            <w:top w:val="none" w:sz="0" w:space="0" w:color="auto"/>
            <w:left w:val="none" w:sz="0" w:space="0" w:color="auto"/>
            <w:bottom w:val="none" w:sz="0" w:space="0" w:color="auto"/>
            <w:right w:val="none" w:sz="0" w:space="0" w:color="auto"/>
          </w:divBdr>
        </w:div>
        <w:div w:id="1179582853">
          <w:marLeft w:val="0"/>
          <w:marRight w:val="0"/>
          <w:marTop w:val="0"/>
          <w:marBottom w:val="0"/>
          <w:divBdr>
            <w:top w:val="none" w:sz="0" w:space="0" w:color="auto"/>
            <w:left w:val="none" w:sz="0" w:space="0" w:color="auto"/>
            <w:bottom w:val="none" w:sz="0" w:space="0" w:color="auto"/>
            <w:right w:val="none" w:sz="0" w:space="0" w:color="auto"/>
          </w:divBdr>
        </w:div>
        <w:div w:id="1263411649">
          <w:marLeft w:val="0"/>
          <w:marRight w:val="0"/>
          <w:marTop w:val="0"/>
          <w:marBottom w:val="0"/>
          <w:divBdr>
            <w:top w:val="none" w:sz="0" w:space="0" w:color="auto"/>
            <w:left w:val="none" w:sz="0" w:space="0" w:color="auto"/>
            <w:bottom w:val="none" w:sz="0" w:space="0" w:color="auto"/>
            <w:right w:val="none" w:sz="0" w:space="0" w:color="auto"/>
          </w:divBdr>
        </w:div>
        <w:div w:id="1335763425">
          <w:marLeft w:val="0"/>
          <w:marRight w:val="0"/>
          <w:marTop w:val="0"/>
          <w:marBottom w:val="0"/>
          <w:divBdr>
            <w:top w:val="none" w:sz="0" w:space="0" w:color="auto"/>
            <w:left w:val="none" w:sz="0" w:space="0" w:color="auto"/>
            <w:bottom w:val="none" w:sz="0" w:space="0" w:color="auto"/>
            <w:right w:val="none" w:sz="0" w:space="0" w:color="auto"/>
          </w:divBdr>
        </w:div>
        <w:div w:id="1376663263">
          <w:marLeft w:val="0"/>
          <w:marRight w:val="0"/>
          <w:marTop w:val="0"/>
          <w:marBottom w:val="0"/>
          <w:divBdr>
            <w:top w:val="none" w:sz="0" w:space="0" w:color="auto"/>
            <w:left w:val="none" w:sz="0" w:space="0" w:color="auto"/>
            <w:bottom w:val="none" w:sz="0" w:space="0" w:color="auto"/>
            <w:right w:val="none" w:sz="0" w:space="0" w:color="auto"/>
          </w:divBdr>
        </w:div>
        <w:div w:id="1455127082">
          <w:marLeft w:val="0"/>
          <w:marRight w:val="0"/>
          <w:marTop w:val="0"/>
          <w:marBottom w:val="0"/>
          <w:divBdr>
            <w:top w:val="none" w:sz="0" w:space="0" w:color="auto"/>
            <w:left w:val="none" w:sz="0" w:space="0" w:color="auto"/>
            <w:bottom w:val="none" w:sz="0" w:space="0" w:color="auto"/>
            <w:right w:val="none" w:sz="0" w:space="0" w:color="auto"/>
          </w:divBdr>
        </w:div>
        <w:div w:id="1506436808">
          <w:marLeft w:val="0"/>
          <w:marRight w:val="0"/>
          <w:marTop w:val="0"/>
          <w:marBottom w:val="0"/>
          <w:divBdr>
            <w:top w:val="none" w:sz="0" w:space="0" w:color="auto"/>
            <w:left w:val="none" w:sz="0" w:space="0" w:color="auto"/>
            <w:bottom w:val="none" w:sz="0" w:space="0" w:color="auto"/>
            <w:right w:val="none" w:sz="0" w:space="0" w:color="auto"/>
          </w:divBdr>
        </w:div>
        <w:div w:id="1769617790">
          <w:marLeft w:val="0"/>
          <w:marRight w:val="0"/>
          <w:marTop w:val="0"/>
          <w:marBottom w:val="0"/>
          <w:divBdr>
            <w:top w:val="none" w:sz="0" w:space="0" w:color="auto"/>
            <w:left w:val="none" w:sz="0" w:space="0" w:color="auto"/>
            <w:bottom w:val="none" w:sz="0" w:space="0" w:color="auto"/>
            <w:right w:val="none" w:sz="0" w:space="0" w:color="auto"/>
          </w:divBdr>
        </w:div>
        <w:div w:id="1774471996">
          <w:marLeft w:val="0"/>
          <w:marRight w:val="0"/>
          <w:marTop w:val="0"/>
          <w:marBottom w:val="0"/>
          <w:divBdr>
            <w:top w:val="none" w:sz="0" w:space="0" w:color="auto"/>
            <w:left w:val="none" w:sz="0" w:space="0" w:color="auto"/>
            <w:bottom w:val="none" w:sz="0" w:space="0" w:color="auto"/>
            <w:right w:val="none" w:sz="0" w:space="0" w:color="auto"/>
          </w:divBdr>
        </w:div>
        <w:div w:id="1984312453">
          <w:marLeft w:val="0"/>
          <w:marRight w:val="0"/>
          <w:marTop w:val="0"/>
          <w:marBottom w:val="0"/>
          <w:divBdr>
            <w:top w:val="none" w:sz="0" w:space="0" w:color="auto"/>
            <w:left w:val="none" w:sz="0" w:space="0" w:color="auto"/>
            <w:bottom w:val="none" w:sz="0" w:space="0" w:color="auto"/>
            <w:right w:val="none" w:sz="0" w:space="0" w:color="auto"/>
          </w:divBdr>
        </w:div>
      </w:divsChild>
    </w:div>
    <w:div w:id="1649893319">
      <w:bodyDiv w:val="1"/>
      <w:marLeft w:val="0"/>
      <w:marRight w:val="0"/>
      <w:marTop w:val="0"/>
      <w:marBottom w:val="0"/>
      <w:divBdr>
        <w:top w:val="none" w:sz="0" w:space="0" w:color="auto"/>
        <w:left w:val="none" w:sz="0" w:space="0" w:color="auto"/>
        <w:bottom w:val="none" w:sz="0" w:space="0" w:color="auto"/>
        <w:right w:val="none" w:sz="0" w:space="0" w:color="auto"/>
      </w:divBdr>
    </w:div>
    <w:div w:id="1655841522">
      <w:bodyDiv w:val="1"/>
      <w:marLeft w:val="0"/>
      <w:marRight w:val="0"/>
      <w:marTop w:val="0"/>
      <w:marBottom w:val="0"/>
      <w:divBdr>
        <w:top w:val="none" w:sz="0" w:space="0" w:color="auto"/>
        <w:left w:val="none" w:sz="0" w:space="0" w:color="auto"/>
        <w:bottom w:val="none" w:sz="0" w:space="0" w:color="auto"/>
        <w:right w:val="none" w:sz="0" w:space="0" w:color="auto"/>
      </w:divBdr>
    </w:div>
    <w:div w:id="1692294416">
      <w:bodyDiv w:val="1"/>
      <w:marLeft w:val="0"/>
      <w:marRight w:val="0"/>
      <w:marTop w:val="0"/>
      <w:marBottom w:val="0"/>
      <w:divBdr>
        <w:top w:val="none" w:sz="0" w:space="0" w:color="auto"/>
        <w:left w:val="none" w:sz="0" w:space="0" w:color="auto"/>
        <w:bottom w:val="none" w:sz="0" w:space="0" w:color="auto"/>
        <w:right w:val="none" w:sz="0" w:space="0" w:color="auto"/>
      </w:divBdr>
      <w:divsChild>
        <w:div w:id="66196767">
          <w:marLeft w:val="0"/>
          <w:marRight w:val="0"/>
          <w:marTop w:val="0"/>
          <w:marBottom w:val="0"/>
          <w:divBdr>
            <w:top w:val="none" w:sz="0" w:space="0" w:color="auto"/>
            <w:left w:val="none" w:sz="0" w:space="0" w:color="auto"/>
            <w:bottom w:val="none" w:sz="0" w:space="0" w:color="auto"/>
            <w:right w:val="none" w:sz="0" w:space="0" w:color="auto"/>
          </w:divBdr>
        </w:div>
        <w:div w:id="1278484385">
          <w:marLeft w:val="0"/>
          <w:marRight w:val="0"/>
          <w:marTop w:val="0"/>
          <w:marBottom w:val="0"/>
          <w:divBdr>
            <w:top w:val="none" w:sz="0" w:space="0" w:color="auto"/>
            <w:left w:val="none" w:sz="0" w:space="0" w:color="auto"/>
            <w:bottom w:val="none" w:sz="0" w:space="0" w:color="auto"/>
            <w:right w:val="none" w:sz="0" w:space="0" w:color="auto"/>
          </w:divBdr>
        </w:div>
        <w:div w:id="1576818660">
          <w:marLeft w:val="0"/>
          <w:marRight w:val="0"/>
          <w:marTop w:val="0"/>
          <w:marBottom w:val="0"/>
          <w:divBdr>
            <w:top w:val="none" w:sz="0" w:space="0" w:color="auto"/>
            <w:left w:val="none" w:sz="0" w:space="0" w:color="auto"/>
            <w:bottom w:val="none" w:sz="0" w:space="0" w:color="auto"/>
            <w:right w:val="none" w:sz="0" w:space="0" w:color="auto"/>
          </w:divBdr>
        </w:div>
        <w:div w:id="1771779895">
          <w:marLeft w:val="0"/>
          <w:marRight w:val="0"/>
          <w:marTop w:val="0"/>
          <w:marBottom w:val="0"/>
          <w:divBdr>
            <w:top w:val="none" w:sz="0" w:space="0" w:color="auto"/>
            <w:left w:val="none" w:sz="0" w:space="0" w:color="auto"/>
            <w:bottom w:val="none" w:sz="0" w:space="0" w:color="auto"/>
            <w:right w:val="none" w:sz="0" w:space="0" w:color="auto"/>
          </w:divBdr>
        </w:div>
        <w:div w:id="2078435361">
          <w:marLeft w:val="0"/>
          <w:marRight w:val="0"/>
          <w:marTop w:val="0"/>
          <w:marBottom w:val="0"/>
          <w:divBdr>
            <w:top w:val="none" w:sz="0" w:space="0" w:color="auto"/>
            <w:left w:val="none" w:sz="0" w:space="0" w:color="auto"/>
            <w:bottom w:val="none" w:sz="0" w:space="0" w:color="auto"/>
            <w:right w:val="none" w:sz="0" w:space="0" w:color="auto"/>
          </w:divBdr>
        </w:div>
      </w:divsChild>
    </w:div>
    <w:div w:id="1794254038">
      <w:bodyDiv w:val="1"/>
      <w:marLeft w:val="0"/>
      <w:marRight w:val="0"/>
      <w:marTop w:val="0"/>
      <w:marBottom w:val="0"/>
      <w:divBdr>
        <w:top w:val="none" w:sz="0" w:space="0" w:color="auto"/>
        <w:left w:val="none" w:sz="0" w:space="0" w:color="auto"/>
        <w:bottom w:val="none" w:sz="0" w:space="0" w:color="auto"/>
        <w:right w:val="none" w:sz="0" w:space="0" w:color="auto"/>
      </w:divBdr>
    </w:div>
    <w:div w:id="1826049226">
      <w:bodyDiv w:val="1"/>
      <w:marLeft w:val="0"/>
      <w:marRight w:val="0"/>
      <w:marTop w:val="0"/>
      <w:marBottom w:val="0"/>
      <w:divBdr>
        <w:top w:val="none" w:sz="0" w:space="0" w:color="auto"/>
        <w:left w:val="none" w:sz="0" w:space="0" w:color="auto"/>
        <w:bottom w:val="none" w:sz="0" w:space="0" w:color="auto"/>
        <w:right w:val="none" w:sz="0" w:space="0" w:color="auto"/>
      </w:divBdr>
    </w:div>
    <w:div w:id="1834640371">
      <w:bodyDiv w:val="1"/>
      <w:marLeft w:val="0"/>
      <w:marRight w:val="0"/>
      <w:marTop w:val="0"/>
      <w:marBottom w:val="0"/>
      <w:divBdr>
        <w:top w:val="none" w:sz="0" w:space="0" w:color="auto"/>
        <w:left w:val="none" w:sz="0" w:space="0" w:color="auto"/>
        <w:bottom w:val="none" w:sz="0" w:space="0" w:color="auto"/>
        <w:right w:val="none" w:sz="0" w:space="0" w:color="auto"/>
      </w:divBdr>
    </w:div>
    <w:div w:id="1850409112">
      <w:bodyDiv w:val="1"/>
      <w:marLeft w:val="0"/>
      <w:marRight w:val="0"/>
      <w:marTop w:val="0"/>
      <w:marBottom w:val="0"/>
      <w:divBdr>
        <w:top w:val="none" w:sz="0" w:space="0" w:color="auto"/>
        <w:left w:val="none" w:sz="0" w:space="0" w:color="auto"/>
        <w:bottom w:val="none" w:sz="0" w:space="0" w:color="auto"/>
        <w:right w:val="none" w:sz="0" w:space="0" w:color="auto"/>
      </w:divBdr>
    </w:div>
    <w:div w:id="1858736257">
      <w:bodyDiv w:val="1"/>
      <w:marLeft w:val="0"/>
      <w:marRight w:val="0"/>
      <w:marTop w:val="0"/>
      <w:marBottom w:val="0"/>
      <w:divBdr>
        <w:top w:val="none" w:sz="0" w:space="0" w:color="auto"/>
        <w:left w:val="none" w:sz="0" w:space="0" w:color="auto"/>
        <w:bottom w:val="none" w:sz="0" w:space="0" w:color="auto"/>
        <w:right w:val="none" w:sz="0" w:space="0" w:color="auto"/>
      </w:divBdr>
    </w:div>
    <w:div w:id="1878272742">
      <w:bodyDiv w:val="1"/>
      <w:marLeft w:val="0"/>
      <w:marRight w:val="0"/>
      <w:marTop w:val="0"/>
      <w:marBottom w:val="0"/>
      <w:divBdr>
        <w:top w:val="none" w:sz="0" w:space="0" w:color="auto"/>
        <w:left w:val="none" w:sz="0" w:space="0" w:color="auto"/>
        <w:bottom w:val="none" w:sz="0" w:space="0" w:color="auto"/>
        <w:right w:val="none" w:sz="0" w:space="0" w:color="auto"/>
      </w:divBdr>
    </w:div>
    <w:div w:id="1934363240">
      <w:bodyDiv w:val="1"/>
      <w:marLeft w:val="0"/>
      <w:marRight w:val="0"/>
      <w:marTop w:val="0"/>
      <w:marBottom w:val="0"/>
      <w:divBdr>
        <w:top w:val="none" w:sz="0" w:space="0" w:color="auto"/>
        <w:left w:val="none" w:sz="0" w:space="0" w:color="auto"/>
        <w:bottom w:val="none" w:sz="0" w:space="0" w:color="auto"/>
        <w:right w:val="none" w:sz="0" w:space="0" w:color="auto"/>
      </w:divBdr>
    </w:div>
    <w:div w:id="1937713905">
      <w:bodyDiv w:val="1"/>
      <w:marLeft w:val="0"/>
      <w:marRight w:val="0"/>
      <w:marTop w:val="0"/>
      <w:marBottom w:val="0"/>
      <w:divBdr>
        <w:top w:val="none" w:sz="0" w:space="0" w:color="auto"/>
        <w:left w:val="none" w:sz="0" w:space="0" w:color="auto"/>
        <w:bottom w:val="none" w:sz="0" w:space="0" w:color="auto"/>
        <w:right w:val="none" w:sz="0" w:space="0" w:color="auto"/>
      </w:divBdr>
    </w:div>
    <w:div w:id="1959556976">
      <w:bodyDiv w:val="1"/>
      <w:marLeft w:val="0"/>
      <w:marRight w:val="0"/>
      <w:marTop w:val="0"/>
      <w:marBottom w:val="0"/>
      <w:divBdr>
        <w:top w:val="none" w:sz="0" w:space="0" w:color="auto"/>
        <w:left w:val="none" w:sz="0" w:space="0" w:color="auto"/>
        <w:bottom w:val="none" w:sz="0" w:space="0" w:color="auto"/>
        <w:right w:val="none" w:sz="0" w:space="0" w:color="auto"/>
      </w:divBdr>
    </w:div>
    <w:div w:id="2000649656">
      <w:bodyDiv w:val="1"/>
      <w:marLeft w:val="0"/>
      <w:marRight w:val="0"/>
      <w:marTop w:val="0"/>
      <w:marBottom w:val="0"/>
      <w:divBdr>
        <w:top w:val="none" w:sz="0" w:space="0" w:color="auto"/>
        <w:left w:val="none" w:sz="0" w:space="0" w:color="auto"/>
        <w:bottom w:val="none" w:sz="0" w:space="0" w:color="auto"/>
        <w:right w:val="none" w:sz="0" w:space="0" w:color="auto"/>
      </w:divBdr>
      <w:divsChild>
        <w:div w:id="396129096">
          <w:marLeft w:val="0"/>
          <w:marRight w:val="0"/>
          <w:marTop w:val="0"/>
          <w:marBottom w:val="0"/>
          <w:divBdr>
            <w:top w:val="none" w:sz="0" w:space="0" w:color="auto"/>
            <w:left w:val="none" w:sz="0" w:space="0" w:color="auto"/>
            <w:bottom w:val="none" w:sz="0" w:space="0" w:color="auto"/>
            <w:right w:val="none" w:sz="0" w:space="0" w:color="auto"/>
          </w:divBdr>
        </w:div>
        <w:div w:id="755327763">
          <w:marLeft w:val="0"/>
          <w:marRight w:val="0"/>
          <w:marTop w:val="0"/>
          <w:marBottom w:val="0"/>
          <w:divBdr>
            <w:top w:val="none" w:sz="0" w:space="0" w:color="auto"/>
            <w:left w:val="none" w:sz="0" w:space="0" w:color="auto"/>
            <w:bottom w:val="none" w:sz="0" w:space="0" w:color="auto"/>
            <w:right w:val="none" w:sz="0" w:space="0" w:color="auto"/>
          </w:divBdr>
        </w:div>
        <w:div w:id="773981962">
          <w:marLeft w:val="0"/>
          <w:marRight w:val="0"/>
          <w:marTop w:val="0"/>
          <w:marBottom w:val="0"/>
          <w:divBdr>
            <w:top w:val="none" w:sz="0" w:space="0" w:color="auto"/>
            <w:left w:val="none" w:sz="0" w:space="0" w:color="auto"/>
            <w:bottom w:val="none" w:sz="0" w:space="0" w:color="auto"/>
            <w:right w:val="none" w:sz="0" w:space="0" w:color="auto"/>
          </w:divBdr>
        </w:div>
        <w:div w:id="979966534">
          <w:marLeft w:val="0"/>
          <w:marRight w:val="0"/>
          <w:marTop w:val="0"/>
          <w:marBottom w:val="0"/>
          <w:divBdr>
            <w:top w:val="none" w:sz="0" w:space="0" w:color="auto"/>
            <w:left w:val="none" w:sz="0" w:space="0" w:color="auto"/>
            <w:bottom w:val="none" w:sz="0" w:space="0" w:color="auto"/>
            <w:right w:val="none" w:sz="0" w:space="0" w:color="auto"/>
          </w:divBdr>
        </w:div>
        <w:div w:id="1179201938">
          <w:marLeft w:val="0"/>
          <w:marRight w:val="0"/>
          <w:marTop w:val="0"/>
          <w:marBottom w:val="0"/>
          <w:divBdr>
            <w:top w:val="none" w:sz="0" w:space="0" w:color="auto"/>
            <w:left w:val="none" w:sz="0" w:space="0" w:color="auto"/>
            <w:bottom w:val="none" w:sz="0" w:space="0" w:color="auto"/>
            <w:right w:val="none" w:sz="0" w:space="0" w:color="auto"/>
          </w:divBdr>
        </w:div>
        <w:div w:id="1281642908">
          <w:marLeft w:val="0"/>
          <w:marRight w:val="0"/>
          <w:marTop w:val="0"/>
          <w:marBottom w:val="0"/>
          <w:divBdr>
            <w:top w:val="none" w:sz="0" w:space="0" w:color="auto"/>
            <w:left w:val="none" w:sz="0" w:space="0" w:color="auto"/>
            <w:bottom w:val="none" w:sz="0" w:space="0" w:color="auto"/>
            <w:right w:val="none" w:sz="0" w:space="0" w:color="auto"/>
          </w:divBdr>
        </w:div>
        <w:div w:id="1502815613">
          <w:marLeft w:val="0"/>
          <w:marRight w:val="0"/>
          <w:marTop w:val="0"/>
          <w:marBottom w:val="0"/>
          <w:divBdr>
            <w:top w:val="none" w:sz="0" w:space="0" w:color="auto"/>
            <w:left w:val="none" w:sz="0" w:space="0" w:color="auto"/>
            <w:bottom w:val="none" w:sz="0" w:space="0" w:color="auto"/>
            <w:right w:val="none" w:sz="0" w:space="0" w:color="auto"/>
          </w:divBdr>
        </w:div>
        <w:div w:id="1610353155">
          <w:marLeft w:val="0"/>
          <w:marRight w:val="0"/>
          <w:marTop w:val="0"/>
          <w:marBottom w:val="0"/>
          <w:divBdr>
            <w:top w:val="none" w:sz="0" w:space="0" w:color="auto"/>
            <w:left w:val="none" w:sz="0" w:space="0" w:color="auto"/>
            <w:bottom w:val="none" w:sz="0" w:space="0" w:color="auto"/>
            <w:right w:val="none" w:sz="0" w:space="0" w:color="auto"/>
          </w:divBdr>
        </w:div>
        <w:div w:id="1792629932">
          <w:marLeft w:val="0"/>
          <w:marRight w:val="0"/>
          <w:marTop w:val="0"/>
          <w:marBottom w:val="0"/>
          <w:divBdr>
            <w:top w:val="none" w:sz="0" w:space="0" w:color="auto"/>
            <w:left w:val="none" w:sz="0" w:space="0" w:color="auto"/>
            <w:bottom w:val="none" w:sz="0" w:space="0" w:color="auto"/>
            <w:right w:val="none" w:sz="0" w:space="0" w:color="auto"/>
          </w:divBdr>
        </w:div>
        <w:div w:id="1874027559">
          <w:marLeft w:val="0"/>
          <w:marRight w:val="0"/>
          <w:marTop w:val="0"/>
          <w:marBottom w:val="0"/>
          <w:divBdr>
            <w:top w:val="none" w:sz="0" w:space="0" w:color="auto"/>
            <w:left w:val="none" w:sz="0" w:space="0" w:color="auto"/>
            <w:bottom w:val="none" w:sz="0" w:space="0" w:color="auto"/>
            <w:right w:val="none" w:sz="0" w:space="0" w:color="auto"/>
          </w:divBdr>
        </w:div>
        <w:div w:id="1935554490">
          <w:marLeft w:val="0"/>
          <w:marRight w:val="0"/>
          <w:marTop w:val="0"/>
          <w:marBottom w:val="0"/>
          <w:divBdr>
            <w:top w:val="none" w:sz="0" w:space="0" w:color="auto"/>
            <w:left w:val="none" w:sz="0" w:space="0" w:color="auto"/>
            <w:bottom w:val="none" w:sz="0" w:space="0" w:color="auto"/>
            <w:right w:val="none" w:sz="0" w:space="0" w:color="auto"/>
          </w:divBdr>
        </w:div>
        <w:div w:id="1993294678">
          <w:marLeft w:val="0"/>
          <w:marRight w:val="0"/>
          <w:marTop w:val="0"/>
          <w:marBottom w:val="0"/>
          <w:divBdr>
            <w:top w:val="none" w:sz="0" w:space="0" w:color="auto"/>
            <w:left w:val="none" w:sz="0" w:space="0" w:color="auto"/>
            <w:bottom w:val="none" w:sz="0" w:space="0" w:color="auto"/>
            <w:right w:val="none" w:sz="0" w:space="0" w:color="auto"/>
          </w:divBdr>
        </w:div>
        <w:div w:id="2127115314">
          <w:marLeft w:val="0"/>
          <w:marRight w:val="0"/>
          <w:marTop w:val="0"/>
          <w:marBottom w:val="0"/>
          <w:divBdr>
            <w:top w:val="none" w:sz="0" w:space="0" w:color="auto"/>
            <w:left w:val="none" w:sz="0" w:space="0" w:color="auto"/>
            <w:bottom w:val="none" w:sz="0" w:space="0" w:color="auto"/>
            <w:right w:val="none" w:sz="0" w:space="0" w:color="auto"/>
          </w:divBdr>
        </w:div>
      </w:divsChild>
    </w:div>
    <w:div w:id="2061518582">
      <w:bodyDiv w:val="1"/>
      <w:marLeft w:val="0"/>
      <w:marRight w:val="0"/>
      <w:marTop w:val="0"/>
      <w:marBottom w:val="0"/>
      <w:divBdr>
        <w:top w:val="none" w:sz="0" w:space="0" w:color="auto"/>
        <w:left w:val="none" w:sz="0" w:space="0" w:color="auto"/>
        <w:bottom w:val="none" w:sz="0" w:space="0" w:color="auto"/>
        <w:right w:val="none" w:sz="0" w:space="0" w:color="auto"/>
      </w:divBdr>
      <w:divsChild>
        <w:div w:id="184488133">
          <w:marLeft w:val="0"/>
          <w:marRight w:val="0"/>
          <w:marTop w:val="0"/>
          <w:marBottom w:val="0"/>
          <w:divBdr>
            <w:top w:val="none" w:sz="0" w:space="0" w:color="auto"/>
            <w:left w:val="none" w:sz="0" w:space="0" w:color="auto"/>
            <w:bottom w:val="none" w:sz="0" w:space="0" w:color="auto"/>
            <w:right w:val="none" w:sz="0" w:space="0" w:color="auto"/>
          </w:divBdr>
        </w:div>
        <w:div w:id="262422312">
          <w:marLeft w:val="0"/>
          <w:marRight w:val="0"/>
          <w:marTop w:val="0"/>
          <w:marBottom w:val="0"/>
          <w:divBdr>
            <w:top w:val="none" w:sz="0" w:space="0" w:color="auto"/>
            <w:left w:val="none" w:sz="0" w:space="0" w:color="auto"/>
            <w:bottom w:val="none" w:sz="0" w:space="0" w:color="auto"/>
            <w:right w:val="none" w:sz="0" w:space="0" w:color="auto"/>
          </w:divBdr>
        </w:div>
        <w:div w:id="430393546">
          <w:marLeft w:val="0"/>
          <w:marRight w:val="0"/>
          <w:marTop w:val="0"/>
          <w:marBottom w:val="0"/>
          <w:divBdr>
            <w:top w:val="none" w:sz="0" w:space="0" w:color="auto"/>
            <w:left w:val="none" w:sz="0" w:space="0" w:color="auto"/>
            <w:bottom w:val="none" w:sz="0" w:space="0" w:color="auto"/>
            <w:right w:val="none" w:sz="0" w:space="0" w:color="auto"/>
          </w:divBdr>
        </w:div>
        <w:div w:id="437679823">
          <w:marLeft w:val="0"/>
          <w:marRight w:val="0"/>
          <w:marTop w:val="0"/>
          <w:marBottom w:val="0"/>
          <w:divBdr>
            <w:top w:val="none" w:sz="0" w:space="0" w:color="auto"/>
            <w:left w:val="none" w:sz="0" w:space="0" w:color="auto"/>
            <w:bottom w:val="none" w:sz="0" w:space="0" w:color="auto"/>
            <w:right w:val="none" w:sz="0" w:space="0" w:color="auto"/>
          </w:divBdr>
        </w:div>
        <w:div w:id="992875631">
          <w:marLeft w:val="0"/>
          <w:marRight w:val="0"/>
          <w:marTop w:val="0"/>
          <w:marBottom w:val="0"/>
          <w:divBdr>
            <w:top w:val="none" w:sz="0" w:space="0" w:color="auto"/>
            <w:left w:val="none" w:sz="0" w:space="0" w:color="auto"/>
            <w:bottom w:val="none" w:sz="0" w:space="0" w:color="auto"/>
            <w:right w:val="none" w:sz="0" w:space="0" w:color="auto"/>
          </w:divBdr>
        </w:div>
        <w:div w:id="1336300105">
          <w:marLeft w:val="0"/>
          <w:marRight w:val="0"/>
          <w:marTop w:val="0"/>
          <w:marBottom w:val="0"/>
          <w:divBdr>
            <w:top w:val="none" w:sz="0" w:space="0" w:color="auto"/>
            <w:left w:val="none" w:sz="0" w:space="0" w:color="auto"/>
            <w:bottom w:val="none" w:sz="0" w:space="0" w:color="auto"/>
            <w:right w:val="none" w:sz="0" w:space="0" w:color="auto"/>
          </w:divBdr>
        </w:div>
        <w:div w:id="1520313190">
          <w:marLeft w:val="0"/>
          <w:marRight w:val="0"/>
          <w:marTop w:val="0"/>
          <w:marBottom w:val="0"/>
          <w:divBdr>
            <w:top w:val="none" w:sz="0" w:space="0" w:color="auto"/>
            <w:left w:val="none" w:sz="0" w:space="0" w:color="auto"/>
            <w:bottom w:val="none" w:sz="0" w:space="0" w:color="auto"/>
            <w:right w:val="none" w:sz="0" w:space="0" w:color="auto"/>
          </w:divBdr>
        </w:div>
        <w:div w:id="1831480873">
          <w:marLeft w:val="0"/>
          <w:marRight w:val="0"/>
          <w:marTop w:val="0"/>
          <w:marBottom w:val="0"/>
          <w:divBdr>
            <w:top w:val="none" w:sz="0" w:space="0" w:color="auto"/>
            <w:left w:val="none" w:sz="0" w:space="0" w:color="auto"/>
            <w:bottom w:val="none" w:sz="0" w:space="0" w:color="auto"/>
            <w:right w:val="none" w:sz="0" w:space="0" w:color="auto"/>
          </w:divBdr>
        </w:div>
        <w:div w:id="1974403633">
          <w:marLeft w:val="0"/>
          <w:marRight w:val="0"/>
          <w:marTop w:val="0"/>
          <w:marBottom w:val="0"/>
          <w:divBdr>
            <w:top w:val="none" w:sz="0" w:space="0" w:color="auto"/>
            <w:left w:val="none" w:sz="0" w:space="0" w:color="auto"/>
            <w:bottom w:val="none" w:sz="0" w:space="0" w:color="auto"/>
            <w:right w:val="none" w:sz="0" w:space="0" w:color="auto"/>
          </w:divBdr>
        </w:div>
        <w:div w:id="2111311501">
          <w:marLeft w:val="0"/>
          <w:marRight w:val="0"/>
          <w:marTop w:val="0"/>
          <w:marBottom w:val="0"/>
          <w:divBdr>
            <w:top w:val="none" w:sz="0" w:space="0" w:color="auto"/>
            <w:left w:val="none" w:sz="0" w:space="0" w:color="auto"/>
            <w:bottom w:val="none" w:sz="0" w:space="0" w:color="auto"/>
            <w:right w:val="none" w:sz="0" w:space="0" w:color="auto"/>
          </w:divBdr>
        </w:div>
      </w:divsChild>
    </w:div>
    <w:div w:id="2081712524">
      <w:bodyDiv w:val="1"/>
      <w:marLeft w:val="0"/>
      <w:marRight w:val="0"/>
      <w:marTop w:val="0"/>
      <w:marBottom w:val="0"/>
      <w:divBdr>
        <w:top w:val="none" w:sz="0" w:space="0" w:color="auto"/>
        <w:left w:val="none" w:sz="0" w:space="0" w:color="auto"/>
        <w:bottom w:val="none" w:sz="0" w:space="0" w:color="auto"/>
        <w:right w:val="none" w:sz="0" w:space="0" w:color="auto"/>
      </w:divBdr>
    </w:div>
    <w:div w:id="21232603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117" Type="http://schemas.openxmlformats.org/officeDocument/2006/relationships/hyperlink" Target="https://content.vic.gov.au/sites/default/files/2024-04/DPC-Org-Chart-April-2024.pdf" TargetMode="External"/><Relationship Id="rId21" Type="http://schemas.openxmlformats.org/officeDocument/2006/relationships/header" Target="header3.xml"/><Relationship Id="rId42" Type="http://schemas.openxmlformats.org/officeDocument/2006/relationships/image" Target="media/image11.png"/><Relationship Id="rId47" Type="http://schemas.openxmlformats.org/officeDocument/2006/relationships/image" Target="media/image16.png"/><Relationship Id="rId63" Type="http://schemas.openxmlformats.org/officeDocument/2006/relationships/image" Target="media/image32.png"/><Relationship Id="rId68" Type="http://schemas.openxmlformats.org/officeDocument/2006/relationships/image" Target="media/image37.svg"/><Relationship Id="rId84" Type="http://schemas.openxmlformats.org/officeDocument/2006/relationships/image" Target="media/image42.png"/><Relationship Id="rId89" Type="http://schemas.openxmlformats.org/officeDocument/2006/relationships/hyperlink" Target="https://www.apsc.gov.au/circulars-guidance-and-advice/performance-bonus-guidance" TargetMode="External"/><Relationship Id="rId112" Type="http://schemas.openxmlformats.org/officeDocument/2006/relationships/hyperlink" Target="https://www.health.vic.gov.au/our-ministers" TargetMode="External"/><Relationship Id="rId133" Type="http://schemas.openxmlformats.org/officeDocument/2006/relationships/hyperlink" Target="https://www.vic.gov.au/office-projects-victoria" TargetMode="External"/><Relationship Id="rId138" Type="http://schemas.openxmlformats.org/officeDocument/2006/relationships/hyperlink" Target="https://prov.vic.gov.au/about-us" TargetMode="External"/><Relationship Id="rId154" Type="http://schemas.openxmlformats.org/officeDocument/2006/relationships/hyperlink" Target="https://vpsc.vic.gov.au/ethics-behaviours-culture/inform-and-advise-ministers/officer-and-executive-guide-for-informing-and-advising-ministers/" TargetMode="External"/><Relationship Id="rId159" Type="http://schemas.openxmlformats.org/officeDocument/2006/relationships/hyperlink" Target="https://vpsc.vic.gov.au/workforce-data-state-of-the-public-sector/employee-experiences-in-the-workplace-2023/flexible-work-2023/" TargetMode="External"/><Relationship Id="rId170" Type="http://schemas.openxmlformats.org/officeDocument/2006/relationships/theme" Target="theme/theme1.xml"/><Relationship Id="rId16" Type="http://schemas.openxmlformats.org/officeDocument/2006/relationships/image" Target="media/image4.png"/><Relationship Id="rId107" Type="http://schemas.openxmlformats.org/officeDocument/2006/relationships/hyperlink" Target="https://www.vic.gov.au/department-government-services" TargetMode="External"/><Relationship Id="rId11" Type="http://schemas.openxmlformats.org/officeDocument/2006/relationships/endnotes" Target="endnotes.xml"/><Relationship Id="rId32" Type="http://schemas.openxmlformats.org/officeDocument/2006/relationships/header" Target="header7.xml"/><Relationship Id="rId37" Type="http://schemas.openxmlformats.org/officeDocument/2006/relationships/footer" Target="footer9.xml"/><Relationship Id="rId53" Type="http://schemas.openxmlformats.org/officeDocument/2006/relationships/image" Target="media/image22.png"/><Relationship Id="rId58" Type="http://schemas.openxmlformats.org/officeDocument/2006/relationships/image" Target="media/image27.png"/><Relationship Id="rId74" Type="http://schemas.openxmlformats.org/officeDocument/2006/relationships/chart" Target="charts/chart3.xml"/><Relationship Id="rId79" Type="http://schemas.openxmlformats.org/officeDocument/2006/relationships/chart" Target="charts/chart8.xml"/><Relationship Id="rId102" Type="http://schemas.openxmlformats.org/officeDocument/2006/relationships/hyperlink" Target="https://www.vic.gov.au/free-violence-second-action-plan-2022-2025" TargetMode="External"/><Relationship Id="rId123" Type="http://schemas.openxmlformats.org/officeDocument/2006/relationships/hyperlink" Target="https://www.vic.gov.au/department-of-transport-and-planning-governance" TargetMode="External"/><Relationship Id="rId128" Type="http://schemas.openxmlformats.org/officeDocument/2006/relationships/hyperlink" Target="https://lva.vic.gov.au/about" TargetMode="External"/><Relationship Id="rId144" Type="http://schemas.openxmlformats.org/officeDocument/2006/relationships/hyperlink" Target="https://www.nsw.gov.au/media-releases/minns-government-acts-to-freeze-nsw-public-sector-senior-executive-and-politicians-pay-for-2-years" TargetMode="External"/><Relationship Id="rId149" Type="http://schemas.openxmlformats.org/officeDocument/2006/relationships/hyperlink" Target="https://help.surveymonkey.com/en/surveymonkey/analyze/significant-differences/" TargetMode="External"/><Relationship Id="rId5" Type="http://schemas.openxmlformats.org/officeDocument/2006/relationships/customXml" Target="../customXml/item5.xml"/><Relationship Id="rId90" Type="http://schemas.openxmlformats.org/officeDocument/2006/relationships/hyperlink" Target="https://www.apsc.gov.au/news-and-events/open-letters-australian-public-service/open-letter-australia-public-service-employees-aps-bargaining" TargetMode="External"/><Relationship Id="rId95" Type="http://schemas.openxmlformats.org/officeDocument/2006/relationships/hyperlink" Target="https://research.csiro.au/spark/" TargetMode="External"/><Relationship Id="rId160" Type="http://schemas.openxmlformats.org/officeDocument/2006/relationships/hyperlink" Target="https://vpsc.vic.gov.au/about-public-sector/machinery-of-government/" TargetMode="External"/><Relationship Id="rId165" Type="http://schemas.openxmlformats.org/officeDocument/2006/relationships/hyperlink" Target="https://vpsc.vic.gov.au/about-public-sector/the-victorian-public-sector/" TargetMode="External"/><Relationship Id="rId22" Type="http://schemas.openxmlformats.org/officeDocument/2006/relationships/footer" Target="footer3.xml"/><Relationship Id="rId27" Type="http://schemas.openxmlformats.org/officeDocument/2006/relationships/header" Target="header5.xml"/><Relationship Id="rId43" Type="http://schemas.openxmlformats.org/officeDocument/2006/relationships/image" Target="media/image12.png"/><Relationship Id="rId48" Type="http://schemas.openxmlformats.org/officeDocument/2006/relationships/image" Target="media/image17.png"/><Relationship Id="rId64" Type="http://schemas.openxmlformats.org/officeDocument/2006/relationships/image" Target="media/image33.svg"/><Relationship Id="rId69" Type="http://schemas.openxmlformats.org/officeDocument/2006/relationships/image" Target="media/image38.png"/><Relationship Id="rId113" Type="http://schemas.openxmlformats.org/officeDocument/2006/relationships/hyperlink" Target="https://www.health.vic.gov.au/sites/default/files/2024-06/dh-senior-org-chart-june-2024.pdf" TargetMode="External"/><Relationship Id="rId118" Type="http://schemas.openxmlformats.org/officeDocument/2006/relationships/hyperlink" Target="https://www.vic.gov.au/dpc-ministers" TargetMode="External"/><Relationship Id="rId134" Type="http://schemas.openxmlformats.org/officeDocument/2006/relationships/hyperlink" Target="https://ovic.vic.gov.au/privacy/resources-for-organisations/artificial-intelligence-and-privacy-issues-and-challenges/" TargetMode="External"/><Relationship Id="rId139" Type="http://schemas.openxmlformats.org/officeDocument/2006/relationships/hyperlink" Target="https://www.forgov.qld.gov.au/__data/assets/pdf_file/0029/374726/Senior-executive-service-officer-Contract-of-Employment.pdf" TargetMode="External"/><Relationship Id="rId80" Type="http://schemas.openxmlformats.org/officeDocument/2006/relationships/chart" Target="charts/chart9.xml"/><Relationship Id="rId85" Type="http://schemas.openxmlformats.org/officeDocument/2006/relationships/image" Target="media/image43.png"/><Relationship Id="rId150" Type="http://schemas.openxmlformats.org/officeDocument/2006/relationships/hyperlink" Target="https://www.vgso.vic.gov.au/about-victorian-government-solicitors-office" TargetMode="External"/><Relationship Id="rId155" Type="http://schemas.openxmlformats.org/officeDocument/2006/relationships/hyperlink" Target="https://vpsc.vic.gov.au/ethics-behaviours-culture/inform-and-advise-ministers/secretaries-what-to-consider-when-advising-ministers/" TargetMode="External"/><Relationship Id="rId12" Type="http://schemas.openxmlformats.org/officeDocument/2006/relationships/image" Target="media/image1.png"/><Relationship Id="rId17" Type="http://schemas.openxmlformats.org/officeDocument/2006/relationships/header" Target="header1.xml"/><Relationship Id="rId33" Type="http://schemas.openxmlformats.org/officeDocument/2006/relationships/header" Target="header8.xml"/><Relationship Id="rId38" Type="http://schemas.openxmlformats.org/officeDocument/2006/relationships/image" Target="media/image8.png"/><Relationship Id="rId59" Type="http://schemas.openxmlformats.org/officeDocument/2006/relationships/image" Target="media/image28.png"/><Relationship Id="rId103" Type="http://schemas.openxmlformats.org/officeDocument/2006/relationships/hyperlink" Target="https://www.vic.gov.au/our-equal-state-victorias-gender-equality-strategy-and-action-plan-2023-2027/introduction-our-equal-state" TargetMode="External"/><Relationship Id="rId108" Type="http://schemas.openxmlformats.org/officeDocument/2006/relationships/hyperlink" Target="https://www.vic.gov.au/dgs-ministers" TargetMode="External"/><Relationship Id="rId124" Type="http://schemas.openxmlformats.org/officeDocument/2006/relationships/hyperlink" Target="https://content.vic.gov.au/sites/default/files/2024-06/DTP-Divisional-Org-Chart-%28for-external-use%29-June-2024.pdf" TargetMode="External"/><Relationship Id="rId129" Type="http://schemas.openxmlformats.org/officeDocument/2006/relationships/hyperlink" Target="https://www.lgi.vic.gov.au/chief-municipal-inspector-local-government-inspectorate" TargetMode="External"/><Relationship Id="rId54" Type="http://schemas.openxmlformats.org/officeDocument/2006/relationships/image" Target="media/image23.png"/><Relationship Id="rId70" Type="http://schemas.openxmlformats.org/officeDocument/2006/relationships/footer" Target="footer10.xml"/><Relationship Id="rId75" Type="http://schemas.openxmlformats.org/officeDocument/2006/relationships/chart" Target="charts/chart4.xml"/><Relationship Id="rId91" Type="http://schemas.openxmlformats.org/officeDocument/2006/relationships/hyperlink" Target="https://www.apsc.gov.au/working-aps/aps-employees-and-managers/senior-executive-service-ses/ses-performance" TargetMode="External"/><Relationship Id="rId96" Type="http://schemas.openxmlformats.org/officeDocument/2006/relationships/hyperlink" Target="https://www.deloitte.com/global/en/our-thinking/insights/industry/government-public-services/hybrid-work-challenges.html" TargetMode="External"/><Relationship Id="rId140" Type="http://schemas.openxmlformats.org/officeDocument/2006/relationships/hyperlink" Target="https://www.forgov.qld.gov.au/employment-policy-career-and-wellbeing/pay-benefits-and-leave/chief-executive-pay-and-benefits" TargetMode="External"/><Relationship Id="rId145" Type="http://schemas.openxmlformats.org/officeDocument/2006/relationships/hyperlink" Target="https://www.forgov.qld.gov.au/recruitment-performance-and-career/recruitment/start-a-recruitment-process/establish-or-review-a-roles-classification-level-jems" TargetMode="External"/><Relationship Id="rId161" Type="http://schemas.openxmlformats.org/officeDocument/2006/relationships/hyperlink" Target="https://vpsc.vic.gov.au/data-and-research/data-facts-visuals-state-of-the-sector/executive-numbers-gender-and-remuneration/number-of-executives/" TargetMode="External"/><Relationship Id="rId166" Type="http://schemas.openxmlformats.org/officeDocument/2006/relationships/hyperlink" Target="https://vpsc.vic.gov.au/executive-employment/victorian-public-service-executive-employment/vps-executive-classification/vps-executive-classification-framework/"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5.png"/><Relationship Id="rId28" Type="http://schemas.openxmlformats.org/officeDocument/2006/relationships/footer" Target="footer4.xml"/><Relationship Id="rId36" Type="http://schemas.openxmlformats.org/officeDocument/2006/relationships/header" Target="header9.xml"/><Relationship Id="rId49" Type="http://schemas.openxmlformats.org/officeDocument/2006/relationships/image" Target="media/image18.png"/><Relationship Id="rId57" Type="http://schemas.openxmlformats.org/officeDocument/2006/relationships/image" Target="media/image26.png"/><Relationship Id="rId106" Type="http://schemas.openxmlformats.org/officeDocument/2006/relationships/hyperlink" Target="https://www.dffh.vic.gov.au/publications/our-ministers" TargetMode="External"/><Relationship Id="rId114" Type="http://schemas.openxmlformats.org/officeDocument/2006/relationships/hyperlink" Target="https://www.justice.vic.gov.au/people-and-organisational-structure" TargetMode="External"/><Relationship Id="rId119" Type="http://schemas.openxmlformats.org/officeDocument/2006/relationships/hyperlink" Target="https://www.dtf.vic.gov.au/financial-management-government/standing-directions-2018-under-financial-management-act-1994" TargetMode="External"/><Relationship Id="rId127" Type="http://schemas.openxmlformats.org/officeDocument/2006/relationships/hyperlink" Target="https://www.invest.vic.gov.au/how-we-can-help/about-us/invest-victoria" TargetMode="External"/><Relationship Id="rId10" Type="http://schemas.openxmlformats.org/officeDocument/2006/relationships/footnotes" Target="footnotes.xml"/><Relationship Id="rId31" Type="http://schemas.openxmlformats.org/officeDocument/2006/relationships/footer" Target="footer6.xm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chart" Target="charts/chart2.xml"/><Relationship Id="rId78" Type="http://schemas.openxmlformats.org/officeDocument/2006/relationships/chart" Target="charts/chart7.xml"/><Relationship Id="rId81" Type="http://schemas.openxmlformats.org/officeDocument/2006/relationships/image" Target="media/image39.png"/><Relationship Id="rId86" Type="http://schemas.openxmlformats.org/officeDocument/2006/relationships/image" Target="media/image44.png"/><Relationship Id="rId94" Type="http://schemas.openxmlformats.org/officeDocument/2006/relationships/hyperlink" Target="https://www.bis.org/publ/qtrpdf/r_qt2312f.pdf" TargetMode="External"/><Relationship Id="rId99" Type="http://schemas.openxmlformats.org/officeDocument/2006/relationships/hyperlink" Target="https://www.energy.vic.gov.au/renewable-energy/vicgrid/about-vicgrid" TargetMode="External"/><Relationship Id="rId101" Type="http://schemas.openxmlformats.org/officeDocument/2006/relationships/hyperlink" Target="https://www.deeca.vic.gov.au/our-department/our-ministers" TargetMode="External"/><Relationship Id="rId122" Type="http://schemas.openxmlformats.org/officeDocument/2006/relationships/hyperlink" Target="https://www.dtf.vic.gov.au/state-financial-data-sets/other-financial-aggregates" TargetMode="External"/><Relationship Id="rId130" Type="http://schemas.openxmlformats.org/officeDocument/2006/relationships/hyperlink" Target="https://www.psc.nsw.gov.au/sites/default/files/2020-12/NSW%20Public%20Service%20Senior%20Executive%20Work%20Level%20Standards%20-%20Jan%202014.pdf" TargetMode="External"/><Relationship Id="rId135" Type="http://schemas.openxmlformats.org/officeDocument/2006/relationships/hyperlink" Target="https://www.oecd-ilibrary.org/governance/public-employment-and-management-2023_5b378e11-en" TargetMode="External"/><Relationship Id="rId143" Type="http://schemas.openxmlformats.org/officeDocument/2006/relationships/hyperlink" Target="https://www.safercare.vic.gov.au/about-us" TargetMode="External"/><Relationship Id="rId148" Type="http://schemas.openxmlformats.org/officeDocument/2006/relationships/hyperlink" Target="https://www.premier.vic.gov.au/commonwealth-games-costs-too-high-over-6-billion" TargetMode="External"/><Relationship Id="rId151" Type="http://schemas.openxmlformats.org/officeDocument/2006/relationships/hyperlink" Target="https://bigbuild.vic.gov.au/about/vida" TargetMode="External"/><Relationship Id="rId156" Type="http://schemas.openxmlformats.org/officeDocument/2006/relationships/hyperlink" Target="https://vpsc.vic.gov.au/ethics-behaviours-culture/codes-of-conduct/guide-for-ministerial-officers-in-the-victorian-public-sector/victorian-public-sector/" TargetMode="External"/><Relationship Id="rId164" Type="http://schemas.openxmlformats.org/officeDocument/2006/relationships/hyperlink" Target="https://vpsc.vic.gov.au/about-vpsc/strategic-plan-2023-2026/" TargetMode="External"/><Relationship Id="rId16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eader" Target="header2.xml"/><Relationship Id="rId39" Type="http://schemas.openxmlformats.org/officeDocument/2006/relationships/image" Target="media/image9.png"/><Relationship Id="rId109" Type="http://schemas.openxmlformats.org/officeDocument/2006/relationships/hyperlink" Target="https://www.vic.gov.au/dgs-people-and-structure" TargetMode="External"/><Relationship Id="rId34" Type="http://schemas.openxmlformats.org/officeDocument/2006/relationships/footer" Target="footer7.xml"/><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chart" Target="charts/chart5.xml"/><Relationship Id="rId97" Type="http://schemas.openxmlformats.org/officeDocument/2006/relationships/hyperlink" Target="https://www.vic.gov.au/organisation-chart-department-education" TargetMode="External"/><Relationship Id="rId104" Type="http://schemas.openxmlformats.org/officeDocument/2006/relationships/hyperlink" Target="https://www.dffh.vic.gov.au/" TargetMode="External"/><Relationship Id="rId120" Type="http://schemas.openxmlformats.org/officeDocument/2006/relationships/hyperlink" Target="https://www.dtf.vic.gov.au/our-people/ministers" TargetMode="External"/><Relationship Id="rId125" Type="http://schemas.openxmlformats.org/officeDocument/2006/relationships/hyperlink" Target="https://www.governor.vic.gov.au/victorias-governor/office-governor" TargetMode="External"/><Relationship Id="rId141" Type="http://schemas.openxmlformats.org/officeDocument/2006/relationships/hyperlink" Target="https://www.forgov.qld.gov.au/pay-benefits-and-policy/directives-policies-circulars-and-guidelines/senior-executive-service-employment-conditions-directive-0923" TargetMode="External"/><Relationship Id="rId146" Type="http://schemas.openxmlformats.org/officeDocument/2006/relationships/hyperlink" Target="https://www.premier.vic.gov.au/new-wages-policy-strikes-responsible-balance-victoria" TargetMode="External"/><Relationship Id="rId167" Type="http://schemas.openxmlformats.org/officeDocument/2006/relationships/hyperlink" Target="https://www.vic.gov.au/2023-integrity-statement-victorian-secretaries-board" TargetMode="External"/><Relationship Id="rId7" Type="http://schemas.openxmlformats.org/officeDocument/2006/relationships/styles" Target="styles.xml"/><Relationship Id="rId71" Type="http://schemas.openxmlformats.org/officeDocument/2006/relationships/footer" Target="footer11.xml"/><Relationship Id="rId92" Type="http://schemas.openxmlformats.org/officeDocument/2006/relationships/hyperlink" Target="https://www.apsc.gov.au/sites/default/files/2023-08/SES%20performance%20leadership%20framework.pdf" TargetMode="External"/><Relationship Id="rId162" Type="http://schemas.openxmlformats.org/officeDocument/2006/relationships/hyperlink" Target="https://vpsc.vic.gov.au/about-vpsc/our-role-and-structure/" TargetMode="External"/><Relationship Id="rId2" Type="http://schemas.openxmlformats.org/officeDocument/2006/relationships/customXml" Target="../customXml/item2.xml"/><Relationship Id="rId29" Type="http://schemas.openxmlformats.org/officeDocument/2006/relationships/footer" Target="footer5.xml"/><Relationship Id="rId24" Type="http://schemas.openxmlformats.org/officeDocument/2006/relationships/image" Target="media/image6.png"/><Relationship Id="rId40" Type="http://schemas.openxmlformats.org/officeDocument/2006/relationships/image" Target="media/image10.png"/><Relationship Id="rId45" Type="http://schemas.openxmlformats.org/officeDocument/2006/relationships/image" Target="media/image14.png"/><Relationship Id="rId66" Type="http://schemas.openxmlformats.org/officeDocument/2006/relationships/image" Target="media/image35.svg"/><Relationship Id="rId87" Type="http://schemas.openxmlformats.org/officeDocument/2006/relationships/image" Target="media/image45.png"/><Relationship Id="rId110" Type="http://schemas.openxmlformats.org/officeDocument/2006/relationships/hyperlink" Target="https://www.vic.gov.au/dgs-portfolios-entities-and-agencies" TargetMode="External"/><Relationship Id="rId115" Type="http://schemas.openxmlformats.org/officeDocument/2006/relationships/hyperlink" Target="https://djsir.vic.gov.au/about-us/overview/our-ministers-and-parliamentary-secretaries" TargetMode="External"/><Relationship Id="rId131" Type="http://schemas.openxmlformats.org/officeDocument/2006/relationships/hyperlink" Target="https://www.psc.nsw.gov.au/assets/psc/documents/2023-2024_NSW_Public_Service_Senior_Executive_Remuneration_Framework.pdf" TargetMode="External"/><Relationship Id="rId136" Type="http://schemas.openxmlformats.org/officeDocument/2006/relationships/hyperlink" Target="https://www.pc.gov.au/research/completed/making-the-most-of-the-ai-opportunity" TargetMode="External"/><Relationship Id="rId157" Type="http://schemas.openxmlformats.org/officeDocument/2006/relationships/hyperlink" Target="https://vpsc.vic.gov.au/executive-employment/victorian-public-service-executive-employment/victorian-public-service-executive-employment-handbook/" TargetMode="External"/><Relationship Id="rId61" Type="http://schemas.openxmlformats.org/officeDocument/2006/relationships/image" Target="media/image30.png"/><Relationship Id="rId82" Type="http://schemas.openxmlformats.org/officeDocument/2006/relationships/image" Target="media/image40.png"/><Relationship Id="rId152" Type="http://schemas.openxmlformats.org/officeDocument/2006/relationships/hyperlink" Target="https://vpsc.vic.gov.au/wp-content/uploads/2020/08/VPS-Standard-Executive-Employment-Contract-July-2021-update.docx" TargetMode="External"/><Relationship Id="rId19" Type="http://schemas.openxmlformats.org/officeDocument/2006/relationships/footer" Target="footer1.xml"/><Relationship Id="rId14" Type="http://schemas.openxmlformats.org/officeDocument/2006/relationships/image" Target="media/image3.png"/><Relationship Id="rId30" Type="http://schemas.openxmlformats.org/officeDocument/2006/relationships/header" Target="header6.xml"/><Relationship Id="rId35" Type="http://schemas.openxmlformats.org/officeDocument/2006/relationships/footer" Target="footer8.xml"/><Relationship Id="rId56" Type="http://schemas.openxmlformats.org/officeDocument/2006/relationships/image" Target="media/image25.png"/><Relationship Id="rId77" Type="http://schemas.openxmlformats.org/officeDocument/2006/relationships/chart" Target="charts/chart6.xml"/><Relationship Id="rId100" Type="http://schemas.openxmlformats.org/officeDocument/2006/relationships/hyperlink" Target="https://www.deeca.vic.gov.au/__data/assets/pdf_file/0013/613111/DEECAOrgChart.pdf" TargetMode="External"/><Relationship Id="rId105" Type="http://schemas.openxmlformats.org/officeDocument/2006/relationships/hyperlink" Target="https://www.dffh.vic.gov.au/our-structure" TargetMode="External"/><Relationship Id="rId126" Type="http://schemas.openxmlformats.org/officeDocument/2006/relationships/hyperlink" Target="https://iabac.org/blog/ai-and-privacy-balancing-innovation-with-data-protection" TargetMode="External"/><Relationship Id="rId147" Type="http://schemas.openxmlformats.org/officeDocument/2006/relationships/hyperlink" Target="https://www.vic.gov.au/cyber-security-victorian-government" TargetMode="External"/><Relationship Id="rId168" Type="http://schemas.openxmlformats.org/officeDocument/2006/relationships/hyperlink" Target="https://www.vic.gov.au/about-victorian-skills-authority" TargetMode="External"/><Relationship Id="rId8" Type="http://schemas.openxmlformats.org/officeDocument/2006/relationships/settings" Target="settings.xml"/><Relationship Id="rId51" Type="http://schemas.openxmlformats.org/officeDocument/2006/relationships/image" Target="media/image20.png"/><Relationship Id="rId72" Type="http://schemas.openxmlformats.org/officeDocument/2006/relationships/footer" Target="footer12.xml"/><Relationship Id="rId93" Type="http://schemas.openxmlformats.org/officeDocument/2006/relationships/hyperlink" Target="https://www.cyber.gov.au/resources-business-and-government/governance-and-user-education/artificial-intelligence/an-introduction-to-artificial-intelligence" TargetMode="External"/><Relationship Id="rId98" Type="http://schemas.openxmlformats.org/officeDocument/2006/relationships/hyperlink" Target="https://www.climatechange.vic.gov.au/victorian-government-action-on-climate-change" TargetMode="External"/><Relationship Id="rId121" Type="http://schemas.openxmlformats.org/officeDocument/2006/relationships/hyperlink" Target="https://www.dtf.vic.gov.au/sites/default/files/document/DTF%20Org%20chart%20-%20DTF%20web.pdf" TargetMode="External"/><Relationship Id="rId142" Type="http://schemas.openxmlformats.org/officeDocument/2006/relationships/hyperlink" Target="https://www.remtribunal.gov.au/sites/default/files/2024-06/2024%20Remuneration%20Review%20Statement.pdf" TargetMode="External"/><Relationship Id="rId163" Type="http://schemas.openxmlformats.org/officeDocument/2006/relationships/hyperlink" Target="https://vpsc.vic.gov.au/about-public-sector/register-of-instruments/orders/section-11-administrative-offices/" TargetMode="External"/><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image" Target="media/image15.png"/><Relationship Id="rId67" Type="http://schemas.openxmlformats.org/officeDocument/2006/relationships/image" Target="media/image36.png"/><Relationship Id="rId116" Type="http://schemas.openxmlformats.org/officeDocument/2006/relationships/hyperlink" Target="https://djsir.vic.gov.au/__data/assets/pdf_file/0007/2266531/DJSIR-Organisational-Structure-effective-15-April.pdf" TargetMode="External"/><Relationship Id="rId137" Type="http://schemas.openxmlformats.org/officeDocument/2006/relationships/hyperlink" Target="https://www.pc.gov.au/media-speeches/articles/ai-regulation" TargetMode="External"/><Relationship Id="rId158" Type="http://schemas.openxmlformats.org/officeDocument/2006/relationships/hyperlink" Target="https://vpsc.vic.gov.au/workforce-data-state-of-the-public-sector/data-sets-and-results/past-releases/2021-workforce-data-facts-and-visuals/executive-numbers-gender-and-remuneration/" TargetMode="External"/><Relationship Id="rId20" Type="http://schemas.openxmlformats.org/officeDocument/2006/relationships/footer" Target="footer2.xml"/><Relationship Id="rId41" Type="http://schemas.openxmlformats.org/officeDocument/2006/relationships/chart" Target="charts/chart1.xml"/><Relationship Id="rId62" Type="http://schemas.openxmlformats.org/officeDocument/2006/relationships/image" Target="media/image31.png"/><Relationship Id="rId83" Type="http://schemas.openxmlformats.org/officeDocument/2006/relationships/image" Target="media/image41.png"/><Relationship Id="rId88" Type="http://schemas.openxmlformats.org/officeDocument/2006/relationships/image" Target="media/image46.png"/><Relationship Id="rId111" Type="http://schemas.openxmlformats.org/officeDocument/2006/relationships/hyperlink" Target="https://www.health.vic.gov.au/mental-health-reform/about-the-final-report-of-the-royal-commission-into-victorias-mental-health" TargetMode="External"/><Relationship Id="rId132" Type="http://schemas.openxmlformats.org/officeDocument/2006/relationships/hyperlink" Target="https://www.vic.gov.au/office-chief-parliamentary-counsel" TargetMode="External"/><Relationship Id="rId153" Type="http://schemas.openxmlformats.org/officeDocument/2006/relationships/hyperlink" Target="https://vpsc.vic.gov.au/workforce-capability-leadership-and-management/flexible-work/flexible-work-policy"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Sheet1!$B$1</c:f>
              <c:strCache>
                <c:ptCount val="1"/>
                <c:pt idx="0">
                  <c:v>Bottom of band</c:v>
                </c:pt>
              </c:strCache>
            </c:strRef>
          </c:tx>
          <c:spPr>
            <a:noFill/>
            <a:ln>
              <a:noFill/>
            </a:ln>
            <a:effectLst/>
          </c:spPr>
          <c:invertIfNegative val="0"/>
          <c:dLbls>
            <c:delete val="1"/>
          </c:dLbls>
          <c:cat>
            <c:numRef>
              <c:f>Sheet1!$A$2:$A$3</c:f>
              <c:numCache>
                <c:formatCode>General</c:formatCode>
                <c:ptCount val="1"/>
              </c:numCache>
            </c:numRef>
          </c:cat>
          <c:val>
            <c:numRef>
              <c:f>Sheet1!$B$2:$B$3</c:f>
              <c:numCache>
                <c:formatCode>"$"#,##0_);[Red]\("$"#,##0\)</c:formatCode>
                <c:ptCount val="1"/>
                <c:pt idx="0">
                  <c:v>216376</c:v>
                </c:pt>
              </c:numCache>
            </c:numRef>
          </c:val>
          <c:extLst>
            <c:ext xmlns:c16="http://schemas.microsoft.com/office/drawing/2014/chart" uri="{C3380CC4-5D6E-409C-BE32-E72D297353CC}">
              <c16:uniqueId val="{00000000-986F-468C-8241-B1EB46073F39}"/>
            </c:ext>
          </c:extLst>
        </c:ser>
        <c:ser>
          <c:idx val="1"/>
          <c:order val="1"/>
          <c:tx>
            <c:strRef>
              <c:f>Sheet1!$C$1</c:f>
              <c:strCache>
                <c:ptCount val="1"/>
                <c:pt idx="0">
                  <c:v>Width of band</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2-986F-468C-8241-B1EB46073F39}"/>
              </c:ext>
            </c:extLst>
          </c:dPt>
          <c:dLbls>
            <c:delete val="1"/>
          </c:dLbls>
          <c:cat>
            <c:numRef>
              <c:f>Sheet1!$A$2:$A$3</c:f>
              <c:numCache>
                <c:formatCode>General</c:formatCode>
                <c:ptCount val="1"/>
              </c:numCache>
            </c:numRef>
          </c:cat>
          <c:val>
            <c:numRef>
              <c:f>Sheet1!$C$2:$C$3</c:f>
              <c:numCache>
                <c:formatCode>"$"#,##0_);[Red]\("$"#,##0\)</c:formatCode>
                <c:ptCount val="1"/>
                <c:pt idx="0">
                  <c:v>62862</c:v>
                </c:pt>
              </c:numCache>
            </c:numRef>
          </c:val>
          <c:extLst>
            <c:ext xmlns:c16="http://schemas.microsoft.com/office/drawing/2014/chart" uri="{C3380CC4-5D6E-409C-BE32-E72D297353CC}">
              <c16:uniqueId val="{00000003-986F-468C-8241-B1EB46073F39}"/>
            </c:ext>
          </c:extLst>
        </c:ser>
        <c:ser>
          <c:idx val="2"/>
          <c:order val="2"/>
          <c:tx>
            <c:strRef>
              <c:f>Sheet1!$D$1</c:f>
              <c:strCache>
                <c:ptCount val="1"/>
                <c:pt idx="0">
                  <c:v>Top of band</c:v>
                </c:pt>
              </c:strCache>
            </c:strRef>
          </c:tx>
          <c:spPr>
            <a:solidFill>
              <a:schemeClr val="accent2"/>
            </a:solidFill>
            <a:ln>
              <a:noFill/>
            </a:ln>
            <a:effectLst/>
          </c:spPr>
          <c:invertIfNegative val="0"/>
          <c:dLbls>
            <c:delete val="1"/>
          </c:dLbls>
          <c:cat>
            <c:numRef>
              <c:f>Sheet1!$A$2:$A$3</c:f>
              <c:numCache>
                <c:formatCode>General</c:formatCode>
                <c:ptCount val="1"/>
              </c:numCache>
            </c:numRef>
          </c:cat>
          <c:val>
            <c:numRef>
              <c:f>Sheet1!$D$2:$D$3</c:f>
              <c:numCache>
                <c:formatCode>"$"#,##0_);[Red]\("$"#,##0\)</c:formatCode>
                <c:ptCount val="1"/>
                <c:pt idx="0">
                  <c:v>121779</c:v>
                </c:pt>
              </c:numCache>
            </c:numRef>
          </c:val>
          <c:extLst>
            <c:ext xmlns:c16="http://schemas.microsoft.com/office/drawing/2014/chart" uri="{C3380CC4-5D6E-409C-BE32-E72D297353CC}">
              <c16:uniqueId val="{00000004-986F-468C-8241-B1EB46073F39}"/>
            </c:ext>
          </c:extLst>
        </c:ser>
        <c:ser>
          <c:idx val="3"/>
          <c:order val="3"/>
          <c:tx>
            <c:strRef>
              <c:f>Sheet1!$E$1</c:f>
              <c:strCache>
                <c:ptCount val="1"/>
                <c:pt idx="0">
                  <c:v>Column1</c:v>
                </c:pt>
              </c:strCache>
            </c:strRef>
          </c:tx>
          <c:spPr>
            <a:solidFill>
              <a:schemeClr val="accent3"/>
            </a:solidFill>
            <a:ln>
              <a:noFill/>
            </a:ln>
            <a:effectLst/>
          </c:spPr>
          <c:invertIfNegative val="0"/>
          <c:dLbls>
            <c:delete val="1"/>
          </c:dLbls>
          <c:cat>
            <c:numRef>
              <c:f>Sheet1!$A$2:$A$3</c:f>
              <c:numCache>
                <c:formatCode>General</c:formatCode>
                <c:ptCount val="1"/>
              </c:numCache>
            </c:numRef>
          </c:cat>
          <c:val>
            <c:numRef>
              <c:f>Sheet1!$E$2:$E$3</c:f>
              <c:numCache>
                <c:formatCode>"$"#,##0_);[Red]\("$"#,##0\)</c:formatCode>
                <c:ptCount val="1"/>
                <c:pt idx="0">
                  <c:v>132414</c:v>
                </c:pt>
              </c:numCache>
            </c:numRef>
          </c:val>
          <c:extLst>
            <c:ext xmlns:c16="http://schemas.microsoft.com/office/drawing/2014/chart" uri="{C3380CC4-5D6E-409C-BE32-E72D297353CC}">
              <c16:uniqueId val="{00000005-986F-468C-8241-B1EB46073F39}"/>
            </c:ext>
          </c:extLst>
        </c:ser>
        <c:ser>
          <c:idx val="4"/>
          <c:order val="4"/>
          <c:tx>
            <c:strRef>
              <c:f>Sheet1!$F$1</c:f>
              <c:strCache>
                <c:ptCount val="1"/>
                <c:pt idx="0">
                  <c:v>Column2</c:v>
                </c:pt>
              </c:strCache>
            </c:strRef>
          </c:tx>
          <c:spPr>
            <a:noFill/>
            <a:ln>
              <a:noFill/>
            </a:ln>
            <a:effectLst/>
          </c:spPr>
          <c:invertIfNegative val="0"/>
          <c:dLbls>
            <c:delete val="1"/>
          </c:dLbls>
          <c:cat>
            <c:numRef>
              <c:f>Sheet1!$A$2:$A$3</c:f>
              <c:numCache>
                <c:formatCode>General</c:formatCode>
                <c:ptCount val="1"/>
              </c:numCache>
            </c:numRef>
          </c:cat>
          <c:val>
            <c:numRef>
              <c:f>Sheet1!$F$2:$F$3</c:f>
              <c:numCache>
                <c:formatCode>"$"#,##0</c:formatCode>
                <c:ptCount val="1"/>
                <c:pt idx="0">
                  <c:v>44285</c:v>
                </c:pt>
              </c:numCache>
            </c:numRef>
          </c:val>
          <c:extLst>
            <c:ext xmlns:c16="http://schemas.microsoft.com/office/drawing/2014/chart" uri="{C3380CC4-5D6E-409C-BE32-E72D297353CC}">
              <c16:uniqueId val="{00000006-986F-468C-8241-B1EB46073F39}"/>
            </c:ext>
          </c:extLst>
        </c:ser>
        <c:ser>
          <c:idx val="5"/>
          <c:order val="5"/>
          <c:tx>
            <c:strRef>
              <c:f>Sheet1!$G$1</c:f>
              <c:strCache>
                <c:ptCount val="1"/>
                <c:pt idx="0">
                  <c:v>Column3</c:v>
                </c:pt>
              </c:strCache>
            </c:strRef>
          </c:tx>
          <c:spPr>
            <a:solidFill>
              <a:schemeClr val="accent5"/>
            </a:solidFill>
            <a:ln>
              <a:noFill/>
            </a:ln>
            <a:effectLst/>
          </c:spPr>
          <c:invertIfNegative val="0"/>
          <c:dLbls>
            <c:delete val="1"/>
          </c:dLbls>
          <c:cat>
            <c:numRef>
              <c:f>Sheet1!$A$2:$A$3</c:f>
              <c:numCache>
                <c:formatCode>General</c:formatCode>
                <c:ptCount val="1"/>
              </c:numCache>
            </c:numRef>
          </c:cat>
          <c:val>
            <c:numRef>
              <c:f>Sheet1!$G$2:$G$3</c:f>
              <c:numCache>
                <c:formatCode>"$"#,##0</c:formatCode>
                <c:ptCount val="1"/>
                <c:pt idx="0">
                  <c:v>200776</c:v>
                </c:pt>
              </c:numCache>
            </c:numRef>
          </c:val>
          <c:extLst>
            <c:ext xmlns:c16="http://schemas.microsoft.com/office/drawing/2014/chart" uri="{C3380CC4-5D6E-409C-BE32-E72D297353CC}">
              <c16:uniqueId val="{00000007-986F-468C-8241-B1EB46073F39}"/>
            </c:ext>
          </c:extLst>
        </c:ser>
        <c:dLbls>
          <c:dLblPos val="ctr"/>
          <c:showLegendKey val="0"/>
          <c:showVal val="1"/>
          <c:showCatName val="0"/>
          <c:showSerName val="0"/>
          <c:showPercent val="0"/>
          <c:showBubbleSize val="0"/>
        </c:dLbls>
        <c:gapWidth val="150"/>
        <c:overlap val="100"/>
        <c:axId val="615486968"/>
        <c:axId val="615487328"/>
      </c:barChart>
      <c:catAx>
        <c:axId val="615486968"/>
        <c:scaling>
          <c:orientation val="minMax"/>
        </c:scaling>
        <c:delete val="1"/>
        <c:axPos val="l"/>
        <c:numFmt formatCode="General" sourceLinked="1"/>
        <c:majorTickMark val="none"/>
        <c:minorTickMark val="none"/>
        <c:tickLblPos val="nextTo"/>
        <c:crossAx val="615487328"/>
        <c:crossesAt val="200000"/>
        <c:auto val="1"/>
        <c:lblAlgn val="ctr"/>
        <c:lblOffset val="100"/>
        <c:noMultiLvlLbl val="0"/>
      </c:catAx>
      <c:valAx>
        <c:axId val="615487328"/>
        <c:scaling>
          <c:orientation val="minMax"/>
          <c:max val="800000"/>
          <c:min val="200000"/>
        </c:scaling>
        <c:delete val="0"/>
        <c:axPos val="b"/>
        <c:numFmt formatCode="&quot;$&quot;#,##0_);[Red]\(&quot;$&quot;#,##0\)" sourceLinked="1"/>
        <c:majorTickMark val="in"/>
        <c:minorTickMark val="none"/>
        <c:tickLblPos val="nextTo"/>
        <c:spPr>
          <a:noFill/>
          <a:ln>
            <a:solidFill>
              <a:srgbClr val="4D4D4D">
                <a:lumMod val="20000"/>
                <a:lumOff val="80000"/>
              </a:srgb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15486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148A5D"/>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Reduced</c:v>
                </c:pt>
              </c:strCache>
            </c:strRef>
          </c:tx>
          <c:spPr>
            <a:solidFill>
              <a:schemeClr val="accent1"/>
            </a:solidFill>
            <a:ln>
              <a:noFill/>
            </a:ln>
            <a:effectLst/>
          </c:spPr>
          <c:invertIfNegative val="0"/>
          <c:cat>
            <c:strRef>
              <c:f>Sheet1!$A$2</c:f>
              <c:strCache>
                <c:ptCount val="1"/>
                <c:pt idx="0">
                  <c:v>Knowledge</c:v>
                </c:pt>
              </c:strCache>
            </c:strRef>
          </c:cat>
          <c:val>
            <c:numRef>
              <c:f>Sheet1!$B$2</c:f>
              <c:numCache>
                <c:formatCode>0%</c:formatCode>
                <c:ptCount val="1"/>
                <c:pt idx="0">
                  <c:v>3.2899999999999999E-2</c:v>
                </c:pt>
              </c:numCache>
            </c:numRef>
          </c:val>
          <c:extLst>
            <c:ext xmlns:c16="http://schemas.microsoft.com/office/drawing/2014/chart" uri="{C3380CC4-5D6E-409C-BE32-E72D297353CC}">
              <c16:uniqueId val="{00000000-1540-427D-80B2-29B5E289ED31}"/>
            </c:ext>
          </c:extLst>
        </c:ser>
        <c:ser>
          <c:idx val="1"/>
          <c:order val="1"/>
          <c:tx>
            <c:strRef>
              <c:f>Sheet1!$C$1</c:f>
              <c:strCache>
                <c:ptCount val="1"/>
                <c:pt idx="0">
                  <c:v>Unchanged</c:v>
                </c:pt>
              </c:strCache>
            </c:strRef>
          </c:tx>
          <c:spPr>
            <a:solidFill>
              <a:schemeClr val="accent2"/>
            </a:solidFill>
            <a:ln>
              <a:noFill/>
            </a:ln>
            <a:effectLst/>
          </c:spPr>
          <c:invertIfNegative val="0"/>
          <c:cat>
            <c:strRef>
              <c:f>Sheet1!$A$2</c:f>
              <c:strCache>
                <c:ptCount val="1"/>
                <c:pt idx="0">
                  <c:v>Knowledge</c:v>
                </c:pt>
              </c:strCache>
            </c:strRef>
          </c:cat>
          <c:val>
            <c:numRef>
              <c:f>Sheet1!$C$2</c:f>
              <c:numCache>
                <c:formatCode>0%</c:formatCode>
                <c:ptCount val="1"/>
                <c:pt idx="0">
                  <c:v>0.31140000000000001</c:v>
                </c:pt>
              </c:numCache>
            </c:numRef>
          </c:val>
          <c:extLst>
            <c:ext xmlns:c16="http://schemas.microsoft.com/office/drawing/2014/chart" uri="{C3380CC4-5D6E-409C-BE32-E72D297353CC}">
              <c16:uniqueId val="{00000001-1540-427D-80B2-29B5E289ED31}"/>
            </c:ext>
          </c:extLst>
        </c:ser>
        <c:ser>
          <c:idx val="2"/>
          <c:order val="2"/>
          <c:tx>
            <c:strRef>
              <c:f>Sheet1!$D$1</c:f>
              <c:strCache>
                <c:ptCount val="1"/>
                <c:pt idx="0">
                  <c:v>Grown</c:v>
                </c:pt>
              </c:strCache>
            </c:strRef>
          </c:tx>
          <c:spPr>
            <a:solidFill>
              <a:schemeClr val="accent3"/>
            </a:solidFill>
            <a:ln>
              <a:noFill/>
            </a:ln>
            <a:effectLst/>
          </c:spPr>
          <c:invertIfNegative val="0"/>
          <c:cat>
            <c:strRef>
              <c:f>Sheet1!$A$2</c:f>
              <c:strCache>
                <c:ptCount val="1"/>
                <c:pt idx="0">
                  <c:v>Knowledge</c:v>
                </c:pt>
              </c:strCache>
            </c:strRef>
          </c:cat>
          <c:val>
            <c:numRef>
              <c:f>Sheet1!$D$2</c:f>
              <c:numCache>
                <c:formatCode>0%</c:formatCode>
                <c:ptCount val="1"/>
                <c:pt idx="0">
                  <c:v>0.65569999999999995</c:v>
                </c:pt>
              </c:numCache>
            </c:numRef>
          </c:val>
          <c:extLst>
            <c:ext xmlns:c16="http://schemas.microsoft.com/office/drawing/2014/chart" uri="{C3380CC4-5D6E-409C-BE32-E72D297353CC}">
              <c16:uniqueId val="{00000002-1540-427D-80B2-29B5E289ED31}"/>
            </c:ext>
          </c:extLst>
        </c:ser>
        <c:dLbls>
          <c:showLegendKey val="0"/>
          <c:showVal val="0"/>
          <c:showCatName val="0"/>
          <c:showSerName val="0"/>
          <c:showPercent val="0"/>
          <c:showBubbleSize val="0"/>
        </c:dLbls>
        <c:gapWidth val="100"/>
        <c:axId val="1315594760"/>
        <c:axId val="1315590080"/>
      </c:barChart>
      <c:catAx>
        <c:axId val="1315594760"/>
        <c:scaling>
          <c:orientation val="minMax"/>
        </c:scaling>
        <c:delete val="1"/>
        <c:axPos val="l"/>
        <c:numFmt formatCode="General" sourceLinked="1"/>
        <c:majorTickMark val="none"/>
        <c:minorTickMark val="none"/>
        <c:tickLblPos val="nextTo"/>
        <c:crossAx val="1315590080"/>
        <c:crosses val="autoZero"/>
        <c:auto val="1"/>
        <c:lblAlgn val="ctr"/>
        <c:lblOffset val="100"/>
        <c:noMultiLvlLbl val="0"/>
      </c:catAx>
      <c:valAx>
        <c:axId val="1315590080"/>
        <c:scaling>
          <c:orientation val="minMax"/>
          <c:max val="1"/>
        </c:scaling>
        <c:delete val="0"/>
        <c:axPos val="b"/>
        <c:numFmt formatCode="0%" sourceLinked="1"/>
        <c:majorTickMark val="in"/>
        <c:minorTickMark val="none"/>
        <c:tickLblPos val="nextTo"/>
        <c:spPr>
          <a:noFill/>
          <a:ln>
            <a:solidFill>
              <a:srgbClr val="4D4D4D">
                <a:lumMod val="20000"/>
                <a:lumOff val="80000"/>
              </a:srgb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155947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Reduced</c:v>
                </c:pt>
              </c:strCache>
            </c:strRef>
          </c:tx>
          <c:spPr>
            <a:solidFill>
              <a:schemeClr val="accent1"/>
            </a:solidFill>
            <a:ln>
              <a:noFill/>
            </a:ln>
            <a:effectLst/>
          </c:spPr>
          <c:invertIfNegative val="0"/>
          <c:cat>
            <c:strRef>
              <c:f>Sheet1!$A$2</c:f>
              <c:strCache>
                <c:ptCount val="1"/>
                <c:pt idx="0">
                  <c:v>Relationships</c:v>
                </c:pt>
              </c:strCache>
            </c:strRef>
          </c:cat>
          <c:val>
            <c:numRef>
              <c:f>Sheet1!$B$2</c:f>
              <c:numCache>
                <c:formatCode>0%</c:formatCode>
                <c:ptCount val="1"/>
                <c:pt idx="0">
                  <c:v>4.3299999999999998E-2</c:v>
                </c:pt>
              </c:numCache>
            </c:numRef>
          </c:val>
          <c:extLst>
            <c:ext xmlns:c16="http://schemas.microsoft.com/office/drawing/2014/chart" uri="{C3380CC4-5D6E-409C-BE32-E72D297353CC}">
              <c16:uniqueId val="{00000000-A6E0-4E22-B84C-6B58853033BC}"/>
            </c:ext>
          </c:extLst>
        </c:ser>
        <c:ser>
          <c:idx val="1"/>
          <c:order val="1"/>
          <c:tx>
            <c:strRef>
              <c:f>Sheet1!$C$1</c:f>
              <c:strCache>
                <c:ptCount val="1"/>
                <c:pt idx="0">
                  <c:v>Unchanged</c:v>
                </c:pt>
              </c:strCache>
            </c:strRef>
          </c:tx>
          <c:spPr>
            <a:solidFill>
              <a:schemeClr val="accent2"/>
            </a:solidFill>
            <a:ln>
              <a:noFill/>
            </a:ln>
            <a:effectLst/>
          </c:spPr>
          <c:invertIfNegative val="0"/>
          <c:cat>
            <c:strRef>
              <c:f>Sheet1!$A$2</c:f>
              <c:strCache>
                <c:ptCount val="1"/>
                <c:pt idx="0">
                  <c:v>Relationships</c:v>
                </c:pt>
              </c:strCache>
            </c:strRef>
          </c:cat>
          <c:val>
            <c:numRef>
              <c:f>Sheet1!$C$2</c:f>
              <c:numCache>
                <c:formatCode>0%</c:formatCode>
                <c:ptCount val="1"/>
                <c:pt idx="0">
                  <c:v>0.24909999999999999</c:v>
                </c:pt>
              </c:numCache>
            </c:numRef>
          </c:val>
          <c:extLst>
            <c:ext xmlns:c16="http://schemas.microsoft.com/office/drawing/2014/chart" uri="{C3380CC4-5D6E-409C-BE32-E72D297353CC}">
              <c16:uniqueId val="{00000001-A6E0-4E22-B84C-6B58853033BC}"/>
            </c:ext>
          </c:extLst>
        </c:ser>
        <c:ser>
          <c:idx val="2"/>
          <c:order val="2"/>
          <c:tx>
            <c:strRef>
              <c:f>Sheet1!$D$1</c:f>
              <c:strCache>
                <c:ptCount val="1"/>
                <c:pt idx="0">
                  <c:v>Grown</c:v>
                </c:pt>
              </c:strCache>
            </c:strRef>
          </c:tx>
          <c:spPr>
            <a:solidFill>
              <a:schemeClr val="accent3"/>
            </a:solidFill>
            <a:ln>
              <a:noFill/>
            </a:ln>
            <a:effectLst/>
          </c:spPr>
          <c:invertIfNegative val="0"/>
          <c:cat>
            <c:strRef>
              <c:f>Sheet1!$A$2</c:f>
              <c:strCache>
                <c:ptCount val="1"/>
                <c:pt idx="0">
                  <c:v>Relationships</c:v>
                </c:pt>
              </c:strCache>
            </c:strRef>
          </c:cat>
          <c:val>
            <c:numRef>
              <c:f>Sheet1!$D$2</c:f>
              <c:numCache>
                <c:formatCode>0%</c:formatCode>
                <c:ptCount val="1"/>
                <c:pt idx="0">
                  <c:v>0.70760000000000001</c:v>
                </c:pt>
              </c:numCache>
            </c:numRef>
          </c:val>
          <c:extLst>
            <c:ext xmlns:c16="http://schemas.microsoft.com/office/drawing/2014/chart" uri="{C3380CC4-5D6E-409C-BE32-E72D297353CC}">
              <c16:uniqueId val="{00000002-A6E0-4E22-B84C-6B58853033BC}"/>
            </c:ext>
          </c:extLst>
        </c:ser>
        <c:dLbls>
          <c:showLegendKey val="0"/>
          <c:showVal val="0"/>
          <c:showCatName val="0"/>
          <c:showSerName val="0"/>
          <c:showPercent val="0"/>
          <c:showBubbleSize val="0"/>
        </c:dLbls>
        <c:gapWidth val="100"/>
        <c:axId val="1315594760"/>
        <c:axId val="1315590080"/>
      </c:barChart>
      <c:catAx>
        <c:axId val="1315594760"/>
        <c:scaling>
          <c:orientation val="minMax"/>
        </c:scaling>
        <c:delete val="1"/>
        <c:axPos val="l"/>
        <c:numFmt formatCode="General" sourceLinked="1"/>
        <c:majorTickMark val="none"/>
        <c:minorTickMark val="none"/>
        <c:tickLblPos val="nextTo"/>
        <c:crossAx val="1315590080"/>
        <c:crosses val="autoZero"/>
        <c:auto val="1"/>
        <c:lblAlgn val="ctr"/>
        <c:lblOffset val="100"/>
        <c:noMultiLvlLbl val="0"/>
      </c:catAx>
      <c:valAx>
        <c:axId val="1315590080"/>
        <c:scaling>
          <c:orientation val="minMax"/>
          <c:max val="1"/>
        </c:scaling>
        <c:delete val="0"/>
        <c:axPos val="b"/>
        <c:numFmt formatCode="0%" sourceLinked="1"/>
        <c:majorTickMark val="in"/>
        <c:minorTickMark val="none"/>
        <c:tickLblPos val="nextTo"/>
        <c:spPr>
          <a:noFill/>
          <a:ln>
            <a:solidFill>
              <a:srgbClr val="4D4D4D">
                <a:lumMod val="20000"/>
                <a:lumOff val="80000"/>
              </a:srgb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155947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Reduced</c:v>
                </c:pt>
              </c:strCache>
            </c:strRef>
          </c:tx>
          <c:spPr>
            <a:solidFill>
              <a:schemeClr val="accent1"/>
            </a:solidFill>
            <a:ln>
              <a:noFill/>
            </a:ln>
            <a:effectLst/>
          </c:spPr>
          <c:invertIfNegative val="0"/>
          <c:cat>
            <c:strRef>
              <c:f>Sheet1!$A$2</c:f>
              <c:strCache>
                <c:ptCount val="1"/>
                <c:pt idx="0">
                  <c:v>Judgement and risk</c:v>
                </c:pt>
              </c:strCache>
            </c:strRef>
          </c:cat>
          <c:val>
            <c:numRef>
              <c:f>Sheet1!$B$2</c:f>
              <c:numCache>
                <c:formatCode>0%</c:formatCode>
                <c:ptCount val="1"/>
                <c:pt idx="0">
                  <c:v>3.4599999999999999E-2</c:v>
                </c:pt>
              </c:numCache>
            </c:numRef>
          </c:val>
          <c:extLst>
            <c:ext xmlns:c16="http://schemas.microsoft.com/office/drawing/2014/chart" uri="{C3380CC4-5D6E-409C-BE32-E72D297353CC}">
              <c16:uniqueId val="{00000000-72CB-4D8B-AD9C-E0AA7569D121}"/>
            </c:ext>
          </c:extLst>
        </c:ser>
        <c:ser>
          <c:idx val="1"/>
          <c:order val="1"/>
          <c:tx>
            <c:strRef>
              <c:f>Sheet1!$C$1</c:f>
              <c:strCache>
                <c:ptCount val="1"/>
                <c:pt idx="0">
                  <c:v>Unchanged</c:v>
                </c:pt>
              </c:strCache>
            </c:strRef>
          </c:tx>
          <c:spPr>
            <a:solidFill>
              <a:schemeClr val="accent2"/>
            </a:solidFill>
            <a:ln>
              <a:noFill/>
            </a:ln>
            <a:effectLst/>
          </c:spPr>
          <c:invertIfNegative val="0"/>
          <c:cat>
            <c:strRef>
              <c:f>Sheet1!$A$2</c:f>
              <c:strCache>
                <c:ptCount val="1"/>
                <c:pt idx="0">
                  <c:v>Judgement and risk</c:v>
                </c:pt>
              </c:strCache>
            </c:strRef>
          </c:cat>
          <c:val>
            <c:numRef>
              <c:f>Sheet1!$C$2</c:f>
              <c:numCache>
                <c:formatCode>0%</c:formatCode>
                <c:ptCount val="1"/>
                <c:pt idx="0">
                  <c:v>0.24049999999999999</c:v>
                </c:pt>
              </c:numCache>
            </c:numRef>
          </c:val>
          <c:extLst>
            <c:ext xmlns:c16="http://schemas.microsoft.com/office/drawing/2014/chart" uri="{C3380CC4-5D6E-409C-BE32-E72D297353CC}">
              <c16:uniqueId val="{00000001-72CB-4D8B-AD9C-E0AA7569D121}"/>
            </c:ext>
          </c:extLst>
        </c:ser>
        <c:ser>
          <c:idx val="2"/>
          <c:order val="2"/>
          <c:tx>
            <c:strRef>
              <c:f>Sheet1!$D$1</c:f>
              <c:strCache>
                <c:ptCount val="1"/>
                <c:pt idx="0">
                  <c:v>Grown</c:v>
                </c:pt>
              </c:strCache>
            </c:strRef>
          </c:tx>
          <c:spPr>
            <a:solidFill>
              <a:schemeClr val="accent3"/>
            </a:solidFill>
            <a:ln>
              <a:noFill/>
            </a:ln>
            <a:effectLst/>
          </c:spPr>
          <c:invertIfNegative val="0"/>
          <c:cat>
            <c:strRef>
              <c:f>Sheet1!$A$2</c:f>
              <c:strCache>
                <c:ptCount val="1"/>
                <c:pt idx="0">
                  <c:v>Judgement and risk</c:v>
                </c:pt>
              </c:strCache>
            </c:strRef>
          </c:cat>
          <c:val>
            <c:numRef>
              <c:f>Sheet1!$D$2</c:f>
              <c:numCache>
                <c:formatCode>0%</c:formatCode>
                <c:ptCount val="1"/>
                <c:pt idx="0">
                  <c:v>0.72489999999999999</c:v>
                </c:pt>
              </c:numCache>
            </c:numRef>
          </c:val>
          <c:extLst>
            <c:ext xmlns:c16="http://schemas.microsoft.com/office/drawing/2014/chart" uri="{C3380CC4-5D6E-409C-BE32-E72D297353CC}">
              <c16:uniqueId val="{00000002-72CB-4D8B-AD9C-E0AA7569D121}"/>
            </c:ext>
          </c:extLst>
        </c:ser>
        <c:dLbls>
          <c:showLegendKey val="0"/>
          <c:showVal val="0"/>
          <c:showCatName val="0"/>
          <c:showSerName val="0"/>
          <c:showPercent val="0"/>
          <c:showBubbleSize val="0"/>
        </c:dLbls>
        <c:gapWidth val="100"/>
        <c:axId val="1315594760"/>
        <c:axId val="1315590080"/>
      </c:barChart>
      <c:catAx>
        <c:axId val="1315594760"/>
        <c:scaling>
          <c:orientation val="minMax"/>
        </c:scaling>
        <c:delete val="1"/>
        <c:axPos val="l"/>
        <c:numFmt formatCode="General" sourceLinked="1"/>
        <c:majorTickMark val="none"/>
        <c:minorTickMark val="none"/>
        <c:tickLblPos val="nextTo"/>
        <c:crossAx val="1315590080"/>
        <c:crosses val="autoZero"/>
        <c:auto val="1"/>
        <c:lblAlgn val="ctr"/>
        <c:lblOffset val="100"/>
        <c:noMultiLvlLbl val="0"/>
      </c:catAx>
      <c:valAx>
        <c:axId val="1315590080"/>
        <c:scaling>
          <c:orientation val="minMax"/>
          <c:max val="1"/>
        </c:scaling>
        <c:delete val="0"/>
        <c:axPos val="b"/>
        <c:numFmt formatCode="0%" sourceLinked="1"/>
        <c:majorTickMark val="in"/>
        <c:minorTickMark val="none"/>
        <c:tickLblPos val="nextTo"/>
        <c:spPr>
          <a:noFill/>
          <a:ln>
            <a:solidFill>
              <a:srgbClr val="4D4D4D">
                <a:lumMod val="20000"/>
                <a:lumOff val="80000"/>
              </a:srgb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155947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Reduced</c:v>
                </c:pt>
              </c:strCache>
            </c:strRef>
          </c:tx>
          <c:spPr>
            <a:solidFill>
              <a:schemeClr val="accent1"/>
            </a:solidFill>
            <a:ln>
              <a:noFill/>
            </a:ln>
            <a:effectLst/>
          </c:spPr>
          <c:invertIfNegative val="0"/>
          <c:cat>
            <c:strRef>
              <c:f>Sheet1!$A$2</c:f>
              <c:strCache>
                <c:ptCount val="1"/>
                <c:pt idx="0">
                  <c:v>Independence</c:v>
                </c:pt>
              </c:strCache>
            </c:strRef>
          </c:cat>
          <c:val>
            <c:numRef>
              <c:f>Sheet1!$B$2</c:f>
              <c:numCache>
                <c:formatCode>0%</c:formatCode>
                <c:ptCount val="1"/>
                <c:pt idx="0">
                  <c:v>0.2059</c:v>
                </c:pt>
              </c:numCache>
            </c:numRef>
          </c:val>
          <c:extLst>
            <c:ext xmlns:c16="http://schemas.microsoft.com/office/drawing/2014/chart" uri="{C3380CC4-5D6E-409C-BE32-E72D297353CC}">
              <c16:uniqueId val="{00000000-BC2A-47A1-B3CF-96C5546ACA77}"/>
            </c:ext>
          </c:extLst>
        </c:ser>
        <c:ser>
          <c:idx val="1"/>
          <c:order val="1"/>
          <c:tx>
            <c:strRef>
              <c:f>Sheet1!$C$1</c:f>
              <c:strCache>
                <c:ptCount val="1"/>
                <c:pt idx="0">
                  <c:v>Unchanged</c:v>
                </c:pt>
              </c:strCache>
            </c:strRef>
          </c:tx>
          <c:spPr>
            <a:solidFill>
              <a:schemeClr val="accent2"/>
            </a:solidFill>
            <a:ln>
              <a:noFill/>
            </a:ln>
            <a:effectLst/>
          </c:spPr>
          <c:invertIfNegative val="0"/>
          <c:cat>
            <c:strRef>
              <c:f>Sheet1!$A$2</c:f>
              <c:strCache>
                <c:ptCount val="1"/>
                <c:pt idx="0">
                  <c:v>Independence</c:v>
                </c:pt>
              </c:strCache>
            </c:strRef>
          </c:cat>
          <c:val>
            <c:numRef>
              <c:f>Sheet1!$C$2</c:f>
              <c:numCache>
                <c:formatCode>0%</c:formatCode>
                <c:ptCount val="1"/>
                <c:pt idx="0">
                  <c:v>0.43080000000000002</c:v>
                </c:pt>
              </c:numCache>
            </c:numRef>
          </c:val>
          <c:extLst>
            <c:ext xmlns:c16="http://schemas.microsoft.com/office/drawing/2014/chart" uri="{C3380CC4-5D6E-409C-BE32-E72D297353CC}">
              <c16:uniqueId val="{00000001-BC2A-47A1-B3CF-96C5546ACA77}"/>
            </c:ext>
          </c:extLst>
        </c:ser>
        <c:ser>
          <c:idx val="2"/>
          <c:order val="2"/>
          <c:tx>
            <c:strRef>
              <c:f>Sheet1!$D$1</c:f>
              <c:strCache>
                <c:ptCount val="1"/>
                <c:pt idx="0">
                  <c:v>Grown</c:v>
                </c:pt>
              </c:strCache>
            </c:strRef>
          </c:tx>
          <c:spPr>
            <a:solidFill>
              <a:schemeClr val="accent3"/>
            </a:solidFill>
            <a:ln>
              <a:noFill/>
            </a:ln>
            <a:effectLst/>
          </c:spPr>
          <c:invertIfNegative val="0"/>
          <c:cat>
            <c:strRef>
              <c:f>Sheet1!$A$2</c:f>
              <c:strCache>
                <c:ptCount val="1"/>
                <c:pt idx="0">
                  <c:v>Independence</c:v>
                </c:pt>
              </c:strCache>
            </c:strRef>
          </c:cat>
          <c:val>
            <c:numRef>
              <c:f>Sheet1!$D$2</c:f>
              <c:numCache>
                <c:formatCode>0%</c:formatCode>
                <c:ptCount val="1"/>
                <c:pt idx="0">
                  <c:v>0.36330000000000001</c:v>
                </c:pt>
              </c:numCache>
            </c:numRef>
          </c:val>
          <c:extLst>
            <c:ext xmlns:c16="http://schemas.microsoft.com/office/drawing/2014/chart" uri="{C3380CC4-5D6E-409C-BE32-E72D297353CC}">
              <c16:uniqueId val="{00000002-BC2A-47A1-B3CF-96C5546ACA77}"/>
            </c:ext>
          </c:extLst>
        </c:ser>
        <c:dLbls>
          <c:showLegendKey val="0"/>
          <c:showVal val="0"/>
          <c:showCatName val="0"/>
          <c:showSerName val="0"/>
          <c:showPercent val="0"/>
          <c:showBubbleSize val="0"/>
        </c:dLbls>
        <c:gapWidth val="100"/>
        <c:axId val="1315594760"/>
        <c:axId val="1315590080"/>
      </c:barChart>
      <c:catAx>
        <c:axId val="1315594760"/>
        <c:scaling>
          <c:orientation val="minMax"/>
        </c:scaling>
        <c:delete val="1"/>
        <c:axPos val="l"/>
        <c:numFmt formatCode="General" sourceLinked="1"/>
        <c:majorTickMark val="none"/>
        <c:minorTickMark val="none"/>
        <c:tickLblPos val="nextTo"/>
        <c:crossAx val="1315590080"/>
        <c:crosses val="autoZero"/>
        <c:auto val="1"/>
        <c:lblAlgn val="ctr"/>
        <c:lblOffset val="100"/>
        <c:noMultiLvlLbl val="0"/>
      </c:catAx>
      <c:valAx>
        <c:axId val="1315590080"/>
        <c:scaling>
          <c:orientation val="minMax"/>
          <c:max val="1"/>
        </c:scaling>
        <c:delete val="0"/>
        <c:axPos val="b"/>
        <c:numFmt formatCode="0%" sourceLinked="1"/>
        <c:majorTickMark val="in"/>
        <c:minorTickMark val="none"/>
        <c:tickLblPos val="nextTo"/>
        <c:spPr>
          <a:noFill/>
          <a:ln>
            <a:solidFill>
              <a:srgbClr val="4D4D4D">
                <a:lumMod val="20000"/>
                <a:lumOff val="80000"/>
              </a:srgb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155947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Reduced</c:v>
                </c:pt>
              </c:strCache>
            </c:strRef>
          </c:tx>
          <c:spPr>
            <a:solidFill>
              <a:schemeClr val="accent1"/>
            </a:solidFill>
            <a:ln>
              <a:noFill/>
            </a:ln>
            <a:effectLst/>
          </c:spPr>
          <c:invertIfNegative val="0"/>
          <c:cat>
            <c:strRef>
              <c:f>Sheet1!$A$2</c:f>
              <c:strCache>
                <c:ptCount val="1"/>
                <c:pt idx="0">
                  <c:v>Strategic change</c:v>
                </c:pt>
              </c:strCache>
            </c:strRef>
          </c:cat>
          <c:val>
            <c:numRef>
              <c:f>Sheet1!$B$2</c:f>
              <c:numCache>
                <c:formatCode>0%</c:formatCode>
                <c:ptCount val="1"/>
                <c:pt idx="0">
                  <c:v>5.7099999999999998E-2</c:v>
                </c:pt>
              </c:numCache>
            </c:numRef>
          </c:val>
          <c:extLst>
            <c:ext xmlns:c16="http://schemas.microsoft.com/office/drawing/2014/chart" uri="{C3380CC4-5D6E-409C-BE32-E72D297353CC}">
              <c16:uniqueId val="{00000000-84A9-4BA0-B113-83B593030B32}"/>
            </c:ext>
          </c:extLst>
        </c:ser>
        <c:ser>
          <c:idx val="1"/>
          <c:order val="1"/>
          <c:tx>
            <c:strRef>
              <c:f>Sheet1!$C$1</c:f>
              <c:strCache>
                <c:ptCount val="1"/>
                <c:pt idx="0">
                  <c:v>Unchanged</c:v>
                </c:pt>
              </c:strCache>
            </c:strRef>
          </c:tx>
          <c:spPr>
            <a:solidFill>
              <a:schemeClr val="accent2"/>
            </a:solidFill>
            <a:ln>
              <a:noFill/>
            </a:ln>
            <a:effectLst/>
          </c:spPr>
          <c:invertIfNegative val="0"/>
          <c:cat>
            <c:strRef>
              <c:f>Sheet1!$A$2</c:f>
              <c:strCache>
                <c:ptCount val="1"/>
                <c:pt idx="0">
                  <c:v>Strategic change</c:v>
                </c:pt>
              </c:strCache>
            </c:strRef>
          </c:cat>
          <c:val>
            <c:numRef>
              <c:f>Sheet1!$C$2</c:f>
              <c:numCache>
                <c:formatCode>0%</c:formatCode>
                <c:ptCount val="1"/>
                <c:pt idx="0">
                  <c:v>0.23880000000000001</c:v>
                </c:pt>
              </c:numCache>
            </c:numRef>
          </c:val>
          <c:extLst>
            <c:ext xmlns:c16="http://schemas.microsoft.com/office/drawing/2014/chart" uri="{C3380CC4-5D6E-409C-BE32-E72D297353CC}">
              <c16:uniqueId val="{00000001-84A9-4BA0-B113-83B593030B32}"/>
            </c:ext>
          </c:extLst>
        </c:ser>
        <c:ser>
          <c:idx val="2"/>
          <c:order val="2"/>
          <c:tx>
            <c:strRef>
              <c:f>Sheet1!$D$1</c:f>
              <c:strCache>
                <c:ptCount val="1"/>
                <c:pt idx="0">
                  <c:v>Grown</c:v>
                </c:pt>
              </c:strCache>
            </c:strRef>
          </c:tx>
          <c:spPr>
            <a:solidFill>
              <a:schemeClr val="accent3"/>
            </a:solidFill>
            <a:ln>
              <a:noFill/>
            </a:ln>
            <a:effectLst/>
          </c:spPr>
          <c:invertIfNegative val="0"/>
          <c:cat>
            <c:strRef>
              <c:f>Sheet1!$A$2</c:f>
              <c:strCache>
                <c:ptCount val="1"/>
                <c:pt idx="0">
                  <c:v>Strategic change</c:v>
                </c:pt>
              </c:strCache>
            </c:strRef>
          </c:cat>
          <c:val>
            <c:numRef>
              <c:f>Sheet1!$D$2</c:f>
              <c:numCache>
                <c:formatCode>0%</c:formatCode>
                <c:ptCount val="1"/>
                <c:pt idx="0">
                  <c:v>0.70420000000000005</c:v>
                </c:pt>
              </c:numCache>
            </c:numRef>
          </c:val>
          <c:extLst>
            <c:ext xmlns:c16="http://schemas.microsoft.com/office/drawing/2014/chart" uri="{C3380CC4-5D6E-409C-BE32-E72D297353CC}">
              <c16:uniqueId val="{00000002-84A9-4BA0-B113-83B593030B32}"/>
            </c:ext>
          </c:extLst>
        </c:ser>
        <c:dLbls>
          <c:showLegendKey val="0"/>
          <c:showVal val="0"/>
          <c:showCatName val="0"/>
          <c:showSerName val="0"/>
          <c:showPercent val="0"/>
          <c:showBubbleSize val="0"/>
        </c:dLbls>
        <c:gapWidth val="100"/>
        <c:axId val="1315594760"/>
        <c:axId val="1315590080"/>
      </c:barChart>
      <c:catAx>
        <c:axId val="1315594760"/>
        <c:scaling>
          <c:orientation val="minMax"/>
        </c:scaling>
        <c:delete val="1"/>
        <c:axPos val="l"/>
        <c:numFmt formatCode="General" sourceLinked="1"/>
        <c:majorTickMark val="none"/>
        <c:minorTickMark val="none"/>
        <c:tickLblPos val="nextTo"/>
        <c:crossAx val="1315590080"/>
        <c:crosses val="autoZero"/>
        <c:auto val="1"/>
        <c:lblAlgn val="ctr"/>
        <c:lblOffset val="100"/>
        <c:noMultiLvlLbl val="0"/>
      </c:catAx>
      <c:valAx>
        <c:axId val="1315590080"/>
        <c:scaling>
          <c:orientation val="minMax"/>
          <c:max val="1"/>
        </c:scaling>
        <c:delete val="0"/>
        <c:axPos val="b"/>
        <c:numFmt formatCode="0%" sourceLinked="1"/>
        <c:majorTickMark val="in"/>
        <c:minorTickMark val="none"/>
        <c:tickLblPos val="nextTo"/>
        <c:spPr>
          <a:noFill/>
          <a:ln>
            <a:solidFill>
              <a:srgbClr val="4D4D4D">
                <a:lumMod val="20000"/>
                <a:lumOff val="80000"/>
              </a:srgb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155947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Reduced</c:v>
                </c:pt>
              </c:strCache>
            </c:strRef>
          </c:tx>
          <c:spPr>
            <a:solidFill>
              <a:schemeClr val="accent1"/>
            </a:solidFill>
            <a:ln>
              <a:noFill/>
            </a:ln>
            <a:effectLst/>
          </c:spPr>
          <c:invertIfNegative val="0"/>
          <c:cat>
            <c:strRef>
              <c:f>Sheet1!$A$2</c:f>
              <c:strCache>
                <c:ptCount val="1"/>
                <c:pt idx="0">
                  <c:v>Impact</c:v>
                </c:pt>
              </c:strCache>
            </c:strRef>
          </c:cat>
          <c:val>
            <c:numRef>
              <c:f>Sheet1!$B$2</c:f>
              <c:numCache>
                <c:formatCode>0%</c:formatCode>
                <c:ptCount val="1"/>
                <c:pt idx="0">
                  <c:v>0.09</c:v>
                </c:pt>
              </c:numCache>
            </c:numRef>
          </c:val>
          <c:extLst>
            <c:ext xmlns:c16="http://schemas.microsoft.com/office/drawing/2014/chart" uri="{C3380CC4-5D6E-409C-BE32-E72D297353CC}">
              <c16:uniqueId val="{00000000-9E0D-4645-A80D-BACDD560DEEC}"/>
            </c:ext>
          </c:extLst>
        </c:ser>
        <c:ser>
          <c:idx val="1"/>
          <c:order val="1"/>
          <c:tx>
            <c:strRef>
              <c:f>Sheet1!$C$1</c:f>
              <c:strCache>
                <c:ptCount val="1"/>
                <c:pt idx="0">
                  <c:v>Unchanged</c:v>
                </c:pt>
              </c:strCache>
            </c:strRef>
          </c:tx>
          <c:spPr>
            <a:solidFill>
              <a:schemeClr val="accent2"/>
            </a:solidFill>
            <a:ln>
              <a:noFill/>
            </a:ln>
            <a:effectLst/>
          </c:spPr>
          <c:invertIfNegative val="0"/>
          <c:cat>
            <c:strRef>
              <c:f>Sheet1!$A$2</c:f>
              <c:strCache>
                <c:ptCount val="1"/>
                <c:pt idx="0">
                  <c:v>Impact</c:v>
                </c:pt>
              </c:strCache>
            </c:strRef>
          </c:cat>
          <c:val>
            <c:numRef>
              <c:f>Sheet1!$C$2</c:f>
              <c:numCache>
                <c:formatCode>0%</c:formatCode>
                <c:ptCount val="1"/>
                <c:pt idx="0">
                  <c:v>0.32350000000000001</c:v>
                </c:pt>
              </c:numCache>
            </c:numRef>
          </c:val>
          <c:extLst>
            <c:ext xmlns:c16="http://schemas.microsoft.com/office/drawing/2014/chart" uri="{C3380CC4-5D6E-409C-BE32-E72D297353CC}">
              <c16:uniqueId val="{00000001-9E0D-4645-A80D-BACDD560DEEC}"/>
            </c:ext>
          </c:extLst>
        </c:ser>
        <c:ser>
          <c:idx val="2"/>
          <c:order val="2"/>
          <c:tx>
            <c:strRef>
              <c:f>Sheet1!$D$1</c:f>
              <c:strCache>
                <c:ptCount val="1"/>
                <c:pt idx="0">
                  <c:v>Grown</c:v>
                </c:pt>
              </c:strCache>
            </c:strRef>
          </c:tx>
          <c:spPr>
            <a:solidFill>
              <a:schemeClr val="accent3"/>
            </a:solidFill>
            <a:ln>
              <a:noFill/>
            </a:ln>
            <a:effectLst/>
          </c:spPr>
          <c:invertIfNegative val="0"/>
          <c:cat>
            <c:strRef>
              <c:f>Sheet1!$A$2</c:f>
              <c:strCache>
                <c:ptCount val="1"/>
                <c:pt idx="0">
                  <c:v>Impact</c:v>
                </c:pt>
              </c:strCache>
            </c:strRef>
          </c:cat>
          <c:val>
            <c:numRef>
              <c:f>Sheet1!$D$2</c:f>
              <c:numCache>
                <c:formatCode>0%</c:formatCode>
                <c:ptCount val="1"/>
                <c:pt idx="0">
                  <c:v>0.58650000000000002</c:v>
                </c:pt>
              </c:numCache>
            </c:numRef>
          </c:val>
          <c:extLst>
            <c:ext xmlns:c16="http://schemas.microsoft.com/office/drawing/2014/chart" uri="{C3380CC4-5D6E-409C-BE32-E72D297353CC}">
              <c16:uniqueId val="{00000002-9E0D-4645-A80D-BACDD560DEEC}"/>
            </c:ext>
          </c:extLst>
        </c:ser>
        <c:dLbls>
          <c:showLegendKey val="0"/>
          <c:showVal val="0"/>
          <c:showCatName val="0"/>
          <c:showSerName val="0"/>
          <c:showPercent val="0"/>
          <c:showBubbleSize val="0"/>
        </c:dLbls>
        <c:gapWidth val="100"/>
        <c:axId val="1315594760"/>
        <c:axId val="1315590080"/>
      </c:barChart>
      <c:catAx>
        <c:axId val="1315594760"/>
        <c:scaling>
          <c:orientation val="minMax"/>
        </c:scaling>
        <c:delete val="1"/>
        <c:axPos val="l"/>
        <c:numFmt formatCode="General" sourceLinked="1"/>
        <c:majorTickMark val="none"/>
        <c:minorTickMark val="none"/>
        <c:tickLblPos val="nextTo"/>
        <c:crossAx val="1315590080"/>
        <c:crosses val="autoZero"/>
        <c:auto val="1"/>
        <c:lblAlgn val="ctr"/>
        <c:lblOffset val="100"/>
        <c:noMultiLvlLbl val="0"/>
      </c:catAx>
      <c:valAx>
        <c:axId val="1315590080"/>
        <c:scaling>
          <c:orientation val="minMax"/>
          <c:max val="1"/>
        </c:scaling>
        <c:delete val="0"/>
        <c:axPos val="b"/>
        <c:numFmt formatCode="0%" sourceLinked="1"/>
        <c:majorTickMark val="in"/>
        <c:minorTickMark val="none"/>
        <c:tickLblPos val="nextTo"/>
        <c:spPr>
          <a:noFill/>
          <a:ln>
            <a:solidFill>
              <a:srgbClr val="4D4D4D">
                <a:lumMod val="20000"/>
                <a:lumOff val="80000"/>
              </a:srgb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155947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Reduced</c:v>
                </c:pt>
              </c:strCache>
            </c:strRef>
          </c:tx>
          <c:spPr>
            <a:solidFill>
              <a:schemeClr val="accent1"/>
            </a:solidFill>
            <a:ln>
              <a:noFill/>
            </a:ln>
            <a:effectLst/>
          </c:spPr>
          <c:invertIfNegative val="0"/>
          <c:cat>
            <c:strRef>
              <c:f>Sheet1!$A$2</c:f>
              <c:strCache>
                <c:ptCount val="1"/>
                <c:pt idx="0">
                  <c:v>Breadth</c:v>
                </c:pt>
              </c:strCache>
            </c:strRef>
          </c:cat>
          <c:val>
            <c:numRef>
              <c:f>Sheet1!$B$2</c:f>
              <c:numCache>
                <c:formatCode>0%</c:formatCode>
                <c:ptCount val="1"/>
                <c:pt idx="0">
                  <c:v>4.3299999999999998E-2</c:v>
                </c:pt>
              </c:numCache>
            </c:numRef>
          </c:val>
          <c:extLst>
            <c:ext xmlns:c16="http://schemas.microsoft.com/office/drawing/2014/chart" uri="{C3380CC4-5D6E-409C-BE32-E72D297353CC}">
              <c16:uniqueId val="{00000000-D964-444D-B8C4-B3F84230D8EA}"/>
            </c:ext>
          </c:extLst>
        </c:ser>
        <c:ser>
          <c:idx val="1"/>
          <c:order val="1"/>
          <c:tx>
            <c:strRef>
              <c:f>Sheet1!$C$1</c:f>
              <c:strCache>
                <c:ptCount val="1"/>
                <c:pt idx="0">
                  <c:v>Unchanged</c:v>
                </c:pt>
              </c:strCache>
            </c:strRef>
          </c:tx>
          <c:spPr>
            <a:solidFill>
              <a:schemeClr val="accent2"/>
            </a:solidFill>
            <a:ln>
              <a:noFill/>
            </a:ln>
            <a:effectLst/>
          </c:spPr>
          <c:invertIfNegative val="0"/>
          <c:cat>
            <c:strRef>
              <c:f>Sheet1!$A$2</c:f>
              <c:strCache>
                <c:ptCount val="1"/>
                <c:pt idx="0">
                  <c:v>Breadth</c:v>
                </c:pt>
              </c:strCache>
            </c:strRef>
          </c:cat>
          <c:val>
            <c:numRef>
              <c:f>Sheet1!$C$2</c:f>
              <c:numCache>
                <c:formatCode>0%</c:formatCode>
                <c:ptCount val="1"/>
                <c:pt idx="0">
                  <c:v>0.28720000000000001</c:v>
                </c:pt>
              </c:numCache>
            </c:numRef>
          </c:val>
          <c:extLst>
            <c:ext xmlns:c16="http://schemas.microsoft.com/office/drawing/2014/chart" uri="{C3380CC4-5D6E-409C-BE32-E72D297353CC}">
              <c16:uniqueId val="{00000001-D964-444D-B8C4-B3F84230D8EA}"/>
            </c:ext>
          </c:extLst>
        </c:ser>
        <c:ser>
          <c:idx val="2"/>
          <c:order val="2"/>
          <c:tx>
            <c:strRef>
              <c:f>Sheet1!$D$1</c:f>
              <c:strCache>
                <c:ptCount val="1"/>
                <c:pt idx="0">
                  <c:v>Grown</c:v>
                </c:pt>
              </c:strCache>
            </c:strRef>
          </c:tx>
          <c:spPr>
            <a:solidFill>
              <a:schemeClr val="accent3"/>
            </a:solidFill>
            <a:ln>
              <a:noFill/>
            </a:ln>
            <a:effectLst/>
          </c:spPr>
          <c:invertIfNegative val="0"/>
          <c:cat>
            <c:strRef>
              <c:f>Sheet1!$A$2</c:f>
              <c:strCache>
                <c:ptCount val="1"/>
                <c:pt idx="0">
                  <c:v>Breadth</c:v>
                </c:pt>
              </c:strCache>
            </c:strRef>
          </c:cat>
          <c:val>
            <c:numRef>
              <c:f>Sheet1!$D$2</c:f>
              <c:numCache>
                <c:formatCode>0%</c:formatCode>
                <c:ptCount val="1"/>
                <c:pt idx="0">
                  <c:v>0.66959999999999997</c:v>
                </c:pt>
              </c:numCache>
            </c:numRef>
          </c:val>
          <c:extLst>
            <c:ext xmlns:c16="http://schemas.microsoft.com/office/drawing/2014/chart" uri="{C3380CC4-5D6E-409C-BE32-E72D297353CC}">
              <c16:uniqueId val="{00000002-D964-444D-B8C4-B3F84230D8EA}"/>
            </c:ext>
          </c:extLst>
        </c:ser>
        <c:dLbls>
          <c:showLegendKey val="0"/>
          <c:showVal val="0"/>
          <c:showCatName val="0"/>
          <c:showSerName val="0"/>
          <c:showPercent val="0"/>
          <c:showBubbleSize val="0"/>
        </c:dLbls>
        <c:gapWidth val="100"/>
        <c:axId val="1315594760"/>
        <c:axId val="1315590080"/>
      </c:barChart>
      <c:catAx>
        <c:axId val="1315594760"/>
        <c:scaling>
          <c:orientation val="minMax"/>
        </c:scaling>
        <c:delete val="1"/>
        <c:axPos val="l"/>
        <c:numFmt formatCode="General" sourceLinked="1"/>
        <c:majorTickMark val="none"/>
        <c:minorTickMark val="none"/>
        <c:tickLblPos val="nextTo"/>
        <c:crossAx val="1315590080"/>
        <c:crosses val="autoZero"/>
        <c:auto val="1"/>
        <c:lblAlgn val="ctr"/>
        <c:lblOffset val="100"/>
        <c:noMultiLvlLbl val="0"/>
      </c:catAx>
      <c:valAx>
        <c:axId val="1315590080"/>
        <c:scaling>
          <c:orientation val="minMax"/>
          <c:max val="1"/>
        </c:scaling>
        <c:delete val="0"/>
        <c:axPos val="b"/>
        <c:numFmt formatCode="0%" sourceLinked="1"/>
        <c:majorTickMark val="in"/>
        <c:minorTickMark val="none"/>
        <c:tickLblPos val="nextTo"/>
        <c:spPr>
          <a:noFill/>
          <a:ln>
            <a:solidFill>
              <a:srgbClr val="4D4D4D">
                <a:lumMod val="20000"/>
                <a:lumOff val="80000"/>
              </a:srgb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155947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Reduced</c:v>
                </c:pt>
              </c:strCache>
            </c:strRef>
          </c:tx>
          <c:spPr>
            <a:solidFill>
              <a:schemeClr val="accent1"/>
            </a:solidFill>
            <a:ln>
              <a:noFill/>
            </a:ln>
            <a:effectLst/>
          </c:spPr>
          <c:invertIfNegative val="0"/>
          <c:cat>
            <c:strRef>
              <c:f>Sheet1!$A$2</c:f>
              <c:strCache>
                <c:ptCount val="1"/>
                <c:pt idx="0">
                  <c:v>Resource management</c:v>
                </c:pt>
              </c:strCache>
            </c:strRef>
          </c:cat>
          <c:val>
            <c:numRef>
              <c:f>Sheet1!$B$2</c:f>
              <c:numCache>
                <c:formatCode>0%</c:formatCode>
                <c:ptCount val="1"/>
                <c:pt idx="0">
                  <c:v>0.25609999999999999</c:v>
                </c:pt>
              </c:numCache>
            </c:numRef>
          </c:val>
          <c:extLst>
            <c:ext xmlns:c16="http://schemas.microsoft.com/office/drawing/2014/chart" uri="{C3380CC4-5D6E-409C-BE32-E72D297353CC}">
              <c16:uniqueId val="{00000000-96C7-4AEE-A41F-4FAB4F68612B}"/>
            </c:ext>
          </c:extLst>
        </c:ser>
        <c:ser>
          <c:idx val="1"/>
          <c:order val="1"/>
          <c:tx>
            <c:strRef>
              <c:f>Sheet1!$C$1</c:f>
              <c:strCache>
                <c:ptCount val="1"/>
                <c:pt idx="0">
                  <c:v>Unchanged</c:v>
                </c:pt>
              </c:strCache>
            </c:strRef>
          </c:tx>
          <c:spPr>
            <a:solidFill>
              <a:schemeClr val="accent2"/>
            </a:solidFill>
            <a:ln>
              <a:noFill/>
            </a:ln>
            <a:effectLst/>
          </c:spPr>
          <c:invertIfNegative val="0"/>
          <c:cat>
            <c:strRef>
              <c:f>Sheet1!$A$2</c:f>
              <c:strCache>
                <c:ptCount val="1"/>
                <c:pt idx="0">
                  <c:v>Resource management</c:v>
                </c:pt>
              </c:strCache>
            </c:strRef>
          </c:cat>
          <c:val>
            <c:numRef>
              <c:f>Sheet1!$C$2</c:f>
              <c:numCache>
                <c:formatCode>0%</c:formatCode>
                <c:ptCount val="1"/>
                <c:pt idx="0">
                  <c:v>0.26640000000000003</c:v>
                </c:pt>
              </c:numCache>
            </c:numRef>
          </c:val>
          <c:extLst>
            <c:ext xmlns:c16="http://schemas.microsoft.com/office/drawing/2014/chart" uri="{C3380CC4-5D6E-409C-BE32-E72D297353CC}">
              <c16:uniqueId val="{00000001-96C7-4AEE-A41F-4FAB4F68612B}"/>
            </c:ext>
          </c:extLst>
        </c:ser>
        <c:ser>
          <c:idx val="2"/>
          <c:order val="2"/>
          <c:tx>
            <c:strRef>
              <c:f>Sheet1!$D$1</c:f>
              <c:strCache>
                <c:ptCount val="1"/>
                <c:pt idx="0">
                  <c:v>Grown</c:v>
                </c:pt>
              </c:strCache>
            </c:strRef>
          </c:tx>
          <c:spPr>
            <a:solidFill>
              <a:schemeClr val="accent3"/>
            </a:solidFill>
            <a:ln>
              <a:noFill/>
            </a:ln>
            <a:effectLst/>
          </c:spPr>
          <c:invertIfNegative val="0"/>
          <c:cat>
            <c:strRef>
              <c:f>Sheet1!$A$2</c:f>
              <c:strCache>
                <c:ptCount val="1"/>
                <c:pt idx="0">
                  <c:v>Resource management</c:v>
                </c:pt>
              </c:strCache>
            </c:strRef>
          </c:cat>
          <c:val>
            <c:numRef>
              <c:f>Sheet1!$D$2</c:f>
              <c:numCache>
                <c:formatCode>0%</c:formatCode>
                <c:ptCount val="1"/>
                <c:pt idx="0">
                  <c:v>0.47749999999999998</c:v>
                </c:pt>
              </c:numCache>
            </c:numRef>
          </c:val>
          <c:extLst>
            <c:ext xmlns:c16="http://schemas.microsoft.com/office/drawing/2014/chart" uri="{C3380CC4-5D6E-409C-BE32-E72D297353CC}">
              <c16:uniqueId val="{00000002-96C7-4AEE-A41F-4FAB4F68612B}"/>
            </c:ext>
          </c:extLst>
        </c:ser>
        <c:dLbls>
          <c:showLegendKey val="0"/>
          <c:showVal val="0"/>
          <c:showCatName val="0"/>
          <c:showSerName val="0"/>
          <c:showPercent val="0"/>
          <c:showBubbleSize val="0"/>
        </c:dLbls>
        <c:gapWidth val="100"/>
        <c:axId val="1315594760"/>
        <c:axId val="1315590080"/>
      </c:barChart>
      <c:catAx>
        <c:axId val="1315594760"/>
        <c:scaling>
          <c:orientation val="minMax"/>
        </c:scaling>
        <c:delete val="1"/>
        <c:axPos val="l"/>
        <c:numFmt formatCode="General" sourceLinked="1"/>
        <c:majorTickMark val="none"/>
        <c:minorTickMark val="none"/>
        <c:tickLblPos val="nextTo"/>
        <c:crossAx val="1315590080"/>
        <c:crosses val="autoZero"/>
        <c:auto val="1"/>
        <c:lblAlgn val="ctr"/>
        <c:lblOffset val="100"/>
        <c:noMultiLvlLbl val="0"/>
      </c:catAx>
      <c:valAx>
        <c:axId val="1315590080"/>
        <c:scaling>
          <c:orientation val="minMax"/>
          <c:max val="1"/>
        </c:scaling>
        <c:delete val="0"/>
        <c:axPos val="b"/>
        <c:numFmt formatCode="0%" sourceLinked="1"/>
        <c:majorTickMark val="in"/>
        <c:minorTickMark val="none"/>
        <c:tickLblPos val="nextTo"/>
        <c:spPr>
          <a:noFill/>
          <a:ln>
            <a:solidFill>
              <a:srgbClr val="4D4D4D">
                <a:lumMod val="20000"/>
                <a:lumOff val="80000"/>
              </a:srgb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155947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VIRT Colour Theme">
      <a:dk1>
        <a:sysClr val="windowText" lastClr="000000"/>
      </a:dk1>
      <a:lt1>
        <a:sysClr val="window" lastClr="FFFFFF"/>
      </a:lt1>
      <a:dk2>
        <a:srgbClr val="000000"/>
      </a:dk2>
      <a:lt2>
        <a:srgbClr val="F8F8F8"/>
      </a:lt2>
      <a:accent1>
        <a:srgbClr val="26664E"/>
      </a:accent1>
      <a:accent2>
        <a:srgbClr val="148A5D"/>
      </a:accent2>
      <a:accent3>
        <a:srgbClr val="70BA85"/>
      </a:accent3>
      <a:accent4>
        <a:srgbClr val="618179"/>
      </a:accent4>
      <a:accent5>
        <a:srgbClr val="29C598"/>
      </a:accent5>
      <a:accent6>
        <a:srgbClr val="4D4D4D"/>
      </a:accent6>
      <a:hlink>
        <a:srgbClr val="5F5F5F"/>
      </a:hlink>
      <a:folHlink>
        <a:srgbClr val="919191"/>
      </a:folHlink>
    </a:clrScheme>
    <a:fontScheme name="Tw Cen MT-Rockwell">
      <a:majorFont>
        <a:latin typeface="Tw Cen MT" panose="020B0602020104020603"/>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Rockwell" panose="02060603020205020403"/>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Tribunal colours">
    <a:dk1>
      <a:sysClr val="windowText" lastClr="000000"/>
    </a:dk1>
    <a:lt1>
      <a:sysClr val="window" lastClr="FFFFFF"/>
    </a:lt1>
    <a:dk2>
      <a:srgbClr val="000000"/>
    </a:dk2>
    <a:lt2>
      <a:srgbClr val="FFFFFF"/>
    </a:lt2>
    <a:accent1>
      <a:srgbClr val="26664E"/>
    </a:accent1>
    <a:accent2>
      <a:srgbClr val="148A5D"/>
    </a:accent2>
    <a:accent3>
      <a:srgbClr val="70BA85"/>
    </a:accent3>
    <a:accent4>
      <a:srgbClr val="618179"/>
    </a:accent4>
    <a:accent5>
      <a:srgbClr val="29C598"/>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Tribunal colours">
    <a:dk1>
      <a:sysClr val="windowText" lastClr="000000"/>
    </a:dk1>
    <a:lt1>
      <a:sysClr val="window" lastClr="FFFFFF"/>
    </a:lt1>
    <a:dk2>
      <a:srgbClr val="000000"/>
    </a:dk2>
    <a:lt2>
      <a:srgbClr val="FFFFFF"/>
    </a:lt2>
    <a:accent1>
      <a:srgbClr val="26664E"/>
    </a:accent1>
    <a:accent2>
      <a:srgbClr val="148A5D"/>
    </a:accent2>
    <a:accent3>
      <a:srgbClr val="70BA85"/>
    </a:accent3>
    <a:accent4>
      <a:srgbClr val="618179"/>
    </a:accent4>
    <a:accent5>
      <a:srgbClr val="29C598"/>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Tribunal colours">
    <a:dk1>
      <a:sysClr val="windowText" lastClr="000000"/>
    </a:dk1>
    <a:lt1>
      <a:sysClr val="window" lastClr="FFFFFF"/>
    </a:lt1>
    <a:dk2>
      <a:srgbClr val="000000"/>
    </a:dk2>
    <a:lt2>
      <a:srgbClr val="FFFFFF"/>
    </a:lt2>
    <a:accent1>
      <a:srgbClr val="26664E"/>
    </a:accent1>
    <a:accent2>
      <a:srgbClr val="148A5D"/>
    </a:accent2>
    <a:accent3>
      <a:srgbClr val="70BA85"/>
    </a:accent3>
    <a:accent4>
      <a:srgbClr val="618179"/>
    </a:accent4>
    <a:accent5>
      <a:srgbClr val="29C598"/>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Tribunal colours">
    <a:dk1>
      <a:sysClr val="windowText" lastClr="000000"/>
    </a:dk1>
    <a:lt1>
      <a:sysClr val="window" lastClr="FFFFFF"/>
    </a:lt1>
    <a:dk2>
      <a:srgbClr val="000000"/>
    </a:dk2>
    <a:lt2>
      <a:srgbClr val="FFFFFF"/>
    </a:lt2>
    <a:accent1>
      <a:srgbClr val="26664E"/>
    </a:accent1>
    <a:accent2>
      <a:srgbClr val="148A5D"/>
    </a:accent2>
    <a:accent3>
      <a:srgbClr val="70BA85"/>
    </a:accent3>
    <a:accent4>
      <a:srgbClr val="618179"/>
    </a:accent4>
    <a:accent5>
      <a:srgbClr val="29C598"/>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Tribunal colours">
    <a:dk1>
      <a:sysClr val="windowText" lastClr="000000"/>
    </a:dk1>
    <a:lt1>
      <a:sysClr val="window" lastClr="FFFFFF"/>
    </a:lt1>
    <a:dk2>
      <a:srgbClr val="000000"/>
    </a:dk2>
    <a:lt2>
      <a:srgbClr val="FFFFFF"/>
    </a:lt2>
    <a:accent1>
      <a:srgbClr val="26664E"/>
    </a:accent1>
    <a:accent2>
      <a:srgbClr val="148A5D"/>
    </a:accent2>
    <a:accent3>
      <a:srgbClr val="70BA85"/>
    </a:accent3>
    <a:accent4>
      <a:srgbClr val="618179"/>
    </a:accent4>
    <a:accent5>
      <a:srgbClr val="29C598"/>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Tribunal colours">
    <a:dk1>
      <a:sysClr val="windowText" lastClr="000000"/>
    </a:dk1>
    <a:lt1>
      <a:sysClr val="window" lastClr="FFFFFF"/>
    </a:lt1>
    <a:dk2>
      <a:srgbClr val="000000"/>
    </a:dk2>
    <a:lt2>
      <a:srgbClr val="FFFFFF"/>
    </a:lt2>
    <a:accent1>
      <a:srgbClr val="26664E"/>
    </a:accent1>
    <a:accent2>
      <a:srgbClr val="148A5D"/>
    </a:accent2>
    <a:accent3>
      <a:srgbClr val="70BA85"/>
    </a:accent3>
    <a:accent4>
      <a:srgbClr val="618179"/>
    </a:accent4>
    <a:accent5>
      <a:srgbClr val="29C598"/>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Tribunal colours">
    <a:dk1>
      <a:sysClr val="windowText" lastClr="000000"/>
    </a:dk1>
    <a:lt1>
      <a:sysClr val="window" lastClr="FFFFFF"/>
    </a:lt1>
    <a:dk2>
      <a:srgbClr val="000000"/>
    </a:dk2>
    <a:lt2>
      <a:srgbClr val="FFFFFF"/>
    </a:lt2>
    <a:accent1>
      <a:srgbClr val="26664E"/>
    </a:accent1>
    <a:accent2>
      <a:srgbClr val="148A5D"/>
    </a:accent2>
    <a:accent3>
      <a:srgbClr val="70BA85"/>
    </a:accent3>
    <a:accent4>
      <a:srgbClr val="618179"/>
    </a:accent4>
    <a:accent5>
      <a:srgbClr val="29C598"/>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Tribunal colours">
    <a:dk1>
      <a:sysClr val="windowText" lastClr="000000"/>
    </a:dk1>
    <a:lt1>
      <a:sysClr val="window" lastClr="FFFFFF"/>
    </a:lt1>
    <a:dk2>
      <a:srgbClr val="000000"/>
    </a:dk2>
    <a:lt2>
      <a:srgbClr val="FFFFFF"/>
    </a:lt2>
    <a:accent1>
      <a:srgbClr val="26664E"/>
    </a:accent1>
    <a:accent2>
      <a:srgbClr val="148A5D"/>
    </a:accent2>
    <a:accent3>
      <a:srgbClr val="70BA85"/>
    </a:accent3>
    <a:accent4>
      <a:srgbClr val="618179"/>
    </a:accent4>
    <a:accent5>
      <a:srgbClr val="29C598"/>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Tribunal colours">
    <a:dk1>
      <a:sysClr val="windowText" lastClr="000000"/>
    </a:dk1>
    <a:lt1>
      <a:sysClr val="window" lastClr="FFFFFF"/>
    </a:lt1>
    <a:dk2>
      <a:srgbClr val="000000"/>
    </a:dk2>
    <a:lt2>
      <a:srgbClr val="FFFFFF"/>
    </a:lt2>
    <a:accent1>
      <a:srgbClr val="26664E"/>
    </a:accent1>
    <a:accent2>
      <a:srgbClr val="148A5D"/>
    </a:accent2>
    <a:accent3>
      <a:srgbClr val="70BA85"/>
    </a:accent3>
    <a:accent4>
      <a:srgbClr val="618179"/>
    </a:accent4>
    <a:accent5>
      <a:srgbClr val="29C598"/>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94e1e71-129c-4de1-afb3-2f736e13707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58E11D9790CF74DAAE7686528C74D80" ma:contentTypeVersion="11" ma:contentTypeDescription="Create a new document." ma:contentTypeScope="" ma:versionID="6e5c3f1f25b4e679d04875373c580f5d">
  <xsd:schema xmlns:xsd="http://www.w3.org/2001/XMLSchema" xmlns:xs="http://www.w3.org/2001/XMLSchema" xmlns:p="http://schemas.microsoft.com/office/2006/metadata/properties" xmlns:ns2="b94e1e71-129c-4de1-afb3-2f736e137077" xmlns:ns3="fce0cbbd-9970-43b6-9355-fd97ff13673a" targetNamespace="http://schemas.microsoft.com/office/2006/metadata/properties" ma:root="true" ma:fieldsID="135534cd53b97185b628204b44def78a" ns2:_="" ns3:_="">
    <xsd:import namespace="b94e1e71-129c-4de1-afb3-2f736e137077"/>
    <xsd:import namespace="fce0cbbd-9970-43b6-9355-fd97ff13673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4e1e71-129c-4de1-afb3-2f736e1370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e0cbbd-9970-43b6-9355-fd97ff1367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3679BB99-4D3F-4767-8FF3-08DD0E7246F4}">
  <ds:schemaRefs>
    <ds:schemaRef ds:uri="http://schemas.openxmlformats.org/officeDocument/2006/bibliography"/>
  </ds:schemaRefs>
</ds:datastoreItem>
</file>

<file path=customXml/itemProps2.xml><?xml version="1.0" encoding="utf-8"?>
<ds:datastoreItem xmlns:ds="http://schemas.openxmlformats.org/officeDocument/2006/customXml" ds:itemID="{FC9DEF55-F71B-420D-893A-E266A4610023}">
  <ds:schemaRefs>
    <ds:schemaRef ds:uri="http://purl.org/dc/dcmitype/"/>
    <ds:schemaRef ds:uri="http://schemas.microsoft.com/office/infopath/2007/PartnerControls"/>
    <ds:schemaRef ds:uri="http://purl.org/dc/elements/1.1/"/>
    <ds:schemaRef ds:uri="b94e1e71-129c-4de1-afb3-2f736e137077"/>
    <ds:schemaRef ds:uri="http://schemas.microsoft.com/office/2006/metadata/properties"/>
    <ds:schemaRef ds:uri="http://schemas.microsoft.com/office/2006/documentManagement/types"/>
    <ds:schemaRef ds:uri="http://purl.org/dc/terms/"/>
    <ds:schemaRef ds:uri="http://schemas.openxmlformats.org/package/2006/metadata/core-properties"/>
    <ds:schemaRef ds:uri="fce0cbbd-9970-43b6-9355-fd97ff13673a"/>
    <ds:schemaRef ds:uri="http://www.w3.org/XML/1998/namespace"/>
  </ds:schemaRefs>
</ds:datastoreItem>
</file>

<file path=customXml/itemProps3.xml><?xml version="1.0" encoding="utf-8"?>
<ds:datastoreItem xmlns:ds="http://schemas.openxmlformats.org/officeDocument/2006/customXml" ds:itemID="{2B693C72-157D-4483-9BA4-C0B614CBA2DF}">
  <ds:schemaRefs>
    <ds:schemaRef ds:uri="http://schemas.microsoft.com/sharepoint/v3/contenttype/forms"/>
  </ds:schemaRefs>
</ds:datastoreItem>
</file>

<file path=customXml/itemProps4.xml><?xml version="1.0" encoding="utf-8"?>
<ds:datastoreItem xmlns:ds="http://schemas.openxmlformats.org/officeDocument/2006/customXml" ds:itemID="{B62C19D8-6D17-4B1D-AC90-8D9EE2FA6B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4e1e71-129c-4de1-afb3-2f736e137077"/>
    <ds:schemaRef ds:uri="fce0cbbd-9970-43b6-9355-fd97ff1367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44BE84-EF00-4B95-BE57-933822EE5F4A}">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169</Pages>
  <Words>41769</Words>
  <Characters>238084</Characters>
  <DocSecurity>4</DocSecurity>
  <Lines>1984</Lines>
  <Paragraphs>558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279295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2024-06-28T06:05:00Z</cp:lastPrinted>
  <dcterms:created xsi:type="dcterms:W3CDTF">2024-07-01T05:04:00Z</dcterms:created>
  <dcterms:modified xsi:type="dcterms:W3CDTF">2024-07-01T05:04:00Z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4f33de94-39b2-4a49-9ed2-d5c832443a54</vt:lpwstr>
  </property>
  <property fmtid="{D5CDD505-2E9C-101B-9397-08002B2CF9AE}" pid="3" name="PSPFClassification">
    <vt:lpwstr>Do Not Mark</vt:lpwstr>
  </property>
  <property fmtid="{D5CDD505-2E9C-101B-9397-08002B2CF9AE}" pid="4" name="ZOTERO_PREF_1">
    <vt:lpwstr>&lt;data data-version="3" zotero-version="5.0.73"&gt;&lt;session id="1dkSMHyN"/&gt;&lt;style id="http://www.zotero.org/styles/chicago-fullnote-bibliography" locale="en-GB" hasBibliography="1" bibliographyStyleHasBeenSet="0"/&gt;&lt;prefs&gt;&lt;pref name="fieldType" value="Field"/&gt;</vt:lpwstr>
  </property>
  <property fmtid="{D5CDD505-2E9C-101B-9397-08002B2CF9AE}" pid="5" name="ZOTERO_PREF_2">
    <vt:lpwstr>&lt;pref name="automaticJournalAbbreviations" value="true"/&gt;&lt;pref name="noteType" value="1"/&gt;&lt;/prefs&gt;&lt;/data&gt;</vt:lpwstr>
  </property>
  <property fmtid="{D5CDD505-2E9C-101B-9397-08002B2CF9AE}" pid="6" name="ContentTypeId">
    <vt:lpwstr>0x010100958E11D9790CF74DAAE7686528C74D80</vt:lpwstr>
  </property>
  <property fmtid="{D5CDD505-2E9C-101B-9397-08002B2CF9AE}" pid="7" name="MediaServiceImageTags">
    <vt:lpwstr/>
  </property>
  <property fmtid="{D5CDD505-2E9C-101B-9397-08002B2CF9AE}" pid="8" name="ClassificationContentMarkingFooterShapeIds">
    <vt:lpwstr>7168fdeb,3a17bdb9,314243c5,14c64058,71eaba1b,5eab43d5,7897207f,7706e35f,31ac35d,55ac1d63,2a7e1411,dce470b,60fdb830,cd12855,46e95571</vt:lpwstr>
  </property>
  <property fmtid="{D5CDD505-2E9C-101B-9397-08002B2CF9AE}" pid="9" name="ClassificationContentMarkingFooterFontProps">
    <vt:lpwstr>#000000,11,Calibri</vt:lpwstr>
  </property>
  <property fmtid="{D5CDD505-2E9C-101B-9397-08002B2CF9AE}" pid="10" name="ClassificationContentMarkingFooterText">
    <vt:lpwstr>OFFICIAL: Sensitive</vt:lpwstr>
  </property>
  <property fmtid="{D5CDD505-2E9C-101B-9397-08002B2CF9AE}" pid="11" name="MSIP_Label_17d22cff-4d41-44a1-a7ea-af857521bf50_Enabled">
    <vt:lpwstr>true</vt:lpwstr>
  </property>
  <property fmtid="{D5CDD505-2E9C-101B-9397-08002B2CF9AE}" pid="12" name="MSIP_Label_17d22cff-4d41-44a1-a7ea-af857521bf50_SetDate">
    <vt:lpwstr>2024-06-25T01:47:43Z</vt:lpwstr>
  </property>
  <property fmtid="{D5CDD505-2E9C-101B-9397-08002B2CF9AE}" pid="13" name="MSIP_Label_17d22cff-4d41-44a1-a7ea-af857521bf50_Method">
    <vt:lpwstr>Privileged</vt:lpwstr>
  </property>
  <property fmtid="{D5CDD505-2E9C-101B-9397-08002B2CF9AE}" pid="14" name="MSIP_Label_17d22cff-4d41-44a1-a7ea-af857521bf50_Name">
    <vt:lpwstr>17d22cff-4d41-44a1-a7ea-af857521bf50</vt:lpwstr>
  </property>
  <property fmtid="{D5CDD505-2E9C-101B-9397-08002B2CF9AE}" pid="15" name="MSIP_Label_17d22cff-4d41-44a1-a7ea-af857521bf50_SiteId">
    <vt:lpwstr>722ea0be-3e1c-4b11-ad6f-9401d6856e24</vt:lpwstr>
  </property>
  <property fmtid="{D5CDD505-2E9C-101B-9397-08002B2CF9AE}" pid="16" name="MSIP_Label_17d22cff-4d41-44a1-a7ea-af857521bf50_ActionId">
    <vt:lpwstr>570d9b6c-d600-4624-a7f5-848d3de143df</vt:lpwstr>
  </property>
  <property fmtid="{D5CDD505-2E9C-101B-9397-08002B2CF9AE}" pid="17" name="MSIP_Label_17d22cff-4d41-44a1-a7ea-af857521bf50_ContentBits">
    <vt:lpwstr>2</vt:lpwstr>
  </property>
</Properties>
</file>