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E6C260F" w14:textId="3E973185" w:rsidR="00B1131E" w:rsidRPr="00C41AE0" w:rsidRDefault="00592941" w:rsidP="003A5D8F">
      <w:pPr>
        <w:pStyle w:val="05Paragraph"/>
        <w:rPr>
          <w:rFonts w:cs="Calibri Light"/>
          <w:color w:val="FFFFFF" w:themeColor="background1"/>
        </w:rPr>
      </w:pPr>
      <w:r>
        <w:rPr>
          <w:rFonts w:cs="Calibri Light"/>
          <w:noProof/>
          <w:color w:val="FFFFFF" w:themeColor="background1"/>
        </w:rPr>
        <mc:AlternateContent>
          <mc:Choice Requires="wps">
            <w:drawing>
              <wp:anchor distT="0" distB="0" distL="114300" distR="114300" simplePos="0" relativeHeight="251658242" behindDoc="1" locked="0" layoutInCell="1" allowOverlap="1" wp14:anchorId="4A87A0A8" wp14:editId="502B187C">
                <wp:simplePos x="0" y="0"/>
                <wp:positionH relativeFrom="column">
                  <wp:posOffset>-1066487</wp:posOffset>
                </wp:positionH>
                <wp:positionV relativeFrom="paragraph">
                  <wp:posOffset>-1066487</wp:posOffset>
                </wp:positionV>
                <wp:extent cx="7534656" cy="10643616"/>
                <wp:effectExtent l="0" t="0" r="0" b="0"/>
                <wp:wrapNone/>
                <wp:docPr id="2090535322" name="Rectangle 1"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4656" cy="10643616"/>
                        </a:xfrm>
                        <a:prstGeom prst="rect">
                          <a:avLst/>
                        </a:prstGeom>
                        <a:solidFill>
                          <a:srgbClr val="4B4B4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478CD" id="Rectangle 1" o:spid="_x0000_s1026" alt="&quot;&quot;" style="position:absolute;margin-left:-84pt;margin-top:-84pt;width:593.3pt;height:838.1pt;z-index:-25165823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" fillcolor="#4b4b4b" strokecolor="#000c09 [484]" strokeweight="2pt"/>
            </w:pict>
          </mc:Fallback>
        </mc:AlternateContent>
      </w:r>
    </w:p>
    <w:p w14:paraId="17F39FFB" w14:textId="77777777" w:rsidR="00B1131E" w:rsidRPr="00E82F11" w:rsidRDefault="00B1131E" w:rsidP="003A5D8F">
      <w:pPr>
        <w:spacing w:before="180" w:line="276" w:lineRule="auto"/>
        <w:jc w:val="both"/>
        <w:rPr>
          <w:rFonts w:cs="Calibri Light"/>
          <w:color w:val="00573F" w:themeColor="accent1"/>
        </w:rPr>
      </w:pPr>
    </w:p>
    <w:p w14:paraId="784D23FE" w14:textId="77777777" w:rsidR="00B1131E" w:rsidRPr="00E82F11" w:rsidRDefault="00B1131E" w:rsidP="003A5D8F">
      <w:pPr>
        <w:spacing w:before="180" w:line="276" w:lineRule="auto"/>
        <w:jc w:val="both"/>
        <w:rPr>
          <w:rFonts w:cs="Calibri Light"/>
          <w:color w:val="00573F" w:themeColor="accent1"/>
        </w:rPr>
      </w:pPr>
    </w:p>
    <w:p w14:paraId="426AAFE0" w14:textId="77777777" w:rsidR="00B1131E" w:rsidRPr="00E82F11" w:rsidRDefault="00B1131E" w:rsidP="003A5D8F">
      <w:pPr>
        <w:spacing w:before="180" w:line="276" w:lineRule="auto"/>
        <w:jc w:val="both"/>
        <w:rPr>
          <w:rFonts w:cs="Calibri Light"/>
          <w:color w:val="00573F" w:themeColor="accent1"/>
        </w:rPr>
      </w:pPr>
    </w:p>
    <w:p w14:paraId="11E9EDBC" w14:textId="77777777" w:rsidR="00B1131E" w:rsidRPr="00E82F11" w:rsidRDefault="00B1131E" w:rsidP="003A5D8F">
      <w:pPr>
        <w:spacing w:before="180" w:line="276" w:lineRule="auto"/>
        <w:jc w:val="both"/>
        <w:rPr>
          <w:rFonts w:cs="Calibri Light"/>
          <w:color w:val="00573F" w:themeColor="accent1"/>
        </w:rPr>
      </w:pPr>
    </w:p>
    <w:p w14:paraId="5651F21A" w14:textId="77777777" w:rsidR="00B1131E" w:rsidRPr="00E82F11" w:rsidRDefault="00B1131E" w:rsidP="003A5D8F">
      <w:pPr>
        <w:spacing w:before="180" w:line="276" w:lineRule="auto"/>
        <w:jc w:val="both"/>
        <w:rPr>
          <w:rFonts w:cs="Calibri Light"/>
          <w:color w:val="00573F" w:themeColor="accent1"/>
        </w:rPr>
      </w:pPr>
    </w:p>
    <w:p w14:paraId="20C1C11D" w14:textId="27C8C968" w:rsidR="00B1131E" w:rsidRPr="009E55C1" w:rsidRDefault="00060F24" w:rsidP="00774CAE">
      <w:pPr>
        <w:ind w:left="-426" w:right="701"/>
        <w:outlineLvl w:val="0"/>
        <w:rPr>
          <w:rFonts w:asciiTheme="majorHAnsi" w:hAnsiTheme="majorHAnsi" w:cs="@MS PMincho"/>
          <w:sz w:val="64"/>
          <w:szCs w:val="64"/>
        </w:rPr>
      </w:pPr>
      <w:bookmarkStart w:id="0" w:name="_Toc171436626"/>
      <w:r w:rsidRPr="009E55C1">
        <w:rPr>
          <w:rFonts w:asciiTheme="majorHAnsi" w:hAnsiTheme="majorHAnsi" w:cs="@MS PMincho"/>
          <w:sz w:val="64"/>
          <w:szCs w:val="64"/>
        </w:rPr>
        <w:t>Remuneration bands for executives employed in public service bodies (Victoria) Annual Adjustment</w:t>
      </w:r>
      <w:r w:rsidR="002D30B5" w:rsidRPr="009E55C1">
        <w:rPr>
          <w:rFonts w:asciiTheme="majorHAnsi" w:hAnsiTheme="majorHAnsi" w:cs="@MS PMincho"/>
          <w:sz w:val="64"/>
          <w:szCs w:val="64"/>
        </w:rPr>
        <w:t xml:space="preserve"> Determination </w:t>
      </w:r>
      <w:r w:rsidR="002D30B5" w:rsidRPr="009E55C1">
        <w:rPr>
          <w:rFonts w:asciiTheme="majorHAnsi" w:hAnsiTheme="majorHAnsi" w:cs="@MS PMincho"/>
          <w:sz w:val="64"/>
          <w:szCs w:val="64"/>
        </w:rPr>
        <w:br/>
      </w:r>
      <w:bookmarkEnd w:id="0"/>
      <w:r w:rsidRPr="009E55C1">
        <w:rPr>
          <w:rFonts w:asciiTheme="majorHAnsi" w:hAnsiTheme="majorHAnsi" w:cs="@MS PMincho"/>
          <w:sz w:val="64"/>
          <w:szCs w:val="64"/>
        </w:rPr>
        <w:t>2025</w:t>
      </w:r>
    </w:p>
    <w:p w14:paraId="441A3E11" w14:textId="77777777" w:rsidR="00B1131E" w:rsidRPr="009E55C1" w:rsidRDefault="00B1131E" w:rsidP="00774CAE"/>
    <w:p w14:paraId="3DCBE56C" w14:textId="77777777" w:rsidR="00B1131E" w:rsidRPr="009E55C1" w:rsidRDefault="00B1131E" w:rsidP="00774CAE"/>
    <w:p w14:paraId="522D3281" w14:textId="77777777" w:rsidR="00B1131E" w:rsidRPr="009E55C1" w:rsidRDefault="00B1131E" w:rsidP="00774CAE">
      <w:pPr>
        <w:ind w:left="-426" w:right="701"/>
        <w:outlineLvl w:val="0"/>
        <w:rPr>
          <w:rFonts w:asciiTheme="majorHAnsi" w:hAnsiTheme="majorHAnsi" w:cs="@MS PMincho"/>
          <w:sz w:val="52"/>
          <w:szCs w:val="52"/>
        </w:rPr>
      </w:pPr>
      <w:bookmarkStart w:id="1" w:name="_Toc171436627"/>
      <w:r w:rsidRPr="009E55C1">
        <w:rPr>
          <w:rFonts w:asciiTheme="majorHAnsi" w:hAnsiTheme="majorHAnsi" w:cs="@MS PMincho"/>
          <w:sz w:val="52"/>
          <w:szCs w:val="52"/>
        </w:rPr>
        <w:t>Statement of Reasons</w:t>
      </w:r>
      <w:bookmarkEnd w:id="1"/>
    </w:p>
    <w:p w14:paraId="2AF769A3" w14:textId="77777777" w:rsidR="00B1131E" w:rsidRPr="00E82F11" w:rsidRDefault="00B1131E" w:rsidP="003A5D8F">
      <w:pPr>
        <w:ind w:left="-426" w:right="701"/>
        <w:outlineLvl w:val="0"/>
        <w:rPr>
          <w:rFonts w:asciiTheme="minorHAnsi" w:hAnsiTheme="minorHAnsi" w:cs="@MS PMincho"/>
          <w:color w:val="00573F" w:themeColor="accent1"/>
          <w:sz w:val="56"/>
          <w:szCs w:val="56"/>
        </w:rPr>
      </w:pPr>
    </w:p>
    <w:p w14:paraId="709C65D5" w14:textId="77777777" w:rsidR="00B1131E" w:rsidRPr="00B04C96" w:rsidRDefault="00B1131E" w:rsidP="003A5D8F">
      <w:pPr>
        <w:ind w:left="-426" w:right="701"/>
        <w:outlineLvl w:val="0"/>
        <w:rPr>
          <w:rFonts w:asciiTheme="minorHAnsi" w:hAnsiTheme="minorHAnsi" w:cs="@MS PMincho"/>
          <w:color w:val="FFFFFF" w:themeColor="background1"/>
          <w:sz w:val="56"/>
          <w:szCs w:val="56"/>
        </w:rPr>
        <w:sectPr w:rsidR="00B1131E" w:rsidRPr="00B04C96" w:rsidSect="00DB7769">
          <w:headerReference w:type="even" r:id="rId12"/>
          <w:footerReference w:type="default" r:id="rId13"/>
          <w:headerReference w:type="first" r:id="rId14"/>
          <w:pgSz w:w="11906" w:h="16838"/>
          <w:pgMar w:top="1701" w:right="1701" w:bottom="1134" w:left="1701" w:header="425" w:footer="709" w:gutter="0"/>
          <w:pgNumType w:start="1"/>
          <w:cols w:space="282"/>
          <w:docGrid w:linePitch="360"/>
        </w:sectPr>
      </w:pPr>
    </w:p>
    <w:p w14:paraId="3AFB917E" w14:textId="77777777" w:rsidR="002D6E19" w:rsidRDefault="002D6E19" w:rsidP="00E92640">
      <w:pPr>
        <w:rPr>
          <w:b/>
          <w:bCs/>
          <w:szCs w:val="72"/>
        </w:rPr>
      </w:pPr>
      <w:bookmarkStart w:id="2" w:name="_Toc95484857"/>
      <w:bookmarkStart w:id="3" w:name="_Toc95485126"/>
      <w:bookmarkStart w:id="4" w:name="_Toc95488103"/>
      <w:bookmarkStart w:id="5" w:name="_Toc95488209"/>
      <w:bookmarkStart w:id="6" w:name="_Toc96353782"/>
      <w:bookmarkStart w:id="7" w:name="_Toc96429461"/>
      <w:bookmarkStart w:id="8" w:name="_Toc97105409"/>
      <w:bookmarkStart w:id="9" w:name="_Toc97282687"/>
      <w:bookmarkStart w:id="10" w:name="_Toc97728583"/>
      <w:r w:rsidRPr="007F4324">
        <w:rPr>
          <w:noProof/>
          <w:lang w:eastAsia="en-AU"/>
        </w:rPr>
        <w:lastRenderedPageBreak/>
        <w:drawing>
          <wp:anchor distT="0" distB="0" distL="114300" distR="114300" simplePos="0" relativeHeight="251658240" behindDoc="1" locked="0" layoutInCell="1" allowOverlap="1" wp14:anchorId="03BA876C" wp14:editId="25E9E65E">
            <wp:simplePos x="0" y="0"/>
            <wp:positionH relativeFrom="page">
              <wp:posOffset>5048250</wp:posOffset>
            </wp:positionH>
            <wp:positionV relativeFrom="page">
              <wp:posOffset>2867025</wp:posOffset>
            </wp:positionV>
            <wp:extent cx="2188210" cy="13964285"/>
            <wp:effectExtent l="0" t="0" r="2540" b="0"/>
            <wp:wrapNone/>
            <wp:docPr id="242" name="Picture 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188210" cy="139642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bookmarkEnd w:id="2"/>
    <w:bookmarkEnd w:id="3"/>
    <w:bookmarkEnd w:id="4"/>
    <w:bookmarkEnd w:id="5"/>
    <w:bookmarkEnd w:id="6"/>
    <w:bookmarkEnd w:id="7"/>
    <w:bookmarkEnd w:id="8"/>
    <w:bookmarkEnd w:id="9"/>
    <w:bookmarkEnd w:id="10"/>
    <w:p w14:paraId="60096504" w14:textId="77777777" w:rsidR="00B1131E" w:rsidRDefault="00B1131E" w:rsidP="00E92640">
      <w:pPr>
        <w:rPr>
          <w:szCs w:val="72"/>
        </w:rPr>
        <w:sectPr w:rsidR="00B1131E" w:rsidSect="00DB7769">
          <w:pgSz w:w="11906" w:h="16838"/>
          <w:pgMar w:top="1701" w:right="1701" w:bottom="1134" w:left="1701" w:header="425" w:footer="709" w:gutter="0"/>
          <w:cols w:space="282"/>
          <w:docGrid w:linePitch="360"/>
        </w:sectPr>
      </w:pPr>
    </w:p>
    <w:p w14:paraId="637526EA" w14:textId="77777777" w:rsidR="00184C12" w:rsidRDefault="00B1131E" w:rsidP="00E42EF1">
      <w:pPr>
        <w:pStyle w:val="Contentsheading"/>
      </w:pPr>
      <w:bookmarkStart w:id="11" w:name="_Toc97728584"/>
      <w:r w:rsidRPr="00095899">
        <w:lastRenderedPageBreak/>
        <w:t>Contents</w:t>
      </w:r>
    </w:p>
    <w:p w14:paraId="2062BE65" w14:textId="77777777" w:rsidR="00B1131E" w:rsidRDefault="00B1131E" w:rsidP="00184C12">
      <w:pPr>
        <w:pStyle w:val="05Paragraph"/>
      </w:pPr>
      <w:r w:rsidRPr="00C02C39">
        <w:rPr>
          <w:noProof/>
        </w:rPr>
        <w:drawing>
          <wp:inline distT="0" distB="0" distL="0" distR="0" wp14:anchorId="19377D77" wp14:editId="00D5057E">
            <wp:extent cx="2222500" cy="253365"/>
            <wp:effectExtent l="0" t="0" r="6350" b="0"/>
            <wp:docPr id="29"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6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11"/>
    </w:p>
    <w:bookmarkStart w:id="12" w:name="_Toc97728585"/>
    <w:p w14:paraId="6EE34642" w14:textId="4279B6CA" w:rsidR="00DF4C45" w:rsidRDefault="00E25B8A">
      <w:pPr>
        <w:pStyle w:val="TOC1"/>
        <w:rPr>
          <w:rFonts w:asciiTheme="minorHAnsi" w:eastAsiaTheme="minorEastAsia" w:hAnsiTheme="minorHAnsi" w:cstheme="minorBidi"/>
          <w:b w:val="0"/>
          <w:color w:val="auto"/>
          <w:kern w:val="2"/>
          <w:sz w:val="24"/>
          <w:szCs w:val="24"/>
          <w14:ligatures w14:val="standardContextual"/>
        </w:rPr>
      </w:pPr>
      <w:r>
        <w:fldChar w:fldCharType="begin"/>
      </w:r>
      <w:r>
        <w:instrText xml:space="preserve"> TOC \o "2-2" \h \z \t "Heading 1,1,Heading 3,3,01. Chapter heading,1" </w:instrText>
      </w:r>
      <w:r>
        <w:fldChar w:fldCharType="separate"/>
      </w:r>
      <w:hyperlink w:anchor="_Toc209438880" w:history="1">
        <w:r w:rsidR="00DF4C45" w:rsidRPr="00021A32">
          <w:rPr>
            <w:rStyle w:val="Hyperlink"/>
          </w:rPr>
          <w:t>Abbreviations and glossary</w:t>
        </w:r>
        <w:r w:rsidR="00DF4C45">
          <w:rPr>
            <w:webHidden/>
          </w:rPr>
          <w:tab/>
        </w:r>
        <w:r w:rsidR="00DF4C45">
          <w:rPr>
            <w:webHidden/>
          </w:rPr>
          <w:fldChar w:fldCharType="begin"/>
        </w:r>
        <w:r w:rsidR="00DF4C45">
          <w:rPr>
            <w:webHidden/>
          </w:rPr>
          <w:instrText xml:space="preserve"> PAGEREF _Toc209438880 \h </w:instrText>
        </w:r>
        <w:r w:rsidR="00DF4C45">
          <w:rPr>
            <w:webHidden/>
          </w:rPr>
        </w:r>
        <w:r w:rsidR="00DF4C45">
          <w:rPr>
            <w:webHidden/>
          </w:rPr>
          <w:fldChar w:fldCharType="separate"/>
        </w:r>
        <w:r w:rsidR="00DF4C45">
          <w:rPr>
            <w:webHidden/>
          </w:rPr>
          <w:t>2</w:t>
        </w:r>
        <w:r w:rsidR="00DF4C45">
          <w:rPr>
            <w:webHidden/>
          </w:rPr>
          <w:fldChar w:fldCharType="end"/>
        </w:r>
      </w:hyperlink>
    </w:p>
    <w:p w14:paraId="200B3915" w14:textId="3498844A" w:rsidR="00DF4C45" w:rsidRDefault="00DF4C45">
      <w:pPr>
        <w:pStyle w:val="TOC1"/>
        <w:rPr>
          <w:rFonts w:asciiTheme="minorHAnsi" w:eastAsiaTheme="minorEastAsia" w:hAnsiTheme="minorHAnsi" w:cstheme="minorBidi"/>
          <w:b w:val="0"/>
          <w:color w:val="auto"/>
          <w:kern w:val="2"/>
          <w:sz w:val="24"/>
          <w:szCs w:val="24"/>
          <w14:ligatures w14:val="standardContextual"/>
        </w:rPr>
      </w:pPr>
      <w:hyperlink w:anchor="_Toc209438881" w:history="1">
        <w:r w:rsidRPr="00021A32">
          <w:rPr>
            <w:rStyle w:val="Hyperlink"/>
          </w:rPr>
          <w:t>Summary</w:t>
        </w:r>
        <w:r>
          <w:rPr>
            <w:webHidden/>
          </w:rPr>
          <w:tab/>
        </w:r>
        <w:r>
          <w:rPr>
            <w:webHidden/>
          </w:rPr>
          <w:fldChar w:fldCharType="begin"/>
        </w:r>
        <w:r>
          <w:rPr>
            <w:webHidden/>
          </w:rPr>
          <w:instrText xml:space="preserve"> PAGEREF _Toc209438881 \h </w:instrText>
        </w:r>
        <w:r>
          <w:rPr>
            <w:webHidden/>
          </w:rPr>
        </w:r>
        <w:r>
          <w:rPr>
            <w:webHidden/>
          </w:rPr>
          <w:fldChar w:fldCharType="separate"/>
        </w:r>
        <w:r>
          <w:rPr>
            <w:webHidden/>
          </w:rPr>
          <w:t>4</w:t>
        </w:r>
        <w:r>
          <w:rPr>
            <w:webHidden/>
          </w:rPr>
          <w:fldChar w:fldCharType="end"/>
        </w:r>
      </w:hyperlink>
    </w:p>
    <w:p w14:paraId="69998BB4" w14:textId="5FBD1540" w:rsidR="00DF4C45" w:rsidRDefault="00DF4C45">
      <w:pPr>
        <w:pStyle w:val="TOC1"/>
        <w:rPr>
          <w:rFonts w:asciiTheme="minorHAnsi" w:eastAsiaTheme="minorEastAsia" w:hAnsiTheme="minorHAnsi" w:cstheme="minorBidi"/>
          <w:b w:val="0"/>
          <w:color w:val="auto"/>
          <w:kern w:val="2"/>
          <w:sz w:val="24"/>
          <w:szCs w:val="24"/>
          <w14:ligatures w14:val="standardContextual"/>
        </w:rPr>
      </w:pPr>
      <w:hyperlink w:anchor="_Toc209438882" w:history="1">
        <w:r w:rsidRPr="00021A32">
          <w:rPr>
            <w:rStyle w:val="Hyperlink"/>
          </w:rPr>
          <w:t>1</w:t>
        </w:r>
        <w:r>
          <w:rPr>
            <w:rFonts w:asciiTheme="minorHAnsi" w:eastAsiaTheme="minorEastAsia" w:hAnsiTheme="minorHAnsi" w:cstheme="minorBidi"/>
            <w:b w:val="0"/>
            <w:color w:val="auto"/>
            <w:kern w:val="2"/>
            <w:sz w:val="24"/>
            <w:szCs w:val="24"/>
            <w14:ligatures w14:val="standardContextual"/>
          </w:rPr>
          <w:tab/>
        </w:r>
        <w:r w:rsidRPr="00021A32">
          <w:rPr>
            <w:rStyle w:val="Hyperlink"/>
          </w:rPr>
          <w:t>Context</w:t>
        </w:r>
        <w:r>
          <w:rPr>
            <w:webHidden/>
          </w:rPr>
          <w:tab/>
        </w:r>
        <w:r>
          <w:rPr>
            <w:webHidden/>
          </w:rPr>
          <w:fldChar w:fldCharType="begin"/>
        </w:r>
        <w:r>
          <w:rPr>
            <w:webHidden/>
          </w:rPr>
          <w:instrText xml:space="preserve"> PAGEREF _Toc209438882 \h </w:instrText>
        </w:r>
        <w:r>
          <w:rPr>
            <w:webHidden/>
          </w:rPr>
        </w:r>
        <w:r>
          <w:rPr>
            <w:webHidden/>
          </w:rPr>
          <w:fldChar w:fldCharType="separate"/>
        </w:r>
        <w:r>
          <w:rPr>
            <w:webHidden/>
          </w:rPr>
          <w:t>6</w:t>
        </w:r>
        <w:r>
          <w:rPr>
            <w:webHidden/>
          </w:rPr>
          <w:fldChar w:fldCharType="end"/>
        </w:r>
      </w:hyperlink>
    </w:p>
    <w:p w14:paraId="4291779E" w14:textId="393E0823" w:rsidR="00DF4C45" w:rsidRDefault="00DF4C45">
      <w:pPr>
        <w:pStyle w:val="TOC2"/>
      </w:pPr>
      <w:hyperlink w:anchor="_Toc209438883" w:history="1">
        <w:r w:rsidRPr="00021A32">
          <w:rPr>
            <w:rStyle w:val="Hyperlink"/>
          </w:rPr>
          <w:t xml:space="preserve">1.1 </w:t>
        </w:r>
        <w:r>
          <w:tab/>
        </w:r>
        <w:r w:rsidRPr="00021A32">
          <w:rPr>
            <w:rStyle w:val="Hyperlink"/>
          </w:rPr>
          <w:t>The Tribunal’s approach</w:t>
        </w:r>
        <w:r>
          <w:rPr>
            <w:webHidden/>
          </w:rPr>
          <w:tab/>
        </w:r>
        <w:r>
          <w:rPr>
            <w:webHidden/>
          </w:rPr>
          <w:fldChar w:fldCharType="begin"/>
        </w:r>
        <w:r>
          <w:rPr>
            <w:webHidden/>
          </w:rPr>
          <w:instrText xml:space="preserve"> PAGEREF _Toc209438883 \h </w:instrText>
        </w:r>
        <w:r>
          <w:rPr>
            <w:webHidden/>
          </w:rPr>
        </w:r>
        <w:r>
          <w:rPr>
            <w:webHidden/>
          </w:rPr>
          <w:fldChar w:fldCharType="separate"/>
        </w:r>
        <w:r>
          <w:rPr>
            <w:webHidden/>
          </w:rPr>
          <w:t>6</w:t>
        </w:r>
        <w:r>
          <w:rPr>
            <w:webHidden/>
          </w:rPr>
          <w:fldChar w:fldCharType="end"/>
        </w:r>
      </w:hyperlink>
    </w:p>
    <w:p w14:paraId="61A6D292" w14:textId="53183954" w:rsidR="00DF4C45" w:rsidRDefault="00DF4C45">
      <w:pPr>
        <w:pStyle w:val="TOC1"/>
        <w:rPr>
          <w:rFonts w:asciiTheme="minorHAnsi" w:eastAsiaTheme="minorEastAsia" w:hAnsiTheme="minorHAnsi" w:cstheme="minorBidi"/>
          <w:b w:val="0"/>
          <w:color w:val="auto"/>
          <w:kern w:val="2"/>
          <w:sz w:val="24"/>
          <w:szCs w:val="24"/>
          <w14:ligatures w14:val="standardContextual"/>
        </w:rPr>
      </w:pPr>
      <w:hyperlink w:anchor="_Toc209438884" w:history="1">
        <w:r w:rsidRPr="00021A32">
          <w:rPr>
            <w:rStyle w:val="Hyperlink"/>
          </w:rPr>
          <w:t>2</w:t>
        </w:r>
        <w:r>
          <w:rPr>
            <w:rFonts w:asciiTheme="minorHAnsi" w:eastAsiaTheme="minorEastAsia" w:hAnsiTheme="minorHAnsi" w:cstheme="minorBidi"/>
            <w:b w:val="0"/>
            <w:color w:val="auto"/>
            <w:kern w:val="2"/>
            <w:sz w:val="24"/>
            <w:szCs w:val="24"/>
            <w14:ligatures w14:val="standardContextual"/>
          </w:rPr>
          <w:tab/>
        </w:r>
        <w:r w:rsidRPr="00021A32">
          <w:rPr>
            <w:rStyle w:val="Hyperlink"/>
          </w:rPr>
          <w:t>Factors considered</w:t>
        </w:r>
        <w:r>
          <w:rPr>
            <w:webHidden/>
          </w:rPr>
          <w:tab/>
        </w:r>
        <w:r>
          <w:rPr>
            <w:webHidden/>
          </w:rPr>
          <w:fldChar w:fldCharType="begin"/>
        </w:r>
        <w:r>
          <w:rPr>
            <w:webHidden/>
          </w:rPr>
          <w:instrText xml:space="preserve"> PAGEREF _Toc209438884 \h </w:instrText>
        </w:r>
        <w:r>
          <w:rPr>
            <w:webHidden/>
          </w:rPr>
        </w:r>
        <w:r>
          <w:rPr>
            <w:webHidden/>
          </w:rPr>
          <w:fldChar w:fldCharType="separate"/>
        </w:r>
        <w:r>
          <w:rPr>
            <w:webHidden/>
          </w:rPr>
          <w:t>8</w:t>
        </w:r>
        <w:r>
          <w:rPr>
            <w:webHidden/>
          </w:rPr>
          <w:fldChar w:fldCharType="end"/>
        </w:r>
      </w:hyperlink>
    </w:p>
    <w:p w14:paraId="57E913A3" w14:textId="64AF7C16" w:rsidR="00DF4C45" w:rsidRDefault="00DF4C45">
      <w:pPr>
        <w:pStyle w:val="TOC2"/>
      </w:pPr>
      <w:hyperlink w:anchor="_Toc209438885" w:history="1">
        <w:r w:rsidRPr="00021A32">
          <w:rPr>
            <w:rStyle w:val="Hyperlink"/>
          </w:rPr>
          <w:t>2.1</w:t>
        </w:r>
        <w:r>
          <w:tab/>
        </w:r>
        <w:r w:rsidRPr="00021A32">
          <w:rPr>
            <w:rStyle w:val="Hyperlink"/>
          </w:rPr>
          <w:t>Wages Policy</w:t>
        </w:r>
        <w:r>
          <w:rPr>
            <w:webHidden/>
          </w:rPr>
          <w:tab/>
        </w:r>
        <w:r>
          <w:rPr>
            <w:webHidden/>
          </w:rPr>
          <w:fldChar w:fldCharType="begin"/>
        </w:r>
        <w:r>
          <w:rPr>
            <w:webHidden/>
          </w:rPr>
          <w:instrText xml:space="preserve"> PAGEREF _Toc209438885 \h </w:instrText>
        </w:r>
        <w:r>
          <w:rPr>
            <w:webHidden/>
          </w:rPr>
        </w:r>
        <w:r>
          <w:rPr>
            <w:webHidden/>
          </w:rPr>
          <w:fldChar w:fldCharType="separate"/>
        </w:r>
        <w:r>
          <w:rPr>
            <w:webHidden/>
          </w:rPr>
          <w:t>8</w:t>
        </w:r>
        <w:r>
          <w:rPr>
            <w:webHidden/>
          </w:rPr>
          <w:fldChar w:fldCharType="end"/>
        </w:r>
      </w:hyperlink>
    </w:p>
    <w:p w14:paraId="23A343EF" w14:textId="7826EFAA" w:rsidR="00DF4C45" w:rsidRDefault="00DF4C45">
      <w:pPr>
        <w:pStyle w:val="TOC2"/>
      </w:pPr>
      <w:hyperlink w:anchor="_Toc209438886" w:history="1">
        <w:r w:rsidRPr="00021A32">
          <w:rPr>
            <w:rStyle w:val="Hyperlink"/>
          </w:rPr>
          <w:t>2.2</w:t>
        </w:r>
        <w:r>
          <w:tab/>
        </w:r>
        <w:r w:rsidRPr="00021A32">
          <w:rPr>
            <w:rStyle w:val="Hyperlink"/>
          </w:rPr>
          <w:t>Executive employment and remuneration policies</w:t>
        </w:r>
        <w:r>
          <w:rPr>
            <w:webHidden/>
          </w:rPr>
          <w:tab/>
        </w:r>
        <w:r>
          <w:rPr>
            <w:webHidden/>
          </w:rPr>
          <w:fldChar w:fldCharType="begin"/>
        </w:r>
        <w:r>
          <w:rPr>
            <w:webHidden/>
          </w:rPr>
          <w:instrText xml:space="preserve"> PAGEREF _Toc209438886 \h </w:instrText>
        </w:r>
        <w:r>
          <w:rPr>
            <w:webHidden/>
          </w:rPr>
        </w:r>
        <w:r>
          <w:rPr>
            <w:webHidden/>
          </w:rPr>
          <w:fldChar w:fldCharType="separate"/>
        </w:r>
        <w:r>
          <w:rPr>
            <w:webHidden/>
          </w:rPr>
          <w:t>9</w:t>
        </w:r>
        <w:r>
          <w:rPr>
            <w:webHidden/>
          </w:rPr>
          <w:fldChar w:fldCharType="end"/>
        </w:r>
      </w:hyperlink>
    </w:p>
    <w:p w14:paraId="4971FAFF" w14:textId="14938634" w:rsidR="00DF4C45" w:rsidRDefault="00DF4C45">
      <w:pPr>
        <w:pStyle w:val="TOC2"/>
      </w:pPr>
      <w:hyperlink w:anchor="_Toc209438887" w:history="1">
        <w:r w:rsidRPr="00021A32">
          <w:rPr>
            <w:rStyle w:val="Hyperlink"/>
          </w:rPr>
          <w:t>2.3</w:t>
        </w:r>
        <w:r>
          <w:tab/>
        </w:r>
        <w:r w:rsidRPr="00021A32">
          <w:rPr>
            <w:rStyle w:val="Hyperlink"/>
          </w:rPr>
          <w:t xml:space="preserve">Financial position and fiscal strategy of the State of Victoria </w:t>
        </w:r>
        <w:r>
          <w:rPr>
            <w:webHidden/>
          </w:rPr>
          <w:tab/>
        </w:r>
        <w:r>
          <w:rPr>
            <w:webHidden/>
          </w:rPr>
          <w:fldChar w:fldCharType="begin"/>
        </w:r>
        <w:r>
          <w:rPr>
            <w:webHidden/>
          </w:rPr>
          <w:instrText xml:space="preserve"> PAGEREF _Toc209438887 \h </w:instrText>
        </w:r>
        <w:r>
          <w:rPr>
            <w:webHidden/>
          </w:rPr>
        </w:r>
        <w:r>
          <w:rPr>
            <w:webHidden/>
          </w:rPr>
          <w:fldChar w:fldCharType="separate"/>
        </w:r>
        <w:r>
          <w:rPr>
            <w:webHidden/>
          </w:rPr>
          <w:t>11</w:t>
        </w:r>
        <w:r>
          <w:rPr>
            <w:webHidden/>
          </w:rPr>
          <w:fldChar w:fldCharType="end"/>
        </w:r>
      </w:hyperlink>
    </w:p>
    <w:p w14:paraId="34B6D3F1" w14:textId="08843E01" w:rsidR="00DF4C45" w:rsidRDefault="00DF4C45">
      <w:pPr>
        <w:pStyle w:val="TOC2"/>
      </w:pPr>
      <w:hyperlink w:anchor="_Toc209438888" w:history="1">
        <w:r w:rsidRPr="00021A32">
          <w:rPr>
            <w:rStyle w:val="Hyperlink"/>
          </w:rPr>
          <w:t>2.4</w:t>
        </w:r>
        <w:r>
          <w:tab/>
        </w:r>
        <w:r w:rsidRPr="00021A32">
          <w:rPr>
            <w:rStyle w:val="Hyperlink"/>
          </w:rPr>
          <w:t>Current and projected economic conditions and trends</w:t>
        </w:r>
        <w:r>
          <w:rPr>
            <w:webHidden/>
          </w:rPr>
          <w:tab/>
        </w:r>
        <w:r>
          <w:rPr>
            <w:webHidden/>
          </w:rPr>
          <w:fldChar w:fldCharType="begin"/>
        </w:r>
        <w:r>
          <w:rPr>
            <w:webHidden/>
          </w:rPr>
          <w:instrText xml:space="preserve"> PAGEREF _Toc209438888 \h </w:instrText>
        </w:r>
        <w:r>
          <w:rPr>
            <w:webHidden/>
          </w:rPr>
        </w:r>
        <w:r>
          <w:rPr>
            <w:webHidden/>
          </w:rPr>
          <w:fldChar w:fldCharType="separate"/>
        </w:r>
        <w:r>
          <w:rPr>
            <w:webHidden/>
          </w:rPr>
          <w:t>12</w:t>
        </w:r>
        <w:r>
          <w:rPr>
            <w:webHidden/>
          </w:rPr>
          <w:fldChar w:fldCharType="end"/>
        </w:r>
      </w:hyperlink>
    </w:p>
    <w:p w14:paraId="64ED8D14" w14:textId="6B8E826E" w:rsidR="00DF4C45" w:rsidRDefault="00DF4C45">
      <w:pPr>
        <w:pStyle w:val="TOC2"/>
      </w:pPr>
      <w:hyperlink w:anchor="_Toc209438889" w:history="1">
        <w:r w:rsidRPr="00021A32">
          <w:rPr>
            <w:rStyle w:val="Hyperlink"/>
          </w:rPr>
          <w:t>2.5</w:t>
        </w:r>
        <w:r>
          <w:tab/>
        </w:r>
        <w:r w:rsidRPr="00021A32">
          <w:rPr>
            <w:rStyle w:val="Hyperlink"/>
          </w:rPr>
          <w:t>Matters raised in submissions</w:t>
        </w:r>
        <w:r>
          <w:rPr>
            <w:webHidden/>
          </w:rPr>
          <w:tab/>
        </w:r>
        <w:r>
          <w:rPr>
            <w:webHidden/>
          </w:rPr>
          <w:fldChar w:fldCharType="begin"/>
        </w:r>
        <w:r>
          <w:rPr>
            <w:webHidden/>
          </w:rPr>
          <w:instrText xml:space="preserve"> PAGEREF _Toc209438889 \h </w:instrText>
        </w:r>
        <w:r>
          <w:rPr>
            <w:webHidden/>
          </w:rPr>
        </w:r>
        <w:r>
          <w:rPr>
            <w:webHidden/>
          </w:rPr>
          <w:fldChar w:fldCharType="separate"/>
        </w:r>
        <w:r>
          <w:rPr>
            <w:webHidden/>
          </w:rPr>
          <w:t>15</w:t>
        </w:r>
        <w:r>
          <w:rPr>
            <w:webHidden/>
          </w:rPr>
          <w:fldChar w:fldCharType="end"/>
        </w:r>
      </w:hyperlink>
    </w:p>
    <w:p w14:paraId="084A31E1" w14:textId="78942318" w:rsidR="00DF4C45" w:rsidRDefault="00DF4C45">
      <w:pPr>
        <w:pStyle w:val="TOC2"/>
      </w:pPr>
      <w:hyperlink w:anchor="_Toc209438890" w:history="1">
        <w:r w:rsidRPr="00021A32">
          <w:rPr>
            <w:rStyle w:val="Hyperlink"/>
          </w:rPr>
          <w:t>2.6</w:t>
        </w:r>
        <w:r>
          <w:tab/>
        </w:r>
        <w:r w:rsidRPr="00021A32">
          <w:rPr>
            <w:rStyle w:val="Hyperlink"/>
          </w:rPr>
          <w:t>Other relevant considerations</w:t>
        </w:r>
        <w:r>
          <w:rPr>
            <w:webHidden/>
          </w:rPr>
          <w:tab/>
        </w:r>
        <w:r>
          <w:rPr>
            <w:webHidden/>
          </w:rPr>
          <w:fldChar w:fldCharType="begin"/>
        </w:r>
        <w:r>
          <w:rPr>
            <w:webHidden/>
          </w:rPr>
          <w:instrText xml:space="preserve"> PAGEREF _Toc209438890 \h </w:instrText>
        </w:r>
        <w:r>
          <w:rPr>
            <w:webHidden/>
          </w:rPr>
        </w:r>
        <w:r>
          <w:rPr>
            <w:webHidden/>
          </w:rPr>
          <w:fldChar w:fldCharType="separate"/>
        </w:r>
        <w:r>
          <w:rPr>
            <w:webHidden/>
          </w:rPr>
          <w:t>16</w:t>
        </w:r>
        <w:r>
          <w:rPr>
            <w:webHidden/>
          </w:rPr>
          <w:fldChar w:fldCharType="end"/>
        </w:r>
      </w:hyperlink>
    </w:p>
    <w:p w14:paraId="216830A6" w14:textId="0AE2E575" w:rsidR="00DF4C45" w:rsidRDefault="00DF4C45">
      <w:pPr>
        <w:pStyle w:val="TOC1"/>
        <w:rPr>
          <w:rFonts w:asciiTheme="minorHAnsi" w:eastAsiaTheme="minorEastAsia" w:hAnsiTheme="minorHAnsi" w:cstheme="minorBidi"/>
          <w:b w:val="0"/>
          <w:color w:val="auto"/>
          <w:kern w:val="2"/>
          <w:sz w:val="24"/>
          <w:szCs w:val="24"/>
          <w14:ligatures w14:val="standardContextual"/>
        </w:rPr>
      </w:pPr>
      <w:hyperlink w:anchor="_Toc209438891" w:history="1">
        <w:r w:rsidRPr="00021A32">
          <w:rPr>
            <w:rStyle w:val="Hyperlink"/>
          </w:rPr>
          <w:t>3</w:t>
        </w:r>
        <w:r>
          <w:rPr>
            <w:rFonts w:asciiTheme="minorHAnsi" w:eastAsiaTheme="minorEastAsia" w:hAnsiTheme="minorHAnsi" w:cstheme="minorBidi"/>
            <w:b w:val="0"/>
            <w:color w:val="auto"/>
            <w:kern w:val="2"/>
            <w:sz w:val="24"/>
            <w:szCs w:val="24"/>
            <w14:ligatures w14:val="standardContextual"/>
          </w:rPr>
          <w:tab/>
        </w:r>
        <w:r w:rsidRPr="00021A32">
          <w:rPr>
            <w:rStyle w:val="Hyperlink"/>
          </w:rPr>
          <w:t>Tribunal’s decisions</w:t>
        </w:r>
        <w:r>
          <w:rPr>
            <w:webHidden/>
          </w:rPr>
          <w:tab/>
        </w:r>
        <w:r>
          <w:rPr>
            <w:webHidden/>
          </w:rPr>
          <w:fldChar w:fldCharType="begin"/>
        </w:r>
        <w:r>
          <w:rPr>
            <w:webHidden/>
          </w:rPr>
          <w:instrText xml:space="preserve"> PAGEREF _Toc209438891 \h </w:instrText>
        </w:r>
        <w:r>
          <w:rPr>
            <w:webHidden/>
          </w:rPr>
        </w:r>
        <w:r>
          <w:rPr>
            <w:webHidden/>
          </w:rPr>
          <w:fldChar w:fldCharType="separate"/>
        </w:r>
        <w:r>
          <w:rPr>
            <w:webHidden/>
          </w:rPr>
          <w:t>18</w:t>
        </w:r>
        <w:r>
          <w:rPr>
            <w:webHidden/>
          </w:rPr>
          <w:fldChar w:fldCharType="end"/>
        </w:r>
      </w:hyperlink>
    </w:p>
    <w:p w14:paraId="351F14B7" w14:textId="5CB94442" w:rsidR="00DF4C45" w:rsidRDefault="00DF4C45">
      <w:pPr>
        <w:pStyle w:val="TOC2"/>
      </w:pPr>
      <w:hyperlink w:anchor="_Toc209438892" w:history="1">
        <w:r w:rsidRPr="00021A32">
          <w:rPr>
            <w:rStyle w:val="Hyperlink"/>
          </w:rPr>
          <w:t>3.1</w:t>
        </w:r>
        <w:r>
          <w:tab/>
        </w:r>
        <w:r w:rsidRPr="00021A32">
          <w:rPr>
            <w:rStyle w:val="Hyperlink"/>
          </w:rPr>
          <w:t>Factors supporting an increase in the values of the remuneration bands</w:t>
        </w:r>
        <w:r>
          <w:rPr>
            <w:webHidden/>
          </w:rPr>
          <w:tab/>
        </w:r>
        <w:r>
          <w:rPr>
            <w:webHidden/>
          </w:rPr>
          <w:fldChar w:fldCharType="begin"/>
        </w:r>
        <w:r>
          <w:rPr>
            <w:webHidden/>
          </w:rPr>
          <w:instrText xml:space="preserve"> PAGEREF _Toc209438892 \h </w:instrText>
        </w:r>
        <w:r>
          <w:rPr>
            <w:webHidden/>
          </w:rPr>
        </w:r>
        <w:r>
          <w:rPr>
            <w:webHidden/>
          </w:rPr>
          <w:fldChar w:fldCharType="separate"/>
        </w:r>
        <w:r>
          <w:rPr>
            <w:webHidden/>
          </w:rPr>
          <w:t>18</w:t>
        </w:r>
        <w:r>
          <w:rPr>
            <w:webHidden/>
          </w:rPr>
          <w:fldChar w:fldCharType="end"/>
        </w:r>
      </w:hyperlink>
    </w:p>
    <w:p w14:paraId="046A841B" w14:textId="26156ED8" w:rsidR="00DF4C45" w:rsidRDefault="00DF4C45">
      <w:pPr>
        <w:pStyle w:val="TOC2"/>
      </w:pPr>
      <w:hyperlink w:anchor="_Toc209438893" w:history="1">
        <w:r w:rsidRPr="00021A32">
          <w:rPr>
            <w:rStyle w:val="Hyperlink"/>
          </w:rPr>
          <w:t>3.2</w:t>
        </w:r>
        <w:r>
          <w:tab/>
        </w:r>
        <w:r w:rsidRPr="00021A32">
          <w:rPr>
            <w:rStyle w:val="Hyperlink"/>
          </w:rPr>
          <w:t>Salary component adjustments</w:t>
        </w:r>
        <w:r>
          <w:rPr>
            <w:webHidden/>
          </w:rPr>
          <w:tab/>
        </w:r>
        <w:r>
          <w:rPr>
            <w:webHidden/>
          </w:rPr>
          <w:fldChar w:fldCharType="begin"/>
        </w:r>
        <w:r>
          <w:rPr>
            <w:webHidden/>
          </w:rPr>
          <w:instrText xml:space="preserve"> PAGEREF _Toc209438893 \h </w:instrText>
        </w:r>
        <w:r>
          <w:rPr>
            <w:webHidden/>
          </w:rPr>
        </w:r>
        <w:r>
          <w:rPr>
            <w:webHidden/>
          </w:rPr>
          <w:fldChar w:fldCharType="separate"/>
        </w:r>
        <w:r>
          <w:rPr>
            <w:webHidden/>
          </w:rPr>
          <w:t>19</w:t>
        </w:r>
        <w:r>
          <w:rPr>
            <w:webHidden/>
          </w:rPr>
          <w:fldChar w:fldCharType="end"/>
        </w:r>
      </w:hyperlink>
    </w:p>
    <w:p w14:paraId="055AA833" w14:textId="7B97819A" w:rsidR="00DF4C45" w:rsidRDefault="00DF4C45">
      <w:pPr>
        <w:pStyle w:val="TOC2"/>
      </w:pPr>
      <w:hyperlink w:anchor="_Toc209438894" w:history="1">
        <w:r w:rsidRPr="00021A32">
          <w:rPr>
            <w:rStyle w:val="Hyperlink"/>
          </w:rPr>
          <w:t>3.3</w:t>
        </w:r>
        <w:r>
          <w:tab/>
        </w:r>
        <w:r w:rsidRPr="00021A32">
          <w:rPr>
            <w:rStyle w:val="Hyperlink"/>
          </w:rPr>
          <w:t>Superannuation component adjustments</w:t>
        </w:r>
        <w:r>
          <w:rPr>
            <w:webHidden/>
          </w:rPr>
          <w:tab/>
        </w:r>
        <w:r>
          <w:rPr>
            <w:webHidden/>
          </w:rPr>
          <w:fldChar w:fldCharType="begin"/>
        </w:r>
        <w:r>
          <w:rPr>
            <w:webHidden/>
          </w:rPr>
          <w:instrText xml:space="preserve"> PAGEREF _Toc209438894 \h </w:instrText>
        </w:r>
        <w:r>
          <w:rPr>
            <w:webHidden/>
          </w:rPr>
        </w:r>
        <w:r>
          <w:rPr>
            <w:webHidden/>
          </w:rPr>
          <w:fldChar w:fldCharType="separate"/>
        </w:r>
        <w:r>
          <w:rPr>
            <w:webHidden/>
          </w:rPr>
          <w:t>19</w:t>
        </w:r>
        <w:r>
          <w:rPr>
            <w:webHidden/>
          </w:rPr>
          <w:fldChar w:fldCharType="end"/>
        </w:r>
      </w:hyperlink>
    </w:p>
    <w:p w14:paraId="01F35C56" w14:textId="73770612" w:rsidR="00DF4C45" w:rsidRDefault="00DF4C45">
      <w:pPr>
        <w:pStyle w:val="TOC2"/>
      </w:pPr>
      <w:hyperlink w:anchor="_Toc209438895" w:history="1">
        <w:r w:rsidRPr="00021A32">
          <w:rPr>
            <w:rStyle w:val="Hyperlink"/>
          </w:rPr>
          <w:t>3.4</w:t>
        </w:r>
        <w:r>
          <w:tab/>
        </w:r>
        <w:r w:rsidRPr="00021A32">
          <w:rPr>
            <w:rStyle w:val="Hyperlink"/>
          </w:rPr>
          <w:t>Total adjustment to the remuneration bands</w:t>
        </w:r>
        <w:r>
          <w:rPr>
            <w:webHidden/>
          </w:rPr>
          <w:tab/>
        </w:r>
        <w:r>
          <w:rPr>
            <w:webHidden/>
          </w:rPr>
          <w:fldChar w:fldCharType="begin"/>
        </w:r>
        <w:r>
          <w:rPr>
            <w:webHidden/>
          </w:rPr>
          <w:instrText xml:space="preserve"> PAGEREF _Toc209438895 \h </w:instrText>
        </w:r>
        <w:r>
          <w:rPr>
            <w:webHidden/>
          </w:rPr>
        </w:r>
        <w:r>
          <w:rPr>
            <w:webHidden/>
          </w:rPr>
          <w:fldChar w:fldCharType="separate"/>
        </w:r>
        <w:r>
          <w:rPr>
            <w:webHidden/>
          </w:rPr>
          <w:t>21</w:t>
        </w:r>
        <w:r>
          <w:rPr>
            <w:webHidden/>
          </w:rPr>
          <w:fldChar w:fldCharType="end"/>
        </w:r>
      </w:hyperlink>
    </w:p>
    <w:p w14:paraId="7029FE5F" w14:textId="45C32F6D" w:rsidR="00DF4C45" w:rsidRDefault="00DF4C45">
      <w:pPr>
        <w:pStyle w:val="TOC2"/>
      </w:pPr>
      <w:hyperlink w:anchor="_Toc209438896" w:history="1">
        <w:r w:rsidRPr="00021A32">
          <w:rPr>
            <w:rStyle w:val="Hyperlink"/>
          </w:rPr>
          <w:t>3.5</w:t>
        </w:r>
        <w:r>
          <w:tab/>
        </w:r>
        <w:r w:rsidRPr="00021A32">
          <w:rPr>
            <w:rStyle w:val="Hyperlink"/>
          </w:rPr>
          <w:t>Conclusion</w:t>
        </w:r>
        <w:r>
          <w:rPr>
            <w:webHidden/>
          </w:rPr>
          <w:tab/>
        </w:r>
        <w:r>
          <w:rPr>
            <w:webHidden/>
          </w:rPr>
          <w:fldChar w:fldCharType="begin"/>
        </w:r>
        <w:r>
          <w:rPr>
            <w:webHidden/>
          </w:rPr>
          <w:instrText xml:space="preserve"> PAGEREF _Toc209438896 \h </w:instrText>
        </w:r>
        <w:r>
          <w:rPr>
            <w:webHidden/>
          </w:rPr>
        </w:r>
        <w:r>
          <w:rPr>
            <w:webHidden/>
          </w:rPr>
          <w:fldChar w:fldCharType="separate"/>
        </w:r>
        <w:r>
          <w:rPr>
            <w:webHidden/>
          </w:rPr>
          <w:t>22</w:t>
        </w:r>
        <w:r>
          <w:rPr>
            <w:webHidden/>
          </w:rPr>
          <w:fldChar w:fldCharType="end"/>
        </w:r>
      </w:hyperlink>
    </w:p>
    <w:p w14:paraId="16106606" w14:textId="3ADB31E7" w:rsidR="00DF4C45" w:rsidRDefault="00DF4C45">
      <w:pPr>
        <w:pStyle w:val="TOC1"/>
        <w:rPr>
          <w:rFonts w:asciiTheme="minorHAnsi" w:eastAsiaTheme="minorEastAsia" w:hAnsiTheme="minorHAnsi" w:cstheme="minorBidi"/>
          <w:b w:val="0"/>
          <w:color w:val="auto"/>
          <w:kern w:val="2"/>
          <w:sz w:val="24"/>
          <w:szCs w:val="24"/>
          <w14:ligatures w14:val="standardContextual"/>
        </w:rPr>
      </w:pPr>
      <w:hyperlink w:anchor="_Toc209438897" w:history="1">
        <w:r w:rsidRPr="00021A32">
          <w:rPr>
            <w:rStyle w:val="Hyperlink"/>
          </w:rPr>
          <w:t>References</w:t>
        </w:r>
        <w:r>
          <w:rPr>
            <w:webHidden/>
          </w:rPr>
          <w:tab/>
        </w:r>
        <w:r>
          <w:rPr>
            <w:webHidden/>
          </w:rPr>
          <w:fldChar w:fldCharType="begin"/>
        </w:r>
        <w:r>
          <w:rPr>
            <w:webHidden/>
          </w:rPr>
          <w:instrText xml:space="preserve"> PAGEREF _Toc209438897 \h </w:instrText>
        </w:r>
        <w:r>
          <w:rPr>
            <w:webHidden/>
          </w:rPr>
        </w:r>
        <w:r>
          <w:rPr>
            <w:webHidden/>
          </w:rPr>
          <w:fldChar w:fldCharType="separate"/>
        </w:r>
        <w:r>
          <w:rPr>
            <w:webHidden/>
          </w:rPr>
          <w:t>23</w:t>
        </w:r>
        <w:r>
          <w:rPr>
            <w:webHidden/>
          </w:rPr>
          <w:fldChar w:fldCharType="end"/>
        </w:r>
      </w:hyperlink>
    </w:p>
    <w:p w14:paraId="0E26A0C4" w14:textId="1F0DDB83" w:rsidR="00DF4C45" w:rsidRDefault="00DF4C45">
      <w:pPr>
        <w:pStyle w:val="TOC1"/>
        <w:rPr>
          <w:rFonts w:asciiTheme="minorHAnsi" w:eastAsiaTheme="minorEastAsia" w:hAnsiTheme="minorHAnsi" w:cstheme="minorBidi"/>
          <w:b w:val="0"/>
          <w:color w:val="auto"/>
          <w:kern w:val="2"/>
          <w:sz w:val="24"/>
          <w:szCs w:val="24"/>
          <w14:ligatures w14:val="standardContextual"/>
        </w:rPr>
      </w:pPr>
      <w:hyperlink w:anchor="_Toc209438898" w:history="1">
        <w:r w:rsidRPr="00021A32">
          <w:rPr>
            <w:rStyle w:val="Hyperlink"/>
          </w:rPr>
          <w:t>Remuneration bands for executives employed in public service bodies (Victoria) Annual Adjustment 2025</w:t>
        </w:r>
        <w:r>
          <w:rPr>
            <w:webHidden/>
          </w:rPr>
          <w:tab/>
        </w:r>
        <w:r>
          <w:rPr>
            <w:webHidden/>
          </w:rPr>
          <w:fldChar w:fldCharType="begin"/>
        </w:r>
        <w:r>
          <w:rPr>
            <w:webHidden/>
          </w:rPr>
          <w:instrText xml:space="preserve"> PAGEREF _Toc209438898 \h </w:instrText>
        </w:r>
        <w:r>
          <w:rPr>
            <w:webHidden/>
          </w:rPr>
        </w:r>
        <w:r>
          <w:rPr>
            <w:webHidden/>
          </w:rPr>
          <w:fldChar w:fldCharType="separate"/>
        </w:r>
        <w:r>
          <w:rPr>
            <w:webHidden/>
          </w:rPr>
          <w:t>27</w:t>
        </w:r>
        <w:r>
          <w:rPr>
            <w:webHidden/>
          </w:rPr>
          <w:fldChar w:fldCharType="end"/>
        </w:r>
      </w:hyperlink>
    </w:p>
    <w:p w14:paraId="1463F0DF" w14:textId="7AF23599" w:rsidR="005E0E8C" w:rsidRDefault="00E25B8A" w:rsidP="008A4D4A">
      <w:pPr>
        <w:rPr>
          <w:noProof/>
          <w:lang w:eastAsia="en-AU"/>
        </w:rPr>
      </w:pPr>
      <w:r>
        <w:rPr>
          <w:noProof/>
          <w:lang w:eastAsia="en-AU"/>
        </w:rPr>
        <w:fldChar w:fldCharType="end"/>
      </w:r>
    </w:p>
    <w:p w14:paraId="2D457315" w14:textId="77777777" w:rsidR="005E0E8C" w:rsidRDefault="005E0E8C">
      <w:pPr>
        <w:spacing w:after="80"/>
        <w:rPr>
          <w:noProof/>
          <w:lang w:eastAsia="en-AU"/>
        </w:rPr>
      </w:pPr>
      <w:r>
        <w:rPr>
          <w:noProof/>
          <w:lang w:eastAsia="en-AU"/>
        </w:rPr>
        <w:br w:type="page"/>
      </w:r>
    </w:p>
    <w:bookmarkEnd w:id="12"/>
    <w:p w14:paraId="389ED328" w14:textId="77777777" w:rsidR="00160FC9" w:rsidRPr="00155237" w:rsidRDefault="00160FC9" w:rsidP="003A5D8F">
      <w:pPr>
        <w:pStyle w:val="Chapterheading"/>
        <w:rPr>
          <w:sz w:val="28"/>
          <w:szCs w:val="28"/>
        </w:rPr>
        <w:sectPr w:rsidR="00160FC9" w:rsidRPr="00155237" w:rsidSect="00DB7769">
          <w:footerReference w:type="default" r:id="rId17"/>
          <w:pgSz w:w="11906" w:h="16838"/>
          <w:pgMar w:top="1701" w:right="1701" w:bottom="1134" w:left="1701" w:header="425" w:footer="709" w:gutter="0"/>
          <w:pgNumType w:start="1"/>
          <w:cols w:space="282"/>
          <w:docGrid w:linePitch="360"/>
        </w:sectPr>
      </w:pPr>
    </w:p>
    <w:p w14:paraId="40176525" w14:textId="45B84E71" w:rsidR="00184C12" w:rsidRDefault="00B1131E" w:rsidP="00184C12">
      <w:pPr>
        <w:pStyle w:val="01Chapterheading"/>
      </w:pPr>
      <w:bookmarkStart w:id="13" w:name="_Toc97728586"/>
      <w:bookmarkStart w:id="14" w:name="_Toc209438880"/>
      <w:r w:rsidRPr="0053468C">
        <w:lastRenderedPageBreak/>
        <w:t>Abbreviations and glossary</w:t>
      </w:r>
      <w:bookmarkEnd w:id="14"/>
    </w:p>
    <w:p w14:paraId="5C901E72" w14:textId="77777777" w:rsidR="00B1131E" w:rsidRPr="00C02C39" w:rsidRDefault="00B1131E" w:rsidP="007D5635">
      <w:pPr>
        <w:pStyle w:val="05Paragraph"/>
        <w:spacing w:line="480" w:lineRule="auto"/>
      </w:pPr>
      <w:r w:rsidRPr="00C02C39">
        <w:rPr>
          <w:noProof/>
        </w:rPr>
        <w:drawing>
          <wp:inline distT="0" distB="0" distL="0" distR="0" wp14:anchorId="07405C4A" wp14:editId="4B21281F">
            <wp:extent cx="2222500" cy="253365"/>
            <wp:effectExtent l="0" t="0" r="6350" b="0"/>
            <wp:docPr id="30"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13"/>
    </w:p>
    <w:p w14:paraId="1FECEBBC" w14:textId="77777777" w:rsidR="00B1131E" w:rsidRDefault="00B1131E" w:rsidP="00184C12">
      <w:pPr>
        <w:pStyle w:val="05Paragraph"/>
        <w:sectPr w:rsidR="00B1131E" w:rsidSect="00DB7769">
          <w:pgSz w:w="11906" w:h="16838"/>
          <w:pgMar w:top="1701" w:right="1701" w:bottom="1134" w:left="1701" w:header="425" w:footer="709" w:gutter="0"/>
          <w:cols w:space="282"/>
          <w:docGrid w:linePitch="360"/>
        </w:sectPr>
      </w:pPr>
    </w:p>
    <w:tbl>
      <w:tblPr>
        <w:tblStyle w:val="VIRTDeterminationTableStyle"/>
        <w:tblW w:w="8647" w:type="dxa"/>
        <w:tblInd w:w="0" w:type="dxa"/>
        <w:tblLayout w:type="fixed"/>
        <w:tblLook w:val="05A0" w:firstRow="1" w:lastRow="0" w:firstColumn="1" w:lastColumn="1" w:noHBand="0" w:noVBand="1"/>
      </w:tblPr>
      <w:tblGrid>
        <w:gridCol w:w="2410"/>
        <w:gridCol w:w="6237"/>
      </w:tblGrid>
      <w:tr w:rsidR="00F047F9" w:rsidRPr="00EB6C48" w14:paraId="2A692AB4" w14:textId="77777777" w:rsidTr="00E259CC">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100" w:firstRow="0" w:lastRow="0" w:firstColumn="1" w:lastColumn="0" w:oddVBand="0" w:evenVBand="0" w:oddHBand="0" w:evenHBand="0" w:firstRowFirstColumn="1" w:firstRowLastColumn="0" w:lastRowFirstColumn="0" w:lastRowLastColumn="0"/>
            <w:tcW w:w="2410" w:type="dxa"/>
          </w:tcPr>
          <w:p w14:paraId="5F1C497C" w14:textId="77777777" w:rsidR="00A33525" w:rsidRPr="007D5635" w:rsidRDefault="00A33525" w:rsidP="003A5D8F">
            <w:pPr>
              <w:pStyle w:val="10Tabletext"/>
              <w:rPr>
                <w:b w:val="0"/>
              </w:rPr>
            </w:pPr>
            <w:r w:rsidRPr="007D5635">
              <w:t xml:space="preserve">Term or abbreviation </w:t>
            </w:r>
          </w:p>
        </w:tc>
        <w:tc>
          <w:tcPr>
            <w:cnfStyle w:val="000100001000" w:firstRow="0" w:lastRow="0" w:firstColumn="0" w:lastColumn="1" w:oddVBand="0" w:evenVBand="0" w:oddHBand="0" w:evenHBand="0" w:firstRowFirstColumn="0" w:firstRowLastColumn="1" w:lastRowFirstColumn="0" w:lastRowLastColumn="0"/>
            <w:tcW w:w="6237" w:type="dxa"/>
          </w:tcPr>
          <w:p w14:paraId="5B3C111B" w14:textId="77777777" w:rsidR="00A33525" w:rsidRPr="007D5635" w:rsidRDefault="00A33525" w:rsidP="003A5D8F">
            <w:pPr>
              <w:pStyle w:val="10Tabletext"/>
              <w:rPr>
                <w:rFonts w:eastAsia="Arial Narrow"/>
                <w:b w:val="0"/>
              </w:rPr>
            </w:pPr>
            <w:r w:rsidRPr="007D5635">
              <w:t xml:space="preserve">Definition </w:t>
            </w:r>
          </w:p>
        </w:tc>
      </w:tr>
      <w:tr w:rsidR="00196BAC" w:rsidRPr="00EB6C48" w14:paraId="55832C44" w14:textId="77777777" w:rsidTr="004D7653">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10" w:type="dxa"/>
          </w:tcPr>
          <w:p w14:paraId="0D4ADF56" w14:textId="56A63D99" w:rsidR="00196BAC" w:rsidRPr="007D5635" w:rsidRDefault="00196BAC" w:rsidP="00196BAC">
            <w:pPr>
              <w:pStyle w:val="10Tabletext"/>
              <w:rPr>
                <w:szCs w:val="22"/>
              </w:rPr>
            </w:pPr>
            <w:r w:rsidRPr="007D5635">
              <w:rPr>
                <w:szCs w:val="22"/>
              </w:rPr>
              <w:t>2024 Comprehensive Determination</w:t>
            </w:r>
          </w:p>
        </w:tc>
        <w:tc>
          <w:tcPr>
            <w:cnfStyle w:val="000100000000" w:firstRow="0" w:lastRow="0" w:firstColumn="0" w:lastColumn="1" w:oddVBand="0" w:evenVBand="0" w:oddHBand="0" w:evenHBand="0" w:firstRowFirstColumn="0" w:firstRowLastColumn="0" w:lastRowFirstColumn="0" w:lastRowLastColumn="0"/>
            <w:tcW w:w="6237" w:type="dxa"/>
          </w:tcPr>
          <w:p w14:paraId="0C668EDB" w14:textId="429601F4" w:rsidR="00196BAC" w:rsidRPr="007D5635" w:rsidRDefault="00196BAC" w:rsidP="00196BAC">
            <w:pPr>
              <w:pStyle w:val="10Tabletext"/>
              <w:rPr>
                <w:i/>
                <w:iCs/>
                <w:szCs w:val="22"/>
              </w:rPr>
            </w:pPr>
            <w:r w:rsidRPr="007D5635">
              <w:rPr>
                <w:i/>
                <w:iCs/>
                <w:szCs w:val="22"/>
              </w:rPr>
              <w:t>Remuneration bands for executives employed in public service bodies (Victoria) Determination No. 01/2024</w:t>
            </w:r>
          </w:p>
        </w:tc>
      </w:tr>
      <w:tr w:rsidR="00196BAC" w:rsidRPr="00EB6C48" w14:paraId="0A4ED9EF" w14:textId="77777777" w:rsidTr="000E100A">
        <w:trPr>
          <w:trHeight w:val="982"/>
        </w:trPr>
        <w:tc>
          <w:tcPr>
            <w:cnfStyle w:val="001000000000" w:firstRow="0" w:lastRow="0" w:firstColumn="1" w:lastColumn="0" w:oddVBand="0" w:evenVBand="0" w:oddHBand="0" w:evenHBand="0" w:firstRowFirstColumn="0" w:firstRowLastColumn="0" w:lastRowFirstColumn="0" w:lastRowLastColumn="0"/>
            <w:tcW w:w="2410" w:type="dxa"/>
          </w:tcPr>
          <w:p w14:paraId="1F97F277" w14:textId="760013D2" w:rsidR="00196BAC" w:rsidRPr="007D5635" w:rsidRDefault="00196BAC" w:rsidP="00196BAC">
            <w:pPr>
              <w:pStyle w:val="10Tabletext"/>
              <w:rPr>
                <w:szCs w:val="22"/>
              </w:rPr>
            </w:pPr>
            <w:r w:rsidRPr="007D5635">
              <w:rPr>
                <w:szCs w:val="22"/>
              </w:rPr>
              <w:t>2025 VPS Annual Adjustment Determination</w:t>
            </w:r>
          </w:p>
        </w:tc>
        <w:tc>
          <w:tcPr>
            <w:cnfStyle w:val="000100000000" w:firstRow="0" w:lastRow="0" w:firstColumn="0" w:lastColumn="1" w:oddVBand="0" w:evenVBand="0" w:oddHBand="0" w:evenHBand="0" w:firstRowFirstColumn="0" w:firstRowLastColumn="0" w:lastRowFirstColumn="0" w:lastRowLastColumn="0"/>
            <w:tcW w:w="6237" w:type="dxa"/>
          </w:tcPr>
          <w:p w14:paraId="233D861D" w14:textId="691149A8" w:rsidR="00196BAC" w:rsidRPr="007D5635" w:rsidRDefault="00196BAC" w:rsidP="00196BAC">
            <w:pPr>
              <w:pStyle w:val="10Tabletext"/>
              <w:rPr>
                <w:i/>
                <w:iCs/>
                <w:szCs w:val="22"/>
              </w:rPr>
            </w:pPr>
            <w:r w:rsidRPr="007D5635">
              <w:rPr>
                <w:i/>
                <w:iCs/>
                <w:szCs w:val="22"/>
              </w:rPr>
              <w:t>Remuneration bands for executives employed in public service bodies (Victoria) Annual Adjustment Determination 2025</w:t>
            </w:r>
          </w:p>
        </w:tc>
      </w:tr>
      <w:tr w:rsidR="00196BAC" w:rsidRPr="00EB6C48" w14:paraId="7C7FAC09" w14:textId="77777777" w:rsidTr="00A547F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E0B5FAC" w14:textId="7F4283B8" w:rsidR="00196BAC" w:rsidRPr="007D5635" w:rsidRDefault="00196BAC" w:rsidP="00196BAC">
            <w:pPr>
              <w:pStyle w:val="10Tabletext"/>
              <w:rPr>
                <w:szCs w:val="22"/>
              </w:rPr>
            </w:pPr>
            <w:r w:rsidRPr="007D5635">
              <w:rPr>
                <w:szCs w:val="22"/>
              </w:rPr>
              <w:t>2025</w:t>
            </w:r>
            <w:r w:rsidR="00E42E0B">
              <w:rPr>
                <w:szCs w:val="22"/>
              </w:rPr>
              <w:t>–</w:t>
            </w:r>
            <w:r w:rsidRPr="007D5635">
              <w:rPr>
                <w:szCs w:val="22"/>
              </w:rPr>
              <w:t>26</w:t>
            </w:r>
            <w:r w:rsidR="00E42E0B">
              <w:rPr>
                <w:szCs w:val="22"/>
              </w:rPr>
              <w:t xml:space="preserve"> </w:t>
            </w:r>
            <w:r w:rsidRPr="007D5635">
              <w:rPr>
                <w:szCs w:val="22"/>
              </w:rPr>
              <w:t>Budget</w:t>
            </w:r>
          </w:p>
        </w:tc>
        <w:tc>
          <w:tcPr>
            <w:cnfStyle w:val="000100000000" w:firstRow="0" w:lastRow="0" w:firstColumn="0" w:lastColumn="1" w:oddVBand="0" w:evenVBand="0" w:oddHBand="0" w:evenHBand="0" w:firstRowFirstColumn="0" w:firstRowLastColumn="0" w:lastRowFirstColumn="0" w:lastRowLastColumn="0"/>
            <w:tcW w:w="6237" w:type="dxa"/>
          </w:tcPr>
          <w:p w14:paraId="656205A6" w14:textId="20165838" w:rsidR="00196BAC" w:rsidRPr="00E15A9E" w:rsidRDefault="00196BAC" w:rsidP="00196BAC">
            <w:pPr>
              <w:pStyle w:val="10Tabletext"/>
              <w:rPr>
                <w:szCs w:val="22"/>
              </w:rPr>
            </w:pPr>
            <w:r w:rsidRPr="00E15A9E">
              <w:rPr>
                <w:szCs w:val="22"/>
              </w:rPr>
              <w:t>Victorian Budget 2025</w:t>
            </w:r>
            <w:r w:rsidR="00E42E0B" w:rsidRPr="00E15A9E">
              <w:rPr>
                <w:szCs w:val="22"/>
              </w:rPr>
              <w:t>–</w:t>
            </w:r>
            <w:r w:rsidRPr="00E15A9E">
              <w:rPr>
                <w:szCs w:val="22"/>
              </w:rPr>
              <w:t>26</w:t>
            </w:r>
            <w:r w:rsidR="00E42E0B" w:rsidRPr="00E15A9E">
              <w:rPr>
                <w:szCs w:val="22"/>
              </w:rPr>
              <w:t xml:space="preserve"> </w:t>
            </w:r>
          </w:p>
        </w:tc>
      </w:tr>
      <w:tr w:rsidR="00196BAC" w:rsidRPr="00EB6C48" w14:paraId="7CBF4434" w14:textId="77777777" w:rsidTr="00A547F2">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8F7C357" w14:textId="2AB38162" w:rsidR="00196BAC" w:rsidRPr="007D5635" w:rsidRDefault="00196BAC" w:rsidP="00196BAC">
            <w:pPr>
              <w:pStyle w:val="10Tabletext"/>
              <w:rPr>
                <w:b/>
                <w:bCs w:val="0"/>
                <w:szCs w:val="22"/>
              </w:rPr>
            </w:pPr>
            <w:r w:rsidRPr="007D5635">
              <w:rPr>
                <w:szCs w:val="22"/>
              </w:rPr>
              <w:t>ABS</w:t>
            </w:r>
          </w:p>
        </w:tc>
        <w:tc>
          <w:tcPr>
            <w:cnfStyle w:val="000100000000" w:firstRow="0" w:lastRow="0" w:firstColumn="0" w:lastColumn="1" w:oddVBand="0" w:evenVBand="0" w:oddHBand="0" w:evenHBand="0" w:firstRowFirstColumn="0" w:firstRowLastColumn="0" w:lastRowFirstColumn="0" w:lastRowLastColumn="0"/>
            <w:tcW w:w="6237" w:type="dxa"/>
          </w:tcPr>
          <w:p w14:paraId="640DB400" w14:textId="24614E35" w:rsidR="00196BAC" w:rsidRPr="007D5635" w:rsidRDefault="00196BAC" w:rsidP="00196BAC">
            <w:pPr>
              <w:pStyle w:val="10Tabletext"/>
              <w:rPr>
                <w:b/>
                <w:bCs w:val="0"/>
                <w:szCs w:val="22"/>
              </w:rPr>
            </w:pPr>
            <w:r w:rsidRPr="007D5635">
              <w:rPr>
                <w:szCs w:val="22"/>
              </w:rPr>
              <w:t>Australian Bureau of Statistics</w:t>
            </w:r>
          </w:p>
        </w:tc>
      </w:tr>
      <w:tr w:rsidR="00196BAC" w:rsidRPr="00EB6C48" w14:paraId="5A9616C3" w14:textId="77777777" w:rsidTr="00A547F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BDE1E9F" w14:textId="0F3C5FE1" w:rsidR="00196BAC" w:rsidRPr="007D5635" w:rsidRDefault="00196BAC" w:rsidP="00196BAC">
            <w:pPr>
              <w:pStyle w:val="10Tabletext"/>
              <w:rPr>
                <w:szCs w:val="22"/>
              </w:rPr>
            </w:pPr>
            <w:r w:rsidRPr="007D5635">
              <w:rPr>
                <w:szCs w:val="22"/>
              </w:rPr>
              <w:t>AO</w:t>
            </w:r>
          </w:p>
        </w:tc>
        <w:tc>
          <w:tcPr>
            <w:cnfStyle w:val="000100000000" w:firstRow="0" w:lastRow="0" w:firstColumn="0" w:lastColumn="1" w:oddVBand="0" w:evenVBand="0" w:oddHBand="0" w:evenHBand="0" w:firstRowFirstColumn="0" w:firstRowLastColumn="0" w:lastRowFirstColumn="0" w:lastRowLastColumn="0"/>
            <w:tcW w:w="6237" w:type="dxa"/>
          </w:tcPr>
          <w:p w14:paraId="2349A044" w14:textId="0D284392" w:rsidR="00196BAC" w:rsidRPr="007D5635" w:rsidRDefault="00196BAC" w:rsidP="00196BAC">
            <w:pPr>
              <w:pStyle w:val="10Tabletext"/>
              <w:rPr>
                <w:szCs w:val="22"/>
              </w:rPr>
            </w:pPr>
            <w:r w:rsidRPr="007D5635">
              <w:rPr>
                <w:szCs w:val="22"/>
              </w:rPr>
              <w:t>Administrative Office</w:t>
            </w:r>
          </w:p>
        </w:tc>
      </w:tr>
      <w:tr w:rsidR="00196BAC" w:rsidRPr="00EB6C48" w14:paraId="2A0C404A" w14:textId="77777777" w:rsidTr="00A547F2">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3999EAD" w14:textId="1630B558" w:rsidR="00196BAC" w:rsidRPr="007D5635" w:rsidRDefault="00196BAC" w:rsidP="00196BAC">
            <w:pPr>
              <w:pStyle w:val="10Tabletext"/>
              <w:rPr>
                <w:szCs w:val="22"/>
              </w:rPr>
            </w:pPr>
            <w:r w:rsidRPr="007D5635">
              <w:rPr>
                <w:szCs w:val="22"/>
              </w:rPr>
              <w:t>APS</w:t>
            </w:r>
          </w:p>
        </w:tc>
        <w:tc>
          <w:tcPr>
            <w:cnfStyle w:val="000100000000" w:firstRow="0" w:lastRow="0" w:firstColumn="0" w:lastColumn="1" w:oddVBand="0" w:evenVBand="0" w:oddHBand="0" w:evenHBand="0" w:firstRowFirstColumn="0" w:firstRowLastColumn="0" w:lastRowFirstColumn="0" w:lastRowLastColumn="0"/>
            <w:tcW w:w="6237" w:type="dxa"/>
          </w:tcPr>
          <w:p w14:paraId="47693467" w14:textId="330132FD" w:rsidR="00196BAC" w:rsidRPr="007D5635" w:rsidRDefault="00196BAC" w:rsidP="00196BAC">
            <w:pPr>
              <w:pStyle w:val="10Tabletext"/>
              <w:rPr>
                <w:szCs w:val="22"/>
              </w:rPr>
            </w:pPr>
            <w:r w:rsidRPr="007D5635">
              <w:rPr>
                <w:szCs w:val="22"/>
              </w:rPr>
              <w:t>Australian Public Service</w:t>
            </w:r>
          </w:p>
        </w:tc>
      </w:tr>
      <w:tr w:rsidR="00196BAC" w:rsidRPr="00EB6C48" w14:paraId="15E562FE" w14:textId="77777777" w:rsidTr="00A547F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7AAE0B8F" w14:textId="4792A91E" w:rsidR="00196BAC" w:rsidRPr="007D5635" w:rsidRDefault="00196BAC" w:rsidP="00196BAC">
            <w:pPr>
              <w:pStyle w:val="10Tabletext"/>
              <w:rPr>
                <w:szCs w:val="22"/>
              </w:rPr>
            </w:pPr>
            <w:r w:rsidRPr="007D5635">
              <w:rPr>
                <w:szCs w:val="22"/>
              </w:rPr>
              <w:t>APSC</w:t>
            </w:r>
          </w:p>
        </w:tc>
        <w:tc>
          <w:tcPr>
            <w:cnfStyle w:val="000100000000" w:firstRow="0" w:lastRow="0" w:firstColumn="0" w:lastColumn="1" w:oddVBand="0" w:evenVBand="0" w:oddHBand="0" w:evenHBand="0" w:firstRowFirstColumn="0" w:firstRowLastColumn="0" w:lastRowFirstColumn="0" w:lastRowLastColumn="0"/>
            <w:tcW w:w="6237" w:type="dxa"/>
          </w:tcPr>
          <w:p w14:paraId="01FE5A93" w14:textId="381E68D9" w:rsidR="00196BAC" w:rsidRPr="007D5635" w:rsidRDefault="00196BAC" w:rsidP="00196BAC">
            <w:pPr>
              <w:pStyle w:val="10Tabletext"/>
              <w:rPr>
                <w:szCs w:val="22"/>
              </w:rPr>
            </w:pPr>
            <w:r w:rsidRPr="007D5635">
              <w:rPr>
                <w:szCs w:val="22"/>
              </w:rPr>
              <w:t>Australian Public Service Commission</w:t>
            </w:r>
          </w:p>
        </w:tc>
      </w:tr>
      <w:tr w:rsidR="00196BAC" w:rsidRPr="00EB6C48" w14:paraId="72833A85" w14:textId="77777777" w:rsidTr="00A547F2">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A6538A1" w14:textId="603F849B" w:rsidR="00196BAC" w:rsidRPr="007D5635" w:rsidRDefault="00196BAC" w:rsidP="00196BAC">
            <w:pPr>
              <w:pStyle w:val="10Tabletext"/>
              <w:rPr>
                <w:szCs w:val="22"/>
              </w:rPr>
            </w:pPr>
            <w:r w:rsidRPr="007D5635">
              <w:rPr>
                <w:szCs w:val="22"/>
              </w:rPr>
              <w:t>CPI</w:t>
            </w:r>
          </w:p>
        </w:tc>
        <w:tc>
          <w:tcPr>
            <w:cnfStyle w:val="000100000000" w:firstRow="0" w:lastRow="0" w:firstColumn="0" w:lastColumn="1" w:oddVBand="0" w:evenVBand="0" w:oddHBand="0" w:evenHBand="0" w:firstRowFirstColumn="0" w:firstRowLastColumn="0" w:lastRowFirstColumn="0" w:lastRowLastColumn="0"/>
            <w:tcW w:w="6237" w:type="dxa"/>
          </w:tcPr>
          <w:p w14:paraId="783A6009" w14:textId="2B5C7405" w:rsidR="00196BAC" w:rsidRPr="007D5635" w:rsidRDefault="00196BAC" w:rsidP="00196BAC">
            <w:pPr>
              <w:pStyle w:val="10Tabletext"/>
              <w:rPr>
                <w:szCs w:val="22"/>
              </w:rPr>
            </w:pPr>
            <w:r w:rsidRPr="007D5635">
              <w:rPr>
                <w:szCs w:val="22"/>
              </w:rPr>
              <w:t>Consumer Price Index</w:t>
            </w:r>
          </w:p>
        </w:tc>
      </w:tr>
      <w:tr w:rsidR="00196BAC" w:rsidRPr="00EB6C48" w14:paraId="1A1917CB" w14:textId="77777777" w:rsidTr="00A547F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44654D1" w14:textId="258A1AE4" w:rsidR="00196BAC" w:rsidRPr="007D5635" w:rsidRDefault="00196BAC" w:rsidP="00196BAC">
            <w:pPr>
              <w:pStyle w:val="10Tabletext"/>
              <w:rPr>
                <w:szCs w:val="22"/>
              </w:rPr>
            </w:pPr>
            <w:r w:rsidRPr="007D5635">
              <w:rPr>
                <w:szCs w:val="22"/>
              </w:rPr>
              <w:t>Cth</w:t>
            </w:r>
          </w:p>
        </w:tc>
        <w:tc>
          <w:tcPr>
            <w:cnfStyle w:val="000100000000" w:firstRow="0" w:lastRow="0" w:firstColumn="0" w:lastColumn="1" w:oddVBand="0" w:evenVBand="0" w:oddHBand="0" w:evenHBand="0" w:firstRowFirstColumn="0" w:firstRowLastColumn="0" w:lastRowFirstColumn="0" w:lastRowLastColumn="0"/>
            <w:tcW w:w="6237" w:type="dxa"/>
          </w:tcPr>
          <w:p w14:paraId="3930A43A" w14:textId="13F97E6D" w:rsidR="00196BAC" w:rsidRPr="007D5635" w:rsidRDefault="00196BAC" w:rsidP="00196BAC">
            <w:pPr>
              <w:pStyle w:val="10Tabletext"/>
              <w:rPr>
                <w:szCs w:val="22"/>
              </w:rPr>
            </w:pPr>
            <w:r w:rsidRPr="007D5635">
              <w:rPr>
                <w:szCs w:val="22"/>
              </w:rPr>
              <w:t>Commonwealth Government of Australia</w:t>
            </w:r>
          </w:p>
        </w:tc>
      </w:tr>
      <w:tr w:rsidR="00196BAC" w:rsidRPr="00EB6C48" w14:paraId="267996C3" w14:textId="77777777" w:rsidTr="00A547F2">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6A73DB50" w14:textId="4E33C3B3" w:rsidR="00196BAC" w:rsidRPr="007D5635" w:rsidRDefault="00196BAC" w:rsidP="00196BAC">
            <w:pPr>
              <w:pStyle w:val="10Tabletext"/>
              <w:rPr>
                <w:szCs w:val="22"/>
              </w:rPr>
            </w:pPr>
            <w:r w:rsidRPr="007D5635">
              <w:rPr>
                <w:szCs w:val="22"/>
              </w:rPr>
              <w:t>DTF</w:t>
            </w:r>
          </w:p>
        </w:tc>
        <w:tc>
          <w:tcPr>
            <w:cnfStyle w:val="000100000000" w:firstRow="0" w:lastRow="0" w:firstColumn="0" w:lastColumn="1" w:oddVBand="0" w:evenVBand="0" w:oddHBand="0" w:evenHBand="0" w:firstRowFirstColumn="0" w:firstRowLastColumn="0" w:lastRowFirstColumn="0" w:lastRowLastColumn="0"/>
            <w:tcW w:w="6237" w:type="dxa"/>
          </w:tcPr>
          <w:p w14:paraId="79B16B98" w14:textId="7117DD36" w:rsidR="00196BAC" w:rsidRPr="007D5635" w:rsidRDefault="00196BAC" w:rsidP="00196BAC">
            <w:pPr>
              <w:pStyle w:val="10Tabletext"/>
              <w:rPr>
                <w:szCs w:val="22"/>
              </w:rPr>
            </w:pPr>
            <w:r w:rsidRPr="007D5635">
              <w:rPr>
                <w:szCs w:val="22"/>
              </w:rPr>
              <w:t>Department of Treasury and Finance</w:t>
            </w:r>
          </w:p>
        </w:tc>
      </w:tr>
      <w:tr w:rsidR="00196BAC" w:rsidRPr="00EB6C48" w14:paraId="06D5351E" w14:textId="77777777" w:rsidTr="00A547F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1998A16" w14:textId="03BCECFB" w:rsidR="00196BAC" w:rsidRPr="007D5635" w:rsidRDefault="00196BAC" w:rsidP="00196BAC">
            <w:pPr>
              <w:pStyle w:val="10Tabletext"/>
              <w:rPr>
                <w:szCs w:val="22"/>
              </w:rPr>
            </w:pPr>
            <w:r w:rsidRPr="007D5635">
              <w:rPr>
                <w:szCs w:val="22"/>
              </w:rPr>
              <w:t>EA</w:t>
            </w:r>
          </w:p>
        </w:tc>
        <w:tc>
          <w:tcPr>
            <w:cnfStyle w:val="000100000000" w:firstRow="0" w:lastRow="0" w:firstColumn="0" w:lastColumn="1" w:oddVBand="0" w:evenVBand="0" w:oddHBand="0" w:evenHBand="0" w:firstRowFirstColumn="0" w:firstRowLastColumn="0" w:lastRowFirstColumn="0" w:lastRowLastColumn="0"/>
            <w:tcW w:w="6237" w:type="dxa"/>
          </w:tcPr>
          <w:p w14:paraId="1A534044" w14:textId="37E9B40D" w:rsidR="00196BAC" w:rsidRPr="007D5635" w:rsidRDefault="00196BAC" w:rsidP="00196BAC">
            <w:pPr>
              <w:pStyle w:val="10Tabletext"/>
              <w:rPr>
                <w:szCs w:val="22"/>
              </w:rPr>
            </w:pPr>
            <w:r w:rsidRPr="007D5635">
              <w:rPr>
                <w:szCs w:val="22"/>
              </w:rPr>
              <w:t>Enterprise Agreement</w:t>
            </w:r>
          </w:p>
        </w:tc>
      </w:tr>
      <w:tr w:rsidR="00196BAC" w:rsidRPr="00EB6C48" w14:paraId="4DAB80BB" w14:textId="77777777" w:rsidTr="00A547F2">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1322192" w14:textId="738BB694" w:rsidR="00196BAC" w:rsidRPr="007D5635" w:rsidRDefault="00196BAC" w:rsidP="00196BAC">
            <w:pPr>
              <w:pStyle w:val="10Tabletext"/>
              <w:rPr>
                <w:szCs w:val="22"/>
              </w:rPr>
            </w:pPr>
            <w:r w:rsidRPr="007D5635">
              <w:rPr>
                <w:szCs w:val="22"/>
              </w:rPr>
              <w:t>FTE</w:t>
            </w:r>
          </w:p>
        </w:tc>
        <w:tc>
          <w:tcPr>
            <w:cnfStyle w:val="000100000000" w:firstRow="0" w:lastRow="0" w:firstColumn="0" w:lastColumn="1" w:oddVBand="0" w:evenVBand="0" w:oddHBand="0" w:evenHBand="0" w:firstRowFirstColumn="0" w:firstRowLastColumn="0" w:lastRowFirstColumn="0" w:lastRowLastColumn="0"/>
            <w:tcW w:w="6237" w:type="dxa"/>
          </w:tcPr>
          <w:p w14:paraId="1B3EA779" w14:textId="22B994C8" w:rsidR="00196BAC" w:rsidRPr="007D5635" w:rsidRDefault="00196BAC" w:rsidP="00196BAC">
            <w:pPr>
              <w:pStyle w:val="10Tabletext"/>
              <w:rPr>
                <w:szCs w:val="22"/>
              </w:rPr>
            </w:pPr>
            <w:r w:rsidRPr="007D5635">
              <w:rPr>
                <w:szCs w:val="22"/>
              </w:rPr>
              <w:t>Full-time equivalent</w:t>
            </w:r>
          </w:p>
        </w:tc>
      </w:tr>
      <w:tr w:rsidR="00196BAC" w:rsidRPr="00EB6C48" w14:paraId="6D5CC2FA" w14:textId="77777777" w:rsidTr="00A547F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A00BB32" w14:textId="54CFA11D" w:rsidR="00196BAC" w:rsidRPr="007D5635" w:rsidRDefault="00196BAC" w:rsidP="00196BAC">
            <w:pPr>
              <w:pStyle w:val="10Tabletext"/>
              <w:rPr>
                <w:szCs w:val="22"/>
              </w:rPr>
            </w:pPr>
            <w:r w:rsidRPr="007D5635">
              <w:rPr>
                <w:szCs w:val="22"/>
              </w:rPr>
              <w:t>FWC</w:t>
            </w:r>
          </w:p>
        </w:tc>
        <w:tc>
          <w:tcPr>
            <w:cnfStyle w:val="000100000000" w:firstRow="0" w:lastRow="0" w:firstColumn="0" w:lastColumn="1" w:oddVBand="0" w:evenVBand="0" w:oddHBand="0" w:evenHBand="0" w:firstRowFirstColumn="0" w:firstRowLastColumn="0" w:lastRowFirstColumn="0" w:lastRowLastColumn="0"/>
            <w:tcW w:w="6237" w:type="dxa"/>
          </w:tcPr>
          <w:p w14:paraId="291A347F" w14:textId="78C99CBB" w:rsidR="00196BAC" w:rsidRPr="007D5635" w:rsidRDefault="00196BAC" w:rsidP="00196BAC">
            <w:pPr>
              <w:pStyle w:val="10Tabletext"/>
              <w:rPr>
                <w:szCs w:val="22"/>
              </w:rPr>
            </w:pPr>
            <w:r w:rsidRPr="007D5635">
              <w:rPr>
                <w:szCs w:val="22"/>
              </w:rPr>
              <w:t>Fair Work Commission</w:t>
            </w:r>
          </w:p>
        </w:tc>
      </w:tr>
      <w:tr w:rsidR="00196BAC" w:rsidRPr="00EB6C48" w14:paraId="7DEE32F8" w14:textId="77777777" w:rsidTr="00A547F2">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FE54BA1" w14:textId="490CED12" w:rsidR="00196BAC" w:rsidRPr="007D5635" w:rsidRDefault="00196BAC" w:rsidP="00196BAC">
            <w:pPr>
              <w:pStyle w:val="10Tabletext"/>
              <w:rPr>
                <w:szCs w:val="22"/>
              </w:rPr>
            </w:pPr>
            <w:r w:rsidRPr="007D5635">
              <w:rPr>
                <w:szCs w:val="22"/>
              </w:rPr>
              <w:t>GDP</w:t>
            </w:r>
          </w:p>
        </w:tc>
        <w:tc>
          <w:tcPr>
            <w:cnfStyle w:val="000100000000" w:firstRow="0" w:lastRow="0" w:firstColumn="0" w:lastColumn="1" w:oddVBand="0" w:evenVBand="0" w:oddHBand="0" w:evenHBand="0" w:firstRowFirstColumn="0" w:firstRowLastColumn="0" w:lastRowFirstColumn="0" w:lastRowLastColumn="0"/>
            <w:tcW w:w="6237" w:type="dxa"/>
          </w:tcPr>
          <w:p w14:paraId="7A933F3E" w14:textId="5A24401B" w:rsidR="00196BAC" w:rsidRPr="007D5635" w:rsidRDefault="00196BAC" w:rsidP="00196BAC">
            <w:pPr>
              <w:pStyle w:val="10Tabletext"/>
              <w:rPr>
                <w:szCs w:val="22"/>
              </w:rPr>
            </w:pPr>
            <w:r w:rsidRPr="007D5635">
              <w:rPr>
                <w:szCs w:val="22"/>
              </w:rPr>
              <w:t>Gross Domestic Product</w:t>
            </w:r>
          </w:p>
        </w:tc>
      </w:tr>
      <w:tr w:rsidR="00196BAC" w:rsidRPr="00EB6C48" w14:paraId="1D02A831" w14:textId="77777777" w:rsidTr="00A547F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6264144" w14:textId="3785898A" w:rsidR="00196BAC" w:rsidRPr="007D5635" w:rsidRDefault="00196BAC" w:rsidP="00196BAC">
            <w:pPr>
              <w:pStyle w:val="10Tabletext"/>
              <w:rPr>
                <w:szCs w:val="22"/>
              </w:rPr>
            </w:pPr>
            <w:r w:rsidRPr="007D5635">
              <w:rPr>
                <w:szCs w:val="22"/>
              </w:rPr>
              <w:t>GSP</w:t>
            </w:r>
          </w:p>
        </w:tc>
        <w:tc>
          <w:tcPr>
            <w:cnfStyle w:val="000100000000" w:firstRow="0" w:lastRow="0" w:firstColumn="0" w:lastColumn="1" w:oddVBand="0" w:evenVBand="0" w:oddHBand="0" w:evenHBand="0" w:firstRowFirstColumn="0" w:firstRowLastColumn="0" w:lastRowFirstColumn="0" w:lastRowLastColumn="0"/>
            <w:tcW w:w="6237" w:type="dxa"/>
          </w:tcPr>
          <w:p w14:paraId="74A29A34" w14:textId="1E8C8C29" w:rsidR="00196BAC" w:rsidRPr="007D5635" w:rsidRDefault="00196BAC" w:rsidP="00196BAC">
            <w:pPr>
              <w:pStyle w:val="10Tabletext"/>
              <w:rPr>
                <w:szCs w:val="22"/>
              </w:rPr>
            </w:pPr>
            <w:r w:rsidRPr="007D5635">
              <w:rPr>
                <w:szCs w:val="22"/>
              </w:rPr>
              <w:t>Gross State Product</w:t>
            </w:r>
          </w:p>
        </w:tc>
      </w:tr>
      <w:tr w:rsidR="00196BAC" w:rsidRPr="00EB6C48" w14:paraId="7EE60BCE" w14:textId="77777777" w:rsidTr="00A547F2">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2BA16BA" w14:textId="3DF31FFA" w:rsidR="00196BAC" w:rsidRPr="007D5635" w:rsidRDefault="00946655" w:rsidP="00196BAC">
            <w:pPr>
              <w:pStyle w:val="10Tabletext"/>
              <w:rPr>
                <w:szCs w:val="22"/>
              </w:rPr>
            </w:pPr>
            <w:r>
              <w:rPr>
                <w:szCs w:val="22"/>
              </w:rPr>
              <w:t>g</w:t>
            </w:r>
            <w:r w:rsidR="00196BAC" w:rsidRPr="007D5635">
              <w:rPr>
                <w:szCs w:val="22"/>
              </w:rPr>
              <w:t>uideline rate</w:t>
            </w:r>
          </w:p>
        </w:tc>
        <w:tc>
          <w:tcPr>
            <w:cnfStyle w:val="000100000000" w:firstRow="0" w:lastRow="0" w:firstColumn="0" w:lastColumn="1" w:oddVBand="0" w:evenVBand="0" w:oddHBand="0" w:evenHBand="0" w:firstRowFirstColumn="0" w:firstRowLastColumn="0" w:lastRowFirstColumn="0" w:lastRowLastColumn="0"/>
            <w:tcW w:w="6237" w:type="dxa"/>
          </w:tcPr>
          <w:p w14:paraId="0806909A" w14:textId="16193AA2" w:rsidR="00196BAC" w:rsidRPr="007D5635" w:rsidRDefault="00196BAC" w:rsidP="00196BAC">
            <w:pPr>
              <w:pStyle w:val="10Tabletext"/>
              <w:rPr>
                <w:szCs w:val="22"/>
              </w:rPr>
            </w:pPr>
            <w:bookmarkStart w:id="15" w:name="_Hlk208321986"/>
            <w:r w:rsidRPr="007D5635">
              <w:rPr>
                <w:szCs w:val="22"/>
              </w:rPr>
              <w:t>Premier’s annual remuneration adjustment guideline rate</w:t>
            </w:r>
            <w:bookmarkEnd w:id="15"/>
          </w:p>
        </w:tc>
      </w:tr>
      <w:tr w:rsidR="00196BAC" w:rsidRPr="00EB6C48" w14:paraId="750D34EA" w14:textId="77777777" w:rsidTr="00A547F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70414DA9" w14:textId="49B05F6E" w:rsidR="00196BAC" w:rsidRPr="007D5635" w:rsidRDefault="00196BAC" w:rsidP="00196BAC">
            <w:pPr>
              <w:pStyle w:val="10Tabletext"/>
              <w:rPr>
                <w:szCs w:val="22"/>
              </w:rPr>
            </w:pPr>
            <w:r w:rsidRPr="007D5635">
              <w:rPr>
                <w:szCs w:val="22"/>
              </w:rPr>
              <w:t>IRV</w:t>
            </w:r>
          </w:p>
        </w:tc>
        <w:tc>
          <w:tcPr>
            <w:cnfStyle w:val="000100000000" w:firstRow="0" w:lastRow="0" w:firstColumn="0" w:lastColumn="1" w:oddVBand="0" w:evenVBand="0" w:oddHBand="0" w:evenHBand="0" w:firstRowFirstColumn="0" w:firstRowLastColumn="0" w:lastRowFirstColumn="0" w:lastRowLastColumn="0"/>
            <w:tcW w:w="6237" w:type="dxa"/>
          </w:tcPr>
          <w:p w14:paraId="144D5045" w14:textId="46F7BF13" w:rsidR="00196BAC" w:rsidRPr="007D5635" w:rsidRDefault="00196BAC" w:rsidP="00196BAC">
            <w:pPr>
              <w:pStyle w:val="10Tabletext"/>
              <w:rPr>
                <w:szCs w:val="22"/>
              </w:rPr>
            </w:pPr>
            <w:r w:rsidRPr="007D5635">
              <w:rPr>
                <w:szCs w:val="22"/>
              </w:rPr>
              <w:t>Industrial Relations Victoria</w:t>
            </w:r>
          </w:p>
        </w:tc>
      </w:tr>
      <w:tr w:rsidR="00196BAC" w:rsidRPr="00EB6C48" w14:paraId="4A5EFB6F" w14:textId="77777777" w:rsidTr="00A547F2">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A51B6AE" w14:textId="309B20A7" w:rsidR="00196BAC" w:rsidRPr="007D5635" w:rsidRDefault="00196BAC" w:rsidP="00196BAC">
            <w:pPr>
              <w:pStyle w:val="10Tabletext"/>
              <w:rPr>
                <w:szCs w:val="22"/>
              </w:rPr>
            </w:pPr>
            <w:r w:rsidRPr="007D5635">
              <w:rPr>
                <w:szCs w:val="22"/>
              </w:rPr>
              <w:t>Melbourne CPI</w:t>
            </w:r>
          </w:p>
        </w:tc>
        <w:tc>
          <w:tcPr>
            <w:cnfStyle w:val="000100000000" w:firstRow="0" w:lastRow="0" w:firstColumn="0" w:lastColumn="1" w:oddVBand="0" w:evenVBand="0" w:oddHBand="0" w:evenHBand="0" w:firstRowFirstColumn="0" w:firstRowLastColumn="0" w:lastRowFirstColumn="0" w:lastRowLastColumn="0"/>
            <w:tcW w:w="6237" w:type="dxa"/>
          </w:tcPr>
          <w:p w14:paraId="0BDA2235" w14:textId="1AFF6B93" w:rsidR="00196BAC" w:rsidRPr="007D5635" w:rsidRDefault="00196BAC" w:rsidP="00196BAC">
            <w:pPr>
              <w:pStyle w:val="10Tabletext"/>
              <w:rPr>
                <w:szCs w:val="22"/>
              </w:rPr>
            </w:pPr>
            <w:r w:rsidRPr="007D5635">
              <w:rPr>
                <w:szCs w:val="22"/>
              </w:rPr>
              <w:t>All Groups Consumer Price Index for Melbourne</w:t>
            </w:r>
          </w:p>
        </w:tc>
      </w:tr>
      <w:tr w:rsidR="00196BAC" w:rsidRPr="00EB6C48" w14:paraId="739F0633" w14:textId="77777777" w:rsidTr="00A547F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2316B25" w14:textId="07821DC4" w:rsidR="00196BAC" w:rsidRPr="007D5635" w:rsidRDefault="00196BAC" w:rsidP="00196BAC">
            <w:pPr>
              <w:pStyle w:val="10Tabletext"/>
              <w:rPr>
                <w:szCs w:val="22"/>
              </w:rPr>
            </w:pPr>
            <w:r w:rsidRPr="007D5635">
              <w:rPr>
                <w:szCs w:val="22"/>
              </w:rPr>
              <w:t>MSCB</w:t>
            </w:r>
          </w:p>
        </w:tc>
        <w:tc>
          <w:tcPr>
            <w:cnfStyle w:val="000100000000" w:firstRow="0" w:lastRow="0" w:firstColumn="0" w:lastColumn="1" w:oddVBand="0" w:evenVBand="0" w:oddHBand="0" w:evenHBand="0" w:firstRowFirstColumn="0" w:firstRowLastColumn="0" w:lastRowFirstColumn="0" w:lastRowLastColumn="0"/>
            <w:tcW w:w="6237" w:type="dxa"/>
          </w:tcPr>
          <w:p w14:paraId="7CE83750" w14:textId="2B72448D" w:rsidR="00196BAC" w:rsidRPr="007D5635" w:rsidRDefault="00196BAC" w:rsidP="00196BAC">
            <w:pPr>
              <w:pStyle w:val="10Tabletext"/>
              <w:rPr>
                <w:szCs w:val="22"/>
              </w:rPr>
            </w:pPr>
            <w:r w:rsidRPr="007D5635">
              <w:rPr>
                <w:szCs w:val="22"/>
              </w:rPr>
              <w:t>Maximum super contribution base</w:t>
            </w:r>
          </w:p>
        </w:tc>
      </w:tr>
      <w:tr w:rsidR="00196BAC" w:rsidRPr="00EB6C48" w14:paraId="2BDF4E72" w14:textId="77777777" w:rsidTr="00A547F2">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614790F" w14:textId="229DB461" w:rsidR="00196BAC" w:rsidRPr="007D5635" w:rsidRDefault="00196BAC" w:rsidP="00196BAC">
            <w:pPr>
              <w:pStyle w:val="10Tabletext"/>
              <w:rPr>
                <w:szCs w:val="22"/>
              </w:rPr>
            </w:pPr>
            <w:r w:rsidRPr="007D5635">
              <w:rPr>
                <w:szCs w:val="22"/>
              </w:rPr>
              <w:t>NSW</w:t>
            </w:r>
          </w:p>
        </w:tc>
        <w:tc>
          <w:tcPr>
            <w:cnfStyle w:val="000100000000" w:firstRow="0" w:lastRow="0" w:firstColumn="0" w:lastColumn="1" w:oddVBand="0" w:evenVBand="0" w:oddHBand="0" w:evenHBand="0" w:firstRowFirstColumn="0" w:firstRowLastColumn="0" w:lastRowFirstColumn="0" w:lastRowLastColumn="0"/>
            <w:tcW w:w="6237" w:type="dxa"/>
          </w:tcPr>
          <w:p w14:paraId="6A752A29" w14:textId="4983C415" w:rsidR="00196BAC" w:rsidRPr="007D5635" w:rsidRDefault="00196BAC" w:rsidP="00196BAC">
            <w:pPr>
              <w:pStyle w:val="10Tabletext"/>
              <w:rPr>
                <w:szCs w:val="22"/>
              </w:rPr>
            </w:pPr>
            <w:r w:rsidRPr="007D5635">
              <w:rPr>
                <w:szCs w:val="22"/>
              </w:rPr>
              <w:t>New South Wales</w:t>
            </w:r>
          </w:p>
        </w:tc>
      </w:tr>
      <w:tr w:rsidR="00196BAC" w:rsidRPr="00EB6C48" w14:paraId="184BF600" w14:textId="77777777" w:rsidTr="00A547F2">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10" w:type="dxa"/>
          </w:tcPr>
          <w:p w14:paraId="4629AE73" w14:textId="45281253" w:rsidR="00196BAC" w:rsidRPr="007D5635" w:rsidRDefault="00196BAC" w:rsidP="00196BAC">
            <w:pPr>
              <w:pStyle w:val="10Tabletext"/>
              <w:rPr>
                <w:szCs w:val="22"/>
              </w:rPr>
            </w:pPr>
            <w:r w:rsidRPr="007D5635">
              <w:rPr>
                <w:szCs w:val="22"/>
              </w:rPr>
              <w:t xml:space="preserve">notional salary component </w:t>
            </w:r>
          </w:p>
        </w:tc>
        <w:tc>
          <w:tcPr>
            <w:cnfStyle w:val="000100000000" w:firstRow="0" w:lastRow="0" w:firstColumn="0" w:lastColumn="1" w:oddVBand="0" w:evenVBand="0" w:oddHBand="0" w:evenHBand="0" w:firstRowFirstColumn="0" w:firstRowLastColumn="0" w:lastRowFirstColumn="0" w:lastRowLastColumn="0"/>
            <w:tcW w:w="6237" w:type="dxa"/>
          </w:tcPr>
          <w:p w14:paraId="48163DC1" w14:textId="638FDCCA" w:rsidR="00196BAC" w:rsidRPr="007D5635" w:rsidRDefault="00196BAC" w:rsidP="00196BAC">
            <w:pPr>
              <w:pStyle w:val="10Tabletext"/>
              <w:rPr>
                <w:szCs w:val="22"/>
              </w:rPr>
            </w:pPr>
            <w:r w:rsidRPr="007D5635">
              <w:rPr>
                <w:szCs w:val="22"/>
              </w:rPr>
              <w:t xml:space="preserve">Calculated by reducing the </w:t>
            </w:r>
            <w:r w:rsidR="008D0F6F">
              <w:rPr>
                <w:szCs w:val="22"/>
              </w:rPr>
              <w:t>t</w:t>
            </w:r>
            <w:r w:rsidR="00E259CC">
              <w:rPr>
                <w:szCs w:val="22"/>
              </w:rPr>
              <w:t xml:space="preserve">otal </w:t>
            </w:r>
            <w:r w:rsidR="008D0F6F">
              <w:rPr>
                <w:szCs w:val="22"/>
              </w:rPr>
              <w:t>r</w:t>
            </w:r>
            <w:r w:rsidR="00E259CC">
              <w:rPr>
                <w:szCs w:val="22"/>
              </w:rPr>
              <w:t xml:space="preserve">emuneration </w:t>
            </w:r>
            <w:r w:rsidR="008D0F6F">
              <w:rPr>
                <w:szCs w:val="22"/>
              </w:rPr>
              <w:t>p</w:t>
            </w:r>
            <w:r w:rsidR="00E259CC">
              <w:rPr>
                <w:szCs w:val="22"/>
              </w:rPr>
              <w:t>ackage</w:t>
            </w:r>
            <w:r w:rsidRPr="007D5635">
              <w:rPr>
                <w:szCs w:val="22"/>
              </w:rPr>
              <w:t xml:space="preserve"> value of the remuneration bands by the amount of the superannuation contributions</w:t>
            </w:r>
          </w:p>
        </w:tc>
      </w:tr>
      <w:tr w:rsidR="00196BAC" w:rsidRPr="00EB6C48" w14:paraId="6D92447F" w14:textId="77777777" w:rsidTr="00A547F2">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9FB177A" w14:textId="764B9AD6" w:rsidR="00196BAC" w:rsidRPr="007D5635" w:rsidRDefault="00196BAC" w:rsidP="00196BAC">
            <w:pPr>
              <w:pStyle w:val="10Tabletext"/>
              <w:rPr>
                <w:szCs w:val="22"/>
              </w:rPr>
            </w:pPr>
            <w:r w:rsidRPr="007D5635">
              <w:rPr>
                <w:szCs w:val="22"/>
              </w:rPr>
              <w:t>p.a.</w:t>
            </w:r>
          </w:p>
        </w:tc>
        <w:tc>
          <w:tcPr>
            <w:cnfStyle w:val="000100000000" w:firstRow="0" w:lastRow="0" w:firstColumn="0" w:lastColumn="1" w:oddVBand="0" w:evenVBand="0" w:oddHBand="0" w:evenHBand="0" w:firstRowFirstColumn="0" w:firstRowLastColumn="0" w:lastRowFirstColumn="0" w:lastRowLastColumn="0"/>
            <w:tcW w:w="6237" w:type="dxa"/>
          </w:tcPr>
          <w:p w14:paraId="00C0553A" w14:textId="3826E8BF" w:rsidR="00196BAC" w:rsidRPr="007D5635" w:rsidRDefault="00196BAC" w:rsidP="00196BAC">
            <w:pPr>
              <w:pStyle w:val="10Tabletext"/>
              <w:rPr>
                <w:szCs w:val="22"/>
              </w:rPr>
            </w:pPr>
            <w:r w:rsidRPr="007D5635">
              <w:rPr>
                <w:szCs w:val="22"/>
              </w:rPr>
              <w:t>per annum</w:t>
            </w:r>
          </w:p>
        </w:tc>
      </w:tr>
      <w:tr w:rsidR="00196BAC" w:rsidRPr="00EB6C48" w14:paraId="03395EF7" w14:textId="77777777" w:rsidTr="00A547F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7148D7F6" w14:textId="090C258A" w:rsidR="00196BAC" w:rsidRPr="007D5635" w:rsidRDefault="00196BAC" w:rsidP="00196BAC">
            <w:pPr>
              <w:pStyle w:val="10Tabletext"/>
              <w:rPr>
                <w:szCs w:val="22"/>
              </w:rPr>
            </w:pPr>
            <w:r w:rsidRPr="007D5635">
              <w:rPr>
                <w:szCs w:val="22"/>
              </w:rPr>
              <w:t>PAA</w:t>
            </w:r>
          </w:p>
        </w:tc>
        <w:tc>
          <w:tcPr>
            <w:cnfStyle w:val="000100000000" w:firstRow="0" w:lastRow="0" w:firstColumn="0" w:lastColumn="1" w:oddVBand="0" w:evenVBand="0" w:oddHBand="0" w:evenHBand="0" w:firstRowFirstColumn="0" w:firstRowLastColumn="0" w:lastRowFirstColumn="0" w:lastRowLastColumn="0"/>
            <w:tcW w:w="6237" w:type="dxa"/>
          </w:tcPr>
          <w:p w14:paraId="1291ECE2" w14:textId="55D4D177" w:rsidR="00196BAC" w:rsidRPr="007D5635" w:rsidRDefault="00196BAC" w:rsidP="00196BAC">
            <w:pPr>
              <w:pStyle w:val="10Tabletext"/>
              <w:rPr>
                <w:szCs w:val="22"/>
              </w:rPr>
            </w:pPr>
            <w:r w:rsidRPr="007D5635">
              <w:rPr>
                <w:i/>
                <w:iCs/>
                <w:szCs w:val="22"/>
              </w:rPr>
              <w:t xml:space="preserve">Public Administration Act 2004 </w:t>
            </w:r>
            <w:r w:rsidRPr="007D5635">
              <w:rPr>
                <w:szCs w:val="22"/>
              </w:rPr>
              <w:t>(Vic)</w:t>
            </w:r>
          </w:p>
        </w:tc>
      </w:tr>
      <w:tr w:rsidR="00196BAC" w:rsidRPr="00EB6C48" w14:paraId="76504094" w14:textId="77777777" w:rsidTr="00A547F2">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F5A9F58" w14:textId="78A0D20F" w:rsidR="00196BAC" w:rsidRPr="007D5635" w:rsidRDefault="00196BAC" w:rsidP="00196BAC">
            <w:pPr>
              <w:pStyle w:val="10Tabletext"/>
              <w:rPr>
                <w:szCs w:val="22"/>
              </w:rPr>
            </w:pPr>
            <w:r w:rsidRPr="007D5635">
              <w:rPr>
                <w:szCs w:val="22"/>
              </w:rPr>
              <w:t>RBA</w:t>
            </w:r>
          </w:p>
        </w:tc>
        <w:tc>
          <w:tcPr>
            <w:cnfStyle w:val="000100000000" w:firstRow="0" w:lastRow="0" w:firstColumn="0" w:lastColumn="1" w:oddVBand="0" w:evenVBand="0" w:oddHBand="0" w:evenHBand="0" w:firstRowFirstColumn="0" w:firstRowLastColumn="0" w:lastRowFirstColumn="0" w:lastRowLastColumn="0"/>
            <w:tcW w:w="6237" w:type="dxa"/>
          </w:tcPr>
          <w:p w14:paraId="729FC4DD" w14:textId="7E188137" w:rsidR="00196BAC" w:rsidRPr="007D5635" w:rsidRDefault="00196BAC" w:rsidP="00196BAC">
            <w:pPr>
              <w:pStyle w:val="10Tabletext"/>
              <w:rPr>
                <w:szCs w:val="22"/>
              </w:rPr>
            </w:pPr>
            <w:r w:rsidRPr="007D5635">
              <w:rPr>
                <w:szCs w:val="22"/>
              </w:rPr>
              <w:t>Reserve Bank of Australia</w:t>
            </w:r>
          </w:p>
        </w:tc>
      </w:tr>
      <w:tr w:rsidR="00196BAC" w:rsidRPr="00EB6C48" w14:paraId="4CD4D19B" w14:textId="77777777" w:rsidTr="00A547F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2FA79BD" w14:textId="77523BE5" w:rsidR="00196BAC" w:rsidRPr="007D5635" w:rsidRDefault="00196BAC" w:rsidP="00196BAC">
            <w:pPr>
              <w:pStyle w:val="10Tabletext"/>
              <w:rPr>
                <w:szCs w:val="22"/>
              </w:rPr>
            </w:pPr>
            <w:r w:rsidRPr="007D5635">
              <w:rPr>
                <w:szCs w:val="22"/>
              </w:rPr>
              <w:t>SES</w:t>
            </w:r>
          </w:p>
        </w:tc>
        <w:tc>
          <w:tcPr>
            <w:cnfStyle w:val="000100000000" w:firstRow="0" w:lastRow="0" w:firstColumn="0" w:lastColumn="1" w:oddVBand="0" w:evenVBand="0" w:oddHBand="0" w:evenHBand="0" w:firstRowFirstColumn="0" w:firstRowLastColumn="0" w:lastRowFirstColumn="0" w:lastRowLastColumn="0"/>
            <w:tcW w:w="6237" w:type="dxa"/>
          </w:tcPr>
          <w:p w14:paraId="4E1D15A9" w14:textId="462EED8D" w:rsidR="00196BAC" w:rsidRPr="007D5635" w:rsidRDefault="00196BAC" w:rsidP="00196BAC">
            <w:pPr>
              <w:pStyle w:val="10Tabletext"/>
              <w:rPr>
                <w:szCs w:val="22"/>
              </w:rPr>
            </w:pPr>
            <w:r w:rsidRPr="007D5635">
              <w:rPr>
                <w:szCs w:val="22"/>
              </w:rPr>
              <w:t>Senior Executive Service</w:t>
            </w:r>
          </w:p>
        </w:tc>
      </w:tr>
      <w:tr w:rsidR="00196BAC" w:rsidRPr="00EB6C48" w14:paraId="3B8BB555" w14:textId="77777777" w:rsidTr="00A547F2">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123CD33" w14:textId="2F046B49" w:rsidR="00196BAC" w:rsidRPr="007D5635" w:rsidRDefault="00196BAC" w:rsidP="00196BAC">
            <w:pPr>
              <w:pStyle w:val="10Tabletext"/>
              <w:rPr>
                <w:szCs w:val="22"/>
              </w:rPr>
            </w:pPr>
            <w:r w:rsidRPr="007D5635">
              <w:rPr>
                <w:szCs w:val="22"/>
              </w:rPr>
              <w:lastRenderedPageBreak/>
              <w:t>SG</w:t>
            </w:r>
          </w:p>
        </w:tc>
        <w:tc>
          <w:tcPr>
            <w:cnfStyle w:val="000100000000" w:firstRow="0" w:lastRow="0" w:firstColumn="0" w:lastColumn="1" w:oddVBand="0" w:evenVBand="0" w:oddHBand="0" w:evenHBand="0" w:firstRowFirstColumn="0" w:firstRowLastColumn="0" w:lastRowFirstColumn="0" w:lastRowLastColumn="0"/>
            <w:tcW w:w="6237" w:type="dxa"/>
          </w:tcPr>
          <w:p w14:paraId="5583C790" w14:textId="59BCA984" w:rsidR="00196BAC" w:rsidRPr="007D5635" w:rsidRDefault="00196BAC" w:rsidP="00196BAC">
            <w:pPr>
              <w:pStyle w:val="10Tabletext"/>
              <w:rPr>
                <w:szCs w:val="22"/>
              </w:rPr>
            </w:pPr>
            <w:r w:rsidRPr="007D5635">
              <w:rPr>
                <w:szCs w:val="22"/>
              </w:rPr>
              <w:t>Super guarantee</w:t>
            </w:r>
          </w:p>
        </w:tc>
      </w:tr>
      <w:tr w:rsidR="000B76BD" w:rsidRPr="00EB6C48" w14:paraId="79D1B269" w14:textId="77777777" w:rsidTr="00A547F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A7E3710" w14:textId="4B8F2EDB" w:rsidR="000B76BD" w:rsidRPr="007D5635" w:rsidRDefault="000B76BD" w:rsidP="00196BAC">
            <w:pPr>
              <w:pStyle w:val="10Tabletext"/>
              <w:rPr>
                <w:szCs w:val="22"/>
              </w:rPr>
            </w:pPr>
            <w:r>
              <w:rPr>
                <w:szCs w:val="22"/>
              </w:rPr>
              <w:t>Silver Review</w:t>
            </w:r>
          </w:p>
        </w:tc>
        <w:tc>
          <w:tcPr>
            <w:cnfStyle w:val="000100000000" w:firstRow="0" w:lastRow="0" w:firstColumn="0" w:lastColumn="1" w:oddVBand="0" w:evenVBand="0" w:oddHBand="0" w:evenHBand="0" w:firstRowFirstColumn="0" w:firstRowLastColumn="0" w:lastRowFirstColumn="0" w:lastRowLastColumn="0"/>
            <w:tcW w:w="6237" w:type="dxa"/>
          </w:tcPr>
          <w:p w14:paraId="37134884" w14:textId="10B8BFB9" w:rsidR="000B76BD" w:rsidRPr="007D5635" w:rsidRDefault="000B76BD" w:rsidP="00196BAC">
            <w:pPr>
              <w:pStyle w:val="10Tabletext"/>
              <w:rPr>
                <w:szCs w:val="22"/>
              </w:rPr>
            </w:pPr>
            <w:r>
              <w:rPr>
                <w:szCs w:val="22"/>
              </w:rPr>
              <w:t>Independent Review of the Victorian Public Service</w:t>
            </w:r>
          </w:p>
        </w:tc>
      </w:tr>
      <w:tr w:rsidR="00196BAC" w:rsidRPr="00EB6C48" w14:paraId="391C8A3E" w14:textId="77777777" w:rsidTr="00A547F2">
        <w:trPr>
          <w:trHeight w:val="663"/>
        </w:trPr>
        <w:tc>
          <w:tcPr>
            <w:cnfStyle w:val="001000000000" w:firstRow="0" w:lastRow="0" w:firstColumn="1" w:lastColumn="0" w:oddVBand="0" w:evenVBand="0" w:oddHBand="0" w:evenHBand="0" w:firstRowFirstColumn="0" w:firstRowLastColumn="0" w:lastRowFirstColumn="0" w:lastRowLastColumn="0"/>
            <w:tcW w:w="2410" w:type="dxa"/>
          </w:tcPr>
          <w:p w14:paraId="41B40CC5" w14:textId="6EFD4870" w:rsidR="00196BAC" w:rsidRPr="007D5635" w:rsidRDefault="00196BAC" w:rsidP="00196BAC">
            <w:pPr>
              <w:pStyle w:val="10Tabletext"/>
              <w:rPr>
                <w:szCs w:val="22"/>
              </w:rPr>
            </w:pPr>
            <w:r w:rsidRPr="007D5635">
              <w:rPr>
                <w:szCs w:val="22"/>
              </w:rPr>
              <w:t>Standard Contract</w:t>
            </w:r>
          </w:p>
        </w:tc>
        <w:tc>
          <w:tcPr>
            <w:cnfStyle w:val="000100000000" w:firstRow="0" w:lastRow="0" w:firstColumn="0" w:lastColumn="1" w:oddVBand="0" w:evenVBand="0" w:oddHBand="0" w:evenHBand="0" w:firstRowFirstColumn="0" w:firstRowLastColumn="0" w:lastRowFirstColumn="0" w:lastRowLastColumn="0"/>
            <w:tcW w:w="6237" w:type="dxa"/>
          </w:tcPr>
          <w:p w14:paraId="335AAFF1" w14:textId="5FA9B517" w:rsidR="00196BAC" w:rsidRPr="007D5635" w:rsidRDefault="00196BAC" w:rsidP="00196BAC">
            <w:pPr>
              <w:pStyle w:val="10Tabletext"/>
              <w:rPr>
                <w:szCs w:val="22"/>
              </w:rPr>
            </w:pPr>
            <w:r w:rsidRPr="007D5635">
              <w:rPr>
                <w:szCs w:val="22"/>
              </w:rPr>
              <w:t>Standard executive contract template published by the Victorian Public Sector Commission</w:t>
            </w:r>
          </w:p>
        </w:tc>
      </w:tr>
      <w:tr w:rsidR="00196BAC" w:rsidRPr="00EB6C48" w14:paraId="2AFB7F87" w14:textId="77777777" w:rsidTr="000E100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7FCA55FD" w14:textId="26104E4F" w:rsidR="00196BAC" w:rsidRPr="007D5635" w:rsidRDefault="00196BAC" w:rsidP="00196BAC">
            <w:pPr>
              <w:pStyle w:val="10Tabletext"/>
              <w:rPr>
                <w:szCs w:val="22"/>
              </w:rPr>
            </w:pPr>
            <w:r w:rsidRPr="007D5635">
              <w:rPr>
                <w:szCs w:val="22"/>
              </w:rPr>
              <w:t>Tribunal</w:t>
            </w:r>
          </w:p>
        </w:tc>
        <w:tc>
          <w:tcPr>
            <w:cnfStyle w:val="000100000000" w:firstRow="0" w:lastRow="0" w:firstColumn="0" w:lastColumn="1" w:oddVBand="0" w:evenVBand="0" w:oddHBand="0" w:evenHBand="0" w:firstRowFirstColumn="0" w:firstRowLastColumn="0" w:lastRowFirstColumn="0" w:lastRowLastColumn="0"/>
            <w:tcW w:w="6237" w:type="dxa"/>
          </w:tcPr>
          <w:p w14:paraId="1051BE3A" w14:textId="690F9BD9" w:rsidR="00196BAC" w:rsidRPr="007D5635" w:rsidRDefault="00196BAC" w:rsidP="00196BAC">
            <w:pPr>
              <w:pStyle w:val="10Tabletext"/>
              <w:rPr>
                <w:szCs w:val="22"/>
              </w:rPr>
            </w:pPr>
            <w:r w:rsidRPr="007D5635">
              <w:rPr>
                <w:szCs w:val="22"/>
              </w:rPr>
              <w:t>Victorian Independent Remuneration Tribunal</w:t>
            </w:r>
          </w:p>
        </w:tc>
      </w:tr>
      <w:tr w:rsidR="00196BAC" w:rsidRPr="00EB6C48" w14:paraId="19B7AFDF" w14:textId="77777777" w:rsidTr="00A547F2">
        <w:trPr>
          <w:trHeight w:val="1168"/>
        </w:trPr>
        <w:tc>
          <w:tcPr>
            <w:cnfStyle w:val="001000000000" w:firstRow="0" w:lastRow="0" w:firstColumn="1" w:lastColumn="0" w:oddVBand="0" w:evenVBand="0" w:oddHBand="0" w:evenHBand="0" w:firstRowFirstColumn="0" w:firstRowLastColumn="0" w:lastRowFirstColumn="0" w:lastRowLastColumn="0"/>
            <w:tcW w:w="2410" w:type="dxa"/>
          </w:tcPr>
          <w:p w14:paraId="04A10A3A" w14:textId="62832B1C" w:rsidR="00196BAC" w:rsidRPr="007D5635" w:rsidRDefault="00196BAC" w:rsidP="00196BAC">
            <w:pPr>
              <w:pStyle w:val="10Tabletext"/>
              <w:rPr>
                <w:szCs w:val="22"/>
              </w:rPr>
            </w:pPr>
            <w:r w:rsidRPr="007D5635">
              <w:rPr>
                <w:szCs w:val="22"/>
              </w:rPr>
              <w:t>TRP</w:t>
            </w:r>
          </w:p>
        </w:tc>
        <w:tc>
          <w:tcPr>
            <w:cnfStyle w:val="000100000000" w:firstRow="0" w:lastRow="0" w:firstColumn="0" w:lastColumn="1" w:oddVBand="0" w:evenVBand="0" w:oddHBand="0" w:evenHBand="0" w:firstRowFirstColumn="0" w:firstRowLastColumn="0" w:lastRowFirstColumn="0" w:lastRowLastColumn="0"/>
            <w:tcW w:w="6237" w:type="dxa"/>
          </w:tcPr>
          <w:p w14:paraId="3111FA2F" w14:textId="3F52D3DD" w:rsidR="00196BAC" w:rsidRPr="007D5635" w:rsidRDefault="00196BAC" w:rsidP="00196BAC">
            <w:pPr>
              <w:pStyle w:val="10Tabletext"/>
              <w:rPr>
                <w:szCs w:val="22"/>
              </w:rPr>
            </w:pPr>
            <w:r w:rsidRPr="007D5635">
              <w:rPr>
                <w:szCs w:val="22"/>
              </w:rPr>
              <w:t xml:space="preserve">Total remuneration package, which is the sum of base salary, superannuation contributions, non-salary employment benefits and the annual cost </w:t>
            </w:r>
            <w:r w:rsidR="00E259CC">
              <w:rPr>
                <w:szCs w:val="22"/>
              </w:rPr>
              <w:t>to</w:t>
            </w:r>
            <w:r w:rsidRPr="007D5635">
              <w:rPr>
                <w:szCs w:val="22"/>
              </w:rPr>
              <w:t xml:space="preserve"> the employer of providing the non-monetary benefits</w:t>
            </w:r>
          </w:p>
        </w:tc>
      </w:tr>
      <w:tr w:rsidR="00196BAC" w:rsidRPr="00EB6C48" w14:paraId="38B22698" w14:textId="77777777" w:rsidTr="000E100A">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10" w:type="dxa"/>
          </w:tcPr>
          <w:p w14:paraId="76798C76" w14:textId="183FBEBF" w:rsidR="00196BAC" w:rsidRPr="007D5635" w:rsidRDefault="00196BAC" w:rsidP="00196BAC">
            <w:pPr>
              <w:pStyle w:val="10Tabletext"/>
              <w:rPr>
                <w:szCs w:val="22"/>
              </w:rPr>
            </w:pPr>
            <w:r w:rsidRPr="007D5635">
              <w:rPr>
                <w:szCs w:val="22"/>
              </w:rPr>
              <w:t>VIRTIPS Act</w:t>
            </w:r>
          </w:p>
        </w:tc>
        <w:tc>
          <w:tcPr>
            <w:cnfStyle w:val="000100000000" w:firstRow="0" w:lastRow="0" w:firstColumn="0" w:lastColumn="1" w:oddVBand="0" w:evenVBand="0" w:oddHBand="0" w:evenHBand="0" w:firstRowFirstColumn="0" w:firstRowLastColumn="0" w:lastRowFirstColumn="0" w:lastRowLastColumn="0"/>
            <w:tcW w:w="6237" w:type="dxa"/>
          </w:tcPr>
          <w:p w14:paraId="300E8933" w14:textId="6085660C" w:rsidR="00196BAC" w:rsidRPr="007D5635" w:rsidRDefault="00196BAC" w:rsidP="00196BAC">
            <w:pPr>
              <w:pStyle w:val="10Tabletext"/>
              <w:rPr>
                <w:szCs w:val="22"/>
              </w:rPr>
            </w:pPr>
            <w:r w:rsidRPr="007D5635">
              <w:rPr>
                <w:i/>
                <w:iCs/>
                <w:szCs w:val="22"/>
              </w:rPr>
              <w:t xml:space="preserve">Victorian Independent Remuneration Tribunal and Improving Parliamentary Standards Act 2019 </w:t>
            </w:r>
            <w:r w:rsidRPr="007D5635">
              <w:rPr>
                <w:szCs w:val="22"/>
              </w:rPr>
              <w:t>(Vic)</w:t>
            </w:r>
          </w:p>
        </w:tc>
      </w:tr>
      <w:tr w:rsidR="00196BAC" w:rsidRPr="00EB6C48" w14:paraId="152F691D" w14:textId="77777777" w:rsidTr="000E100A">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D582A53" w14:textId="50E92043" w:rsidR="00196BAC" w:rsidRPr="007D5635" w:rsidRDefault="00196BAC" w:rsidP="00196BAC">
            <w:pPr>
              <w:pStyle w:val="10Tabletext"/>
              <w:rPr>
                <w:szCs w:val="22"/>
              </w:rPr>
            </w:pPr>
            <w:r w:rsidRPr="007D5635">
              <w:rPr>
                <w:szCs w:val="22"/>
              </w:rPr>
              <w:t>VPS</w:t>
            </w:r>
          </w:p>
        </w:tc>
        <w:tc>
          <w:tcPr>
            <w:cnfStyle w:val="000100000000" w:firstRow="0" w:lastRow="0" w:firstColumn="0" w:lastColumn="1" w:oddVBand="0" w:evenVBand="0" w:oddHBand="0" w:evenHBand="0" w:firstRowFirstColumn="0" w:firstRowLastColumn="0" w:lastRowFirstColumn="0" w:lastRowLastColumn="0"/>
            <w:tcW w:w="6237" w:type="dxa"/>
          </w:tcPr>
          <w:p w14:paraId="0A5C622F" w14:textId="5D0602F9" w:rsidR="00196BAC" w:rsidRPr="007D5635" w:rsidRDefault="00196BAC" w:rsidP="00196BAC">
            <w:pPr>
              <w:pStyle w:val="10Tabletext"/>
              <w:rPr>
                <w:szCs w:val="22"/>
              </w:rPr>
            </w:pPr>
            <w:r w:rsidRPr="007D5635">
              <w:rPr>
                <w:szCs w:val="22"/>
              </w:rPr>
              <w:t>Victorian Public Service</w:t>
            </w:r>
          </w:p>
        </w:tc>
      </w:tr>
      <w:tr w:rsidR="00196BAC" w:rsidRPr="00EB6C48" w14:paraId="2E605B2B" w14:textId="77777777" w:rsidTr="000E100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6E02E50" w14:textId="2A81170C" w:rsidR="00196BAC" w:rsidRPr="007D5635" w:rsidRDefault="00196BAC" w:rsidP="00196BAC">
            <w:pPr>
              <w:pStyle w:val="10Tabletext"/>
              <w:rPr>
                <w:szCs w:val="22"/>
              </w:rPr>
            </w:pPr>
            <w:r w:rsidRPr="007D5635">
              <w:rPr>
                <w:szCs w:val="22"/>
              </w:rPr>
              <w:t>VPSC</w:t>
            </w:r>
          </w:p>
        </w:tc>
        <w:tc>
          <w:tcPr>
            <w:cnfStyle w:val="000100000000" w:firstRow="0" w:lastRow="0" w:firstColumn="0" w:lastColumn="1" w:oddVBand="0" w:evenVBand="0" w:oddHBand="0" w:evenHBand="0" w:firstRowFirstColumn="0" w:firstRowLastColumn="0" w:lastRowFirstColumn="0" w:lastRowLastColumn="0"/>
            <w:tcW w:w="6237" w:type="dxa"/>
          </w:tcPr>
          <w:p w14:paraId="715D966A" w14:textId="4BEEE3D3" w:rsidR="00196BAC" w:rsidRPr="007D5635" w:rsidRDefault="00196BAC" w:rsidP="00196BAC">
            <w:pPr>
              <w:pStyle w:val="10Tabletext"/>
              <w:rPr>
                <w:szCs w:val="22"/>
              </w:rPr>
            </w:pPr>
            <w:r w:rsidRPr="007D5635">
              <w:rPr>
                <w:szCs w:val="22"/>
              </w:rPr>
              <w:t>Victorian Public Sector Commission</w:t>
            </w:r>
          </w:p>
        </w:tc>
      </w:tr>
      <w:tr w:rsidR="00196BAC" w:rsidRPr="00EB6C48" w14:paraId="654477E8" w14:textId="77777777" w:rsidTr="000E100A">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C996580" w14:textId="11B73A52" w:rsidR="00196BAC" w:rsidRPr="007D5635" w:rsidRDefault="00196BAC" w:rsidP="00196BAC">
            <w:pPr>
              <w:pStyle w:val="10Tabletext"/>
              <w:rPr>
                <w:szCs w:val="22"/>
              </w:rPr>
            </w:pPr>
            <w:r w:rsidRPr="007D5635">
              <w:rPr>
                <w:szCs w:val="22"/>
              </w:rPr>
              <w:t>VPS Guidelines</w:t>
            </w:r>
          </w:p>
        </w:tc>
        <w:tc>
          <w:tcPr>
            <w:cnfStyle w:val="000100000000" w:firstRow="0" w:lastRow="0" w:firstColumn="0" w:lastColumn="1" w:oddVBand="0" w:evenVBand="0" w:oddHBand="0" w:evenHBand="0" w:firstRowFirstColumn="0" w:firstRowLastColumn="0" w:lastRowFirstColumn="0" w:lastRowLastColumn="0"/>
            <w:tcW w:w="6237" w:type="dxa"/>
          </w:tcPr>
          <w:p w14:paraId="63D7B4EB" w14:textId="3D45072C" w:rsidR="00196BAC" w:rsidRPr="007D5635" w:rsidRDefault="00196BAC" w:rsidP="00196BAC">
            <w:pPr>
              <w:pStyle w:val="10Tabletext"/>
              <w:rPr>
                <w:szCs w:val="22"/>
              </w:rPr>
            </w:pPr>
            <w:r w:rsidRPr="007D5635">
              <w:rPr>
                <w:i/>
                <w:iCs/>
                <w:szCs w:val="22"/>
              </w:rPr>
              <w:t>Victorian Public Service Executive Remuneration Guidelines</w:t>
            </w:r>
          </w:p>
        </w:tc>
      </w:tr>
      <w:tr w:rsidR="00196BAC" w:rsidRPr="00EB6C48" w14:paraId="037E6DCE" w14:textId="77777777" w:rsidTr="000E100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31B4BCC" w14:textId="6D80BEC3" w:rsidR="00196BAC" w:rsidRPr="007D5635" w:rsidRDefault="00196BAC" w:rsidP="00196BAC">
            <w:pPr>
              <w:pStyle w:val="10Tabletext"/>
              <w:rPr>
                <w:szCs w:val="22"/>
              </w:rPr>
            </w:pPr>
            <w:r w:rsidRPr="007D5635">
              <w:rPr>
                <w:szCs w:val="22"/>
              </w:rPr>
              <w:t>VPS Handbook</w:t>
            </w:r>
          </w:p>
        </w:tc>
        <w:tc>
          <w:tcPr>
            <w:cnfStyle w:val="000100000000" w:firstRow="0" w:lastRow="0" w:firstColumn="0" w:lastColumn="1" w:oddVBand="0" w:evenVBand="0" w:oddHBand="0" w:evenHBand="0" w:firstRowFirstColumn="0" w:firstRowLastColumn="0" w:lastRowFirstColumn="0" w:lastRowLastColumn="0"/>
            <w:tcW w:w="6237" w:type="dxa"/>
          </w:tcPr>
          <w:p w14:paraId="19378F3A" w14:textId="7B12C4D7" w:rsidR="00196BAC" w:rsidRPr="00632660" w:rsidRDefault="00196BAC" w:rsidP="00196BAC">
            <w:pPr>
              <w:pStyle w:val="10Tabletext"/>
              <w:rPr>
                <w:i/>
                <w:iCs/>
                <w:szCs w:val="22"/>
              </w:rPr>
            </w:pPr>
            <w:r w:rsidRPr="00632660">
              <w:rPr>
                <w:i/>
                <w:iCs/>
                <w:szCs w:val="22"/>
              </w:rPr>
              <w:t>Victorian Public Service Executive Employment Handbook</w:t>
            </w:r>
          </w:p>
        </w:tc>
      </w:tr>
      <w:tr w:rsidR="00196BAC" w:rsidRPr="00EB6C48" w14:paraId="41D68A0A" w14:textId="77777777" w:rsidTr="000E100A">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196416F" w14:textId="6F875379" w:rsidR="00196BAC" w:rsidRPr="007D5635" w:rsidRDefault="00196BAC" w:rsidP="00196BAC">
            <w:pPr>
              <w:pStyle w:val="10Tabletext"/>
              <w:rPr>
                <w:szCs w:val="22"/>
              </w:rPr>
            </w:pPr>
            <w:r w:rsidRPr="007D5635">
              <w:rPr>
                <w:szCs w:val="22"/>
              </w:rPr>
              <w:t>Wages Policy</w:t>
            </w:r>
          </w:p>
        </w:tc>
        <w:tc>
          <w:tcPr>
            <w:cnfStyle w:val="000100000000" w:firstRow="0" w:lastRow="0" w:firstColumn="0" w:lastColumn="1" w:oddVBand="0" w:evenVBand="0" w:oddHBand="0" w:evenHBand="0" w:firstRowFirstColumn="0" w:firstRowLastColumn="0" w:lastRowFirstColumn="0" w:lastRowLastColumn="0"/>
            <w:tcW w:w="6237" w:type="dxa"/>
          </w:tcPr>
          <w:p w14:paraId="3C591DBC" w14:textId="13B6382C" w:rsidR="00196BAC" w:rsidRPr="007D5635" w:rsidRDefault="00196BAC" w:rsidP="00196BAC">
            <w:pPr>
              <w:pStyle w:val="10Tabletext"/>
              <w:rPr>
                <w:szCs w:val="22"/>
              </w:rPr>
            </w:pPr>
            <w:r w:rsidRPr="007D5635">
              <w:rPr>
                <w:i/>
                <w:iCs/>
                <w:szCs w:val="22"/>
              </w:rPr>
              <w:t>Wages Policy and the Enterprise Bargaining Framework</w:t>
            </w:r>
          </w:p>
        </w:tc>
      </w:tr>
      <w:tr w:rsidR="00196BAC" w:rsidRPr="00EB6C48" w14:paraId="0F6E22B7" w14:textId="77777777" w:rsidTr="000E100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757E127" w14:textId="5DDD7189" w:rsidR="00196BAC" w:rsidRPr="007D5635" w:rsidRDefault="00196BAC" w:rsidP="00196BAC">
            <w:pPr>
              <w:pStyle w:val="10Tabletext"/>
              <w:rPr>
                <w:szCs w:val="22"/>
              </w:rPr>
            </w:pPr>
            <w:r w:rsidRPr="007D5635">
              <w:rPr>
                <w:szCs w:val="22"/>
              </w:rPr>
              <w:t>WPI</w:t>
            </w:r>
          </w:p>
        </w:tc>
        <w:tc>
          <w:tcPr>
            <w:cnfStyle w:val="000100000000" w:firstRow="0" w:lastRow="0" w:firstColumn="0" w:lastColumn="1" w:oddVBand="0" w:evenVBand="0" w:oddHBand="0" w:evenHBand="0" w:firstRowFirstColumn="0" w:firstRowLastColumn="0" w:lastRowFirstColumn="0" w:lastRowLastColumn="0"/>
            <w:tcW w:w="6237" w:type="dxa"/>
          </w:tcPr>
          <w:p w14:paraId="61658A0E" w14:textId="13167E75" w:rsidR="00196BAC" w:rsidRPr="007D5635" w:rsidRDefault="00196BAC" w:rsidP="00196BAC">
            <w:pPr>
              <w:pStyle w:val="10Tabletext"/>
              <w:rPr>
                <w:szCs w:val="22"/>
              </w:rPr>
            </w:pPr>
            <w:r w:rsidRPr="007D5635">
              <w:rPr>
                <w:szCs w:val="22"/>
              </w:rPr>
              <w:t>Wage Price Index</w:t>
            </w:r>
          </w:p>
        </w:tc>
      </w:tr>
    </w:tbl>
    <w:p w14:paraId="087B7B2F" w14:textId="77777777" w:rsidR="004A2851" w:rsidRDefault="004A2851" w:rsidP="00DC0D9C">
      <w:pPr>
        <w:pStyle w:val="01Chapterheading"/>
        <w:jc w:val="both"/>
      </w:pPr>
      <w:bookmarkStart w:id="16" w:name="_Toc97728587"/>
    </w:p>
    <w:p w14:paraId="77642A78" w14:textId="77777777" w:rsidR="004A2851" w:rsidRDefault="004A2851">
      <w:pPr>
        <w:spacing w:after="80"/>
        <w:rPr>
          <w:rFonts w:ascii="Rockwell" w:hAnsi="Rockwell"/>
          <w:color w:val="00573F" w:themeColor="accent1"/>
          <w:sz w:val="56"/>
        </w:rPr>
      </w:pPr>
      <w:r>
        <w:br w:type="page"/>
      </w:r>
    </w:p>
    <w:p w14:paraId="06900795" w14:textId="77777777" w:rsidR="00DF4C45" w:rsidRDefault="007E178D" w:rsidP="00DC0D9C">
      <w:pPr>
        <w:pStyle w:val="01Chapterheading"/>
        <w:jc w:val="both"/>
      </w:pPr>
      <w:bookmarkStart w:id="17" w:name="_Toc209438881"/>
      <w:r>
        <w:lastRenderedPageBreak/>
        <w:t>Summary</w:t>
      </w:r>
      <w:bookmarkEnd w:id="17"/>
    </w:p>
    <w:p w14:paraId="11FF0D9C" w14:textId="5E7F8903" w:rsidR="007E178D" w:rsidRPr="00DF4C45" w:rsidRDefault="007E178D" w:rsidP="00DF4C45">
      <w:pPr>
        <w:pStyle w:val="05Paragraph"/>
        <w:rPr>
          <w:rStyle w:val="05ParagraphChar"/>
        </w:rPr>
      </w:pPr>
      <w:r>
        <w:rPr>
          <w:noProof/>
        </w:rPr>
        <w:drawing>
          <wp:inline distT="0" distB="0" distL="0" distR="0" wp14:anchorId="7FA7F4A4" wp14:editId="69614172">
            <wp:extent cx="2212975" cy="255905"/>
            <wp:effectExtent l="0" t="0" r="0" b="0"/>
            <wp:docPr id="1576877182"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84" name="Picture 162">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p>
    <w:p w14:paraId="2116D89E" w14:textId="664168B3" w:rsidR="004843A5" w:rsidRDefault="004843A5" w:rsidP="00DC0D9C">
      <w:pPr>
        <w:pStyle w:val="05Paragraph"/>
        <w:jc w:val="both"/>
      </w:pPr>
      <w:r>
        <w:t>The Victorian Independent Remuneration Tribunal</w:t>
      </w:r>
      <w:r w:rsidR="000608AD">
        <w:t xml:space="preserve"> </w:t>
      </w:r>
      <w:r>
        <w:t xml:space="preserve">has </w:t>
      </w:r>
      <w:r w:rsidR="00EC70E5">
        <w:t xml:space="preserve">adjusted </w:t>
      </w:r>
      <w:r>
        <w:t>the values of the remuneration bands for executives employed in Victorian public service</w:t>
      </w:r>
      <w:r w:rsidR="0085124A">
        <w:t xml:space="preserve"> </w:t>
      </w:r>
      <w:r w:rsidR="00FD1A97">
        <w:t xml:space="preserve">(VPS) </w:t>
      </w:r>
      <w:r>
        <w:t>bodies.</w:t>
      </w:r>
    </w:p>
    <w:p w14:paraId="7C11D5A8" w14:textId="6995EF81" w:rsidR="00604B1E" w:rsidRPr="00345FCF" w:rsidRDefault="00C17482" w:rsidP="00DC0D9C">
      <w:pPr>
        <w:pStyle w:val="05Paragraph"/>
        <w:jc w:val="both"/>
      </w:pPr>
      <w:r w:rsidRPr="00C17482">
        <w:t>The values of the remuneration bands are expressed as a total remuneration package (TRP), inclusive of salary</w:t>
      </w:r>
      <w:r w:rsidR="00277C90">
        <w:t>, non-salary benefits,</w:t>
      </w:r>
      <w:r w:rsidRPr="00C17482">
        <w:t xml:space="preserve"> and </w:t>
      </w:r>
      <w:r w:rsidR="000E5D62">
        <w:t xml:space="preserve">employer </w:t>
      </w:r>
      <w:r w:rsidRPr="00C17482">
        <w:t>superannuation</w:t>
      </w:r>
      <w:r w:rsidR="000E5D62">
        <w:t xml:space="preserve"> contributions</w:t>
      </w:r>
      <w:r w:rsidRPr="00C17482">
        <w:t>.</w:t>
      </w:r>
      <w:r w:rsidR="00110525">
        <w:t xml:space="preserve"> The Tribunal has adjusted the notional salary and superannuation components of the remuneration bands separately</w:t>
      </w:r>
      <w:r w:rsidR="00911E47">
        <w:t>.</w:t>
      </w:r>
      <w:r w:rsidRPr="00C17482">
        <w:t xml:space="preserve"> </w:t>
      </w:r>
      <w:r w:rsidR="004843A5" w:rsidRPr="00345FCF">
        <w:t>The Tribunal has increased</w:t>
      </w:r>
      <w:r w:rsidR="00604B1E" w:rsidRPr="00345FCF">
        <w:t xml:space="preserve"> the notional:</w:t>
      </w:r>
    </w:p>
    <w:p w14:paraId="1788C216" w14:textId="34158193" w:rsidR="00604B1E" w:rsidRPr="00604B1E" w:rsidRDefault="00803084" w:rsidP="00DC0D9C">
      <w:pPr>
        <w:pStyle w:val="06VIRTBulletpoints"/>
      </w:pPr>
      <w:r w:rsidRPr="00345FCF">
        <w:t xml:space="preserve">salary component </w:t>
      </w:r>
      <w:r w:rsidR="004843A5" w:rsidRPr="00345FCF">
        <w:t xml:space="preserve">by </w:t>
      </w:r>
      <w:r w:rsidRPr="00345FCF">
        <w:t>3</w:t>
      </w:r>
      <w:r w:rsidR="004843A5" w:rsidRPr="00345FCF">
        <w:t xml:space="preserve"> per cent</w:t>
      </w:r>
      <w:r w:rsidR="004843A5" w:rsidRPr="00604B1E">
        <w:rPr>
          <w:highlight w:val="yellow"/>
        </w:rPr>
        <w:t xml:space="preserve"> </w:t>
      </w:r>
    </w:p>
    <w:p w14:paraId="02AFDC3F" w14:textId="031708FE" w:rsidR="00604B1E" w:rsidRDefault="00604B1E" w:rsidP="00DC0D9C">
      <w:pPr>
        <w:pStyle w:val="06VIRTBulletpoints"/>
      </w:pPr>
      <w:r>
        <w:t xml:space="preserve">superannuation component </w:t>
      </w:r>
      <w:r w:rsidR="00002CDC">
        <w:t>by between $68 and $1,73</w:t>
      </w:r>
      <w:r w:rsidR="00231EE9">
        <w:t>5</w:t>
      </w:r>
      <w:r w:rsidR="00002CDC">
        <w:t xml:space="preserve">, consistent with changes to </w:t>
      </w:r>
      <w:r w:rsidR="006C1B03">
        <w:t>sta</w:t>
      </w:r>
      <w:r w:rsidR="00040BBC">
        <w:t xml:space="preserve">tutory </w:t>
      </w:r>
      <w:r w:rsidR="00002CDC">
        <w:t>superannuation entitlements from 1 July 2025.</w:t>
      </w:r>
    </w:p>
    <w:p w14:paraId="1405214E" w14:textId="2323BE70" w:rsidR="00A86E18" w:rsidRDefault="003B1F4D" w:rsidP="003021CF">
      <w:pPr>
        <w:pStyle w:val="05Paragraph"/>
        <w:spacing w:after="240"/>
        <w:jc w:val="both"/>
      </w:pPr>
      <w:r>
        <w:t xml:space="preserve">The values of the remuneration bands from 1 July 2025 are set out </w:t>
      </w:r>
      <w:r w:rsidR="009562FA">
        <w:t>below:</w:t>
      </w:r>
    </w:p>
    <w:tbl>
      <w:tblPr>
        <w:tblStyle w:val="VIRTDeterminationTableStyle"/>
        <w:tblW w:w="0" w:type="auto"/>
        <w:tblInd w:w="0" w:type="dxa"/>
        <w:tblLook w:val="04A0" w:firstRow="1" w:lastRow="0" w:firstColumn="1" w:lastColumn="0" w:noHBand="0" w:noVBand="1"/>
      </w:tblPr>
      <w:tblGrid>
        <w:gridCol w:w="5463"/>
        <w:gridCol w:w="1520"/>
        <w:gridCol w:w="1521"/>
      </w:tblGrid>
      <w:tr w:rsidR="00E160C2" w14:paraId="5E7ACFC5" w14:textId="77777777" w:rsidTr="00EB3B96">
        <w:trPr>
          <w:cnfStyle w:val="100000000000" w:firstRow="1" w:lastRow="0" w:firstColumn="0" w:lastColumn="0" w:oddVBand="0" w:evenVBand="0" w:oddHBand="0" w:evenHBand="0" w:firstRowFirstColumn="0" w:firstRowLastColumn="0" w:lastRowFirstColumn="0" w:lastRowLastColumn="0"/>
          <w:trHeight w:val="560"/>
        </w:trPr>
        <w:tc>
          <w:tcPr>
            <w:cnfStyle w:val="001000000100" w:firstRow="0" w:lastRow="0" w:firstColumn="1" w:lastColumn="0" w:oddVBand="0" w:evenVBand="0" w:oddHBand="0" w:evenHBand="0" w:firstRowFirstColumn="1" w:firstRowLastColumn="0" w:lastRowFirstColumn="0" w:lastRowLastColumn="0"/>
            <w:tcW w:w="5463" w:type="dxa"/>
          </w:tcPr>
          <w:p w14:paraId="4B224B93" w14:textId="4ADFE0D2" w:rsidR="004E7970" w:rsidRDefault="004E7970" w:rsidP="00892583">
            <w:pPr>
              <w:pStyle w:val="10Tabletext"/>
            </w:pPr>
            <w:r>
              <w:t>Classification</w:t>
            </w:r>
          </w:p>
        </w:tc>
        <w:tc>
          <w:tcPr>
            <w:tcW w:w="1520" w:type="dxa"/>
          </w:tcPr>
          <w:p w14:paraId="205E4795" w14:textId="77777777" w:rsidR="004E7970" w:rsidRDefault="004E7970" w:rsidP="00806028">
            <w:pPr>
              <w:pStyle w:val="10Tabletext"/>
              <w:jc w:val="right"/>
              <w:cnfStyle w:val="100000000000" w:firstRow="1" w:lastRow="0" w:firstColumn="0" w:lastColumn="0" w:oddVBand="0" w:evenVBand="0" w:oddHBand="0" w:evenHBand="0" w:firstRowFirstColumn="0" w:firstRowLastColumn="0" w:lastRowFirstColumn="0" w:lastRowLastColumn="0"/>
              <w:rPr>
                <w:b w:val="0"/>
                <w:bCs w:val="0"/>
              </w:rPr>
            </w:pPr>
            <w:r>
              <w:t>Base of band</w:t>
            </w:r>
          </w:p>
          <w:p w14:paraId="7DBA2017" w14:textId="4AD617E4" w:rsidR="004E7970" w:rsidRDefault="004E7970" w:rsidP="00806028">
            <w:pPr>
              <w:pStyle w:val="10Tabletext"/>
              <w:jc w:val="right"/>
              <w:cnfStyle w:val="100000000000" w:firstRow="1" w:lastRow="0" w:firstColumn="0" w:lastColumn="0" w:oddVBand="0" w:evenVBand="0" w:oddHBand="0" w:evenHBand="0" w:firstRowFirstColumn="0" w:firstRowLastColumn="0" w:lastRowFirstColumn="0" w:lastRowLastColumn="0"/>
            </w:pPr>
            <w:r>
              <w:t>($ p.a.)</w:t>
            </w:r>
          </w:p>
        </w:tc>
        <w:tc>
          <w:tcPr>
            <w:tcW w:w="1521" w:type="dxa"/>
          </w:tcPr>
          <w:p w14:paraId="3F0593F3" w14:textId="77777777" w:rsidR="004E7970" w:rsidRDefault="004E7970" w:rsidP="00806028">
            <w:pPr>
              <w:pStyle w:val="10Tabletext"/>
              <w:jc w:val="right"/>
              <w:cnfStyle w:val="100000000000" w:firstRow="1" w:lastRow="0" w:firstColumn="0" w:lastColumn="0" w:oddVBand="0" w:evenVBand="0" w:oddHBand="0" w:evenHBand="0" w:firstRowFirstColumn="0" w:firstRowLastColumn="0" w:lastRowFirstColumn="0" w:lastRowLastColumn="0"/>
              <w:rPr>
                <w:b w:val="0"/>
                <w:bCs w:val="0"/>
              </w:rPr>
            </w:pPr>
            <w:r>
              <w:t>Top of band</w:t>
            </w:r>
          </w:p>
          <w:p w14:paraId="686DFC74" w14:textId="5B9DD8DC" w:rsidR="004E7970" w:rsidRPr="004E7970" w:rsidRDefault="004E7970" w:rsidP="00806028">
            <w:pPr>
              <w:pStyle w:val="10Tabletext"/>
              <w:jc w:val="right"/>
              <w:cnfStyle w:val="100000000000" w:firstRow="1" w:lastRow="0" w:firstColumn="0" w:lastColumn="0" w:oddVBand="0" w:evenVBand="0" w:oddHBand="0" w:evenHBand="0" w:firstRowFirstColumn="0" w:firstRowLastColumn="0" w:lastRowFirstColumn="0" w:lastRowLastColumn="0"/>
              <w:rPr>
                <w:b w:val="0"/>
                <w:bCs w:val="0"/>
              </w:rPr>
            </w:pPr>
            <w:r>
              <w:t>($ p.a.)</w:t>
            </w:r>
          </w:p>
        </w:tc>
      </w:tr>
      <w:tr w:rsidR="00C1173A" w14:paraId="5F3F0DFD" w14:textId="77777777" w:rsidTr="00EB3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3" w:type="dxa"/>
          </w:tcPr>
          <w:p w14:paraId="389A90D5" w14:textId="77777777" w:rsidR="009144D7" w:rsidRDefault="00C1173A" w:rsidP="00C1173A">
            <w:pPr>
              <w:pStyle w:val="10Tabletext"/>
              <w:rPr>
                <w:bCs w:val="0"/>
              </w:rPr>
            </w:pPr>
            <w:r>
              <w:t>Senior Executive Service</w:t>
            </w:r>
            <w:r w:rsidR="008F1063">
              <w:t xml:space="preserve"> (SES)</w:t>
            </w:r>
            <w:r>
              <w:t>-1</w:t>
            </w:r>
            <w:r w:rsidR="009144D7">
              <w:t xml:space="preserve"> </w:t>
            </w:r>
            <w:r>
              <w:t>/</w:t>
            </w:r>
            <w:r w:rsidR="009144D7">
              <w:t xml:space="preserve"> </w:t>
            </w:r>
          </w:p>
          <w:p w14:paraId="2881AC68" w14:textId="63CFDE93" w:rsidR="00C1173A" w:rsidRDefault="00C1173A" w:rsidP="00C1173A">
            <w:pPr>
              <w:pStyle w:val="10Tabletext"/>
            </w:pPr>
            <w:r>
              <w:t>Administrative Office Head</w:t>
            </w:r>
            <w:r w:rsidR="008F1063">
              <w:t xml:space="preserve"> (AO)</w:t>
            </w:r>
            <w:r>
              <w:t>-1</w:t>
            </w:r>
          </w:p>
        </w:tc>
        <w:tc>
          <w:tcPr>
            <w:tcW w:w="1520" w:type="dxa"/>
          </w:tcPr>
          <w:p w14:paraId="11BFE495" w14:textId="35ACAE61" w:rsidR="00C1173A" w:rsidRDefault="00C1173A" w:rsidP="00345FCF">
            <w:pPr>
              <w:pStyle w:val="10Tabletext"/>
              <w:jc w:val="right"/>
              <w:cnfStyle w:val="000000100000" w:firstRow="0" w:lastRow="0" w:firstColumn="0" w:lastColumn="0" w:oddVBand="0" w:evenVBand="0" w:oddHBand="1" w:evenHBand="0" w:firstRowFirstColumn="0" w:firstRowLastColumn="0" w:lastRowFirstColumn="0" w:lastRowLastColumn="0"/>
            </w:pPr>
            <w:r>
              <w:t>232,7</w:t>
            </w:r>
            <w:r w:rsidR="00276222">
              <w:t>90</w:t>
            </w:r>
          </w:p>
        </w:tc>
        <w:tc>
          <w:tcPr>
            <w:tcW w:w="1521" w:type="dxa"/>
          </w:tcPr>
          <w:p w14:paraId="09B0D098" w14:textId="369351B9" w:rsidR="00C1173A" w:rsidRDefault="00C1173A" w:rsidP="00345FCF">
            <w:pPr>
              <w:pStyle w:val="10Tabletext"/>
              <w:jc w:val="right"/>
              <w:cnfStyle w:val="000000100000" w:firstRow="0" w:lastRow="0" w:firstColumn="0" w:lastColumn="0" w:oddVBand="0" w:evenVBand="0" w:oddHBand="1" w:evenHBand="0" w:firstRowFirstColumn="0" w:firstRowLastColumn="0" w:lastRowFirstColumn="0" w:lastRowLastColumn="0"/>
            </w:pPr>
            <w:r>
              <w:t>298,488</w:t>
            </w:r>
          </w:p>
        </w:tc>
      </w:tr>
      <w:tr w:rsidR="00C1173A" w14:paraId="42FEAC41" w14:textId="77777777" w:rsidTr="00EB3B96">
        <w:tc>
          <w:tcPr>
            <w:cnfStyle w:val="001000000000" w:firstRow="0" w:lastRow="0" w:firstColumn="1" w:lastColumn="0" w:oddVBand="0" w:evenVBand="0" w:oddHBand="0" w:evenHBand="0" w:firstRowFirstColumn="0" w:firstRowLastColumn="0" w:lastRowFirstColumn="0" w:lastRowLastColumn="0"/>
            <w:tcW w:w="5463" w:type="dxa"/>
          </w:tcPr>
          <w:p w14:paraId="11089AA6" w14:textId="3F21DB86" w:rsidR="00C1173A" w:rsidRDefault="00C1173A" w:rsidP="00C1173A">
            <w:pPr>
              <w:pStyle w:val="10Tabletext"/>
            </w:pPr>
            <w:r>
              <w:t>S</w:t>
            </w:r>
            <w:r w:rsidR="008F1063">
              <w:t>ES</w:t>
            </w:r>
            <w:r>
              <w:t>-2</w:t>
            </w:r>
            <w:r w:rsidR="009144D7">
              <w:t xml:space="preserve"> </w:t>
            </w:r>
            <w:r>
              <w:t>/</w:t>
            </w:r>
            <w:r w:rsidR="009144D7">
              <w:t xml:space="preserve"> </w:t>
            </w:r>
            <w:r>
              <w:t>A</w:t>
            </w:r>
            <w:r w:rsidR="008F1063">
              <w:t>O</w:t>
            </w:r>
            <w:r>
              <w:t>-2</w:t>
            </w:r>
          </w:p>
        </w:tc>
        <w:tc>
          <w:tcPr>
            <w:tcW w:w="1520" w:type="dxa"/>
          </w:tcPr>
          <w:p w14:paraId="12218FD3" w14:textId="3BED4280" w:rsidR="00C1173A" w:rsidRDefault="00C1173A" w:rsidP="00345FCF">
            <w:pPr>
              <w:pStyle w:val="10Tabletext"/>
              <w:jc w:val="right"/>
              <w:cnfStyle w:val="000000000000" w:firstRow="0" w:lastRow="0" w:firstColumn="0" w:lastColumn="0" w:oddVBand="0" w:evenVBand="0" w:oddHBand="0" w:evenHBand="0" w:firstRowFirstColumn="0" w:firstRowLastColumn="0" w:lastRowFirstColumn="0" w:lastRowLastColumn="0"/>
            </w:pPr>
            <w:r>
              <w:t>298,489</w:t>
            </w:r>
          </w:p>
        </w:tc>
        <w:tc>
          <w:tcPr>
            <w:tcW w:w="1521" w:type="dxa"/>
          </w:tcPr>
          <w:p w14:paraId="2C974A00" w14:textId="181CF920" w:rsidR="00C1173A" w:rsidRDefault="00C1173A" w:rsidP="00345FCF">
            <w:pPr>
              <w:pStyle w:val="10Tabletext"/>
              <w:jc w:val="right"/>
              <w:cnfStyle w:val="000000000000" w:firstRow="0" w:lastRow="0" w:firstColumn="0" w:lastColumn="0" w:oddVBand="0" w:evenVBand="0" w:oddHBand="0" w:evenHBand="0" w:firstRowFirstColumn="0" w:firstRowLastColumn="0" w:lastRowFirstColumn="0" w:lastRowLastColumn="0"/>
            </w:pPr>
            <w:r>
              <w:t>430,740</w:t>
            </w:r>
          </w:p>
        </w:tc>
      </w:tr>
      <w:tr w:rsidR="00C1173A" w14:paraId="7B902D79" w14:textId="77777777" w:rsidTr="00EB3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3" w:type="dxa"/>
          </w:tcPr>
          <w:p w14:paraId="3F2313AD" w14:textId="0410FF2C" w:rsidR="00C1173A" w:rsidRDefault="00C1173A" w:rsidP="00C1173A">
            <w:pPr>
              <w:pStyle w:val="10Tabletext"/>
            </w:pPr>
            <w:r>
              <w:t>S</w:t>
            </w:r>
            <w:r w:rsidR="008F1063">
              <w:t>ES</w:t>
            </w:r>
            <w:r>
              <w:t>-3</w:t>
            </w:r>
            <w:r w:rsidR="009144D7">
              <w:t xml:space="preserve"> </w:t>
            </w:r>
            <w:r>
              <w:t>/</w:t>
            </w:r>
            <w:r w:rsidR="009144D7">
              <w:t xml:space="preserve"> </w:t>
            </w:r>
            <w:r>
              <w:t>A</w:t>
            </w:r>
            <w:r w:rsidR="008F1063">
              <w:t>O</w:t>
            </w:r>
            <w:r>
              <w:t>-3</w:t>
            </w:r>
          </w:p>
        </w:tc>
        <w:tc>
          <w:tcPr>
            <w:tcW w:w="1520" w:type="dxa"/>
          </w:tcPr>
          <w:p w14:paraId="3FB6BA6D" w14:textId="0CCF1123" w:rsidR="00C1173A" w:rsidRDefault="00C1173A" w:rsidP="00345FCF">
            <w:pPr>
              <w:pStyle w:val="10Tabletext"/>
              <w:jc w:val="right"/>
              <w:cnfStyle w:val="000000100000" w:firstRow="0" w:lastRow="0" w:firstColumn="0" w:lastColumn="0" w:oddVBand="0" w:evenVBand="0" w:oddHBand="1" w:evenHBand="0" w:firstRowFirstColumn="0" w:firstRowLastColumn="0" w:lastRowFirstColumn="0" w:lastRowLastColumn="0"/>
            </w:pPr>
            <w:r>
              <w:t>430,741</w:t>
            </w:r>
          </w:p>
        </w:tc>
        <w:tc>
          <w:tcPr>
            <w:tcW w:w="1521" w:type="dxa"/>
          </w:tcPr>
          <w:p w14:paraId="601AB49F" w14:textId="7ED121BC" w:rsidR="00C1173A" w:rsidRDefault="00C1173A" w:rsidP="00345FCF">
            <w:pPr>
              <w:pStyle w:val="10Tabletext"/>
              <w:jc w:val="right"/>
              <w:cnfStyle w:val="000000100000" w:firstRow="0" w:lastRow="0" w:firstColumn="0" w:lastColumn="0" w:oddVBand="0" w:evenVBand="0" w:oddHBand="1" w:evenHBand="0" w:firstRowFirstColumn="0" w:firstRowLastColumn="0" w:lastRowFirstColumn="0" w:lastRowLastColumn="0"/>
            </w:pPr>
            <w:r>
              <w:t>573,328</w:t>
            </w:r>
          </w:p>
        </w:tc>
      </w:tr>
      <w:tr w:rsidR="00345FCF" w14:paraId="668D6C78" w14:textId="77777777" w:rsidTr="00EB3B96">
        <w:trPr>
          <w:trHeight w:val="283"/>
        </w:trPr>
        <w:tc>
          <w:tcPr>
            <w:cnfStyle w:val="001000000000" w:firstRow="0" w:lastRow="0" w:firstColumn="1" w:lastColumn="0" w:oddVBand="0" w:evenVBand="0" w:oddHBand="0" w:evenHBand="0" w:firstRowFirstColumn="0" w:firstRowLastColumn="0" w:lastRowFirstColumn="0" w:lastRowLastColumn="0"/>
            <w:tcW w:w="5463" w:type="dxa"/>
          </w:tcPr>
          <w:p w14:paraId="652D6282" w14:textId="3D5E1EF4" w:rsidR="00345FCF" w:rsidRDefault="00345FCF" w:rsidP="00345FCF">
            <w:pPr>
              <w:pStyle w:val="10Tabletext"/>
            </w:pPr>
            <w:r>
              <w:t>Department Head</w:t>
            </w:r>
            <w:r w:rsidR="009144D7">
              <w:t xml:space="preserve"> </w:t>
            </w:r>
            <w:r>
              <w:t>/</w:t>
            </w:r>
            <w:r w:rsidR="009144D7">
              <w:t xml:space="preserve"> </w:t>
            </w:r>
            <w:r>
              <w:t>Victorian Public Sector Commissioner</w:t>
            </w:r>
          </w:p>
        </w:tc>
        <w:tc>
          <w:tcPr>
            <w:tcW w:w="1520" w:type="dxa"/>
          </w:tcPr>
          <w:p w14:paraId="1928F044" w14:textId="11AB7675" w:rsidR="00345FCF" w:rsidRDefault="00345FCF" w:rsidP="00345FCF">
            <w:pPr>
              <w:pStyle w:val="10Tabletext"/>
              <w:jc w:val="right"/>
              <w:cnfStyle w:val="000000000000" w:firstRow="0" w:lastRow="0" w:firstColumn="0" w:lastColumn="0" w:oddVBand="0" w:evenVBand="0" w:oddHBand="0" w:evenHBand="0" w:firstRowFirstColumn="0" w:firstRowLastColumn="0" w:lastRowFirstColumn="0" w:lastRowLastColumn="0"/>
            </w:pPr>
            <w:r>
              <w:t>620,994</w:t>
            </w:r>
          </w:p>
        </w:tc>
        <w:tc>
          <w:tcPr>
            <w:tcW w:w="1521" w:type="dxa"/>
          </w:tcPr>
          <w:p w14:paraId="52962EC7" w14:textId="79EC310E" w:rsidR="00345FCF" w:rsidRDefault="00345FCF" w:rsidP="00345FCF">
            <w:pPr>
              <w:pStyle w:val="10Tabletext"/>
              <w:jc w:val="right"/>
              <w:cnfStyle w:val="000000000000" w:firstRow="0" w:lastRow="0" w:firstColumn="0" w:lastColumn="0" w:oddVBand="0" w:evenVBand="0" w:oddHBand="0" w:evenHBand="0" w:firstRowFirstColumn="0" w:firstRowLastColumn="0" w:lastRowFirstColumn="0" w:lastRowLastColumn="0"/>
            </w:pPr>
            <w:r>
              <w:t>837,100</w:t>
            </w:r>
          </w:p>
        </w:tc>
      </w:tr>
    </w:tbl>
    <w:p w14:paraId="22ACAE61" w14:textId="315DFF75" w:rsidR="003C126C" w:rsidRDefault="000A17C3" w:rsidP="00DC0D9C">
      <w:pPr>
        <w:pStyle w:val="05Paragraph"/>
        <w:jc w:val="both"/>
      </w:pPr>
      <w:r>
        <w:t>T</w:t>
      </w:r>
      <w:r w:rsidR="00700A94">
        <w:t xml:space="preserve">he effective increase in the </w:t>
      </w:r>
      <w:r w:rsidR="00730337">
        <w:t>remuneration bands</w:t>
      </w:r>
      <w:r w:rsidR="00700A94">
        <w:t xml:space="preserve"> is between </w:t>
      </w:r>
      <w:r w:rsidR="007C4498">
        <w:t>2.7 and 3.</w:t>
      </w:r>
      <w:r w:rsidR="00E72C3F">
        <w:t>5</w:t>
      </w:r>
      <w:r w:rsidR="007C4498">
        <w:t xml:space="preserve"> per cent</w:t>
      </w:r>
      <w:r>
        <w:t xml:space="preserve">, </w:t>
      </w:r>
      <w:r w:rsidR="00110C8B">
        <w:t>due to the effect of</w:t>
      </w:r>
      <w:r w:rsidR="001E1412">
        <w:t xml:space="preserve"> </w:t>
      </w:r>
      <w:r>
        <w:t>statutory superannuation changes</w:t>
      </w:r>
      <w:r w:rsidR="00110C8B">
        <w:t>, which var</w:t>
      </w:r>
      <w:r w:rsidR="00D6758D">
        <w:t>ies</w:t>
      </w:r>
      <w:r w:rsidR="00110C8B">
        <w:t xml:space="preserve"> across different remuneration bands</w:t>
      </w:r>
      <w:r w:rsidR="005F1FDA">
        <w:t>.</w:t>
      </w:r>
      <w:r w:rsidR="00110C8B">
        <w:rPr>
          <w:rStyle w:val="CommentReference"/>
        </w:rPr>
        <w:t xml:space="preserve"> </w:t>
      </w:r>
    </w:p>
    <w:p w14:paraId="221A4C44" w14:textId="5A78604C" w:rsidR="00E47A1C" w:rsidRPr="0057499B" w:rsidRDefault="00E47A1C" w:rsidP="00DC0D9C">
      <w:pPr>
        <w:pStyle w:val="05Paragraph"/>
        <w:jc w:val="both"/>
      </w:pPr>
      <w:r>
        <w:t xml:space="preserve">The Tribunal does not set or adjust the </w:t>
      </w:r>
      <w:r w:rsidR="00977B93">
        <w:t>remuneration</w:t>
      </w:r>
      <w:r>
        <w:t xml:space="preserve"> for individual executives, which is a matter for their employer. </w:t>
      </w:r>
      <w:r w:rsidR="006A0B7A">
        <w:t xml:space="preserve">However, some executives </w:t>
      </w:r>
      <w:r w:rsidR="009D2EB0">
        <w:t xml:space="preserve">— </w:t>
      </w:r>
      <w:r w:rsidR="006A0B7A">
        <w:t xml:space="preserve">those remunerated at or near the base of the relevant band </w:t>
      </w:r>
      <w:r w:rsidR="009D2EB0">
        <w:t xml:space="preserve">— </w:t>
      </w:r>
      <w:r w:rsidR="00CB3BD0">
        <w:t>will</w:t>
      </w:r>
      <w:r w:rsidR="006A0B7A">
        <w:t xml:space="preserve"> receive a TRP uplift to ensure</w:t>
      </w:r>
      <w:r w:rsidR="009B5A49">
        <w:t xml:space="preserve"> that, consistent with statutory requirements,</w:t>
      </w:r>
      <w:r w:rsidR="006A0B7A">
        <w:t xml:space="preserve"> they are remunerated within the band.</w:t>
      </w:r>
    </w:p>
    <w:p w14:paraId="063A34FC" w14:textId="2539C64F" w:rsidR="006C7C41" w:rsidRPr="006C7C41" w:rsidRDefault="00BC0EE9" w:rsidP="00DC0D9C">
      <w:pPr>
        <w:pStyle w:val="03VIRTHeading3"/>
        <w:jc w:val="both"/>
      </w:pPr>
      <w:r>
        <w:t xml:space="preserve">Summary of reasons supporting </w:t>
      </w:r>
      <w:r w:rsidR="006B254B">
        <w:t>adjustment</w:t>
      </w:r>
      <w:r w:rsidR="00D36931">
        <w:t xml:space="preserve"> </w:t>
      </w:r>
    </w:p>
    <w:p w14:paraId="79C2F8D3" w14:textId="0426864B" w:rsidR="001531A8" w:rsidRDefault="007B3C3A" w:rsidP="001531A8">
      <w:pPr>
        <w:pStyle w:val="05Paragraph"/>
        <w:jc w:val="both"/>
      </w:pPr>
      <w:r w:rsidRPr="00C23B04">
        <w:t>Current e</w:t>
      </w:r>
      <w:r w:rsidR="001531A8" w:rsidRPr="00C23B04">
        <w:t xml:space="preserve">conomic conditions in Australia and Victoria </w:t>
      </w:r>
      <w:r w:rsidR="00717F1F" w:rsidRPr="00C23B04">
        <w:t xml:space="preserve">appear stable and, while the latest forecasts suggest a broadly neutral </w:t>
      </w:r>
      <w:r w:rsidR="00F57F1A" w:rsidRPr="00C23B04">
        <w:t>outlook, there</w:t>
      </w:r>
      <w:r w:rsidR="001531A8" w:rsidRPr="00C23B04">
        <w:t xml:space="preserve"> are signs </w:t>
      </w:r>
      <w:r w:rsidR="008B2110" w:rsidRPr="00C23B04">
        <w:t>o</w:t>
      </w:r>
      <w:r w:rsidR="001531A8" w:rsidRPr="00C23B04">
        <w:t>f positive trends over the coming years.</w:t>
      </w:r>
    </w:p>
    <w:p w14:paraId="47D0BECC" w14:textId="5530B345" w:rsidR="001531A8" w:rsidRDefault="00CF2F1E" w:rsidP="001531A8">
      <w:pPr>
        <w:pStyle w:val="05Paragraph"/>
        <w:jc w:val="both"/>
      </w:pPr>
      <w:r w:rsidRPr="00992B88">
        <w:lastRenderedPageBreak/>
        <w:t xml:space="preserve">The Tribunal noted recent wages growth across all sectors in Victoria and Australia, and gave particular consideration to wage movements in the Victorian public sector. </w:t>
      </w:r>
      <w:r w:rsidR="00D812AE">
        <w:t>In annual terms, w</w:t>
      </w:r>
      <w:r w:rsidRPr="00992B88">
        <w:t xml:space="preserve">ages growth </w:t>
      </w:r>
      <w:r w:rsidR="00D812AE">
        <w:t>has exceeded</w:t>
      </w:r>
      <w:r w:rsidRPr="00992B88">
        <w:t xml:space="preserve"> growth in</w:t>
      </w:r>
      <w:r w:rsidR="00D812AE">
        <w:t xml:space="preserve"> the</w:t>
      </w:r>
      <w:r w:rsidRPr="00992B88">
        <w:t xml:space="preserve"> Melbourne C</w:t>
      </w:r>
      <w:r>
        <w:t xml:space="preserve">onsumer Price </w:t>
      </w:r>
      <w:r w:rsidRPr="00992B88">
        <w:t>I</w:t>
      </w:r>
      <w:r>
        <w:t>ndex</w:t>
      </w:r>
      <w:r w:rsidR="00DB1147">
        <w:t xml:space="preserve"> (CPI)</w:t>
      </w:r>
      <w:r w:rsidRPr="00992B88">
        <w:t xml:space="preserve"> and the Australian underlying inflation rate</w:t>
      </w:r>
      <w:r w:rsidR="00D812AE">
        <w:t xml:space="preserve"> in recent times</w:t>
      </w:r>
      <w:r w:rsidRPr="00992B88">
        <w:t>, which implies higher real wages</w:t>
      </w:r>
      <w:r w:rsidR="00887010">
        <w:t>.</w:t>
      </w:r>
    </w:p>
    <w:p w14:paraId="2E347399" w14:textId="1E47CCD9" w:rsidR="001531A8" w:rsidRDefault="001531A8" w:rsidP="001531A8">
      <w:pPr>
        <w:pStyle w:val="05Paragraph"/>
        <w:jc w:val="both"/>
      </w:pPr>
      <w:r>
        <w:t>Key fiscal aggregates for the Victorian Government are expected to improve slowly, including the operating balance and net debt</w:t>
      </w:r>
      <w:r w:rsidR="0086259F">
        <w:t xml:space="preserve"> to </w:t>
      </w:r>
      <w:r w:rsidR="00EE0FDD">
        <w:t>Gross State Product</w:t>
      </w:r>
      <w:r w:rsidR="00AE1260">
        <w:t xml:space="preserve"> (GSP)</w:t>
      </w:r>
      <w:r>
        <w:t xml:space="preserve">. However, the Victorian Government’s response to the </w:t>
      </w:r>
      <w:r w:rsidR="00293B2A">
        <w:t>Independent Review of the Victorian Public Service (</w:t>
      </w:r>
      <w:r>
        <w:t>Silver Review</w:t>
      </w:r>
      <w:r w:rsidR="00293B2A">
        <w:t>)</w:t>
      </w:r>
      <w:r>
        <w:t xml:space="preserve"> </w:t>
      </w:r>
      <w:r w:rsidR="00724A05" w:rsidRPr="00FE3D9C">
        <w:t>(</w:t>
      </w:r>
      <w:r w:rsidR="00E8615E" w:rsidRPr="00FE3D9C">
        <w:t xml:space="preserve">which </w:t>
      </w:r>
      <w:r w:rsidR="00BC48A1" w:rsidRPr="00FE3D9C">
        <w:t xml:space="preserve">has not been published </w:t>
      </w:r>
      <w:r w:rsidR="00E8615E" w:rsidRPr="00FE3D9C">
        <w:t xml:space="preserve">as at the time of </w:t>
      </w:r>
      <w:r w:rsidR="003E246D" w:rsidRPr="00FE3D9C">
        <w:t>mak</w:t>
      </w:r>
      <w:r w:rsidR="00E8615E" w:rsidRPr="00FE3D9C">
        <w:t xml:space="preserve">ing this </w:t>
      </w:r>
      <w:r w:rsidR="00141EC6">
        <w:t>D</w:t>
      </w:r>
      <w:r w:rsidR="00E8615E" w:rsidRPr="00FE3D9C">
        <w:t>etermination</w:t>
      </w:r>
      <w:r w:rsidR="00724A05" w:rsidRPr="00FE3D9C">
        <w:t xml:space="preserve">) </w:t>
      </w:r>
      <w:r w:rsidRPr="00FE3D9C">
        <w:t>may</w:t>
      </w:r>
      <w:r>
        <w:t xml:space="preserve"> have further short-term impacts on the</w:t>
      </w:r>
      <w:r w:rsidR="00692D28">
        <w:t xml:space="preserve"> Victorian public</w:t>
      </w:r>
      <w:r w:rsidR="00D55F66">
        <w:t xml:space="preserve"> sector</w:t>
      </w:r>
      <w:r>
        <w:t xml:space="preserve">. </w:t>
      </w:r>
    </w:p>
    <w:p w14:paraId="2D43861B" w14:textId="77637690" w:rsidR="001531A8" w:rsidRDefault="004C37A0" w:rsidP="001531A8">
      <w:pPr>
        <w:pStyle w:val="05Paragraph"/>
        <w:jc w:val="both"/>
      </w:pPr>
      <w:r>
        <w:t>P</w:t>
      </w:r>
      <w:r w:rsidR="001531A8">
        <w:t>articular weighting</w:t>
      </w:r>
      <w:r>
        <w:t xml:space="preserve"> was also given</w:t>
      </w:r>
      <w:r w:rsidR="001531A8">
        <w:t xml:space="preserve"> to the </w:t>
      </w:r>
      <w:r w:rsidR="001531A8" w:rsidRPr="00944982">
        <w:rPr>
          <w:i/>
          <w:iCs/>
        </w:rPr>
        <w:t>Wages Policy and the Enterprise Bargaining Framework</w:t>
      </w:r>
      <w:r w:rsidR="00CF30A4">
        <w:rPr>
          <w:i/>
          <w:iCs/>
        </w:rPr>
        <w:t xml:space="preserve"> </w:t>
      </w:r>
      <w:r w:rsidR="00CF30A4">
        <w:t>(Wages Policy)</w:t>
      </w:r>
      <w:r w:rsidR="001531A8">
        <w:t>, which generally provides for public sector wages to grow by 3 per cent per annum.</w:t>
      </w:r>
    </w:p>
    <w:p w14:paraId="127C8544" w14:textId="4AA10254" w:rsidR="001531A8" w:rsidRDefault="001531A8" w:rsidP="001531A8">
      <w:pPr>
        <w:pStyle w:val="05Paragraph"/>
        <w:jc w:val="both"/>
      </w:pPr>
      <w:r>
        <w:t>R</w:t>
      </w:r>
      <w:r w:rsidR="00EB7053">
        <w:t>emuneration r</w:t>
      </w:r>
      <w:r>
        <w:t xml:space="preserve">elativities between non-executive and executive </w:t>
      </w:r>
      <w:r w:rsidR="0085124A">
        <w:t xml:space="preserve">VPS </w:t>
      </w:r>
      <w:r>
        <w:t xml:space="preserve">employees </w:t>
      </w:r>
      <w:r w:rsidR="00E56E73">
        <w:t>wa</w:t>
      </w:r>
      <w:r>
        <w:t xml:space="preserve">s a key consideration for the Tribunal. </w:t>
      </w:r>
      <w:r w:rsidR="00B00EA5">
        <w:t>In t</w:t>
      </w:r>
      <w:r>
        <w:t xml:space="preserve">he </w:t>
      </w:r>
      <w:r w:rsidR="00590E71">
        <w:rPr>
          <w:i/>
          <w:iCs/>
        </w:rPr>
        <w:t xml:space="preserve">Remuneration bands for executives employed in public service bodies (Victoria) Determination No. 01/2024 </w:t>
      </w:r>
      <w:r w:rsidR="00590E71">
        <w:t>(2024 Comprehensive Determination)</w:t>
      </w:r>
      <w:r>
        <w:t>,</w:t>
      </w:r>
      <w:r w:rsidR="00B00EA5">
        <w:t xml:space="preserve"> </w:t>
      </w:r>
      <w:r>
        <w:t xml:space="preserve">a 12 per cent gap between the top of </w:t>
      </w:r>
      <w:r w:rsidR="0080299B">
        <w:t>VPS</w:t>
      </w:r>
      <w:r w:rsidR="00AB677F">
        <w:t xml:space="preserve"> </w:t>
      </w:r>
      <w:r w:rsidR="00141EC6">
        <w:br/>
      </w:r>
      <w:r w:rsidR="00AB677F">
        <w:t>Grade 6</w:t>
      </w:r>
      <w:r w:rsidR="005E6CB5">
        <w:t xml:space="preserve"> (</w:t>
      </w:r>
      <w:r>
        <w:t>VPS-6</w:t>
      </w:r>
      <w:r w:rsidR="005E6CB5">
        <w:t>)</w:t>
      </w:r>
      <w:r>
        <w:t xml:space="preserve"> and </w:t>
      </w:r>
      <w:r w:rsidR="005E6CB5">
        <w:t>the</w:t>
      </w:r>
      <w:r>
        <w:t xml:space="preserve"> bottom of SES-1 bands was </w:t>
      </w:r>
      <w:r w:rsidR="0060410E">
        <w:t xml:space="preserve">considered </w:t>
      </w:r>
      <w:r>
        <w:t xml:space="preserve">appropriate to encourage </w:t>
      </w:r>
      <w:r w:rsidR="00D2431D">
        <w:t xml:space="preserve">movement </w:t>
      </w:r>
      <w:r>
        <w:t xml:space="preserve">into executive </w:t>
      </w:r>
      <w:r w:rsidR="00B67FDF">
        <w:t>roles</w:t>
      </w:r>
      <w:r w:rsidR="00CE7BE3">
        <w:t xml:space="preserve">. The </w:t>
      </w:r>
      <w:r w:rsidR="0092575C">
        <w:t xml:space="preserve">current determination </w:t>
      </w:r>
      <w:r>
        <w:t>maintains th</w:t>
      </w:r>
      <w:r w:rsidR="0092575C">
        <w:t>at</w:t>
      </w:r>
      <w:r>
        <w:t xml:space="preserve"> position. </w:t>
      </w:r>
    </w:p>
    <w:p w14:paraId="4E1131CE" w14:textId="5FFF7805" w:rsidR="001531A8" w:rsidRDefault="00501C50" w:rsidP="001531A8">
      <w:pPr>
        <w:pStyle w:val="05Paragraph"/>
        <w:jc w:val="both"/>
      </w:pPr>
      <w:r>
        <w:t xml:space="preserve">A further consideration </w:t>
      </w:r>
      <w:r w:rsidR="000D7AA7">
        <w:t xml:space="preserve">was </w:t>
      </w:r>
      <w:r w:rsidR="001531A8">
        <w:t xml:space="preserve">relevant interjurisdictional comparators, including the </w:t>
      </w:r>
      <w:r w:rsidR="001A4611">
        <w:t xml:space="preserve">remuneration for executives in the </w:t>
      </w:r>
      <w:r w:rsidR="001531A8">
        <w:t>Commonwealth, New South Wales and Queensland. The Tribunal’s decision is in the middle of the most recent range of increases</w:t>
      </w:r>
      <w:r w:rsidR="001A4611">
        <w:t xml:space="preserve"> across those jurisdictions</w:t>
      </w:r>
      <w:r w:rsidR="001531A8">
        <w:t>.</w:t>
      </w:r>
    </w:p>
    <w:p w14:paraId="04B09D35" w14:textId="30047304" w:rsidR="001531A8" w:rsidRDefault="001531A8" w:rsidP="001531A8">
      <w:pPr>
        <w:pStyle w:val="05Paragraph"/>
        <w:jc w:val="both"/>
      </w:pPr>
      <w:r>
        <w:t xml:space="preserve">The Tribunal received two submissions to the consultation process. One submission </w:t>
      </w:r>
      <w:r w:rsidR="00444BE1">
        <w:t>argued</w:t>
      </w:r>
      <w:r w:rsidR="00DA38F2">
        <w:t xml:space="preserve"> that</w:t>
      </w:r>
      <w:r>
        <w:t xml:space="preserve"> the gap between the top of VPS-6 and the bottom of the SES-1 band should be </w:t>
      </w:r>
      <w:r w:rsidR="004C1DCE">
        <w:t xml:space="preserve">increased </w:t>
      </w:r>
      <w:r>
        <w:t xml:space="preserve">to incentivise </w:t>
      </w:r>
      <w:r w:rsidR="00DA38F2">
        <w:t xml:space="preserve">movement </w:t>
      </w:r>
      <w:r>
        <w:t xml:space="preserve">into higher executive responsibilities. The second discussed how gender equality </w:t>
      </w:r>
      <w:r w:rsidR="00ED5947">
        <w:t xml:space="preserve">(and gender pay gap) </w:t>
      </w:r>
      <w:r>
        <w:t>considerations may be incorporated into the work of the Tribunal.</w:t>
      </w:r>
    </w:p>
    <w:p w14:paraId="069B2285" w14:textId="5B14EA34" w:rsidR="008653A9" w:rsidRDefault="008653A9" w:rsidP="008653A9">
      <w:pPr>
        <w:pStyle w:val="05Paragraph"/>
        <w:jc w:val="both"/>
      </w:pPr>
      <w:r>
        <w:t xml:space="preserve">The Tribunal </w:t>
      </w:r>
      <w:r w:rsidR="006A75CB">
        <w:t xml:space="preserve">also </w:t>
      </w:r>
      <w:r>
        <w:t>consider</w:t>
      </w:r>
      <w:r w:rsidR="006A75CB">
        <w:t>ed</w:t>
      </w:r>
      <w:r>
        <w:t xml:space="preserve"> that it is appropriate to continue aligning the remuneration bands for executives employed in public service bodies </w:t>
      </w:r>
      <w:r w:rsidR="00141EC6">
        <w:t xml:space="preserve">and public entities </w:t>
      </w:r>
      <w:r>
        <w:t>by applying the same annual adjustment to both groups.</w:t>
      </w:r>
    </w:p>
    <w:p w14:paraId="309DCDCD" w14:textId="637C7532" w:rsidR="007E178D" w:rsidRDefault="001531A8" w:rsidP="001531A8">
      <w:pPr>
        <w:pStyle w:val="05Paragraph"/>
        <w:jc w:val="both"/>
      </w:pPr>
      <w:r>
        <w:t xml:space="preserve">For ease of reference, the current values of </w:t>
      </w:r>
      <w:r w:rsidR="00BD5F36">
        <w:t xml:space="preserve">the </w:t>
      </w:r>
      <w:r>
        <w:t>remuneration bands for executives employed in V</w:t>
      </w:r>
      <w:r w:rsidR="0082571F">
        <w:t>PS</w:t>
      </w:r>
      <w:r>
        <w:t xml:space="preserve"> bodies </w:t>
      </w:r>
      <w:r w:rsidR="00CF56C8">
        <w:t>are</w:t>
      </w:r>
      <w:r w:rsidR="00994F0F">
        <w:t xml:space="preserve"> available</w:t>
      </w:r>
      <w:r w:rsidR="001F76C0">
        <w:t xml:space="preserve"> </w:t>
      </w:r>
      <w:r>
        <w:t xml:space="preserve">on </w:t>
      </w:r>
      <w:r w:rsidR="00807361">
        <w:t>the Tribunal’s</w:t>
      </w:r>
      <w:r>
        <w:t xml:space="preserve"> website</w:t>
      </w:r>
      <w:r w:rsidRPr="003B3B94">
        <w:t>.</w:t>
      </w:r>
      <w:r w:rsidR="007E178D">
        <w:br w:type="page"/>
      </w:r>
    </w:p>
    <w:p w14:paraId="71323FF6" w14:textId="3E648061" w:rsidR="00060F24" w:rsidRDefault="00060F24" w:rsidP="00DC0D9C">
      <w:pPr>
        <w:pStyle w:val="01Chapterheading"/>
        <w:numPr>
          <w:ilvl w:val="0"/>
          <w:numId w:val="42"/>
        </w:numPr>
        <w:ind w:left="720"/>
        <w:jc w:val="both"/>
      </w:pPr>
      <w:bookmarkStart w:id="18" w:name="_Toc209438882"/>
      <w:r w:rsidRPr="00BC4EC4">
        <w:lastRenderedPageBreak/>
        <w:t>C</w:t>
      </w:r>
      <w:r>
        <w:t>ontext</w:t>
      </w:r>
      <w:bookmarkEnd w:id="18"/>
    </w:p>
    <w:p w14:paraId="2FCCAD62" w14:textId="77777777" w:rsidR="00060F24" w:rsidRDefault="00060F24" w:rsidP="00DC0D9C">
      <w:pPr>
        <w:pStyle w:val="05Paragraph"/>
        <w:jc w:val="both"/>
      </w:pPr>
      <w:r>
        <w:rPr>
          <w:noProof/>
        </w:rPr>
        <w:drawing>
          <wp:inline distT="0" distB="0" distL="0" distR="0" wp14:anchorId="5A245A59" wp14:editId="3FAAE8B1">
            <wp:extent cx="2212975" cy="255905"/>
            <wp:effectExtent l="0" t="0" r="0" b="0"/>
            <wp:docPr id="1582063523"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84" name="Picture 162">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p>
    <w:p w14:paraId="2B9EA6FD" w14:textId="58B39CBC" w:rsidR="00073E64" w:rsidRDefault="00060F24" w:rsidP="00DC0D9C">
      <w:pPr>
        <w:pStyle w:val="05Paragraph"/>
        <w:jc w:val="both"/>
      </w:pPr>
      <w:r>
        <w:t xml:space="preserve">The Tribunal </w:t>
      </w:r>
      <w:r w:rsidR="00073E64">
        <w:t>is required to make an annual adjustment to the values of the remuneration bands for executives employed in public service bodies</w:t>
      </w:r>
      <w:r w:rsidR="00141EC6">
        <w:rPr>
          <w:rStyle w:val="FootnoteReference"/>
        </w:rPr>
        <w:footnoteReference w:id="2"/>
      </w:r>
      <w:r w:rsidR="00073E64">
        <w:t xml:space="preserve"> set in a Determination under the</w:t>
      </w:r>
      <w:r w:rsidR="00495345">
        <w:t xml:space="preserve"> </w:t>
      </w:r>
      <w:r w:rsidR="00495345">
        <w:rPr>
          <w:i/>
          <w:iCs/>
        </w:rPr>
        <w:t xml:space="preserve">Victorian Independent Remuneration Tribunal and Improving Parliamentary Standards Act 2019 </w:t>
      </w:r>
      <w:r w:rsidR="00495345">
        <w:t>(Vic)</w:t>
      </w:r>
      <w:r w:rsidR="00073E64">
        <w:t xml:space="preserve"> </w:t>
      </w:r>
      <w:r w:rsidR="00495345">
        <w:t>(</w:t>
      </w:r>
      <w:r w:rsidR="00073E64">
        <w:t>VIRTIPS Act</w:t>
      </w:r>
      <w:r w:rsidR="00495345">
        <w:t>)</w:t>
      </w:r>
      <w:r w:rsidR="00073E64">
        <w:t>.</w:t>
      </w:r>
      <w:r w:rsidR="00073E64">
        <w:rPr>
          <w:rStyle w:val="FootnoteReference"/>
        </w:rPr>
        <w:footnoteReference w:id="3"/>
      </w:r>
    </w:p>
    <w:p w14:paraId="66141CB5" w14:textId="3D390822" w:rsidR="00073E64" w:rsidRDefault="00073E64" w:rsidP="00DC0D9C">
      <w:pPr>
        <w:pStyle w:val="05Paragraph"/>
        <w:jc w:val="both"/>
      </w:pPr>
      <w:r>
        <w:t>The Determination in effect is the</w:t>
      </w:r>
      <w:r w:rsidR="00590E71">
        <w:t xml:space="preserve"> 2024 Comprehensive Determination</w:t>
      </w:r>
      <w:r>
        <w:t>, which was made in July 2024.</w:t>
      </w:r>
      <w:r>
        <w:rPr>
          <w:rStyle w:val="FootnoteReference"/>
        </w:rPr>
        <w:footnoteReference w:id="4"/>
      </w:r>
      <w:r>
        <w:t xml:space="preserve"> This is the first annual adjustment to the </w:t>
      </w:r>
      <w:r w:rsidR="00082A31">
        <w:t xml:space="preserve">2024 </w:t>
      </w:r>
      <w:r>
        <w:t>Comprehensive Determination.</w:t>
      </w:r>
    </w:p>
    <w:p w14:paraId="66154827" w14:textId="4C69C467" w:rsidR="00450E2F" w:rsidRDefault="00073E64" w:rsidP="00DC0D9C">
      <w:pPr>
        <w:pStyle w:val="05Paragraph"/>
        <w:jc w:val="both"/>
      </w:pPr>
      <w:r>
        <w:t xml:space="preserve">The Tribunal is required to include a statement of reasons in a </w:t>
      </w:r>
      <w:r w:rsidR="00CB3123">
        <w:t>d</w:t>
      </w:r>
      <w:r>
        <w:t>etermination.</w:t>
      </w:r>
      <w:r>
        <w:rPr>
          <w:rStyle w:val="FootnoteReference"/>
        </w:rPr>
        <w:footnoteReference w:id="5"/>
      </w:r>
      <w:r w:rsidR="00450E2F">
        <w:t xml:space="preserve"> This Statement of Reasons relates to the </w:t>
      </w:r>
      <w:r w:rsidR="00450E2F">
        <w:rPr>
          <w:i/>
          <w:iCs/>
        </w:rPr>
        <w:t xml:space="preserve">Remuneration bands for </w:t>
      </w:r>
      <w:r w:rsidR="000C41A0">
        <w:rPr>
          <w:i/>
          <w:iCs/>
        </w:rPr>
        <w:t>executives</w:t>
      </w:r>
      <w:r w:rsidR="00450E2F">
        <w:rPr>
          <w:i/>
          <w:iCs/>
        </w:rPr>
        <w:t xml:space="preserve"> employed in public service bodies (Victoria) Annual Adjustment Determination 2025 </w:t>
      </w:r>
      <w:r w:rsidR="00450E2F">
        <w:t>(2025 VPS Annual Adjustment Determination).</w:t>
      </w:r>
    </w:p>
    <w:p w14:paraId="39136C32" w14:textId="4FD26AF1" w:rsidR="00450E2F" w:rsidRDefault="00450E2F" w:rsidP="00DC0D9C">
      <w:pPr>
        <w:pStyle w:val="05Paragraph"/>
        <w:jc w:val="both"/>
      </w:pPr>
      <w:r>
        <w:t xml:space="preserve">The 2025 VPS Annual Adjustment Determination is made </w:t>
      </w:r>
      <w:r w:rsidR="00146F3C">
        <w:t>o</w:t>
      </w:r>
      <w:r>
        <w:t xml:space="preserve">n </w:t>
      </w:r>
      <w:r w:rsidR="00287228" w:rsidRPr="00F07CE4">
        <w:t>23</w:t>
      </w:r>
      <w:r w:rsidR="00146F3C" w:rsidRPr="00F07CE4">
        <w:t xml:space="preserve"> September 2025</w:t>
      </w:r>
      <w:r w:rsidR="00146F3C">
        <w:t xml:space="preserve"> and</w:t>
      </w:r>
      <w:r w:rsidR="006B620F">
        <w:t>, pursuant to the VIRTIPS Act,</w:t>
      </w:r>
      <w:r>
        <w:t xml:space="preserve"> takes effect on 1 July 2025.</w:t>
      </w:r>
      <w:r w:rsidR="006B620F">
        <w:rPr>
          <w:rStyle w:val="FootnoteReference"/>
        </w:rPr>
        <w:footnoteReference w:id="6"/>
      </w:r>
    </w:p>
    <w:p w14:paraId="7E3404F5" w14:textId="529CD4A5" w:rsidR="00E80EE6" w:rsidRDefault="00E80EE6" w:rsidP="00DC0D9C">
      <w:pPr>
        <w:pStyle w:val="02VIRTHeading2"/>
        <w:jc w:val="both"/>
      </w:pPr>
      <w:bookmarkStart w:id="19" w:name="_Toc209438883"/>
      <w:r>
        <w:t xml:space="preserve">1.1 </w:t>
      </w:r>
      <w:r>
        <w:tab/>
        <w:t>The Tribunal’s approach</w:t>
      </w:r>
      <w:bookmarkEnd w:id="19"/>
    </w:p>
    <w:p w14:paraId="4904598F" w14:textId="6EB637C9" w:rsidR="00E80EE6" w:rsidRDefault="00E80EE6" w:rsidP="00DC0D9C">
      <w:pPr>
        <w:pStyle w:val="05Paragraph"/>
        <w:jc w:val="both"/>
      </w:pPr>
      <w:r>
        <w:t xml:space="preserve">The Tribunal published notice of its intention to make a </w:t>
      </w:r>
      <w:r w:rsidR="00146F3C">
        <w:t>d</w:t>
      </w:r>
      <w:r>
        <w:t xml:space="preserve">etermination on its website in June 2025. The notice contained a summary of </w:t>
      </w:r>
      <w:r w:rsidR="00AF1F96">
        <w:t xml:space="preserve">the </w:t>
      </w:r>
      <w:r>
        <w:t xml:space="preserve">matters the Tribunal was required to consider </w:t>
      </w:r>
      <w:r w:rsidR="0039523D">
        <w:t xml:space="preserve">for this </w:t>
      </w:r>
      <w:r w:rsidR="00E55696">
        <w:t>D</w:t>
      </w:r>
      <w:r w:rsidR="0039523D">
        <w:t xml:space="preserve">etermination </w:t>
      </w:r>
      <w:r>
        <w:t>and called for submissions by 11</w:t>
      </w:r>
      <w:r w:rsidR="008B7134">
        <w:t> </w:t>
      </w:r>
      <w:r>
        <w:t>July 2025.</w:t>
      </w:r>
      <w:r w:rsidR="00D40858">
        <w:t xml:space="preserve"> </w:t>
      </w:r>
      <w:r w:rsidR="00D5014B">
        <w:t>Victorian Government departments</w:t>
      </w:r>
      <w:r w:rsidR="006F75BC">
        <w:t xml:space="preserve"> and other stakeholders</w:t>
      </w:r>
      <w:r w:rsidR="00AF1F96">
        <w:t xml:space="preserve"> were emailed about the notice of intention and how to make a submission</w:t>
      </w:r>
      <w:r>
        <w:t>.</w:t>
      </w:r>
    </w:p>
    <w:p w14:paraId="43C9CF85" w14:textId="087CD559" w:rsidR="00E80EE6" w:rsidRDefault="00E80EE6" w:rsidP="00DC0D9C">
      <w:pPr>
        <w:pStyle w:val="05Paragraph"/>
        <w:jc w:val="both"/>
      </w:pPr>
      <w:r>
        <w:t xml:space="preserve">Chapter 2 of this Statement </w:t>
      </w:r>
      <w:r w:rsidR="00ED74AC">
        <w:t xml:space="preserve">of </w:t>
      </w:r>
      <w:r>
        <w:t xml:space="preserve">Reasons sets out </w:t>
      </w:r>
      <w:r w:rsidR="00ED74AC">
        <w:t>the Tribunal’s analysis of each of the</w:t>
      </w:r>
      <w:r>
        <w:t xml:space="preserve"> legislative matters</w:t>
      </w:r>
      <w:r w:rsidR="00ED74AC">
        <w:t xml:space="preserve"> it was required to consider</w:t>
      </w:r>
      <w:r>
        <w:t>, namely:</w:t>
      </w:r>
      <w:r w:rsidRPr="00E80EE6">
        <w:rPr>
          <w:rStyle w:val="FootnoteReference"/>
        </w:rPr>
        <w:t xml:space="preserve"> </w:t>
      </w:r>
      <w:r>
        <w:rPr>
          <w:rStyle w:val="FootnoteReference"/>
        </w:rPr>
        <w:footnoteReference w:id="7"/>
      </w:r>
    </w:p>
    <w:p w14:paraId="341A01CD" w14:textId="7F5B5527" w:rsidR="00E80EE6" w:rsidRDefault="00E80EE6" w:rsidP="00DC0D9C">
      <w:pPr>
        <w:pStyle w:val="06VIRTBulletpoints"/>
        <w:ind w:left="426" w:hanging="426"/>
      </w:pPr>
      <w:r>
        <w:t>any statement or policy issued by the Government of Victoria which is in force with respect to its wages policy (or equivalent) and the remuneration and allowances of any specifi</w:t>
      </w:r>
      <w:r w:rsidR="00E55696">
        <w:t>ed</w:t>
      </w:r>
      <w:r>
        <w:t xml:space="preserve"> occupational group</w:t>
      </w:r>
    </w:p>
    <w:p w14:paraId="64C3E126" w14:textId="77777777" w:rsidR="00E80EE6" w:rsidRDefault="00E80EE6" w:rsidP="00DC0D9C">
      <w:pPr>
        <w:pStyle w:val="06VIRTBulletpoints"/>
        <w:ind w:left="426" w:hanging="426"/>
      </w:pPr>
      <w:r>
        <w:t>the financial position and fiscal strategy of the State of Victoria</w:t>
      </w:r>
    </w:p>
    <w:p w14:paraId="49A15A2D" w14:textId="77777777" w:rsidR="00E80EE6" w:rsidRDefault="00E80EE6" w:rsidP="00DC0D9C">
      <w:pPr>
        <w:pStyle w:val="06VIRTBulletpoints"/>
        <w:ind w:left="426" w:hanging="426"/>
      </w:pPr>
      <w:r>
        <w:lastRenderedPageBreak/>
        <w:t>current and projected economic conditions and trends</w:t>
      </w:r>
    </w:p>
    <w:p w14:paraId="4E0D555A" w14:textId="6DDEB998" w:rsidR="00E80EE6" w:rsidRDefault="00E80EE6" w:rsidP="00DC0D9C">
      <w:pPr>
        <w:pStyle w:val="06VIRTBulletpoints"/>
        <w:ind w:left="426" w:hanging="426"/>
      </w:pPr>
      <w:r>
        <w:t xml:space="preserve">submissions received in relation to the proposed </w:t>
      </w:r>
      <w:r w:rsidR="00E55696">
        <w:t>d</w:t>
      </w:r>
      <w:r>
        <w:t>etermination.</w:t>
      </w:r>
    </w:p>
    <w:p w14:paraId="274F2D37" w14:textId="545330AE" w:rsidR="00E80EE6" w:rsidRDefault="00E80EE6" w:rsidP="00DC0D9C">
      <w:pPr>
        <w:pStyle w:val="05Paragraph"/>
        <w:jc w:val="both"/>
      </w:pPr>
      <w:r>
        <w:t>Chapter 3 contains the Tribunal’s decisions on the values of the remuneration bands for executives employed in V</w:t>
      </w:r>
      <w:r w:rsidR="0082571F">
        <w:t xml:space="preserve">PS </w:t>
      </w:r>
      <w:r>
        <w:t>bodies.</w:t>
      </w:r>
    </w:p>
    <w:p w14:paraId="35401A00" w14:textId="77777777" w:rsidR="00E80EE6" w:rsidRDefault="00E80EE6">
      <w:pPr>
        <w:spacing w:after="80"/>
      </w:pPr>
      <w:r>
        <w:br w:type="page"/>
      </w:r>
    </w:p>
    <w:p w14:paraId="1F8EED4B" w14:textId="2B265CB9" w:rsidR="00C83038" w:rsidRDefault="00E80EE6" w:rsidP="00DC0D9C">
      <w:pPr>
        <w:pStyle w:val="01Chapterheading"/>
        <w:numPr>
          <w:ilvl w:val="0"/>
          <w:numId w:val="42"/>
        </w:numPr>
        <w:ind w:left="720"/>
        <w:jc w:val="both"/>
      </w:pPr>
      <w:bookmarkStart w:id="20" w:name="_Toc209438884"/>
      <w:r>
        <w:lastRenderedPageBreak/>
        <w:t>Factors considered</w:t>
      </w:r>
      <w:bookmarkEnd w:id="20"/>
    </w:p>
    <w:p w14:paraId="493223CC" w14:textId="77777777" w:rsidR="00C83038" w:rsidRDefault="00C83038" w:rsidP="00DC0D9C">
      <w:pPr>
        <w:pStyle w:val="05Paragraph"/>
        <w:jc w:val="both"/>
      </w:pPr>
      <w:r>
        <w:rPr>
          <w:noProof/>
        </w:rPr>
        <w:drawing>
          <wp:inline distT="0" distB="0" distL="0" distR="0" wp14:anchorId="239422E0" wp14:editId="050AB615">
            <wp:extent cx="2212975" cy="255905"/>
            <wp:effectExtent l="0" t="0" r="0" b="0"/>
            <wp:docPr id="776533006"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84" name="Picture 162">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p>
    <w:p w14:paraId="14DF0CDE" w14:textId="573C7160" w:rsidR="00C83038" w:rsidRDefault="00C83038" w:rsidP="00DC0D9C">
      <w:pPr>
        <w:pStyle w:val="02VIRTHeading2"/>
        <w:numPr>
          <w:ilvl w:val="1"/>
          <w:numId w:val="42"/>
        </w:numPr>
        <w:ind w:left="993" w:hanging="993"/>
        <w:jc w:val="both"/>
      </w:pPr>
      <w:bookmarkStart w:id="21" w:name="_Toc209438885"/>
      <w:r>
        <w:t>Wages Policy</w:t>
      </w:r>
      <w:bookmarkEnd w:id="21"/>
    </w:p>
    <w:p w14:paraId="1065F7B0" w14:textId="04E1396D" w:rsidR="00677CA1" w:rsidRPr="00677CA1" w:rsidRDefault="00677CA1" w:rsidP="00DC0D9C">
      <w:pPr>
        <w:pStyle w:val="05Paragraph"/>
        <w:jc w:val="both"/>
      </w:pPr>
      <w:r w:rsidRPr="00677CA1">
        <w:t xml:space="preserve">In making this Determination, the Tribunal </w:t>
      </w:r>
      <w:r w:rsidR="00C25B81">
        <w:t>wa</w:t>
      </w:r>
      <w:r w:rsidRPr="00677CA1">
        <w:t>s required to consider any statement or policy issued by the Government of Victoria which is in force with respect to its wages policy (or equivalent) and the remuneration and allowances of any specified occupational group.</w:t>
      </w:r>
    </w:p>
    <w:p w14:paraId="7FF296B2" w14:textId="2912B639" w:rsidR="00091467" w:rsidRDefault="00091467" w:rsidP="00DC0D9C">
      <w:pPr>
        <w:pStyle w:val="05Paragraph"/>
        <w:jc w:val="both"/>
      </w:pPr>
      <w:r w:rsidRPr="00892583">
        <w:t xml:space="preserve">Box </w:t>
      </w:r>
      <w:r w:rsidR="00892583" w:rsidRPr="00892583">
        <w:t>1</w:t>
      </w:r>
      <w:r w:rsidRPr="00892583">
        <w:t xml:space="preserve"> sum</w:t>
      </w:r>
      <w:r>
        <w:t>marises the key features of the Wages Policy</w:t>
      </w:r>
      <w:r w:rsidR="00664DF0">
        <w:t>,</w:t>
      </w:r>
      <w:r w:rsidR="00172764">
        <w:t xml:space="preserve"> which has been </w:t>
      </w:r>
      <w:r w:rsidR="00664DF0">
        <w:t>in effect</w:t>
      </w:r>
      <w:r w:rsidR="002C0D31">
        <w:t xml:space="preserve"> </w:t>
      </w:r>
      <w:r w:rsidR="00B50A2E">
        <w:t>since April 2023</w:t>
      </w:r>
      <w:r w:rsidR="00664DF0">
        <w:t>,</w:t>
      </w:r>
      <w:r w:rsidR="00765678">
        <w:t xml:space="preserve"> and </w:t>
      </w:r>
      <w:r w:rsidR="00664DF0">
        <w:t xml:space="preserve">is </w:t>
      </w:r>
      <w:r w:rsidR="00765678">
        <w:t xml:space="preserve">current at the time </w:t>
      </w:r>
      <w:r w:rsidR="00730BB0">
        <w:t xml:space="preserve">of </w:t>
      </w:r>
      <w:r w:rsidR="003E246D">
        <w:t>mak</w:t>
      </w:r>
      <w:r w:rsidR="00730BB0">
        <w:t xml:space="preserve">ing this </w:t>
      </w:r>
      <w:r w:rsidR="00664DF0">
        <w:t>D</w:t>
      </w:r>
      <w:r w:rsidR="00730BB0">
        <w:t>etermination</w:t>
      </w:r>
      <w:r>
        <w:t>.</w:t>
      </w:r>
    </w:p>
    <w:p w14:paraId="188C3343" w14:textId="012CECCF" w:rsidR="00091467" w:rsidRDefault="00091467" w:rsidP="00DC0D9C">
      <w:pPr>
        <w:pStyle w:val="05Paragraph"/>
        <w:jc w:val="both"/>
      </w:pPr>
      <w:r>
        <w:t xml:space="preserve">In particular, the </w:t>
      </w:r>
      <w:r w:rsidR="00664DF0">
        <w:t xml:space="preserve">Wages </w:t>
      </w:r>
      <w:r>
        <w:t>Policy provides that:</w:t>
      </w:r>
      <w:r>
        <w:rPr>
          <w:rStyle w:val="FootnoteReference"/>
        </w:rPr>
        <w:footnoteReference w:id="8"/>
      </w:r>
    </w:p>
    <w:p w14:paraId="559749E9" w14:textId="064F06B8" w:rsidR="00091467" w:rsidRDefault="00091467" w:rsidP="00DC0D9C">
      <w:pPr>
        <w:pStyle w:val="06VIRTBulletpoints"/>
      </w:pPr>
      <w:r>
        <w:t>increases in wages and conditions will be funded at a rate of growth of 3</w:t>
      </w:r>
      <w:r w:rsidR="004D1B29">
        <w:t> </w:t>
      </w:r>
      <w:r>
        <w:t>per</w:t>
      </w:r>
      <w:r w:rsidR="004D1B29">
        <w:t> </w:t>
      </w:r>
      <w:r>
        <w:t>cent per annum over the life of the agreement</w:t>
      </w:r>
    </w:p>
    <w:p w14:paraId="27FB4ECE" w14:textId="77777777" w:rsidR="00091467" w:rsidRDefault="00091467" w:rsidP="00DC0D9C">
      <w:pPr>
        <w:pStyle w:val="06VIRTBulletpoints"/>
      </w:pPr>
      <w:r>
        <w:t>in addition to annual wage increases, a separate lump sum cash payment will be available, equivalent to an additional 0.5 per cent of overall agreement costs.</w:t>
      </w:r>
    </w:p>
    <w:p w14:paraId="46A91158" w14:textId="77777777" w:rsidR="00CF30A4" w:rsidRPr="0061304C" w:rsidRDefault="00CF30A4" w:rsidP="00CF30A4">
      <w:pPr>
        <w:pStyle w:val="05Paragraph"/>
        <w:jc w:val="both"/>
      </w:pPr>
      <w:r w:rsidRPr="0061304C">
        <w:t xml:space="preserve">In 2024, the Government finalised </w:t>
      </w:r>
      <w:r>
        <w:t xml:space="preserve">bargaining for </w:t>
      </w:r>
      <w:r w:rsidRPr="0061304C">
        <w:t xml:space="preserve">a new </w:t>
      </w:r>
      <w:r>
        <w:t xml:space="preserve">EA </w:t>
      </w:r>
      <w:r w:rsidRPr="0061304C">
        <w:t>for non-executive VPS employees</w:t>
      </w:r>
      <w:r>
        <w:t xml:space="preserve"> — the </w:t>
      </w:r>
      <w:r w:rsidRPr="00035A6E">
        <w:rPr>
          <w:i/>
          <w:iCs/>
        </w:rPr>
        <w:t xml:space="preserve">Victorian Public Service </w:t>
      </w:r>
      <w:r>
        <w:rPr>
          <w:i/>
          <w:iCs/>
        </w:rPr>
        <w:t xml:space="preserve">Enterprise </w:t>
      </w:r>
      <w:r w:rsidRPr="00035A6E">
        <w:rPr>
          <w:i/>
          <w:iCs/>
        </w:rPr>
        <w:t>Agreement 2024</w:t>
      </w:r>
      <w:r>
        <w:t>.</w:t>
      </w:r>
      <w:r w:rsidRPr="0061304C">
        <w:rPr>
          <w:rStyle w:val="FootnoteReference"/>
        </w:rPr>
        <w:footnoteReference w:id="9"/>
      </w:r>
      <w:r>
        <w:t xml:space="preserve"> That EA awarded a number of changes to employees’ remuneration, including</w:t>
      </w:r>
      <w:r w:rsidRPr="0061304C">
        <w:t>:</w:t>
      </w:r>
    </w:p>
    <w:p w14:paraId="5F0B35AF" w14:textId="77777777" w:rsidR="00CF30A4" w:rsidRDefault="00CF30A4" w:rsidP="00CF30A4">
      <w:pPr>
        <w:pStyle w:val="06VIRTBulletpoints"/>
      </w:pPr>
      <w:r>
        <w:t>four annual salary increases of 3 per cent each effective from 1 May each year, totalling 12 per cent over the life of the agreement</w:t>
      </w:r>
    </w:p>
    <w:p w14:paraId="4C1756CF" w14:textId="77777777" w:rsidR="00CF30A4" w:rsidRDefault="00CF30A4" w:rsidP="00CF30A4">
      <w:pPr>
        <w:pStyle w:val="06VIRTBulletpoints"/>
      </w:pPr>
      <w:r>
        <w:t>a once-off lump sum payment of $5,600 (pro-rated for part-time and eligible casual employees), paid to VPS employees regardless of classification who were employed on 28 June 2024</w:t>
      </w:r>
    </w:p>
    <w:p w14:paraId="366A340B" w14:textId="77777777" w:rsidR="00CF30A4" w:rsidRDefault="00CF30A4" w:rsidP="00CF30A4">
      <w:pPr>
        <w:pStyle w:val="06VIRTBulletpoints"/>
      </w:pPr>
      <w:r>
        <w:t xml:space="preserve">an annual lump sum mobility payment (also pro-rated for part-time and eligible casual employees), which is paid in addition to base salary, and the value of which also increases by 3 per cent each year </w:t>
      </w:r>
    </w:p>
    <w:p w14:paraId="235B529B" w14:textId="77777777" w:rsidR="00CF30A4" w:rsidRDefault="00CF30A4" w:rsidP="00CF30A4">
      <w:pPr>
        <w:pStyle w:val="06VIRTBulletpoints"/>
      </w:pPr>
      <w:r>
        <w:t>an increase to the lump sum payment (from 1.0 to 1.5 per cent of base salary) paid to employees at the top of their grade or value range, provided the employee meets their progression criteria.</w:t>
      </w:r>
    </w:p>
    <w:p w14:paraId="08902271" w14:textId="77777777" w:rsidR="00CF30A4" w:rsidRDefault="00CF30A4" w:rsidP="00CF30A4">
      <w:pPr>
        <w:pStyle w:val="06VIRTBulletpoints"/>
        <w:numPr>
          <w:ilvl w:val="0"/>
          <w:numId w:val="0"/>
        </w:numPr>
        <w:ind w:left="357" w:hanging="357"/>
      </w:pPr>
    </w:p>
    <w:p w14:paraId="391683CD" w14:textId="00A5F0EC" w:rsidR="00091467" w:rsidRPr="00626EB0" w:rsidRDefault="00091467" w:rsidP="00626EB0">
      <w:pPr>
        <w:pStyle w:val="08Figuretableboxheading"/>
      </w:pPr>
      <w:r w:rsidRPr="00626EB0">
        <w:lastRenderedPageBreak/>
        <w:t>Box</w:t>
      </w:r>
      <w:r w:rsidR="00892583" w:rsidRPr="00626EB0">
        <w:t xml:space="preserve"> 1:</w:t>
      </w:r>
      <w:r w:rsidRPr="00626EB0">
        <w:t xml:space="preserve"> </w:t>
      </w:r>
      <w:r w:rsidR="00664DF0">
        <w:t xml:space="preserve">Summary of </w:t>
      </w:r>
      <w:r w:rsidR="00F96FAB">
        <w:t xml:space="preserve">the </w:t>
      </w:r>
      <w:r w:rsidR="00664DF0">
        <w:t>Wages Policy</w:t>
      </w:r>
    </w:p>
    <w:p w14:paraId="0D20F496" w14:textId="00248CAD" w:rsidR="00091467" w:rsidRPr="007D3696" w:rsidRDefault="00091467" w:rsidP="00DC0D9C">
      <w:pPr>
        <w:pStyle w:val="09Sourcesandnotesfortablesfiguresboxes"/>
        <w:jc w:val="both"/>
      </w:pPr>
      <w:r w:rsidRPr="007D3696">
        <w:rPr>
          <w:noProof/>
        </w:rPr>
        <mc:AlternateContent>
          <mc:Choice Requires="wps">
            <w:drawing>
              <wp:inline distT="0" distB="0" distL="0" distR="0" wp14:anchorId="0B732DF2" wp14:editId="66954D82">
                <wp:extent cx="5400040" cy="6019800"/>
                <wp:effectExtent l="0" t="0" r="10160" b="19050"/>
                <wp:docPr id="280" name="Text Box 280"/>
                <wp:cNvGraphicFramePr/>
                <a:graphic xmlns:a="http://schemas.openxmlformats.org/drawingml/2006/main">
                  <a:graphicData uri="http://schemas.microsoft.com/office/word/2010/wordprocessingShape">
                    <wps:wsp>
                      <wps:cNvSpPr txBox="1"/>
                      <wps:spPr>
                        <a:xfrm>
                          <a:off x="0" y="0"/>
                          <a:ext cx="5400040" cy="6019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8F2F8C3" w14:textId="79182EB3" w:rsidR="00091467" w:rsidRPr="001532E3" w:rsidRDefault="00091467" w:rsidP="00091467">
                            <w:pPr>
                              <w:pStyle w:val="12BoxText"/>
                            </w:pPr>
                            <w:r w:rsidRPr="001532E3">
                              <w:t>The Wages Policy has three pillars:</w:t>
                            </w:r>
                          </w:p>
                          <w:p w14:paraId="7C3E3B9C" w14:textId="77777777" w:rsidR="00091467" w:rsidRPr="001532E3" w:rsidRDefault="00091467" w:rsidP="00091467">
                            <w:pPr>
                              <w:pStyle w:val="12BoxText"/>
                              <w:rPr>
                                <w:b/>
                                <w:bCs/>
                              </w:rPr>
                            </w:pPr>
                            <w:r w:rsidRPr="001532E3">
                              <w:rPr>
                                <w:b/>
                              </w:rPr>
                              <w:t>Pillar 1: Wages</w:t>
                            </w:r>
                          </w:p>
                          <w:p w14:paraId="7A81C9A7" w14:textId="77777777" w:rsidR="00091467" w:rsidRPr="001532E3" w:rsidRDefault="00091467" w:rsidP="00091467">
                            <w:pPr>
                              <w:pStyle w:val="13Boxbullets"/>
                            </w:pPr>
                            <w:r w:rsidRPr="001532E3">
                              <w:t>Increases in wages and conditions will be funded at a rate of growth of 3.0 per cent per annum over the life of the agreement. In practice, this means that employee wages and conditions will be allowed to grow at this rate.</w:t>
                            </w:r>
                          </w:p>
                          <w:p w14:paraId="602200C7" w14:textId="2FC4863C" w:rsidR="00091467" w:rsidRPr="001532E3" w:rsidRDefault="00091467" w:rsidP="00091467">
                            <w:pPr>
                              <w:pStyle w:val="13Boxbullets"/>
                            </w:pPr>
                            <w:r w:rsidRPr="001532E3">
                              <w:t>In addition to annual wage increases, a separate lump sum cash payment will be available equivalent to an additional 0.5 per cent of overall agreement costs which for the purposes of this policy means a per annum amount calculated on wages and wage</w:t>
                            </w:r>
                            <w:r w:rsidRPr="001532E3">
                              <w:noBreakHyphen/>
                              <w:t>related conditions.</w:t>
                            </w:r>
                          </w:p>
                          <w:p w14:paraId="1384CEE7" w14:textId="77777777" w:rsidR="00091467" w:rsidRPr="001532E3" w:rsidRDefault="00091467" w:rsidP="00091467">
                            <w:pPr>
                              <w:pStyle w:val="12BoxText"/>
                              <w:rPr>
                                <w:b/>
                                <w:bCs/>
                              </w:rPr>
                            </w:pPr>
                            <w:r w:rsidRPr="001532E3">
                              <w:rPr>
                                <w:b/>
                              </w:rPr>
                              <w:t>Pillar 2: Best Practice Employment Commitment</w:t>
                            </w:r>
                          </w:p>
                          <w:p w14:paraId="69022A04" w14:textId="77777777" w:rsidR="00091467" w:rsidRPr="001532E3" w:rsidRDefault="00091467" w:rsidP="00091467">
                            <w:pPr>
                              <w:pStyle w:val="13Boxbullets"/>
                            </w:pPr>
                            <w:r w:rsidRPr="001532E3">
                              <w:t>Public sector agencies may make a Best Practice Employment Commitment which outlines measures to operationalise elements of the Government’s Public Sector Priorities</w:t>
                            </w:r>
                            <w:r w:rsidRPr="001532E3">
                              <w:rPr>
                                <w:vertAlign w:val="superscript"/>
                              </w:rPr>
                              <w:t>(a)</w:t>
                            </w:r>
                            <w:r w:rsidRPr="001532E3">
                              <w:t xml:space="preserve"> that reflect good practice within Government and can be implemented operationally or without significant costs.</w:t>
                            </w:r>
                          </w:p>
                          <w:p w14:paraId="1312BAD7" w14:textId="77777777" w:rsidR="00091467" w:rsidRPr="001532E3" w:rsidRDefault="00091467" w:rsidP="00091467">
                            <w:pPr>
                              <w:pStyle w:val="12BoxText"/>
                              <w:rPr>
                                <w:b/>
                                <w:bCs/>
                              </w:rPr>
                            </w:pPr>
                            <w:r w:rsidRPr="001532E3">
                              <w:rPr>
                                <w:b/>
                              </w:rPr>
                              <w:t>Pillar 3: Additional strategic changes</w:t>
                            </w:r>
                          </w:p>
                          <w:p w14:paraId="50968659" w14:textId="77777777" w:rsidR="00091467" w:rsidRPr="001532E3" w:rsidRDefault="00091467" w:rsidP="00091467">
                            <w:pPr>
                              <w:pStyle w:val="13Boxbullets"/>
                            </w:pPr>
                            <w:r w:rsidRPr="001532E3">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p w14:paraId="39ACDFAC" w14:textId="42B5F3DA" w:rsidR="00091467" w:rsidRPr="00A56439" w:rsidRDefault="00091467" w:rsidP="00091467">
                            <w:pPr>
                              <w:pStyle w:val="12BoxText"/>
                              <w:rPr>
                                <w:vertAlign w:val="superscript"/>
                              </w:rPr>
                            </w:pPr>
                            <w:r w:rsidRPr="001532E3">
                              <w:t xml:space="preserve">A ‘Secondary Pathway’ is also available for public sector agencies whose current </w:t>
                            </w:r>
                            <w:r w:rsidR="0007339A">
                              <w:t>E</w:t>
                            </w:r>
                            <w:r w:rsidR="00560622">
                              <w:t xml:space="preserve">nterprise </w:t>
                            </w:r>
                            <w:r w:rsidR="0007339A">
                              <w:t>A</w:t>
                            </w:r>
                            <w:r w:rsidR="00560622">
                              <w:t>greement (EA)</w:t>
                            </w:r>
                            <w:r w:rsidR="00C76FD2">
                              <w:t xml:space="preserve"> </w:t>
                            </w:r>
                            <w:r w:rsidRPr="001532E3">
                              <w:t>reaches its nominal expiry date before 1 January 2024, which permits agreements to be made on the following terms:</w:t>
                            </w:r>
                          </w:p>
                          <w:p w14:paraId="380D8D12" w14:textId="375CC073" w:rsidR="00091467" w:rsidRPr="001532E3" w:rsidRDefault="00091467" w:rsidP="00091467">
                            <w:pPr>
                              <w:pStyle w:val="13Boxbullets"/>
                            </w:pPr>
                            <w:r w:rsidRPr="001532E3">
                              <w:t>wage and allowance increase funded at a rate of growth of 3.50 per cent per year, pro</w:t>
                            </w:r>
                            <w:r w:rsidRPr="001532E3">
                              <w:noBreakHyphen/>
                              <w:t>rated</w:t>
                            </w:r>
                          </w:p>
                          <w:p w14:paraId="7AE9BF3B" w14:textId="77777777" w:rsidR="00091467" w:rsidRPr="001532E3" w:rsidRDefault="00091467" w:rsidP="00091467">
                            <w:pPr>
                              <w:pStyle w:val="13Boxbullets"/>
                            </w:pPr>
                            <w:r w:rsidRPr="001532E3">
                              <w:t>a nominal expiry date of between 12 to 18 months from the nominal expiry date of the current agreement</w:t>
                            </w:r>
                          </w:p>
                          <w:p w14:paraId="745A3683" w14:textId="77777777" w:rsidR="00091467" w:rsidRPr="001532E3" w:rsidRDefault="00091467" w:rsidP="00091467">
                            <w:pPr>
                              <w:pStyle w:val="13Boxbullets"/>
                            </w:pPr>
                            <w:r w:rsidRPr="001532E3">
                              <w:t>all other terms and conditions as contained in the current agreement, except for where a change is required under the Public Sector Industrial Relations Policies, to further mutually agreed whole</w:t>
                            </w:r>
                            <w:r w:rsidRPr="001532E3">
                              <w:noBreakHyphen/>
                              <w:t>of-Government initiatives, to resolve legal issues, or minor changes to improve the clarity of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B732DF2" id="_x0000_t202" coordsize="21600,21600" o:spt="202" path="m,l,21600r21600,l21600,xe">
                <v:stroke joinstyle="miter"/>
                <v:path gradientshapeok="t" o:connecttype="rect"/>
              </v:shapetype>
              <v:shape id="Text Box 280" o:spid="_x0000_s1026" type="#_x0000_t202" style="width:425.2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" fillcolor="white [3201]" strokecolor="#00573f [3204]" strokeweight="2pt">
                <v:textbox>
                  <w:txbxContent>
                    <w:p w14:paraId="58F2F8C3" w14:textId="79182EB3" w:rsidR="00091467" w:rsidRPr="001532E3" w:rsidRDefault="00091467" w:rsidP="00091467">
                      <w:pPr>
                        <w:pStyle w:val="12BoxText"/>
                      </w:pPr>
                      <w:r w:rsidRPr="001532E3">
                        <w:t>The Wages Policy has three pillars:</w:t>
                      </w:r>
                    </w:p>
                    <w:p w14:paraId="7C3E3B9C" w14:textId="77777777" w:rsidR="00091467" w:rsidRPr="001532E3" w:rsidRDefault="00091467" w:rsidP="00091467">
                      <w:pPr>
                        <w:pStyle w:val="12BoxText"/>
                        <w:rPr>
                          <w:b/>
                          <w:bCs/>
                        </w:rPr>
                      </w:pPr>
                      <w:r w:rsidRPr="001532E3">
                        <w:rPr>
                          <w:b/>
                        </w:rPr>
                        <w:t>Pillar 1: Wages</w:t>
                      </w:r>
                    </w:p>
                    <w:p w14:paraId="7A81C9A7" w14:textId="77777777" w:rsidR="00091467" w:rsidRPr="001532E3" w:rsidRDefault="00091467" w:rsidP="00091467">
                      <w:pPr>
                        <w:pStyle w:val="13Boxbullets"/>
                      </w:pPr>
                      <w:r w:rsidRPr="001532E3">
                        <w:t>Increases in wages and conditions will be funded at a rate of growth of 3.0 per cent per annum over the life of the agreement. In practice, this means that employee wages and conditions will be allowed to grow at this rate.</w:t>
                      </w:r>
                    </w:p>
                    <w:p w14:paraId="602200C7" w14:textId="2FC4863C" w:rsidR="00091467" w:rsidRPr="001532E3" w:rsidRDefault="00091467" w:rsidP="00091467">
                      <w:pPr>
                        <w:pStyle w:val="13Boxbullets"/>
                      </w:pPr>
                      <w:r w:rsidRPr="001532E3">
                        <w:t>In addition to annual wage increases, a separate lump sum cash payment will be available equivalent to an additional 0.5 per cent of overall agreement costs which for the purposes of this policy means a per annum amount calculated on wages and wage</w:t>
                      </w:r>
                      <w:r w:rsidRPr="001532E3">
                        <w:noBreakHyphen/>
                        <w:t>related conditions.</w:t>
                      </w:r>
                    </w:p>
                    <w:p w14:paraId="1384CEE7" w14:textId="77777777" w:rsidR="00091467" w:rsidRPr="001532E3" w:rsidRDefault="00091467" w:rsidP="00091467">
                      <w:pPr>
                        <w:pStyle w:val="12BoxText"/>
                        <w:rPr>
                          <w:b/>
                          <w:bCs/>
                        </w:rPr>
                      </w:pPr>
                      <w:r w:rsidRPr="001532E3">
                        <w:rPr>
                          <w:b/>
                        </w:rPr>
                        <w:t>Pillar 2: Best Practice Employment Commitment</w:t>
                      </w:r>
                    </w:p>
                    <w:p w14:paraId="69022A04" w14:textId="77777777" w:rsidR="00091467" w:rsidRPr="001532E3" w:rsidRDefault="00091467" w:rsidP="00091467">
                      <w:pPr>
                        <w:pStyle w:val="13Boxbullets"/>
                      </w:pPr>
                      <w:r w:rsidRPr="001532E3">
                        <w:t>Public sector agencies may make a Best Practice Employment Commitment which outlines measures to operationalise elements of the Government’s Public Sector Priorities</w:t>
                      </w:r>
                      <w:r w:rsidRPr="001532E3">
                        <w:rPr>
                          <w:vertAlign w:val="superscript"/>
                        </w:rPr>
                        <w:t>(a)</w:t>
                      </w:r>
                      <w:r w:rsidRPr="001532E3">
                        <w:t xml:space="preserve"> that reflect good practice within Government and can be implemented operationally or without significant costs.</w:t>
                      </w:r>
                    </w:p>
                    <w:p w14:paraId="1312BAD7" w14:textId="77777777" w:rsidR="00091467" w:rsidRPr="001532E3" w:rsidRDefault="00091467" w:rsidP="00091467">
                      <w:pPr>
                        <w:pStyle w:val="12BoxText"/>
                        <w:rPr>
                          <w:b/>
                          <w:bCs/>
                        </w:rPr>
                      </w:pPr>
                      <w:r w:rsidRPr="001532E3">
                        <w:rPr>
                          <w:b/>
                        </w:rPr>
                        <w:t>Pillar 3: Additional strategic changes</w:t>
                      </w:r>
                    </w:p>
                    <w:p w14:paraId="50968659" w14:textId="77777777" w:rsidR="00091467" w:rsidRPr="001532E3" w:rsidRDefault="00091467" w:rsidP="00091467">
                      <w:pPr>
                        <w:pStyle w:val="13Boxbullets"/>
                      </w:pPr>
                      <w:r w:rsidRPr="001532E3">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p w14:paraId="39ACDFAC" w14:textId="42B5F3DA" w:rsidR="00091467" w:rsidRPr="00A56439" w:rsidRDefault="00091467" w:rsidP="00091467">
                      <w:pPr>
                        <w:pStyle w:val="12BoxText"/>
                        <w:rPr>
                          <w:vertAlign w:val="superscript"/>
                        </w:rPr>
                      </w:pPr>
                      <w:r w:rsidRPr="001532E3">
                        <w:t xml:space="preserve">A ‘Secondary Pathway’ is also available for public sector agencies whose current </w:t>
                      </w:r>
                      <w:r w:rsidR="0007339A">
                        <w:t>E</w:t>
                      </w:r>
                      <w:r w:rsidR="00560622">
                        <w:t xml:space="preserve">nterprise </w:t>
                      </w:r>
                      <w:r w:rsidR="0007339A">
                        <w:t>A</w:t>
                      </w:r>
                      <w:r w:rsidR="00560622">
                        <w:t>greement (EA)</w:t>
                      </w:r>
                      <w:r w:rsidR="00C76FD2">
                        <w:t xml:space="preserve"> </w:t>
                      </w:r>
                      <w:r w:rsidRPr="001532E3">
                        <w:t>reaches its nominal expiry date before 1 January 2024, which permits agreements to be made on the following terms:</w:t>
                      </w:r>
                    </w:p>
                    <w:p w14:paraId="380D8D12" w14:textId="375CC073" w:rsidR="00091467" w:rsidRPr="001532E3" w:rsidRDefault="00091467" w:rsidP="00091467">
                      <w:pPr>
                        <w:pStyle w:val="13Boxbullets"/>
                      </w:pPr>
                      <w:r w:rsidRPr="001532E3">
                        <w:t>wage and allowance increase funded at a rate of growth of 3.50 per cent per year, pro</w:t>
                      </w:r>
                      <w:r w:rsidRPr="001532E3">
                        <w:noBreakHyphen/>
                        <w:t>rated</w:t>
                      </w:r>
                    </w:p>
                    <w:p w14:paraId="7AE9BF3B" w14:textId="77777777" w:rsidR="00091467" w:rsidRPr="001532E3" w:rsidRDefault="00091467" w:rsidP="00091467">
                      <w:pPr>
                        <w:pStyle w:val="13Boxbullets"/>
                      </w:pPr>
                      <w:r w:rsidRPr="001532E3">
                        <w:t>a nominal expiry date of between 12 to 18 months from the nominal expiry date of the current agreement</w:t>
                      </w:r>
                    </w:p>
                    <w:p w14:paraId="745A3683" w14:textId="77777777" w:rsidR="00091467" w:rsidRPr="001532E3" w:rsidRDefault="00091467" w:rsidP="00091467">
                      <w:pPr>
                        <w:pStyle w:val="13Boxbullets"/>
                      </w:pPr>
                      <w:r w:rsidRPr="001532E3">
                        <w:t>all other terms and conditions as contained in the current agreement, except for where a change is required under the Public Sector Industrial Relations Policies, to further mutually agreed whole</w:t>
                      </w:r>
                      <w:r w:rsidRPr="001532E3">
                        <w:noBreakHyphen/>
                        <w:t>of-Government initiatives, to resolve legal issues, or minor changes to improve the clarity of the agreement.</w:t>
                      </w:r>
                    </w:p>
                  </w:txbxContent>
                </v:textbox>
                <w10:anchorlock/>
              </v:shape>
            </w:pict>
          </mc:Fallback>
        </mc:AlternateContent>
      </w:r>
      <w:r>
        <w:br/>
      </w:r>
      <w:r w:rsidRPr="007D3696">
        <w:t>Note: (a) The Public Sector Priorities are: the delivery of exceptional services and value for Victorians; a professional and responsive public sector; government as a fair and best practice employer.</w:t>
      </w:r>
    </w:p>
    <w:p w14:paraId="4453E154" w14:textId="3D547AD1" w:rsidR="00091467" w:rsidRDefault="00091467" w:rsidP="00DC0D9C">
      <w:pPr>
        <w:pStyle w:val="09Sourcesandnotesfortablesfiguresboxes"/>
        <w:jc w:val="both"/>
      </w:pPr>
      <w:r w:rsidRPr="007D3696">
        <w:t xml:space="preserve">Source: </w:t>
      </w:r>
      <w:r w:rsidR="00300CB2">
        <w:t>IRV</w:t>
      </w:r>
      <w:r w:rsidRPr="007D3696">
        <w:t xml:space="preserve"> (202</w:t>
      </w:r>
      <w:r w:rsidR="00D45B66">
        <w:t>3</w:t>
      </w:r>
      <w:r w:rsidRPr="007D3696">
        <w:t>).</w:t>
      </w:r>
    </w:p>
    <w:p w14:paraId="5D350CE4" w14:textId="74A8AF9D" w:rsidR="00C83038" w:rsidRPr="00450E2F" w:rsidRDefault="00C83038" w:rsidP="00DC0D9C">
      <w:pPr>
        <w:pStyle w:val="02VIRTHeading2"/>
        <w:numPr>
          <w:ilvl w:val="1"/>
          <w:numId w:val="42"/>
        </w:numPr>
        <w:ind w:left="993" w:hanging="993"/>
        <w:jc w:val="both"/>
      </w:pPr>
      <w:bookmarkStart w:id="22" w:name="_Toc209438886"/>
      <w:r>
        <w:t>Executive employment and remuneration policies</w:t>
      </w:r>
      <w:bookmarkEnd w:id="22"/>
    </w:p>
    <w:p w14:paraId="215FD129" w14:textId="2990458C" w:rsidR="00450E2F" w:rsidRDefault="00C83038" w:rsidP="00DC0D9C">
      <w:pPr>
        <w:pStyle w:val="05Paragraph"/>
        <w:jc w:val="both"/>
      </w:pPr>
      <w:r>
        <w:t xml:space="preserve">The Standard VPS Executive Contract and </w:t>
      </w:r>
      <w:r w:rsidR="001C44BD">
        <w:t xml:space="preserve">the </w:t>
      </w:r>
      <w:r w:rsidRPr="00AD709C">
        <w:rPr>
          <w:i/>
        </w:rPr>
        <w:t>VPS Executive Employment Handbook</w:t>
      </w:r>
      <w:r>
        <w:t xml:space="preserve"> set out the employment and remuneration policies that apply to VPS executives.</w:t>
      </w:r>
    </w:p>
    <w:p w14:paraId="3E255DE2" w14:textId="17B89043" w:rsidR="004616F9" w:rsidRDefault="00C83038" w:rsidP="00DC0D9C">
      <w:pPr>
        <w:pStyle w:val="05Paragraph"/>
        <w:jc w:val="both"/>
      </w:pPr>
      <w:r>
        <w:lastRenderedPageBreak/>
        <w:t>The Standard Contract is mandated for the employment of all VPS executives, and sets out employment details including the remuneration package, performance standards and other employment conditions.</w:t>
      </w:r>
      <w:r>
        <w:rPr>
          <w:rStyle w:val="FootnoteReference"/>
        </w:rPr>
        <w:footnoteReference w:id="10"/>
      </w:r>
      <w:r w:rsidR="004616F9">
        <w:t xml:space="preserve"> </w:t>
      </w:r>
      <w:r w:rsidR="00435810">
        <w:t>The Standard Contract set</w:t>
      </w:r>
      <w:r w:rsidR="006967EF">
        <w:t>s</w:t>
      </w:r>
      <w:r w:rsidR="00435810">
        <w:t xml:space="preserve"> out the components of an executive’s TRP.</w:t>
      </w:r>
      <w:r w:rsidR="00435810">
        <w:rPr>
          <w:rStyle w:val="FootnoteReference"/>
        </w:rPr>
        <w:footnoteReference w:id="11"/>
      </w:r>
      <w:r w:rsidR="00435810">
        <w:t xml:space="preserve"> </w:t>
      </w:r>
      <w:r w:rsidR="004616F9">
        <w:t>All VPS executive contracts have common conditions dealing with contract term and renewal, performance management, reimbursement of expenses, leave entitlements and termination.</w:t>
      </w:r>
      <w:r w:rsidR="00435810">
        <w:t xml:space="preserve"> </w:t>
      </w:r>
    </w:p>
    <w:p w14:paraId="79CBF777" w14:textId="51D43BDC" w:rsidR="00CC5ACF" w:rsidRDefault="00803BE5" w:rsidP="00DC0D9C">
      <w:pPr>
        <w:pStyle w:val="05Paragraph"/>
        <w:jc w:val="both"/>
      </w:pPr>
      <w:r>
        <w:t xml:space="preserve">An executive’s remuneration </w:t>
      </w:r>
      <w:r w:rsidR="00A8463A">
        <w:t xml:space="preserve">may be adjusted annually by their employer up to a maximum rate set by the Premier </w:t>
      </w:r>
      <w:r w:rsidR="00A63AFC">
        <w:t>—</w:t>
      </w:r>
      <w:r w:rsidR="00A8463A">
        <w:t xml:space="preserve"> </w:t>
      </w:r>
      <w:r w:rsidR="002B6C63">
        <w:t xml:space="preserve">the </w:t>
      </w:r>
      <w:r w:rsidR="002B6C63" w:rsidRPr="002B6C63">
        <w:t>Premier’s annual remuneration adjustment guideline rate</w:t>
      </w:r>
      <w:r w:rsidR="00A8463A">
        <w:t xml:space="preserve"> (guideline rate). Employers have the discretion </w:t>
      </w:r>
      <w:r w:rsidR="009A3450">
        <w:t xml:space="preserve">over whether </w:t>
      </w:r>
      <w:r w:rsidR="00A8463A">
        <w:t xml:space="preserve">to pass on the guideline rate to </w:t>
      </w:r>
      <w:r w:rsidR="009A3450">
        <w:t xml:space="preserve">employees, and in particular </w:t>
      </w:r>
      <w:r w:rsidR="008B7BCD">
        <w:t xml:space="preserve">to </w:t>
      </w:r>
      <w:r w:rsidR="009A3450">
        <w:t>those</w:t>
      </w:r>
      <w:r w:rsidR="00A8463A">
        <w:t xml:space="preserve"> who have been appointed within six months </w:t>
      </w:r>
      <w:r w:rsidR="00606241">
        <w:t xml:space="preserve">of the guideline rate taking </w:t>
      </w:r>
      <w:r w:rsidR="003E7487">
        <w:t>effect or</w:t>
      </w:r>
      <w:r w:rsidR="00606241">
        <w:t xml:space="preserve"> have recently </w:t>
      </w:r>
      <w:r w:rsidR="008B7BCD">
        <w:t>received</w:t>
      </w:r>
      <w:r w:rsidR="00606241">
        <w:t xml:space="preserve"> a remuneration uplift.</w:t>
      </w:r>
      <w:r w:rsidR="00606241">
        <w:rPr>
          <w:rStyle w:val="FootnoteReference"/>
        </w:rPr>
        <w:footnoteReference w:id="12"/>
      </w:r>
      <w:r w:rsidR="00606241">
        <w:t xml:space="preserve"> </w:t>
      </w:r>
    </w:p>
    <w:p w14:paraId="08DBDAD7" w14:textId="0FAAAA1F" w:rsidR="00606241" w:rsidRDefault="008B1C04" w:rsidP="00DC0D9C">
      <w:pPr>
        <w:pStyle w:val="05Paragraph"/>
        <w:jc w:val="both"/>
      </w:pPr>
      <w:r>
        <w:t xml:space="preserve">The 2024 guideline rate </w:t>
      </w:r>
      <w:r w:rsidR="00A5200D">
        <w:t xml:space="preserve">of 3 per cent </w:t>
      </w:r>
      <w:r>
        <w:t xml:space="preserve">was consistent with the Wages Policy. </w:t>
      </w:r>
      <w:r w:rsidRPr="009E1033">
        <w:t xml:space="preserve">At the time of </w:t>
      </w:r>
      <w:r w:rsidR="003541E9" w:rsidRPr="009E1033">
        <w:t xml:space="preserve">making </w:t>
      </w:r>
      <w:r w:rsidRPr="009E1033">
        <w:t xml:space="preserve">this </w:t>
      </w:r>
      <w:r w:rsidR="002568CC" w:rsidRPr="009E1033">
        <w:t>D</w:t>
      </w:r>
      <w:r w:rsidRPr="009E1033">
        <w:t>etermination, the Premier has not announced the guideline rate</w:t>
      </w:r>
      <w:r w:rsidR="00E96301" w:rsidRPr="009E1033">
        <w:t xml:space="preserve"> applying from 1 July 2025</w:t>
      </w:r>
      <w:r w:rsidRPr="009E1033">
        <w:t>.</w:t>
      </w:r>
    </w:p>
    <w:p w14:paraId="7268BF5D" w14:textId="45145721" w:rsidR="004616F9" w:rsidRDefault="004616F9" w:rsidP="00DC0D9C">
      <w:pPr>
        <w:pStyle w:val="05Paragraph"/>
        <w:jc w:val="both"/>
      </w:pPr>
      <w:r>
        <w:t>The Standard Contract</w:t>
      </w:r>
      <w:r w:rsidR="00F94F16">
        <w:t xml:space="preserve"> and VPS Handbook</w:t>
      </w:r>
      <w:r>
        <w:t xml:space="preserve"> provide for an annual review of each executive’s remuneration</w:t>
      </w:r>
      <w:r w:rsidR="002C1EC0">
        <w:t xml:space="preserve">, and also </w:t>
      </w:r>
      <w:r w:rsidR="004D69A9">
        <w:t xml:space="preserve">allows </w:t>
      </w:r>
      <w:r w:rsidR="002C1EC0">
        <w:t>that an executive may request a remuneration review</w:t>
      </w:r>
      <w:r w:rsidR="00F80357">
        <w:t>.</w:t>
      </w:r>
      <w:r w:rsidR="00766D01">
        <w:t xml:space="preserve"> </w:t>
      </w:r>
      <w:r w:rsidR="00F80357">
        <w:t>These provisions do</w:t>
      </w:r>
      <w:r w:rsidR="002C1EC0">
        <w:t xml:space="preserve"> not </w:t>
      </w:r>
      <w:r w:rsidR="00A9665D">
        <w:t>guarantee an increase in any element of the executive’s remuneration.</w:t>
      </w:r>
      <w:r w:rsidR="00A9665D">
        <w:rPr>
          <w:rStyle w:val="FootnoteReference"/>
        </w:rPr>
        <w:footnoteReference w:id="13"/>
      </w:r>
      <w:r w:rsidR="00A9665D">
        <w:t xml:space="preserve"> </w:t>
      </w:r>
      <w:r w:rsidR="00F80357">
        <w:t>E</w:t>
      </w:r>
      <w:r w:rsidR="00A9665D">
        <w:t>mployer</w:t>
      </w:r>
      <w:r w:rsidR="00F80357">
        <w:t>s</w:t>
      </w:r>
      <w:r w:rsidR="00A9665D">
        <w:t xml:space="preserve"> may also adjust an executive’s remuneration at any time as they deem necessary</w:t>
      </w:r>
      <w:r>
        <w:t>.</w:t>
      </w:r>
      <w:r w:rsidR="005F160D">
        <w:t xml:space="preserve"> </w:t>
      </w:r>
    </w:p>
    <w:p w14:paraId="0320A8A1" w14:textId="017DBD05" w:rsidR="004616F9" w:rsidRDefault="004616F9" w:rsidP="00DC0D9C">
      <w:pPr>
        <w:pStyle w:val="03VIRTHeading3"/>
        <w:jc w:val="both"/>
      </w:pPr>
      <w:r>
        <w:t>Policy related to changes in superannuation entitlements</w:t>
      </w:r>
    </w:p>
    <w:p w14:paraId="6FF64A70" w14:textId="618C188A" w:rsidR="004616F9" w:rsidRDefault="004616F9" w:rsidP="00DC0D9C">
      <w:pPr>
        <w:pStyle w:val="05Paragraph"/>
        <w:jc w:val="both"/>
      </w:pPr>
      <w:r>
        <w:t>Under Commonwealth law</w:t>
      </w:r>
      <w:r w:rsidR="00CB3123">
        <w:t>, t</w:t>
      </w:r>
      <w:r>
        <w:t xml:space="preserve">he </w:t>
      </w:r>
      <w:r w:rsidR="001368D9">
        <w:t>S</w:t>
      </w:r>
      <w:r w:rsidR="009D5AE4">
        <w:t xml:space="preserve">uper </w:t>
      </w:r>
      <w:r w:rsidR="001368D9">
        <w:t>G</w:t>
      </w:r>
      <w:r w:rsidR="009D5AE4">
        <w:t>uarantee</w:t>
      </w:r>
      <w:r w:rsidR="0075236E">
        <w:t xml:space="preserve"> </w:t>
      </w:r>
      <w:r w:rsidR="00FB0FCA">
        <w:t xml:space="preserve">(SG) </w:t>
      </w:r>
      <w:r>
        <w:t xml:space="preserve">and </w:t>
      </w:r>
      <w:r w:rsidR="00C960FE">
        <w:t xml:space="preserve">the </w:t>
      </w:r>
      <w:r w:rsidR="00A47EB3">
        <w:t>m</w:t>
      </w:r>
      <w:r w:rsidR="0075236E">
        <w:t xml:space="preserve">aximum </w:t>
      </w:r>
      <w:r w:rsidR="00042323">
        <w:t>s</w:t>
      </w:r>
      <w:r w:rsidR="0075236E">
        <w:t xml:space="preserve">uper </w:t>
      </w:r>
      <w:r w:rsidR="00042323">
        <w:t>c</w:t>
      </w:r>
      <w:r w:rsidR="0075236E">
        <w:t xml:space="preserve">ontribution </w:t>
      </w:r>
      <w:r w:rsidR="00042323">
        <w:t>b</w:t>
      </w:r>
      <w:r w:rsidR="0075236E">
        <w:t xml:space="preserve">ase </w:t>
      </w:r>
      <w:r w:rsidR="00FB0FCA">
        <w:t xml:space="preserve">(MSCB) </w:t>
      </w:r>
      <w:r>
        <w:t>apply to executives who are members of an accumulation scheme.</w:t>
      </w:r>
    </w:p>
    <w:p w14:paraId="2788A060" w14:textId="0F4429E2" w:rsidR="004616F9" w:rsidRDefault="004616F9" w:rsidP="00DC0D9C">
      <w:pPr>
        <w:pStyle w:val="05Paragraph"/>
        <w:jc w:val="both"/>
      </w:pPr>
      <w:r>
        <w:t>The SG is the minimum amount of employer superannuation contributions to which an employee is entitled, expressed as a percentage of the employee’s ‘ordinary time earnings’. The MSCB serves to limit the ‘ordinary time earnings’ that are used to calculate an employee's</w:t>
      </w:r>
      <w:r w:rsidR="00AC428C">
        <w:t xml:space="preserve"> superannuation entitlements</w:t>
      </w:r>
      <w:r w:rsidR="00F80357">
        <w:t>. E</w:t>
      </w:r>
      <w:r w:rsidR="00AC428C">
        <w:t xml:space="preserve">arnings over the MSCB are not counted for the purpose of calculating </w:t>
      </w:r>
      <w:r w:rsidR="009055E3">
        <w:t>SG contributions</w:t>
      </w:r>
      <w:r w:rsidR="00AC428C">
        <w:t>.</w:t>
      </w:r>
      <w:r w:rsidR="00AC428C">
        <w:rPr>
          <w:rStyle w:val="FootnoteReference"/>
        </w:rPr>
        <w:footnoteReference w:id="14"/>
      </w:r>
    </w:p>
    <w:p w14:paraId="64D84158" w14:textId="40C6460A" w:rsidR="00CB1AFB" w:rsidRDefault="00CB1AFB" w:rsidP="00DC0D9C">
      <w:pPr>
        <w:pStyle w:val="05Paragraph"/>
        <w:jc w:val="both"/>
      </w:pPr>
      <w:r>
        <w:lastRenderedPageBreak/>
        <w:t>The superannuation entitlements of executives in an accumulation scheme may change year</w:t>
      </w:r>
      <w:r w:rsidR="007B21D1">
        <w:t xml:space="preserve">ly </w:t>
      </w:r>
      <w:r>
        <w:t>due to the indexation of the MSCB and changes to the SG rate.</w:t>
      </w:r>
    </w:p>
    <w:p w14:paraId="36AE3231" w14:textId="5DFB2CDF" w:rsidR="00CB1AFB" w:rsidRDefault="00CB1AFB" w:rsidP="00DC0D9C">
      <w:pPr>
        <w:pStyle w:val="05Paragraph"/>
        <w:jc w:val="both"/>
      </w:pPr>
      <w:r>
        <w:t xml:space="preserve">On </w:t>
      </w:r>
      <w:r w:rsidR="0061304C">
        <w:t>1 July</w:t>
      </w:r>
      <w:r>
        <w:t xml:space="preserve"> 2025, the following changes </w:t>
      </w:r>
      <w:r w:rsidR="00BB13DC">
        <w:t>occurred</w:t>
      </w:r>
      <w:r>
        <w:t>:</w:t>
      </w:r>
    </w:p>
    <w:p w14:paraId="0B6BBEC1" w14:textId="76DD5ECD" w:rsidR="00CB1AFB" w:rsidRDefault="00CB1AFB" w:rsidP="00DC0D9C">
      <w:pPr>
        <w:pStyle w:val="06VIRTBulletpoints"/>
      </w:pPr>
      <w:r>
        <w:t>the SG rate increase</w:t>
      </w:r>
      <w:r w:rsidR="00FF159E">
        <w:t>d</w:t>
      </w:r>
      <w:r>
        <w:t xml:space="preserve"> from </w:t>
      </w:r>
      <w:r w:rsidRPr="0061304C">
        <w:t>11.5 per cent to 12 per cent</w:t>
      </w:r>
      <w:r>
        <w:rPr>
          <w:rStyle w:val="FootnoteReference"/>
        </w:rPr>
        <w:footnoteReference w:id="15"/>
      </w:r>
    </w:p>
    <w:p w14:paraId="1A55ACFE" w14:textId="76E324EE" w:rsidR="00CB1AFB" w:rsidRDefault="00CB1AFB" w:rsidP="00DC0D9C">
      <w:pPr>
        <w:pStyle w:val="06VIRTBulletpoints"/>
      </w:pPr>
      <w:r>
        <w:t xml:space="preserve">the MSCB </w:t>
      </w:r>
      <w:r w:rsidR="00CB141C">
        <w:t>de</w:t>
      </w:r>
      <w:r>
        <w:t>crease</w:t>
      </w:r>
      <w:r w:rsidR="00FF159E">
        <w:t>d</w:t>
      </w:r>
      <w:r>
        <w:t xml:space="preserve"> </w:t>
      </w:r>
      <w:r w:rsidRPr="00CB141C">
        <w:t>f</w:t>
      </w:r>
      <w:r w:rsidR="0061304C" w:rsidRPr="00CB141C">
        <w:t>rom</w:t>
      </w:r>
      <w:r w:rsidRPr="00CB141C">
        <w:t xml:space="preserve"> $</w:t>
      </w:r>
      <w:r w:rsidR="00D40988" w:rsidRPr="00CB141C">
        <w:t>6</w:t>
      </w:r>
      <w:r w:rsidR="00706B15" w:rsidRPr="00CB141C">
        <w:t>5,070</w:t>
      </w:r>
      <w:r w:rsidRPr="00CB141C">
        <w:t xml:space="preserve"> per quarter ($</w:t>
      </w:r>
      <w:r w:rsidR="00B132E6" w:rsidRPr="00CB141C">
        <w:t>2</w:t>
      </w:r>
      <w:r w:rsidR="00706B15" w:rsidRPr="00CB141C">
        <w:t>60,280</w:t>
      </w:r>
      <w:r w:rsidRPr="00CB141C">
        <w:t xml:space="preserve"> per annum) to $</w:t>
      </w:r>
      <w:r w:rsidR="00706B15" w:rsidRPr="00CB141C">
        <w:t>62,500</w:t>
      </w:r>
      <w:r w:rsidRPr="00CB141C">
        <w:t xml:space="preserve"> per quarter ($</w:t>
      </w:r>
      <w:r w:rsidR="00CB141C" w:rsidRPr="00CB141C">
        <w:t>250,000</w:t>
      </w:r>
      <w:r w:rsidRPr="00CB141C">
        <w:t xml:space="preserve"> per annum).</w:t>
      </w:r>
      <w:r w:rsidRPr="00CB141C">
        <w:rPr>
          <w:rStyle w:val="FootnoteReference"/>
        </w:rPr>
        <w:footnoteReference w:id="16"/>
      </w:r>
    </w:p>
    <w:p w14:paraId="0FE84D8E" w14:textId="6187961D" w:rsidR="00CB1AFB" w:rsidRDefault="00CB1AFB" w:rsidP="00DC0D9C">
      <w:pPr>
        <w:pStyle w:val="05Paragraph"/>
        <w:jc w:val="both"/>
      </w:pPr>
      <w:r>
        <w:t xml:space="preserve">The </w:t>
      </w:r>
      <w:r w:rsidR="00CF2D72">
        <w:t xml:space="preserve">VPS </w:t>
      </w:r>
      <w:r>
        <w:t>Handbook states that public service employers must bear the cost of increases in superannuation entitlements</w:t>
      </w:r>
      <w:r w:rsidR="00CF44E1">
        <w:t xml:space="preserve"> arising from changes to the </w:t>
      </w:r>
      <w:r w:rsidR="006A06EF">
        <w:t>MSCB and SG rate</w:t>
      </w:r>
      <w:r>
        <w:t>. In particular, employers must not offset the cost of an increase to an individual executive’s superannuation entitlement by passing on less of the annual adjustment or the guideline rate than they otherwise would have.</w:t>
      </w:r>
      <w:r>
        <w:rPr>
          <w:rStyle w:val="FootnoteReference"/>
        </w:rPr>
        <w:footnoteReference w:id="17"/>
      </w:r>
      <w:r>
        <w:t xml:space="preserve"> In the remainder of this Statement of Reasons, this requirement is referred to as the ‘Superannuation Policy’. </w:t>
      </w:r>
    </w:p>
    <w:p w14:paraId="2FC470D5" w14:textId="1429392A" w:rsidR="00CB1AFB" w:rsidRDefault="00CB1AFB" w:rsidP="00DC0D9C">
      <w:pPr>
        <w:pStyle w:val="05Paragraph"/>
        <w:jc w:val="both"/>
      </w:pPr>
      <w:r>
        <w:t>The Department of Premier and Cabinet has issued guidance to VPS employers on applying the Superannuation Policy when adjusting an executive’s TRP</w:t>
      </w:r>
      <w:r w:rsidR="00477CCD">
        <w:t>.</w:t>
      </w:r>
      <w:r>
        <w:rPr>
          <w:rStyle w:val="FootnoteReference"/>
        </w:rPr>
        <w:footnoteReference w:id="18"/>
      </w:r>
    </w:p>
    <w:p w14:paraId="62DEFF5F" w14:textId="3D4BEDFF" w:rsidR="006806D4" w:rsidRDefault="006806D4" w:rsidP="00DC0D9C">
      <w:pPr>
        <w:pStyle w:val="02VIRTHeading2"/>
        <w:jc w:val="both"/>
      </w:pPr>
      <w:bookmarkStart w:id="23" w:name="_Toc209438887"/>
      <w:r>
        <w:t>2.3</w:t>
      </w:r>
      <w:r>
        <w:tab/>
        <w:t xml:space="preserve">Financial position and fiscal strategy of the State of Victoria </w:t>
      </w:r>
      <w:r>
        <w:softHyphen/>
      </w:r>
      <w:r>
        <w:softHyphen/>
      </w:r>
      <w:r>
        <w:softHyphen/>
      </w:r>
      <w:bookmarkEnd w:id="23"/>
    </w:p>
    <w:p w14:paraId="60EC434E" w14:textId="58E02EDA" w:rsidR="006806D4" w:rsidRDefault="006806D4" w:rsidP="00DC0D9C">
      <w:pPr>
        <w:pStyle w:val="05Paragraph"/>
        <w:jc w:val="both"/>
      </w:pPr>
      <w:bookmarkStart w:id="24" w:name="_Hlk201675800"/>
      <w:r>
        <w:t xml:space="preserve">In the </w:t>
      </w:r>
      <w:r w:rsidR="00E15A9E" w:rsidRPr="00E15A9E">
        <w:rPr>
          <w:szCs w:val="22"/>
        </w:rPr>
        <w:t>Victorian Budget 2025–26</w:t>
      </w:r>
      <w:r w:rsidR="00E15A9E">
        <w:rPr>
          <w:i/>
          <w:iCs/>
          <w:szCs w:val="22"/>
        </w:rPr>
        <w:t xml:space="preserve"> </w:t>
      </w:r>
      <w:r w:rsidR="00E15A9E" w:rsidRPr="00E15A9E">
        <w:rPr>
          <w:szCs w:val="22"/>
        </w:rPr>
        <w:t>(</w:t>
      </w:r>
      <w:r w:rsidR="00050B66">
        <w:t>2025</w:t>
      </w:r>
      <w:r w:rsidR="00C16CB3">
        <w:t>–2</w:t>
      </w:r>
      <w:r w:rsidR="00050B66">
        <w:t>6</w:t>
      </w:r>
      <w:r w:rsidR="00C16CB3">
        <w:t xml:space="preserve"> </w:t>
      </w:r>
      <w:r w:rsidR="00050B66">
        <w:t>Budget</w:t>
      </w:r>
      <w:r w:rsidR="00E15A9E">
        <w:t>)</w:t>
      </w:r>
      <w:r>
        <w:t>, the Victorian Government provided an update on its five</w:t>
      </w:r>
      <w:r w:rsidR="00C16CB3">
        <w:t>-</w:t>
      </w:r>
      <w:r>
        <w:t xml:space="preserve">step fiscal strategy to restore </w:t>
      </w:r>
      <w:r w:rsidR="00464582">
        <w:t xml:space="preserve">Victoria’s </w:t>
      </w:r>
      <w:r>
        <w:t xml:space="preserve">finances following the COVID-19 </w:t>
      </w:r>
      <w:r w:rsidRPr="00E11F98">
        <w:t>pandemic:</w:t>
      </w:r>
      <w:r w:rsidRPr="00E11F98">
        <w:rPr>
          <w:rStyle w:val="FootnoteReference"/>
        </w:rPr>
        <w:footnoteReference w:id="19"/>
      </w:r>
    </w:p>
    <w:p w14:paraId="6C64BCE0" w14:textId="73BF7DDF" w:rsidR="004756E4" w:rsidRDefault="004756E4" w:rsidP="00DC0D9C">
      <w:pPr>
        <w:pStyle w:val="06VIRTBulletpoints"/>
      </w:pPr>
      <w:r>
        <w:t>Step 1: creating jobs, reducing unemployment and restoring economic growth</w:t>
      </w:r>
    </w:p>
    <w:p w14:paraId="61EC19EF" w14:textId="0CCCE2AD" w:rsidR="004756E4" w:rsidRDefault="004756E4" w:rsidP="00DC0D9C">
      <w:pPr>
        <w:pStyle w:val="06VIRTBulletpoints"/>
      </w:pPr>
      <w:r>
        <w:t>Step 2: returning to an operating cash surplus</w:t>
      </w:r>
    </w:p>
    <w:p w14:paraId="23593FA7" w14:textId="7F481570" w:rsidR="004756E4" w:rsidRDefault="004756E4" w:rsidP="00DC0D9C">
      <w:pPr>
        <w:pStyle w:val="06VIRTBulletpoints"/>
      </w:pPr>
      <w:r>
        <w:t>Step 3: returning to operating surpluses</w:t>
      </w:r>
    </w:p>
    <w:p w14:paraId="33D8556B" w14:textId="4C153664" w:rsidR="004756E4" w:rsidRDefault="004756E4" w:rsidP="00DC0D9C">
      <w:pPr>
        <w:pStyle w:val="06VIRTBulletpoints"/>
      </w:pPr>
      <w:r>
        <w:t xml:space="preserve">Step 4: stabilising net debt levels as a proportion of </w:t>
      </w:r>
      <w:r w:rsidR="00464582">
        <w:t>GSP</w:t>
      </w:r>
    </w:p>
    <w:p w14:paraId="56219C21" w14:textId="4E281C38" w:rsidR="004756E4" w:rsidRDefault="004756E4" w:rsidP="00DC0D9C">
      <w:pPr>
        <w:pStyle w:val="06VIRTBulletpoints"/>
      </w:pPr>
      <w:r>
        <w:t>Step 5: reducing net debt as a proportion of GSP.</w:t>
      </w:r>
    </w:p>
    <w:p w14:paraId="7A8A97D1" w14:textId="45A8A40C" w:rsidR="004756E4" w:rsidRDefault="00874FB4" w:rsidP="00DC0D9C">
      <w:pPr>
        <w:pStyle w:val="05Paragraph"/>
        <w:jc w:val="both"/>
      </w:pPr>
      <w:r>
        <w:t xml:space="preserve">The Government achieved Step 2 of its fiscal strategy by </w:t>
      </w:r>
      <w:r w:rsidR="00B41F81">
        <w:t>reporting</w:t>
      </w:r>
      <w:r>
        <w:t xml:space="preserve"> </w:t>
      </w:r>
      <w:r w:rsidR="007B34B4">
        <w:t>an</w:t>
      </w:r>
      <w:r>
        <w:t xml:space="preserve"> operating cash surplus </w:t>
      </w:r>
      <w:r w:rsidR="007B34B4">
        <w:t xml:space="preserve">each year </w:t>
      </w:r>
      <w:r w:rsidR="00173314">
        <w:t xml:space="preserve">since </w:t>
      </w:r>
      <w:r w:rsidR="00ED747D">
        <w:t>2022</w:t>
      </w:r>
      <w:r w:rsidR="00C16CB3">
        <w:t>–</w:t>
      </w:r>
      <w:r w:rsidR="00ED747D">
        <w:t>23</w:t>
      </w:r>
      <w:r w:rsidR="003B48A3">
        <w:t>,</w:t>
      </w:r>
      <w:r w:rsidR="00ED747D">
        <w:t xml:space="preserve"> and</w:t>
      </w:r>
      <w:r>
        <w:t xml:space="preserve"> is forecasting surpluses across the forward estimates.</w:t>
      </w:r>
      <w:r w:rsidR="00655579">
        <w:rPr>
          <w:rStyle w:val="FootnoteReference"/>
        </w:rPr>
        <w:footnoteReference w:id="20"/>
      </w:r>
    </w:p>
    <w:p w14:paraId="734D35F9" w14:textId="3C1D52DE" w:rsidR="00874FB4" w:rsidRDefault="00874FB4" w:rsidP="00DC0D9C">
      <w:pPr>
        <w:pStyle w:val="05Paragraph"/>
        <w:jc w:val="both"/>
      </w:pPr>
      <w:r>
        <w:lastRenderedPageBreak/>
        <w:t>The net result from transactions for the general government sector is forecast to be in surplus by $0.6 billion in 2025</w:t>
      </w:r>
      <w:r w:rsidR="00E160C2">
        <w:t>–</w:t>
      </w:r>
      <w:r>
        <w:t>26 (Step 3). This is smaller than previously expected</w:t>
      </w:r>
      <w:r w:rsidR="00B777CF">
        <w:t>,</w:t>
      </w:r>
      <w:r>
        <w:t xml:space="preserve"> </w:t>
      </w:r>
      <w:r w:rsidR="00380F16">
        <w:t>reflecting</w:t>
      </w:r>
      <w:r>
        <w:t xml:space="preserve"> additional expenditure on health services and cost</w:t>
      </w:r>
      <w:r w:rsidR="00380F16">
        <w:noBreakHyphen/>
      </w:r>
      <w:r>
        <w:t>of</w:t>
      </w:r>
      <w:r w:rsidR="00380F16">
        <w:noBreakHyphen/>
      </w:r>
      <w:r>
        <w:t>living measures.</w:t>
      </w:r>
      <w:r w:rsidR="002C49FE">
        <w:t xml:space="preserve"> </w:t>
      </w:r>
      <w:r w:rsidR="0027310B">
        <w:t>Further</w:t>
      </w:r>
      <w:r w:rsidR="002C49FE">
        <w:t xml:space="preserve"> surpluses are expected across </w:t>
      </w:r>
      <w:r w:rsidR="00397288">
        <w:t xml:space="preserve">each year of </w:t>
      </w:r>
      <w:r w:rsidR="002C49FE">
        <w:t>the forward estimates.</w:t>
      </w:r>
      <w:r w:rsidR="00D4592B">
        <w:rPr>
          <w:rStyle w:val="FootnoteReference"/>
        </w:rPr>
        <w:footnoteReference w:id="21"/>
      </w:r>
    </w:p>
    <w:p w14:paraId="677CD28B" w14:textId="0EA3C325" w:rsidR="002C49FE" w:rsidRDefault="002C49FE" w:rsidP="00DC0D9C">
      <w:pPr>
        <w:pStyle w:val="05Paragraph"/>
        <w:jc w:val="both"/>
      </w:pPr>
      <w:r>
        <w:t xml:space="preserve">Net debt </w:t>
      </w:r>
      <w:r w:rsidR="004428AF">
        <w:t>i</w:t>
      </w:r>
      <w:r>
        <w:t xml:space="preserve">s forecast to increase to $194 billion by June 2029, but is expected to stabilise and then decline as a proportion of GSP by the end of the forward estimates, consistent with Steps 4 and 5 of the </w:t>
      </w:r>
      <w:r w:rsidR="0042007B">
        <w:t>f</w:t>
      </w:r>
      <w:r>
        <w:t>iscal strategy. Net debt as a proportion of GSP is forecast to reach 25.2 per cent by June 2027, before declining to 24.9 per cent by June 2029.</w:t>
      </w:r>
      <w:r>
        <w:rPr>
          <w:rStyle w:val="FootnoteReference"/>
        </w:rPr>
        <w:footnoteReference w:id="22"/>
      </w:r>
    </w:p>
    <w:p w14:paraId="398F8FED" w14:textId="2342B0B5" w:rsidR="00874FB4" w:rsidRDefault="0027310B" w:rsidP="00DC0D9C">
      <w:pPr>
        <w:pStyle w:val="03VIRTHeading3"/>
        <w:jc w:val="both"/>
      </w:pPr>
      <w:r>
        <w:t xml:space="preserve">Independent Review of the Victorian Public Service </w:t>
      </w:r>
    </w:p>
    <w:p w14:paraId="1E1A1560" w14:textId="2BE19B38" w:rsidR="0027310B" w:rsidRDefault="00071296" w:rsidP="00DC0D9C">
      <w:pPr>
        <w:pStyle w:val="05Paragraph"/>
        <w:jc w:val="both"/>
      </w:pPr>
      <w:r>
        <w:t>In February 2025, the Victorian Government commissioned Helen Silver AO to lead an independent review</w:t>
      </w:r>
      <w:r w:rsidR="00FE40A5">
        <w:t xml:space="preserve"> of the VPS. </w:t>
      </w:r>
      <w:r w:rsidR="003469E6">
        <w:t>The focus of the Silver Review includes identifying inefficiencies and lower priority programs, and ways to return the public service towards its pre-pandemic share of employment.</w:t>
      </w:r>
      <w:r w:rsidR="003469E6" w:rsidRPr="00992B88">
        <w:t xml:space="preserve"> </w:t>
      </w:r>
      <w:r w:rsidR="003469E6">
        <w:t>The final report and recommendations were due to be provided to the Government by the end of June 2025</w:t>
      </w:r>
      <w:r w:rsidR="00417B04">
        <w:t>.</w:t>
      </w:r>
      <w:r w:rsidR="006C5AE4">
        <w:rPr>
          <w:rStyle w:val="FootnoteReference"/>
        </w:rPr>
        <w:footnoteReference w:id="23"/>
      </w:r>
      <w:r w:rsidR="00D7639B">
        <w:t xml:space="preserve"> </w:t>
      </w:r>
      <w:r w:rsidR="00D7639B" w:rsidRPr="005507DE">
        <w:t xml:space="preserve">The </w:t>
      </w:r>
      <w:r w:rsidR="00A442EE" w:rsidRPr="005507DE">
        <w:t xml:space="preserve">final </w:t>
      </w:r>
      <w:r w:rsidR="00D7639B" w:rsidRPr="005507DE">
        <w:t xml:space="preserve">report </w:t>
      </w:r>
      <w:r w:rsidR="00DC6A80" w:rsidRPr="005507DE">
        <w:t>and the Government</w:t>
      </w:r>
      <w:r w:rsidR="00271075" w:rsidRPr="005507DE">
        <w:t>’s</w:t>
      </w:r>
      <w:r w:rsidR="00DC6A80" w:rsidRPr="005507DE">
        <w:t xml:space="preserve"> response </w:t>
      </w:r>
      <w:r w:rsidR="00D7639B" w:rsidRPr="005507DE">
        <w:t>ha</w:t>
      </w:r>
      <w:r w:rsidR="009629CA" w:rsidRPr="005507DE">
        <w:t>d</w:t>
      </w:r>
      <w:r w:rsidR="00D7639B" w:rsidRPr="005507DE">
        <w:t xml:space="preserve"> not been published at the time of </w:t>
      </w:r>
      <w:r w:rsidR="0014537B" w:rsidRPr="005507DE">
        <w:t xml:space="preserve">making </w:t>
      </w:r>
      <w:r w:rsidR="00D7639B" w:rsidRPr="005507DE">
        <w:t xml:space="preserve">this </w:t>
      </w:r>
      <w:r w:rsidR="00DE39A9" w:rsidRPr="005507DE">
        <w:t>D</w:t>
      </w:r>
      <w:r w:rsidR="00D7639B" w:rsidRPr="005507DE">
        <w:t>etermination.</w:t>
      </w:r>
    </w:p>
    <w:p w14:paraId="7CDD2FF7" w14:textId="0CEFE13B" w:rsidR="00D978A4" w:rsidRDefault="00EB4E0C" w:rsidP="00DC0D9C">
      <w:pPr>
        <w:pStyle w:val="05Paragraph"/>
        <w:jc w:val="both"/>
      </w:pPr>
      <w:r>
        <w:t>In the interim, t</w:t>
      </w:r>
      <w:r w:rsidR="000F1515">
        <w:t xml:space="preserve">he Government </w:t>
      </w:r>
      <w:r w:rsidR="00851E22">
        <w:t>has</w:t>
      </w:r>
      <w:r w:rsidR="000F1515">
        <w:t xml:space="preserve"> incorporated actions consistent with the Silver Review’s objectives </w:t>
      </w:r>
      <w:r w:rsidR="007A340E">
        <w:t>in</w:t>
      </w:r>
      <w:r w:rsidR="00851E22">
        <w:t>to</w:t>
      </w:r>
      <w:r w:rsidR="007A340E">
        <w:t xml:space="preserve"> the 2025–26 Budget. This </w:t>
      </w:r>
      <w:r w:rsidR="00D978A4">
        <w:t>include</w:t>
      </w:r>
      <w:r>
        <w:t>d</w:t>
      </w:r>
      <w:r w:rsidR="00D978A4">
        <w:t>:</w:t>
      </w:r>
      <w:r w:rsidR="00DB25ED">
        <w:rPr>
          <w:rStyle w:val="FootnoteReference"/>
        </w:rPr>
        <w:footnoteReference w:id="24"/>
      </w:r>
    </w:p>
    <w:p w14:paraId="4D7B5AB1" w14:textId="3485A994" w:rsidR="00D978A4" w:rsidRDefault="00D20CE0" w:rsidP="00DC0D9C">
      <w:pPr>
        <w:pStyle w:val="06VIRTBulletpoints"/>
      </w:pPr>
      <w:r>
        <w:t>corporate savings from non-frontline functions across government</w:t>
      </w:r>
    </w:p>
    <w:p w14:paraId="275FB8DE" w14:textId="3955EF4F" w:rsidR="00D20CE0" w:rsidRDefault="00D20CE0" w:rsidP="00DC0D9C">
      <w:pPr>
        <w:pStyle w:val="06VIRTBulletpoints"/>
      </w:pPr>
      <w:r>
        <w:t>consolidation of duplicative or similar functions across departments and agencies, making community</w:t>
      </w:r>
      <w:r w:rsidR="009A0AE4">
        <w:t>/</w:t>
      </w:r>
      <w:r>
        <w:t>industry engage</w:t>
      </w:r>
      <w:r w:rsidR="00A628A4">
        <w:t>ment</w:t>
      </w:r>
      <w:r>
        <w:t xml:space="preserve"> with government</w:t>
      </w:r>
      <w:r w:rsidR="00A628A4">
        <w:t xml:space="preserve"> easier</w:t>
      </w:r>
    </w:p>
    <w:p w14:paraId="47E9BEFA" w14:textId="27548462" w:rsidR="00D20CE0" w:rsidRDefault="00D20CE0" w:rsidP="00DC0D9C">
      <w:pPr>
        <w:pStyle w:val="06VIRTBulletpoints"/>
      </w:pPr>
      <w:r>
        <w:t>ceasing or scaling back activities and functions where their original ai</w:t>
      </w:r>
      <w:r w:rsidR="00147510">
        <w:t>m</w:t>
      </w:r>
      <w:r>
        <w:t>s have been achieved.</w:t>
      </w:r>
    </w:p>
    <w:p w14:paraId="38AE88FA" w14:textId="24F61A6B" w:rsidR="006806D4" w:rsidRPr="006806D4" w:rsidRDefault="006806D4" w:rsidP="00DC0D9C">
      <w:pPr>
        <w:pStyle w:val="02VIRTHeading2"/>
        <w:jc w:val="both"/>
      </w:pPr>
      <w:bookmarkStart w:id="25" w:name="_Toc209438888"/>
      <w:bookmarkEnd w:id="24"/>
      <w:r>
        <w:t>2.4</w:t>
      </w:r>
      <w:r>
        <w:tab/>
      </w:r>
      <w:r w:rsidRPr="006806D4">
        <w:t>Current and projected economic conditions and trends</w:t>
      </w:r>
      <w:bookmarkEnd w:id="25"/>
      <w:r w:rsidRPr="006806D4">
        <w:t xml:space="preserve"> </w:t>
      </w:r>
    </w:p>
    <w:p w14:paraId="450544D7" w14:textId="77777777" w:rsidR="006806D4" w:rsidRDefault="006806D4" w:rsidP="00DC0D9C">
      <w:pPr>
        <w:pStyle w:val="05Paragraph"/>
        <w:jc w:val="both"/>
      </w:pPr>
      <w:bookmarkStart w:id="26" w:name="_Hlk201675828"/>
      <w:r>
        <w:t>The Tribunal’s consideration of current and projected economic conditions has been informed by a range of sources, including:</w:t>
      </w:r>
    </w:p>
    <w:p w14:paraId="7F7ABEB4" w14:textId="3A0EB3C0" w:rsidR="006806D4" w:rsidRDefault="006806D4" w:rsidP="00DC0D9C">
      <w:pPr>
        <w:pStyle w:val="06VIRTBulletpoints"/>
      </w:pPr>
      <w:r>
        <w:lastRenderedPageBreak/>
        <w:t>the latest data on key economic indicators published by the Australian Bureau of Statistics</w:t>
      </w:r>
      <w:r w:rsidR="00515F04">
        <w:t xml:space="preserve"> (ABS)</w:t>
      </w:r>
    </w:p>
    <w:p w14:paraId="34E6799C" w14:textId="2827F147" w:rsidR="006806D4" w:rsidRDefault="006806D4" w:rsidP="00DC0D9C">
      <w:pPr>
        <w:pStyle w:val="06VIRTBulletpoints"/>
      </w:pPr>
      <w:r>
        <w:t xml:space="preserve">statements by the Reserve Bank of Australia </w:t>
      </w:r>
      <w:r w:rsidR="00862520">
        <w:t>(RBA)</w:t>
      </w:r>
    </w:p>
    <w:p w14:paraId="52B29496" w14:textId="77777777" w:rsidR="006806D4" w:rsidRDefault="006806D4" w:rsidP="00DC0D9C">
      <w:pPr>
        <w:pStyle w:val="06VIRTBulletpoints"/>
      </w:pPr>
      <w:r>
        <w:t>the latest Commonwealth and Victorian budgets.</w:t>
      </w:r>
    </w:p>
    <w:p w14:paraId="757DD822" w14:textId="70D5130C" w:rsidR="006806D4" w:rsidRDefault="00E6225E" w:rsidP="00DC0D9C">
      <w:pPr>
        <w:pStyle w:val="03VIRTHeading3"/>
        <w:jc w:val="both"/>
      </w:pPr>
      <w:r>
        <w:t xml:space="preserve">Economic growth remains subdued but </w:t>
      </w:r>
      <w:r w:rsidR="00DD14A3">
        <w:t xml:space="preserve">there are early signs </w:t>
      </w:r>
      <w:r>
        <w:t>of recovery</w:t>
      </w:r>
    </w:p>
    <w:p w14:paraId="6AB79820" w14:textId="1CF873D7" w:rsidR="00272C67" w:rsidRDefault="00E6225E" w:rsidP="00DC0D9C">
      <w:pPr>
        <w:pStyle w:val="05Paragraph"/>
        <w:jc w:val="both"/>
      </w:pPr>
      <w:r>
        <w:t>Economic growth has slowed in Victoria and Australi</w:t>
      </w:r>
      <w:r w:rsidR="004F18D3">
        <w:t>a</w:t>
      </w:r>
      <w:r w:rsidR="00B06E0E">
        <w:t xml:space="preserve"> and remains below the long</w:t>
      </w:r>
      <w:r w:rsidR="009F55A0">
        <w:noBreakHyphen/>
      </w:r>
      <w:r w:rsidR="00B06E0E">
        <w:t>term average growth rate</w:t>
      </w:r>
      <w:r>
        <w:t>.</w:t>
      </w:r>
      <w:r w:rsidR="00154C0B">
        <w:t xml:space="preserve"> </w:t>
      </w:r>
    </w:p>
    <w:p w14:paraId="1F9855B2" w14:textId="49EC48FE" w:rsidR="00E6225E" w:rsidRDefault="00154C0B" w:rsidP="00DC0D9C">
      <w:pPr>
        <w:pStyle w:val="05Paragraph"/>
        <w:jc w:val="both"/>
      </w:pPr>
      <w:r>
        <w:t xml:space="preserve">In the year to the </w:t>
      </w:r>
      <w:r w:rsidR="00F3139E">
        <w:t>June quarter 2025, growth in Australia’s real Gross Domestic Product</w:t>
      </w:r>
      <w:r w:rsidR="00946655">
        <w:t xml:space="preserve"> (GDP)</w:t>
      </w:r>
      <w:r w:rsidR="00F3139E">
        <w:t xml:space="preserve"> </w:t>
      </w:r>
      <w:r w:rsidR="00F3139E" w:rsidRPr="00402AEB">
        <w:t xml:space="preserve">was </w:t>
      </w:r>
      <w:r w:rsidR="00382CAE" w:rsidRPr="00402AEB">
        <w:t>1.8</w:t>
      </w:r>
      <w:r w:rsidR="00F3139E" w:rsidRPr="00402AEB">
        <w:t xml:space="preserve"> per cent.</w:t>
      </w:r>
      <w:r w:rsidR="00F3139E" w:rsidRPr="00402AEB">
        <w:rPr>
          <w:rStyle w:val="FootnoteReference"/>
        </w:rPr>
        <w:footnoteReference w:id="25"/>
      </w:r>
      <w:r w:rsidR="00E263B6">
        <w:t xml:space="preserve"> </w:t>
      </w:r>
      <w:r w:rsidR="007C66BE">
        <w:t>T</w:t>
      </w:r>
      <w:r w:rsidR="00272C67">
        <w:t xml:space="preserve">he RBA forecasts that economic activity in Australia will </w:t>
      </w:r>
      <w:r w:rsidR="007C66BE">
        <w:t xml:space="preserve">gradually </w:t>
      </w:r>
      <w:r w:rsidR="00272C67">
        <w:t>pick up over 2025 as consumption recovers</w:t>
      </w:r>
      <w:r w:rsidR="00272C67" w:rsidRPr="00272C67">
        <w:t xml:space="preserve"> </w:t>
      </w:r>
      <w:r w:rsidR="00272C67">
        <w:t>and public demand continues to support growth.</w:t>
      </w:r>
      <w:r w:rsidR="00272C67">
        <w:rPr>
          <w:rStyle w:val="FootnoteReference"/>
        </w:rPr>
        <w:footnoteReference w:id="26"/>
      </w:r>
    </w:p>
    <w:p w14:paraId="61B5ECBE" w14:textId="451BE63B" w:rsidR="00EE26D5" w:rsidRDefault="00EE26D5" w:rsidP="00DC0D9C">
      <w:pPr>
        <w:pStyle w:val="05Paragraph"/>
        <w:jc w:val="both"/>
      </w:pPr>
      <w:r>
        <w:t xml:space="preserve">In its latest </w:t>
      </w:r>
      <w:r w:rsidR="00446884">
        <w:t>S</w:t>
      </w:r>
      <w:r>
        <w:t xml:space="preserve">tatement on </w:t>
      </w:r>
      <w:r w:rsidR="00446884">
        <w:t>M</w:t>
      </w:r>
      <w:r>
        <w:t xml:space="preserve">onetary </w:t>
      </w:r>
      <w:r w:rsidR="00446884">
        <w:t>P</w:t>
      </w:r>
      <w:r>
        <w:t>olicy</w:t>
      </w:r>
      <w:r w:rsidR="00446884">
        <w:t xml:space="preserve"> (August 2025)</w:t>
      </w:r>
      <w:r>
        <w:t>, the RBA noted that</w:t>
      </w:r>
      <w:r w:rsidR="00192530">
        <w:t xml:space="preserve">, while </w:t>
      </w:r>
      <w:r w:rsidR="002C10A4">
        <w:t xml:space="preserve">international trade developments have not been as impactful as initially </w:t>
      </w:r>
      <w:r w:rsidR="008A38DC">
        <w:t>thought,</w:t>
      </w:r>
      <w:r>
        <w:t xml:space="preserve"> the economic outlook remains uncertain.</w:t>
      </w:r>
      <w:r>
        <w:rPr>
          <w:rStyle w:val="FootnoteReference"/>
        </w:rPr>
        <w:footnoteReference w:id="27"/>
      </w:r>
      <w:r w:rsidR="00327AAB">
        <w:t xml:space="preserve"> The RBA </w:t>
      </w:r>
      <w:r w:rsidR="00355DAB">
        <w:t>revised down its</w:t>
      </w:r>
      <w:r w:rsidR="00327AAB">
        <w:t xml:space="preserve"> forecast</w:t>
      </w:r>
      <w:r w:rsidR="00002FA5">
        <w:t>s</w:t>
      </w:r>
      <w:r w:rsidR="00327AAB">
        <w:t xml:space="preserve"> </w:t>
      </w:r>
      <w:r w:rsidR="00433CE2">
        <w:t>for GDP growth</w:t>
      </w:r>
      <w:r w:rsidR="00D273DF">
        <w:t xml:space="preserve"> </w:t>
      </w:r>
      <w:r w:rsidR="009771BA">
        <w:t>compared to</w:t>
      </w:r>
      <w:r w:rsidR="00707CBA">
        <w:t xml:space="preserve"> </w:t>
      </w:r>
      <w:r w:rsidR="00D13F40">
        <w:t>its</w:t>
      </w:r>
      <w:r w:rsidR="00707CBA">
        <w:t xml:space="preserve"> May 2025 </w:t>
      </w:r>
      <w:r w:rsidR="009771BA">
        <w:t>statement</w:t>
      </w:r>
      <w:r w:rsidR="00707CBA">
        <w:t>, with GDP now expected to increase</w:t>
      </w:r>
      <w:r w:rsidR="00433CE2">
        <w:t xml:space="preserve"> by 1.7 per cent</w:t>
      </w:r>
      <w:r w:rsidR="00327AAB">
        <w:t xml:space="preserve"> through the year to December 2025, and by 2.</w:t>
      </w:r>
      <w:r w:rsidR="00135DA8">
        <w:t>0</w:t>
      </w:r>
      <w:r w:rsidR="00327AAB">
        <w:t xml:space="preserve"> per cent through the year to June 2026.</w:t>
      </w:r>
      <w:r w:rsidR="00482F22">
        <w:rPr>
          <w:rStyle w:val="FootnoteReference"/>
        </w:rPr>
        <w:footnoteReference w:id="28"/>
      </w:r>
    </w:p>
    <w:p w14:paraId="1455F22F" w14:textId="646C9D80" w:rsidR="00482F22" w:rsidRDefault="00530FAD" w:rsidP="00DC0D9C">
      <w:pPr>
        <w:pStyle w:val="05Paragraph"/>
        <w:jc w:val="both"/>
      </w:pPr>
      <w:r>
        <w:t xml:space="preserve">The </w:t>
      </w:r>
      <w:r w:rsidR="00050B66" w:rsidRPr="00800268">
        <w:t>2</w:t>
      </w:r>
      <w:r>
        <w:t>025</w:t>
      </w:r>
      <w:r w:rsidR="00350EB9">
        <w:t>–</w:t>
      </w:r>
      <w:r>
        <w:t>26 Budget noted that a pickup in economic activity is underway in Victoria, despite cost-of-living pressures and elevated interest rates.</w:t>
      </w:r>
      <w:r>
        <w:rPr>
          <w:rStyle w:val="FootnoteReference"/>
        </w:rPr>
        <w:footnoteReference w:id="29"/>
      </w:r>
      <w:r w:rsidR="000D344D">
        <w:t xml:space="preserve"> </w:t>
      </w:r>
    </w:p>
    <w:p w14:paraId="507B7F1A" w14:textId="0DA03E63" w:rsidR="00777C5F" w:rsidRDefault="00E1166E" w:rsidP="00DC0D9C">
      <w:pPr>
        <w:pStyle w:val="05Paragraph"/>
        <w:jc w:val="both"/>
      </w:pPr>
      <w:r>
        <w:t>E</w:t>
      </w:r>
      <w:r w:rsidR="00777C5F">
        <w:t xml:space="preserve">conomic growth in Victoria </w:t>
      </w:r>
      <w:r>
        <w:t xml:space="preserve">is expected to </w:t>
      </w:r>
      <w:r w:rsidR="00777C5F">
        <w:t>strengthen in 2025</w:t>
      </w:r>
      <w:r w:rsidR="00EB6662">
        <w:t>–</w:t>
      </w:r>
      <w:r w:rsidR="00777C5F">
        <w:t>26, with</w:t>
      </w:r>
      <w:r w:rsidR="00B16331">
        <w:t xml:space="preserve"> </w:t>
      </w:r>
      <w:r w:rsidR="00777C5F">
        <w:t xml:space="preserve">real </w:t>
      </w:r>
      <w:r w:rsidR="00D73863">
        <w:t>GSP</w:t>
      </w:r>
      <w:r w:rsidR="00B16331">
        <w:t xml:space="preserve"> forecast to</w:t>
      </w:r>
      <w:r w:rsidR="00777C5F">
        <w:t xml:space="preserve"> grow </w:t>
      </w:r>
      <w:r w:rsidR="00B16331">
        <w:t>by</w:t>
      </w:r>
      <w:r w:rsidR="000407A2">
        <w:t xml:space="preserve"> </w:t>
      </w:r>
      <w:r w:rsidR="00777C5F">
        <w:t>2.5 per cen</w:t>
      </w:r>
      <w:r w:rsidR="00B16331">
        <w:t xml:space="preserve">t, up from </w:t>
      </w:r>
      <w:r w:rsidR="002D46D2">
        <w:t>a</w:t>
      </w:r>
      <w:r w:rsidR="001F72AD">
        <w:t>n</w:t>
      </w:r>
      <w:r w:rsidR="002D46D2">
        <w:t xml:space="preserve"> </w:t>
      </w:r>
      <w:r w:rsidR="001F72AD">
        <w:t>estimated</w:t>
      </w:r>
      <w:r w:rsidR="002D46D2">
        <w:t xml:space="preserve"> </w:t>
      </w:r>
      <w:r w:rsidR="00B16331">
        <w:t>2</w:t>
      </w:r>
      <w:r w:rsidR="00E7456C">
        <w:t>.0</w:t>
      </w:r>
      <w:r w:rsidR="00B16331">
        <w:t xml:space="preserve"> per cent in </w:t>
      </w:r>
      <w:r w:rsidR="00AD1B10">
        <w:t>20</w:t>
      </w:r>
      <w:r w:rsidR="00B16331">
        <w:t>24</w:t>
      </w:r>
      <w:r w:rsidR="00EB6662">
        <w:t>–</w:t>
      </w:r>
      <w:r w:rsidR="00B16331">
        <w:t>25.</w:t>
      </w:r>
      <w:r w:rsidR="003F21C4">
        <w:t xml:space="preserve"> Activity is expected to be driven by increased household consumption, reflecting higher real household disposable income, lower inflation and expected further easing in interest rates.</w:t>
      </w:r>
      <w:r w:rsidR="003F21C4">
        <w:rPr>
          <w:rStyle w:val="FootnoteReference"/>
        </w:rPr>
        <w:footnoteReference w:id="30"/>
      </w:r>
    </w:p>
    <w:p w14:paraId="019FCBAE" w14:textId="7E1AB670" w:rsidR="00D01163" w:rsidRDefault="009A2E3C" w:rsidP="00DC0D9C">
      <w:pPr>
        <w:pStyle w:val="03VIRTHeading3"/>
        <w:jc w:val="both"/>
      </w:pPr>
      <w:r>
        <w:lastRenderedPageBreak/>
        <w:t>In</w:t>
      </w:r>
      <w:r w:rsidR="00D01163">
        <w:t>flation has moderated and now sits inside the RBA’s target range</w:t>
      </w:r>
    </w:p>
    <w:p w14:paraId="25A65F94" w14:textId="01246321" w:rsidR="00D01163" w:rsidRDefault="001E4CD9" w:rsidP="00DC0D9C">
      <w:pPr>
        <w:pStyle w:val="05Paragraph"/>
        <w:jc w:val="both"/>
      </w:pPr>
      <w:r>
        <w:t xml:space="preserve">Inflation outcomes in Australia have moderated, with the CPI increasing by </w:t>
      </w:r>
      <w:r w:rsidR="00BC7FD5">
        <w:t xml:space="preserve">2.1 per cent over the year to </w:t>
      </w:r>
      <w:r w:rsidR="00522BAB">
        <w:t xml:space="preserve">the June quarter 2025 </w:t>
      </w:r>
      <w:r w:rsidR="00800268">
        <w:t xml:space="preserve">— </w:t>
      </w:r>
      <w:r w:rsidR="00522BAB">
        <w:t>within the RBA’s 2</w:t>
      </w:r>
      <w:r w:rsidR="00E7456C">
        <w:t>.0</w:t>
      </w:r>
      <w:r w:rsidR="000A1DA4">
        <w:t xml:space="preserve"> </w:t>
      </w:r>
      <w:r w:rsidR="00CE0B49">
        <w:t>and</w:t>
      </w:r>
      <w:r w:rsidR="00A25CA8">
        <w:t xml:space="preserve"> </w:t>
      </w:r>
      <w:r w:rsidR="00522BAB">
        <w:t>3</w:t>
      </w:r>
      <w:r w:rsidR="00E7456C">
        <w:t>.0</w:t>
      </w:r>
      <w:r w:rsidR="00522BAB">
        <w:t xml:space="preserve"> per cent target range. </w:t>
      </w:r>
      <w:r w:rsidR="00AE493E">
        <w:t xml:space="preserve">Trimmed mean inflation was 2.7 per cent for the year to the June quarter 2025, down </w:t>
      </w:r>
      <w:r w:rsidR="00B91502">
        <w:t>from 2.9 per cent in the year to the March quarter 2025.</w:t>
      </w:r>
      <w:r w:rsidR="00B91502">
        <w:rPr>
          <w:rStyle w:val="FootnoteReference"/>
        </w:rPr>
        <w:footnoteReference w:id="31"/>
      </w:r>
    </w:p>
    <w:p w14:paraId="5AF7BDDC" w14:textId="780DEAB5" w:rsidR="00B91502" w:rsidRDefault="00AF51F7" w:rsidP="00DC0D9C">
      <w:pPr>
        <w:pStyle w:val="05Paragraph"/>
        <w:jc w:val="both"/>
      </w:pPr>
      <w:r>
        <w:t xml:space="preserve">The RBA forecasts that </w:t>
      </w:r>
      <w:r w:rsidR="00EC3CE2">
        <w:t xml:space="preserve">underlying </w:t>
      </w:r>
      <w:r>
        <w:t xml:space="preserve">inflation will settle around the middle of the target range, although </w:t>
      </w:r>
      <w:r w:rsidR="009913BF">
        <w:t xml:space="preserve">CPI growth is expected </w:t>
      </w:r>
      <w:r w:rsidR="00967899">
        <w:t xml:space="preserve">to </w:t>
      </w:r>
      <w:r w:rsidR="003942FB">
        <w:t xml:space="preserve">temporarily </w:t>
      </w:r>
      <w:r w:rsidR="00967899">
        <w:t>increase</w:t>
      </w:r>
      <w:r w:rsidR="003942FB">
        <w:t xml:space="preserve"> </w:t>
      </w:r>
      <w:r w:rsidR="009913BF">
        <w:t>when cost</w:t>
      </w:r>
      <w:r w:rsidR="005A11E8">
        <w:noBreakHyphen/>
      </w:r>
      <w:r w:rsidR="009913BF">
        <w:t>of-living support measures end.</w:t>
      </w:r>
      <w:r w:rsidR="009913BF">
        <w:rPr>
          <w:rStyle w:val="FootnoteReference"/>
        </w:rPr>
        <w:footnoteReference w:id="32"/>
      </w:r>
    </w:p>
    <w:p w14:paraId="52980C2D" w14:textId="15FB6C9E" w:rsidR="002A0E93" w:rsidRDefault="002A0E93" w:rsidP="00DC0D9C">
      <w:pPr>
        <w:pStyle w:val="05Paragraph"/>
        <w:jc w:val="both"/>
      </w:pPr>
      <w:r>
        <w:t>Inflation has also moderated in Victoria, with the Melbourne CPI rising</w:t>
      </w:r>
      <w:r w:rsidR="007C0BCD">
        <w:t xml:space="preserve"> 2.0 per cent</w:t>
      </w:r>
      <w:r w:rsidR="0086292E">
        <w:t xml:space="preserve"> </w:t>
      </w:r>
      <w:r w:rsidR="007C0BCD">
        <w:t>over the year to the June quarter 2025.</w:t>
      </w:r>
      <w:r w:rsidR="0086292E">
        <w:rPr>
          <w:rStyle w:val="FootnoteReference"/>
        </w:rPr>
        <w:footnoteReference w:id="33"/>
      </w:r>
      <w:r w:rsidR="00361FC2">
        <w:t xml:space="preserve"> </w:t>
      </w:r>
    </w:p>
    <w:p w14:paraId="54B1B90F" w14:textId="50968EB2" w:rsidR="00361FC2" w:rsidRDefault="00361FC2" w:rsidP="00DC0D9C">
      <w:pPr>
        <w:pStyle w:val="05Paragraph"/>
        <w:jc w:val="both"/>
      </w:pPr>
      <w:r>
        <w:t>The 2025</w:t>
      </w:r>
      <w:r w:rsidR="00EB6662">
        <w:t>–</w:t>
      </w:r>
      <w:r>
        <w:t>26 Budget forecasts Melbourne CPI growth to average</w:t>
      </w:r>
      <w:r w:rsidR="002F1A5E">
        <w:t xml:space="preserve"> 2.75 per cent in both 2025</w:t>
      </w:r>
      <w:r w:rsidR="00EB6662">
        <w:t>–</w:t>
      </w:r>
      <w:r w:rsidR="002F1A5E">
        <w:t>26 and 2026</w:t>
      </w:r>
      <w:r w:rsidR="00EB6662">
        <w:t>–</w:t>
      </w:r>
      <w:r w:rsidR="002F1A5E">
        <w:t>27, before slowing to an average of 2.5 per cent from 2027</w:t>
      </w:r>
      <w:r w:rsidR="00EB6662">
        <w:t>–</w:t>
      </w:r>
      <w:r w:rsidR="002F1A5E">
        <w:t>28.</w:t>
      </w:r>
      <w:r w:rsidR="002F1A5E">
        <w:rPr>
          <w:rStyle w:val="FootnoteReference"/>
        </w:rPr>
        <w:footnoteReference w:id="34"/>
      </w:r>
    </w:p>
    <w:p w14:paraId="176BEF44" w14:textId="6A127B18" w:rsidR="00CD6E9E" w:rsidRDefault="007B3969" w:rsidP="00DC0D9C">
      <w:pPr>
        <w:pStyle w:val="03VIRTHeading3"/>
        <w:jc w:val="both"/>
      </w:pPr>
      <w:r>
        <w:t xml:space="preserve">The labour market </w:t>
      </w:r>
      <w:r w:rsidR="008C7E7C">
        <w:t>is appearing to stabilise</w:t>
      </w:r>
    </w:p>
    <w:p w14:paraId="771E59E5" w14:textId="74E4E46B" w:rsidR="00983FB6" w:rsidRDefault="00395F73" w:rsidP="00DC0D9C">
      <w:pPr>
        <w:pStyle w:val="05Paragraph"/>
        <w:jc w:val="both"/>
      </w:pPr>
      <w:r>
        <w:t>Conditions in t</w:t>
      </w:r>
      <w:r w:rsidR="00EF2E36">
        <w:t xml:space="preserve">he Australian labour market </w:t>
      </w:r>
      <w:r w:rsidR="008C7E7C">
        <w:t>are appearing to stabilise</w:t>
      </w:r>
      <w:r w:rsidR="009F6049">
        <w:t xml:space="preserve">. </w:t>
      </w:r>
      <w:r w:rsidR="006B6224">
        <w:t>The</w:t>
      </w:r>
      <w:r w:rsidR="009F6049">
        <w:t xml:space="preserve"> </w:t>
      </w:r>
      <w:r w:rsidR="006B6224">
        <w:t>s</w:t>
      </w:r>
      <w:r w:rsidR="00EF2E36">
        <w:t xml:space="preserve">easonally adjusted unemployment rate </w:t>
      </w:r>
      <w:r w:rsidR="005956E2">
        <w:t>f</w:t>
      </w:r>
      <w:r w:rsidR="009F6049">
        <w:t>ell</w:t>
      </w:r>
      <w:r w:rsidR="00B27A18">
        <w:t xml:space="preserve"> from 4.3</w:t>
      </w:r>
      <w:r w:rsidR="005956E2">
        <w:t xml:space="preserve"> to 4.2 per cent in July</w:t>
      </w:r>
      <w:r w:rsidR="006C1399">
        <w:t xml:space="preserve"> 2025</w:t>
      </w:r>
      <w:r w:rsidR="00E74704">
        <w:t>, while the participation rate remained at 67</w:t>
      </w:r>
      <w:r w:rsidR="00E7456C">
        <w:t>.0</w:t>
      </w:r>
      <w:r w:rsidR="00E74704">
        <w:t xml:space="preserve"> per cent</w:t>
      </w:r>
      <w:r w:rsidR="00245C37">
        <w:t>.</w:t>
      </w:r>
      <w:r w:rsidR="00C22C7C">
        <w:rPr>
          <w:rStyle w:val="FootnoteReference"/>
        </w:rPr>
        <w:footnoteReference w:id="35"/>
      </w:r>
      <w:r w:rsidR="00C22C7C">
        <w:t xml:space="preserve"> </w:t>
      </w:r>
      <w:r w:rsidR="00245C37">
        <w:t>T</w:t>
      </w:r>
      <w:r w:rsidR="00C22C7C">
        <w:t xml:space="preserve">he </w:t>
      </w:r>
      <w:r w:rsidR="004B4E49">
        <w:t>RBA</w:t>
      </w:r>
      <w:r w:rsidR="000C5A4D">
        <w:t xml:space="preserve"> does not expect further easing in the labour market in the near</w:t>
      </w:r>
      <w:r w:rsidR="00835EF3">
        <w:t>-</w:t>
      </w:r>
      <w:r w:rsidR="000C5A4D">
        <w:t>term, while noting considerable uncertainty around this assessment</w:t>
      </w:r>
      <w:r w:rsidR="0056691D">
        <w:t>. It forecasts that the</w:t>
      </w:r>
      <w:r w:rsidR="004B4E49">
        <w:t xml:space="preserve"> unemployment</w:t>
      </w:r>
      <w:r w:rsidR="00335D3E">
        <w:t xml:space="preserve"> rate</w:t>
      </w:r>
      <w:r w:rsidR="0056691D">
        <w:t xml:space="preserve"> (in quarterly terms) will remain at around 4.3 per cent over 2026 and 2027, while employment growth is expected to moderate from the high levels of recent years</w:t>
      </w:r>
      <w:r w:rsidR="000A0776">
        <w:t>.</w:t>
      </w:r>
      <w:r w:rsidR="00163E06">
        <w:rPr>
          <w:rStyle w:val="FootnoteReference"/>
        </w:rPr>
        <w:footnoteReference w:id="36"/>
      </w:r>
      <w:r w:rsidR="00163E06">
        <w:t xml:space="preserve"> </w:t>
      </w:r>
    </w:p>
    <w:p w14:paraId="3D6A68F0" w14:textId="74E8ECB6" w:rsidR="00ED03AB" w:rsidRDefault="00C00090" w:rsidP="00DC0D9C">
      <w:pPr>
        <w:pStyle w:val="05Paragraph"/>
        <w:jc w:val="both"/>
      </w:pPr>
      <w:r>
        <w:t xml:space="preserve">The Victorian labour market remains strong, with both the share of working-age Victorians in employment and participation </w:t>
      </w:r>
      <w:r w:rsidR="005A34B6">
        <w:t>at near record</w:t>
      </w:r>
      <w:r>
        <w:t xml:space="preserve"> high</w:t>
      </w:r>
      <w:r w:rsidR="005A34B6">
        <w:t>s</w:t>
      </w:r>
      <w:r>
        <w:t>.</w:t>
      </w:r>
      <w:r w:rsidR="00ED03AB">
        <w:t xml:space="preserve"> Workforce participation for women is also near a record high.</w:t>
      </w:r>
      <w:r w:rsidR="00EB2470">
        <w:t xml:space="preserve"> </w:t>
      </w:r>
      <w:r w:rsidR="006D4315">
        <w:t>Unemployment remains low</w:t>
      </w:r>
      <w:r w:rsidR="005A3511">
        <w:t>, a</w:t>
      </w:r>
      <w:r w:rsidR="006D4315">
        <w:t>lthough it has risen moderately over the past year as growth in labour supply has exceeded labour demand.</w:t>
      </w:r>
      <w:r w:rsidR="006D4315">
        <w:rPr>
          <w:rStyle w:val="FootnoteReference"/>
        </w:rPr>
        <w:footnoteReference w:id="37"/>
      </w:r>
    </w:p>
    <w:p w14:paraId="6B7177B9" w14:textId="60B0A154" w:rsidR="000812C0" w:rsidRDefault="00F87B98" w:rsidP="00DC0D9C">
      <w:pPr>
        <w:pStyle w:val="05Paragraph"/>
        <w:jc w:val="both"/>
      </w:pPr>
      <w:r>
        <w:lastRenderedPageBreak/>
        <w:t>Nominal wages growth in Australia continues to moderate. After peaking</w:t>
      </w:r>
      <w:r w:rsidR="000557AA">
        <w:t xml:space="preserve"> at 4.</w:t>
      </w:r>
      <w:r w:rsidR="002930E2">
        <w:t>2</w:t>
      </w:r>
      <w:r w:rsidR="00CB15C4">
        <w:t> </w:t>
      </w:r>
      <w:r w:rsidR="000557AA">
        <w:t>per</w:t>
      </w:r>
      <w:r w:rsidR="00CB15C4">
        <w:t> </w:t>
      </w:r>
      <w:r w:rsidR="000557AA">
        <w:t>cent in the December quarter 2023, annual growth in the Wage Price Index</w:t>
      </w:r>
      <w:r w:rsidR="00B1024A">
        <w:t xml:space="preserve"> (WPI)</w:t>
      </w:r>
      <w:r w:rsidR="000557AA">
        <w:t xml:space="preserve"> was </w:t>
      </w:r>
      <w:r w:rsidR="002C3A1F">
        <w:t>3.4 per ce</w:t>
      </w:r>
      <w:r w:rsidR="00AF0821">
        <w:t>nt in the June quarter 2025.</w:t>
      </w:r>
      <w:r w:rsidR="00AF0821">
        <w:rPr>
          <w:rStyle w:val="FootnoteReference"/>
        </w:rPr>
        <w:footnoteReference w:id="38"/>
      </w:r>
    </w:p>
    <w:p w14:paraId="35035CEB" w14:textId="433D37E2" w:rsidR="00903516" w:rsidRDefault="00AF0821" w:rsidP="00DC0D9C">
      <w:pPr>
        <w:pStyle w:val="05Paragraph"/>
        <w:jc w:val="both"/>
      </w:pPr>
      <w:r>
        <w:t>The RBA forecast annual WPI growth to ease gradually</w:t>
      </w:r>
      <w:r w:rsidR="001B4631">
        <w:t xml:space="preserve"> </w:t>
      </w:r>
      <w:r w:rsidR="00BA73FC">
        <w:t>and stabilise at</w:t>
      </w:r>
      <w:r>
        <w:t xml:space="preserve"> </w:t>
      </w:r>
      <w:r w:rsidR="00897697">
        <w:t xml:space="preserve">2.9 </w:t>
      </w:r>
      <w:r w:rsidR="00B05C06">
        <w:t xml:space="preserve">per cent </w:t>
      </w:r>
      <w:r w:rsidR="006B7821">
        <w:t>from</w:t>
      </w:r>
      <w:r w:rsidR="00B05C06">
        <w:t xml:space="preserve"> </w:t>
      </w:r>
      <w:r w:rsidR="0097617E">
        <w:t>the September quarter 2026</w:t>
      </w:r>
      <w:r w:rsidR="0019506B">
        <w:t>.</w:t>
      </w:r>
      <w:r w:rsidR="00E83E09">
        <w:t xml:space="preserve"> </w:t>
      </w:r>
      <w:r w:rsidR="0019506B">
        <w:t>This is</w:t>
      </w:r>
      <w:r w:rsidR="00E83E09">
        <w:t xml:space="preserve"> slightly lower than </w:t>
      </w:r>
      <w:r w:rsidR="007435B5">
        <w:t xml:space="preserve">previously </w:t>
      </w:r>
      <w:r w:rsidR="00E83E09">
        <w:t>expected</w:t>
      </w:r>
      <w:r w:rsidR="0019506B">
        <w:t>,</w:t>
      </w:r>
      <w:r w:rsidR="00E83E09">
        <w:t xml:space="preserve"> in part</w:t>
      </w:r>
      <w:r w:rsidR="006C1399">
        <w:t>,</w:t>
      </w:r>
      <w:r w:rsidR="00E83E09">
        <w:t xml:space="preserve"> due to the lower rate of trend labour productivity growth.</w:t>
      </w:r>
      <w:r w:rsidR="00FD398D" w:rsidRPr="00FD398D">
        <w:t xml:space="preserve"> </w:t>
      </w:r>
      <w:r w:rsidR="00FD398D">
        <w:t>The renewal of several large public sector EAs is expected to support wages growth over the remainder of 2025, and may also contribute to increased volatility in the WPI</w:t>
      </w:r>
      <w:r w:rsidR="002012F2">
        <w:t>.</w:t>
      </w:r>
      <w:r w:rsidR="002012F2">
        <w:rPr>
          <w:rStyle w:val="FootnoteReference"/>
        </w:rPr>
        <w:footnoteReference w:id="39"/>
      </w:r>
    </w:p>
    <w:p w14:paraId="1CC03FDA" w14:textId="2A7060DC" w:rsidR="00B75EEE" w:rsidRDefault="00BD18F0" w:rsidP="00DC0D9C">
      <w:pPr>
        <w:pStyle w:val="05Paragraph"/>
        <w:jc w:val="both"/>
      </w:pPr>
      <w:r>
        <w:t>Wages in Victori</w:t>
      </w:r>
      <w:r w:rsidR="007F5D6F">
        <w:t xml:space="preserve">a — </w:t>
      </w:r>
      <w:r>
        <w:t>as</w:t>
      </w:r>
      <w:r w:rsidR="007F5D6F">
        <w:t xml:space="preserve"> </w:t>
      </w:r>
      <w:r>
        <w:t>measured by the Victorian WPI</w:t>
      </w:r>
      <w:r w:rsidR="007F5D6F">
        <w:t xml:space="preserve"> — </w:t>
      </w:r>
      <w:r>
        <w:t>grew</w:t>
      </w:r>
      <w:r w:rsidR="007F5D6F">
        <w:t xml:space="preserve"> </w:t>
      </w:r>
      <w:r>
        <w:t>by 3.4 per cent</w:t>
      </w:r>
      <w:r w:rsidR="004A14F2">
        <w:t xml:space="preserve"> over the year to the June quarter 2025.</w:t>
      </w:r>
      <w:r w:rsidR="004A14F2">
        <w:rPr>
          <w:rStyle w:val="FootnoteReference"/>
        </w:rPr>
        <w:footnoteReference w:id="40"/>
      </w:r>
      <w:r w:rsidR="004A14F2">
        <w:t xml:space="preserve"> The 2025</w:t>
      </w:r>
      <w:r w:rsidR="00955F63">
        <w:t>–</w:t>
      </w:r>
      <w:r w:rsidR="004A14F2">
        <w:t>26</w:t>
      </w:r>
      <w:r w:rsidR="00955F63">
        <w:t xml:space="preserve"> </w:t>
      </w:r>
      <w:r w:rsidR="004A14F2">
        <w:t>Budget noted that future growth is expected to be supported by ongoing low unemployment</w:t>
      </w:r>
      <w:r w:rsidR="00090B27">
        <w:t>,</w:t>
      </w:r>
      <w:r w:rsidR="004A14F2">
        <w:t xml:space="preserve"> and the earlier period of </w:t>
      </w:r>
      <w:r w:rsidR="00D7174E">
        <w:t>elevated inflation continuing to be factored in</w:t>
      </w:r>
      <w:r w:rsidR="000E4FF6">
        <w:t xml:space="preserve">to </w:t>
      </w:r>
      <w:r w:rsidR="00D7174E">
        <w:t>wage negotiations.</w:t>
      </w:r>
      <w:r w:rsidR="00D7174E">
        <w:rPr>
          <w:rStyle w:val="FootnoteReference"/>
        </w:rPr>
        <w:footnoteReference w:id="41"/>
      </w:r>
      <w:r w:rsidR="008F6880">
        <w:t xml:space="preserve"> </w:t>
      </w:r>
    </w:p>
    <w:p w14:paraId="63F28034" w14:textId="434BB398" w:rsidR="00252EAE" w:rsidRPr="00CD6E9E" w:rsidRDefault="008F6880" w:rsidP="00DC0D9C">
      <w:pPr>
        <w:pStyle w:val="05Paragraph"/>
        <w:jc w:val="both"/>
      </w:pPr>
      <w:r>
        <w:t>Annual growth in the Victorian WPI is expected to average 3.25 per cent from 2025</w:t>
      </w:r>
      <w:r w:rsidR="00864175">
        <w:t>–</w:t>
      </w:r>
      <w:r>
        <w:t>26 through to 2028</w:t>
      </w:r>
      <w:r w:rsidR="00864175">
        <w:t>–</w:t>
      </w:r>
      <w:r>
        <w:t>29.</w:t>
      </w:r>
      <w:r w:rsidR="00B75EEE">
        <w:t xml:space="preserve"> </w:t>
      </w:r>
      <w:r w:rsidR="00252EAE">
        <w:t>W</w:t>
      </w:r>
      <w:r w:rsidR="00B75EEE">
        <w:t xml:space="preserve">ages growth is forecast to exceed inflation over </w:t>
      </w:r>
      <w:r w:rsidR="00417C43">
        <w:t>the 2025</w:t>
      </w:r>
      <w:r w:rsidR="00864175">
        <w:t>–</w:t>
      </w:r>
      <w:r w:rsidR="00417C43">
        <w:t>26 Budget forecast period</w:t>
      </w:r>
      <w:r w:rsidR="00500CD0">
        <w:t>, implying</w:t>
      </w:r>
      <w:r w:rsidR="00D26956">
        <w:t xml:space="preserve"> </w:t>
      </w:r>
      <w:r w:rsidR="00500CD0">
        <w:t>growth in real wages</w:t>
      </w:r>
      <w:r w:rsidR="00B75EEE">
        <w:t>.</w:t>
      </w:r>
      <w:r w:rsidR="007C37CE">
        <w:rPr>
          <w:rStyle w:val="FootnoteReference"/>
        </w:rPr>
        <w:footnoteReference w:id="42"/>
      </w:r>
    </w:p>
    <w:p w14:paraId="32B68B70" w14:textId="77777777" w:rsidR="006806D4" w:rsidRDefault="006806D4" w:rsidP="00DC0D9C">
      <w:pPr>
        <w:pStyle w:val="02VIRTHeading2"/>
        <w:jc w:val="both"/>
      </w:pPr>
      <w:bookmarkStart w:id="27" w:name="_Toc209438889"/>
      <w:bookmarkEnd w:id="26"/>
      <w:r>
        <w:t>2.5</w:t>
      </w:r>
      <w:r>
        <w:tab/>
        <w:t>Matters raised in submissions</w:t>
      </w:r>
      <w:bookmarkEnd w:id="27"/>
    </w:p>
    <w:p w14:paraId="051B1061" w14:textId="498E38F4" w:rsidR="006806D4" w:rsidRDefault="006806D4" w:rsidP="00DC0D9C">
      <w:pPr>
        <w:pStyle w:val="05Paragraph"/>
        <w:jc w:val="both"/>
      </w:pPr>
      <w:bookmarkStart w:id="28" w:name="_Hlk201675854"/>
      <w:r>
        <w:t xml:space="preserve">The Tribunal received </w:t>
      </w:r>
      <w:r w:rsidR="00760891">
        <w:t>two</w:t>
      </w:r>
      <w:r>
        <w:t xml:space="preserve"> written submissions which have been published on the Tribunal’s website in line with its submission policy.</w:t>
      </w:r>
    </w:p>
    <w:p w14:paraId="2C9FE056" w14:textId="00B1D123" w:rsidR="00760891" w:rsidRDefault="00760891" w:rsidP="00DC0D9C">
      <w:pPr>
        <w:pStyle w:val="05Paragraph"/>
        <w:jc w:val="both"/>
      </w:pPr>
      <w:r>
        <w:t>Matters raised by submitters were that:</w:t>
      </w:r>
    </w:p>
    <w:p w14:paraId="5E12D997" w14:textId="7FAE1D1B" w:rsidR="00760891" w:rsidRDefault="00D8634A" w:rsidP="00DC0D9C">
      <w:pPr>
        <w:pStyle w:val="06VIRTBulletpoints"/>
      </w:pPr>
      <w:r>
        <w:t xml:space="preserve">the gap between </w:t>
      </w:r>
      <w:r w:rsidR="00161F65">
        <w:t>remuneration at</w:t>
      </w:r>
      <w:r w:rsidR="000645AD">
        <w:t xml:space="preserve"> the top of </w:t>
      </w:r>
      <w:r w:rsidR="002933B5">
        <w:t xml:space="preserve">the </w:t>
      </w:r>
      <w:r w:rsidR="000645AD">
        <w:t>VPS-6</w:t>
      </w:r>
      <w:r w:rsidR="008A367C">
        <w:t xml:space="preserve"> </w:t>
      </w:r>
      <w:r w:rsidR="009E3BB7">
        <w:t>band</w:t>
      </w:r>
      <w:r w:rsidR="008A367C">
        <w:t xml:space="preserve"> and </w:t>
      </w:r>
      <w:r>
        <w:t xml:space="preserve">the bottom of the SES-1 band should </w:t>
      </w:r>
      <w:r w:rsidR="00626617">
        <w:t xml:space="preserve">be increased to </w:t>
      </w:r>
      <w:r w:rsidR="00B65D1D">
        <w:t xml:space="preserve">provide an incentive </w:t>
      </w:r>
      <w:r w:rsidR="004216C2">
        <w:t xml:space="preserve">for </w:t>
      </w:r>
      <w:r w:rsidR="00DC2ED5">
        <w:t>VPS staff to</w:t>
      </w:r>
      <w:r w:rsidR="005B4413">
        <w:t xml:space="preserve"> </w:t>
      </w:r>
      <w:r w:rsidR="00683344">
        <w:t>seek promot</w:t>
      </w:r>
      <w:r w:rsidR="005C306B">
        <w:t>ion</w:t>
      </w:r>
      <w:r w:rsidR="00683344">
        <w:t xml:space="preserve"> </w:t>
      </w:r>
      <w:r w:rsidR="00EA0821">
        <w:t>into executive roles that have higher responsibilities. The submitter suggested</w:t>
      </w:r>
      <w:r w:rsidR="00600061">
        <w:t>, specifically,</w:t>
      </w:r>
      <w:r w:rsidR="00EA0821">
        <w:t xml:space="preserve"> an increase in the bottom of the SES-1</w:t>
      </w:r>
      <w:r w:rsidR="00CB0864">
        <w:t xml:space="preserve"> </w:t>
      </w:r>
      <w:r w:rsidR="00EA0821">
        <w:t>band by 10 per cent</w:t>
      </w:r>
    </w:p>
    <w:p w14:paraId="6710AE97" w14:textId="518CD43F" w:rsidR="00FE4508" w:rsidRPr="00600061" w:rsidRDefault="00600061" w:rsidP="00DC0D9C">
      <w:pPr>
        <w:pStyle w:val="06VIRTBulletpoints"/>
      </w:pPr>
      <w:r>
        <w:t xml:space="preserve">the Tribunal should incorporate ways for considering gender </w:t>
      </w:r>
      <w:r w:rsidR="00293758">
        <w:t>equality</w:t>
      </w:r>
      <w:r>
        <w:t xml:space="preserve"> </w:t>
      </w:r>
      <w:r w:rsidR="00D51272">
        <w:t xml:space="preserve">(and </w:t>
      </w:r>
      <w:r w:rsidR="00E854FE">
        <w:t xml:space="preserve">the </w:t>
      </w:r>
      <w:r w:rsidR="00D51272">
        <w:t xml:space="preserve">gender pay gap) </w:t>
      </w:r>
      <w:r w:rsidR="00A65463">
        <w:t>in the setting and application</w:t>
      </w:r>
      <w:r>
        <w:t xml:space="preserve"> of the remuneration bands</w:t>
      </w:r>
      <w:r w:rsidR="00020D20">
        <w:t>, as submitted by the Public Sector Gender Equality Commissioner</w:t>
      </w:r>
      <w:r>
        <w:t xml:space="preserve">. </w:t>
      </w:r>
    </w:p>
    <w:p w14:paraId="1CA9DA20" w14:textId="7A99FCD3" w:rsidR="008E166D" w:rsidRDefault="003E5E31" w:rsidP="00DC0D9C">
      <w:pPr>
        <w:pStyle w:val="05Paragraph"/>
        <w:jc w:val="both"/>
      </w:pPr>
      <w:r>
        <w:lastRenderedPageBreak/>
        <w:t>T</w:t>
      </w:r>
      <w:r w:rsidR="00785753">
        <w:t xml:space="preserve">he Tribunal </w:t>
      </w:r>
      <w:r w:rsidR="000B709B">
        <w:t>agrees</w:t>
      </w:r>
      <w:r w:rsidR="00785753">
        <w:t xml:space="preserve"> that the relativities between executive and non-executive remuneration remains a consideration when determining </w:t>
      </w:r>
      <w:r w:rsidR="00293758">
        <w:t xml:space="preserve">the appropriateness of </w:t>
      </w:r>
      <w:r w:rsidR="000E4971">
        <w:t xml:space="preserve">the </w:t>
      </w:r>
      <w:r w:rsidR="00293758">
        <w:t>remuneration bands.</w:t>
      </w:r>
      <w:r w:rsidR="002E3CE7">
        <w:t xml:space="preserve"> </w:t>
      </w:r>
    </w:p>
    <w:p w14:paraId="15A478E7" w14:textId="4818B6F3" w:rsidR="00F0125B" w:rsidRDefault="00F65D9D" w:rsidP="00DC0D9C">
      <w:pPr>
        <w:pStyle w:val="05Paragraph"/>
        <w:jc w:val="both"/>
      </w:pPr>
      <w:r>
        <w:t>R</w:t>
      </w:r>
      <w:r w:rsidR="00C22865">
        <w:t>elativities between non-executive and executive VPS employees</w:t>
      </w:r>
      <w:r>
        <w:t xml:space="preserve"> were considered as part of</w:t>
      </w:r>
      <w:r w:rsidR="00C22865">
        <w:t xml:space="preserve"> the 2024 Comprehensive Determination. </w:t>
      </w:r>
      <w:r w:rsidR="005D74B9">
        <w:t xml:space="preserve">At that </w:t>
      </w:r>
      <w:r w:rsidR="00F34BC6">
        <w:t xml:space="preserve">time, the </w:t>
      </w:r>
      <w:r w:rsidR="00FA5B67">
        <w:t xml:space="preserve">Tribunal considered </w:t>
      </w:r>
      <w:r w:rsidR="00C32AAE">
        <w:t xml:space="preserve">that </w:t>
      </w:r>
      <w:r w:rsidR="00B6311D">
        <w:t>a</w:t>
      </w:r>
      <w:r w:rsidR="00C22865">
        <w:t xml:space="preserve">n appropriate gap </w:t>
      </w:r>
      <w:r w:rsidR="009F332F">
        <w:t xml:space="preserve">between the </w:t>
      </w:r>
      <w:r w:rsidR="0020739F" w:rsidRPr="0020739F">
        <w:t xml:space="preserve">top of the VPS-6 </w:t>
      </w:r>
      <w:r w:rsidR="005F1AE4" w:rsidRPr="0020739F">
        <w:t>band</w:t>
      </w:r>
      <w:r w:rsidR="0020739F" w:rsidRPr="0020739F">
        <w:t xml:space="preserve"> and the base of the SES-1 band</w:t>
      </w:r>
      <w:r w:rsidR="00676779">
        <w:t>,</w:t>
      </w:r>
      <w:r w:rsidR="00813FD3">
        <w:t xml:space="preserve"> </w:t>
      </w:r>
      <w:r w:rsidR="0061568F">
        <w:t>to help attract high-performing non-executives into executive roles</w:t>
      </w:r>
      <w:r w:rsidR="00676779">
        <w:t>,</w:t>
      </w:r>
      <w:r w:rsidR="0061568F">
        <w:t xml:space="preserve"> </w:t>
      </w:r>
      <w:r w:rsidR="00813FD3">
        <w:t>was</w:t>
      </w:r>
      <w:r w:rsidR="00C22865">
        <w:t xml:space="preserve"> 12 per cent. </w:t>
      </w:r>
    </w:p>
    <w:p w14:paraId="6F6F22BC" w14:textId="0D12DE1F" w:rsidR="00863419" w:rsidRDefault="002D4F3C" w:rsidP="00DC0D9C">
      <w:pPr>
        <w:pStyle w:val="05Paragraph"/>
        <w:jc w:val="both"/>
      </w:pPr>
      <w:r w:rsidRPr="002E3CE7">
        <w:t xml:space="preserve">The Tribunal also </w:t>
      </w:r>
      <w:r w:rsidR="0061568F">
        <w:t>support</w:t>
      </w:r>
      <w:r w:rsidR="006B0E46">
        <w:t>s</w:t>
      </w:r>
      <w:r w:rsidR="0061568F">
        <w:t xml:space="preserve"> measures </w:t>
      </w:r>
      <w:r w:rsidR="00161E39">
        <w:t xml:space="preserve">to address </w:t>
      </w:r>
      <w:r w:rsidRPr="002E3CE7">
        <w:t>gender equality</w:t>
      </w:r>
      <w:r>
        <w:t xml:space="preserve"> issue</w:t>
      </w:r>
      <w:r w:rsidR="0045064C">
        <w:t>s</w:t>
      </w:r>
      <w:r>
        <w:t xml:space="preserve"> in the Victorian public sector, </w:t>
      </w:r>
      <w:r w:rsidR="0045064C">
        <w:t xml:space="preserve">including </w:t>
      </w:r>
      <w:r>
        <w:t xml:space="preserve">the gender pay gap </w:t>
      </w:r>
      <w:r w:rsidR="0045064C">
        <w:t>in the executive cohort</w:t>
      </w:r>
      <w:r>
        <w:t xml:space="preserve">. </w:t>
      </w:r>
      <w:r w:rsidR="0061568F">
        <w:t>R</w:t>
      </w:r>
      <w:r w:rsidR="00671230">
        <w:t xml:space="preserve">emuneration bands </w:t>
      </w:r>
      <w:r w:rsidR="0061568F">
        <w:t xml:space="preserve">are determined </w:t>
      </w:r>
      <w:r w:rsidR="00671230">
        <w:t>for VPS executives that provide flexibility for employers to set remuneration</w:t>
      </w:r>
      <w:r w:rsidR="002933B5">
        <w:t>,</w:t>
      </w:r>
      <w:r w:rsidR="0061568F">
        <w:t xml:space="preserve"> taking into account</w:t>
      </w:r>
      <w:r w:rsidR="00671230">
        <w:t xml:space="preserve"> </w:t>
      </w:r>
      <w:r w:rsidR="000C2CF8">
        <w:t xml:space="preserve">various </w:t>
      </w:r>
      <w:r w:rsidR="008E38AF">
        <w:t>factors, such as</w:t>
      </w:r>
      <w:r w:rsidR="0061568F">
        <w:t xml:space="preserve"> the nature of the </w:t>
      </w:r>
      <w:r w:rsidR="00D27709">
        <w:t>role,</w:t>
      </w:r>
      <w:r w:rsidR="00EC00EC">
        <w:t xml:space="preserve"> market conditions, </w:t>
      </w:r>
      <w:r w:rsidR="00892D54">
        <w:t xml:space="preserve">and </w:t>
      </w:r>
      <w:r w:rsidR="004068C7">
        <w:t>remuneration relativities within the</w:t>
      </w:r>
      <w:r w:rsidR="00EC00EC">
        <w:t xml:space="preserve"> </w:t>
      </w:r>
      <w:r w:rsidR="00F92488">
        <w:t>department</w:t>
      </w:r>
      <w:r w:rsidR="00BC7A54">
        <w:t xml:space="preserve">. </w:t>
      </w:r>
    </w:p>
    <w:p w14:paraId="495ACC19" w14:textId="074714AB" w:rsidR="002D4F3C" w:rsidRDefault="00FA6414" w:rsidP="00DC0D9C">
      <w:pPr>
        <w:pStyle w:val="05Paragraph"/>
        <w:jc w:val="both"/>
      </w:pPr>
      <w:r>
        <w:t xml:space="preserve">While setting </w:t>
      </w:r>
      <w:r w:rsidR="00C74643">
        <w:t xml:space="preserve">remuneration for individual executives </w:t>
      </w:r>
      <w:r w:rsidR="003873E8">
        <w:t>is a matter for employers</w:t>
      </w:r>
      <w:r w:rsidR="00D13E27">
        <w:t xml:space="preserve">, the Tribunal </w:t>
      </w:r>
      <w:r w:rsidR="00F2631B">
        <w:t xml:space="preserve">publishes the </w:t>
      </w:r>
      <w:r w:rsidR="00CD6C04" w:rsidRPr="00CD6C04">
        <w:rPr>
          <w:i/>
          <w:iCs/>
        </w:rPr>
        <w:t>Victorian Public Service Executive Remuneration Guidelines</w:t>
      </w:r>
      <w:r w:rsidR="00CD6C04">
        <w:t xml:space="preserve"> to assist </w:t>
      </w:r>
      <w:r w:rsidR="00A12E4C">
        <w:t xml:space="preserve">employers. </w:t>
      </w:r>
      <w:r w:rsidR="00A11777">
        <w:t>T</w:t>
      </w:r>
      <w:r w:rsidR="002D4F3C">
        <w:t xml:space="preserve">he </w:t>
      </w:r>
      <w:r w:rsidR="001053F5">
        <w:t xml:space="preserve">VPS </w:t>
      </w:r>
      <w:r w:rsidR="00CD6C04">
        <w:t>G</w:t>
      </w:r>
      <w:r w:rsidR="006531F8">
        <w:t>uidelines</w:t>
      </w:r>
      <w:r w:rsidR="00CA0445">
        <w:t xml:space="preserve"> </w:t>
      </w:r>
      <w:r w:rsidR="0072264A">
        <w:t xml:space="preserve">were amended </w:t>
      </w:r>
      <w:r w:rsidR="00CA0445">
        <w:t>in 2024</w:t>
      </w:r>
      <w:r w:rsidR="00B223D3">
        <w:t xml:space="preserve"> </w:t>
      </w:r>
      <w:r w:rsidR="0091415F">
        <w:t>to</w:t>
      </w:r>
      <w:r w:rsidR="006531F8">
        <w:t xml:space="preserve"> </w:t>
      </w:r>
      <w:r w:rsidR="00CA0445">
        <w:t>encourage</w:t>
      </w:r>
      <w:r w:rsidR="00021A28">
        <w:t xml:space="preserve"> employers to consider </w:t>
      </w:r>
      <w:r w:rsidR="0051596B">
        <w:t xml:space="preserve">relevant Government policies </w:t>
      </w:r>
      <w:r w:rsidR="00922AF1">
        <w:t xml:space="preserve">— </w:t>
      </w:r>
      <w:r w:rsidR="0051596B">
        <w:t xml:space="preserve">such as to improve gender </w:t>
      </w:r>
      <w:r w:rsidR="00F67376">
        <w:t>e</w:t>
      </w:r>
      <w:r w:rsidR="0051596B">
        <w:t xml:space="preserve">quality and promote diversity and </w:t>
      </w:r>
      <w:r w:rsidR="00C57B67">
        <w:t>inclusion</w:t>
      </w:r>
      <w:r w:rsidR="00D2256B">
        <w:t xml:space="preserve"> — when setting remuneration</w:t>
      </w:r>
      <w:r w:rsidR="00C57B67">
        <w:t xml:space="preserve">. </w:t>
      </w:r>
    </w:p>
    <w:p w14:paraId="53F0CF0B" w14:textId="77777777" w:rsidR="00FE4508" w:rsidRDefault="00FE4508" w:rsidP="00DC0D9C">
      <w:pPr>
        <w:pStyle w:val="02VIRTHeading2"/>
        <w:jc w:val="both"/>
      </w:pPr>
      <w:bookmarkStart w:id="29" w:name="_Toc209438890"/>
      <w:bookmarkEnd w:id="28"/>
      <w:r>
        <w:t>2.6</w:t>
      </w:r>
      <w:r>
        <w:tab/>
        <w:t>Other relevant considerations</w:t>
      </w:r>
      <w:bookmarkEnd w:id="29"/>
      <w:r>
        <w:t xml:space="preserve"> </w:t>
      </w:r>
    </w:p>
    <w:p w14:paraId="591ED2CF" w14:textId="5279D257" w:rsidR="00782E8F" w:rsidRDefault="00782E8F" w:rsidP="00DC0D9C">
      <w:pPr>
        <w:pStyle w:val="03VIRTHeading3"/>
        <w:jc w:val="both"/>
      </w:pPr>
      <w:r>
        <w:t>Adjustments in other jurisdictions</w:t>
      </w:r>
    </w:p>
    <w:p w14:paraId="51EE47AF" w14:textId="47839FD1" w:rsidR="007876F7" w:rsidRDefault="00431395" w:rsidP="00DC0D9C">
      <w:pPr>
        <w:pStyle w:val="05Paragraph"/>
        <w:jc w:val="both"/>
      </w:pPr>
      <w:r>
        <w:t xml:space="preserve">At the time of making this Determination, three main comparator jurisdictions </w:t>
      </w:r>
      <w:r w:rsidR="0080239B">
        <w:t>had</w:t>
      </w:r>
      <w:r w:rsidR="00F13359">
        <w:t xml:space="preserve"> recent</w:t>
      </w:r>
      <w:r w:rsidR="0080239B">
        <w:t>ly</w:t>
      </w:r>
      <w:r w:rsidR="00F13359">
        <w:t xml:space="preserve"> adjust</w:t>
      </w:r>
      <w:r w:rsidR="001917B6">
        <w:t>ed</w:t>
      </w:r>
      <w:r w:rsidR="00296DC9">
        <w:t xml:space="preserve"> </w:t>
      </w:r>
      <w:r w:rsidR="001917B6">
        <w:t>the</w:t>
      </w:r>
      <w:r w:rsidR="00F13359">
        <w:t xml:space="preserve"> remuneration of </w:t>
      </w:r>
      <w:r w:rsidR="005209A1">
        <w:t xml:space="preserve">their </w:t>
      </w:r>
      <w:r w:rsidR="00DB314E">
        <w:t>executives</w:t>
      </w:r>
      <w:r w:rsidR="007876F7">
        <w:t>.</w:t>
      </w:r>
    </w:p>
    <w:p w14:paraId="1D924558" w14:textId="76DE31A8" w:rsidR="00D44FC0" w:rsidRDefault="00B11413" w:rsidP="00DC0D9C">
      <w:pPr>
        <w:pStyle w:val="05Paragraph"/>
        <w:jc w:val="both"/>
      </w:pPr>
      <w:r>
        <w:t xml:space="preserve">The Commonwealth Remuneration Tribunal increased </w:t>
      </w:r>
      <w:r w:rsidR="00D2776D">
        <w:t xml:space="preserve">remuneration </w:t>
      </w:r>
      <w:r w:rsidR="003472E7">
        <w:t xml:space="preserve">for </w:t>
      </w:r>
      <w:r w:rsidR="00A540B8">
        <w:t>Secretaries and other specified senior executives</w:t>
      </w:r>
      <w:r w:rsidR="003472E7">
        <w:t xml:space="preserve"> by 2.4 per cent </w:t>
      </w:r>
      <w:r w:rsidR="005E7D31">
        <w:t>from</w:t>
      </w:r>
      <w:r w:rsidR="003472E7">
        <w:t xml:space="preserve"> </w:t>
      </w:r>
      <w:r w:rsidR="0029405A">
        <w:br/>
      </w:r>
      <w:r w:rsidR="003472E7">
        <w:t>1 July 2025</w:t>
      </w:r>
      <w:r w:rsidR="001C3EDE">
        <w:t>.</w:t>
      </w:r>
      <w:r w:rsidR="003B455D">
        <w:rPr>
          <w:rStyle w:val="FootnoteReference"/>
        </w:rPr>
        <w:footnoteReference w:id="43"/>
      </w:r>
      <w:r w:rsidR="001C3EDE">
        <w:t xml:space="preserve"> </w:t>
      </w:r>
    </w:p>
    <w:p w14:paraId="2CD4FAD4" w14:textId="22B75E76" w:rsidR="00D44FC0" w:rsidRDefault="007F384F" w:rsidP="00DC0D9C">
      <w:pPr>
        <w:pStyle w:val="05Paragraph"/>
        <w:jc w:val="both"/>
      </w:pPr>
      <w:r>
        <w:lastRenderedPageBreak/>
        <w:t xml:space="preserve">Under the Commonwealth Government’s </w:t>
      </w:r>
      <w:r>
        <w:rPr>
          <w:i/>
          <w:iCs/>
        </w:rPr>
        <w:t>Public Sector Workplace Relations Policy 2023</w:t>
      </w:r>
      <w:r>
        <w:t xml:space="preserve">, general pay increases for </w:t>
      </w:r>
      <w:r w:rsidR="009170C0">
        <w:t xml:space="preserve">Australian Public Service </w:t>
      </w:r>
      <w:r w:rsidR="00DF0476">
        <w:t xml:space="preserve">(APS) </w:t>
      </w:r>
      <w:r>
        <w:t xml:space="preserve">executives must not exceed those provided for non-executive employees in the </w:t>
      </w:r>
      <w:r w:rsidR="00DF0476">
        <w:t>APS</w:t>
      </w:r>
      <w:r w:rsidR="00DC0E18" w:rsidRPr="003A523F">
        <w:t>.</w:t>
      </w:r>
      <w:r w:rsidR="00DC0E18" w:rsidRPr="003A523F">
        <w:rPr>
          <w:rStyle w:val="FootnoteReference"/>
        </w:rPr>
        <w:footnoteReference w:id="44"/>
      </w:r>
      <w:r w:rsidR="00DC0E18">
        <w:t xml:space="preserve"> </w:t>
      </w:r>
      <w:r w:rsidR="002C60AC">
        <w:t xml:space="preserve">Under the </w:t>
      </w:r>
      <w:r w:rsidR="00B75B8C">
        <w:t>current APS enterprise agreement</w:t>
      </w:r>
      <w:r w:rsidR="00042261">
        <w:t>, non</w:t>
      </w:r>
      <w:r w:rsidR="00A85FBB">
        <w:t>-</w:t>
      </w:r>
      <w:r w:rsidR="00042261">
        <w:t xml:space="preserve">executive </w:t>
      </w:r>
      <w:r w:rsidR="005401DD">
        <w:t>staff in the APS</w:t>
      </w:r>
      <w:r w:rsidR="00C35CB5">
        <w:t xml:space="preserve"> </w:t>
      </w:r>
      <w:r w:rsidR="00451C44">
        <w:t xml:space="preserve">received a </w:t>
      </w:r>
      <w:r w:rsidR="00E854FE">
        <w:br/>
      </w:r>
      <w:r w:rsidR="00451C44">
        <w:t xml:space="preserve">3.8 per cent increase </w:t>
      </w:r>
      <w:r w:rsidR="00A85FBB">
        <w:t>in</w:t>
      </w:r>
      <w:r w:rsidR="00451C44">
        <w:t xml:space="preserve"> </w:t>
      </w:r>
      <w:r w:rsidR="00C14C00">
        <w:t>March 2025 and</w:t>
      </w:r>
      <w:r w:rsidR="008808F2">
        <w:t xml:space="preserve"> will receive </w:t>
      </w:r>
      <w:r w:rsidR="00E633F9">
        <w:t xml:space="preserve">a further </w:t>
      </w:r>
      <w:r w:rsidR="008808F2">
        <w:t xml:space="preserve">3.4 per cent </w:t>
      </w:r>
      <w:r w:rsidR="00DF0476">
        <w:t xml:space="preserve">increase </w:t>
      </w:r>
      <w:r w:rsidR="008808F2">
        <w:t>from March 2026</w:t>
      </w:r>
      <w:r w:rsidR="00451C44">
        <w:t>.</w:t>
      </w:r>
      <w:r w:rsidR="008808F2">
        <w:rPr>
          <w:rStyle w:val="FootnoteReference"/>
        </w:rPr>
        <w:footnoteReference w:id="45"/>
      </w:r>
    </w:p>
    <w:p w14:paraId="00024CDA" w14:textId="4CDBF5E9" w:rsidR="004F2E94" w:rsidRDefault="00A154FF" w:rsidP="00DC0D9C">
      <w:pPr>
        <w:pStyle w:val="05Paragraph"/>
        <w:jc w:val="both"/>
      </w:pPr>
      <w:r>
        <w:t xml:space="preserve">Public service executives in </w:t>
      </w:r>
      <w:r w:rsidR="0078035A">
        <w:t>N</w:t>
      </w:r>
      <w:r w:rsidR="00E854FE">
        <w:t>SW</w:t>
      </w:r>
      <w:r w:rsidR="00D77609">
        <w:t xml:space="preserve"> </w:t>
      </w:r>
      <w:r w:rsidR="000F2502">
        <w:t>received</w:t>
      </w:r>
      <w:r w:rsidR="0078035A">
        <w:t xml:space="preserve"> a general adjustment of </w:t>
      </w:r>
      <w:r w:rsidR="00E854FE">
        <w:br/>
      </w:r>
      <w:r w:rsidR="0078035A">
        <w:t xml:space="preserve">3.5 per cent </w:t>
      </w:r>
      <w:r w:rsidR="00FA1C72">
        <w:t>(adjusted at 1 July 2025)</w:t>
      </w:r>
      <w:r w:rsidR="00A579CD">
        <w:t>.</w:t>
      </w:r>
      <w:r w:rsidR="002A3681">
        <w:t xml:space="preserve"> </w:t>
      </w:r>
      <w:r w:rsidR="00FC3A51">
        <w:t xml:space="preserve">Most </w:t>
      </w:r>
      <w:r w:rsidR="00D77609">
        <w:t>department</w:t>
      </w:r>
      <w:r w:rsidR="00FC3A51">
        <w:t xml:space="preserve"> </w:t>
      </w:r>
      <w:r w:rsidR="00156F10">
        <w:t>s</w:t>
      </w:r>
      <w:r w:rsidR="00FC3A51">
        <w:t>ecretaries</w:t>
      </w:r>
      <w:r w:rsidR="00156F10">
        <w:t xml:space="preserve"> in NSW also</w:t>
      </w:r>
      <w:r w:rsidR="00FC3A51">
        <w:t xml:space="preserve"> </w:t>
      </w:r>
      <w:r w:rsidR="00FC76B5">
        <w:t xml:space="preserve">received </w:t>
      </w:r>
      <w:r w:rsidR="00156F10">
        <w:t>a</w:t>
      </w:r>
      <w:r w:rsidR="00FC76B5">
        <w:t xml:space="preserve"> 3.5 per cent</w:t>
      </w:r>
      <w:r w:rsidR="007A4FD7">
        <w:t xml:space="preserve"> increase in remuneration</w:t>
      </w:r>
      <w:r w:rsidR="005769E2">
        <w:t xml:space="preserve"> from 1 July 2025. However,</w:t>
      </w:r>
      <w:r w:rsidR="00FC76B5">
        <w:t xml:space="preserve"> the </w:t>
      </w:r>
      <w:r w:rsidR="005769E2">
        <w:t>NSW</w:t>
      </w:r>
      <w:r w:rsidR="00FC76B5">
        <w:t xml:space="preserve"> Statutory and Other Offices Remuneration Tribunal also decided that all Secretaries should </w:t>
      </w:r>
      <w:r w:rsidR="00F03973">
        <w:t>receive</w:t>
      </w:r>
      <w:r w:rsidR="00FC76B5">
        <w:t xml:space="preserve"> the same remuneration</w:t>
      </w:r>
      <w:r w:rsidR="00A218DD">
        <w:t>, which meant certain Secretaries received a higher increase in remuneration.</w:t>
      </w:r>
      <w:r w:rsidR="0067239B" w:rsidRPr="004A554E">
        <w:rPr>
          <w:rStyle w:val="FootnoteReference"/>
        </w:rPr>
        <w:footnoteReference w:id="46"/>
      </w:r>
    </w:p>
    <w:p w14:paraId="6F2AC233" w14:textId="779C1736" w:rsidR="0078035A" w:rsidRDefault="00105CFF" w:rsidP="00DC0D9C">
      <w:pPr>
        <w:pStyle w:val="05Paragraph"/>
        <w:jc w:val="both"/>
      </w:pPr>
      <w:r>
        <w:t xml:space="preserve">The Queensland Public Sector Commission issues directives governing senior executive employment and employment conditions. </w:t>
      </w:r>
      <w:r w:rsidR="000E7F52">
        <w:t>I</w:t>
      </w:r>
      <w:r w:rsidR="001D46D8">
        <w:t>n</w:t>
      </w:r>
      <w:r w:rsidR="000E7F52">
        <w:t xml:space="preserve"> 2023</w:t>
      </w:r>
      <w:r w:rsidR="001D46D8">
        <w:t xml:space="preserve">, </w:t>
      </w:r>
      <w:r w:rsidR="00612C21">
        <w:t xml:space="preserve">the remuneration rates for </w:t>
      </w:r>
      <w:r w:rsidR="00940FBB">
        <w:t>public service executives</w:t>
      </w:r>
      <w:r w:rsidR="008E1F1C">
        <w:t xml:space="preserve"> </w:t>
      </w:r>
      <w:r w:rsidR="007429A1">
        <w:t xml:space="preserve">were set </w:t>
      </w:r>
      <w:r w:rsidR="00934F87">
        <w:t>for three years</w:t>
      </w:r>
      <w:r w:rsidR="00D365E1">
        <w:t xml:space="preserve">, with the </w:t>
      </w:r>
      <w:r w:rsidR="00C24C4F">
        <w:t xml:space="preserve">final </w:t>
      </w:r>
      <w:r w:rsidR="0078035A">
        <w:t xml:space="preserve">scheduled increase of 3 per cent </w:t>
      </w:r>
      <w:r w:rsidR="000426F4">
        <w:t xml:space="preserve">applying </w:t>
      </w:r>
      <w:r w:rsidR="00B5619B">
        <w:t>from</w:t>
      </w:r>
      <w:r w:rsidR="0078035A">
        <w:t xml:space="preserve"> 1 July 2025</w:t>
      </w:r>
      <w:r w:rsidR="0078035A" w:rsidRPr="00644167">
        <w:t>.</w:t>
      </w:r>
      <w:r w:rsidR="00344FB7" w:rsidRPr="00644167">
        <w:rPr>
          <w:rStyle w:val="FootnoteReference"/>
        </w:rPr>
        <w:footnoteReference w:id="47"/>
      </w:r>
    </w:p>
    <w:p w14:paraId="77DA5BCE" w14:textId="1791CE86" w:rsidR="003A4ECF" w:rsidRPr="00B54033" w:rsidRDefault="003A4ECF" w:rsidP="00DC0D9C">
      <w:pPr>
        <w:pStyle w:val="03VIRTHeading3"/>
        <w:jc w:val="both"/>
      </w:pPr>
      <w:r>
        <w:t>An</w:t>
      </w:r>
      <w:r w:rsidRPr="00B54033">
        <w:t>nual Wage Review Decision 2024</w:t>
      </w:r>
      <w:r w:rsidR="00DF0476">
        <w:t xml:space="preserve">–25 </w:t>
      </w:r>
    </w:p>
    <w:p w14:paraId="0F00D3F7" w14:textId="29D03819" w:rsidR="003A4ECF" w:rsidRDefault="003A4ECF" w:rsidP="00DC0D9C">
      <w:pPr>
        <w:pStyle w:val="05Paragraph"/>
        <w:jc w:val="both"/>
      </w:pPr>
      <w:r w:rsidRPr="004511DF">
        <w:t>The F</w:t>
      </w:r>
      <w:r w:rsidR="0063067A">
        <w:t xml:space="preserve">air </w:t>
      </w:r>
      <w:r w:rsidR="00CF7851">
        <w:t>W</w:t>
      </w:r>
      <w:r w:rsidR="0063067A">
        <w:t xml:space="preserve">ork </w:t>
      </w:r>
      <w:r w:rsidR="00CF7851">
        <w:t>C</w:t>
      </w:r>
      <w:r w:rsidR="0063067A">
        <w:t>ommission</w:t>
      </w:r>
      <w:r w:rsidRPr="004511DF">
        <w:t>’s</w:t>
      </w:r>
      <w:r w:rsidR="004142D9">
        <w:t xml:space="preserve"> (FWC)</w:t>
      </w:r>
      <w:r w:rsidRPr="004511DF">
        <w:t xml:space="preserve"> Annual Wage Review 202</w:t>
      </w:r>
      <w:r>
        <w:t>4</w:t>
      </w:r>
      <w:r w:rsidR="00A66D96">
        <w:t xml:space="preserve">–25 </w:t>
      </w:r>
      <w:r w:rsidRPr="004511DF">
        <w:t xml:space="preserve">decision </w:t>
      </w:r>
      <w:r w:rsidRPr="00B608A2">
        <w:t>increased the National Minimum Wage and all modern award minimum wages by 3.5 per cent with effect from 1 July 2025.</w:t>
      </w:r>
      <w:r w:rsidRPr="00B608A2">
        <w:rPr>
          <w:rStyle w:val="FootnoteReference"/>
        </w:rPr>
        <w:footnoteReference w:id="48"/>
      </w:r>
    </w:p>
    <w:p w14:paraId="00E557FC" w14:textId="3404D979" w:rsidR="0086399D" w:rsidRDefault="0086399D" w:rsidP="0086399D">
      <w:pPr>
        <w:pStyle w:val="05Paragraph"/>
      </w:pPr>
      <w:r w:rsidRPr="00992B88">
        <w:t>The Tribunal considers the FWC’s decision</w:t>
      </w:r>
      <w:r w:rsidR="00A6481E">
        <w:t xml:space="preserve"> to be a</w:t>
      </w:r>
      <w:r w:rsidRPr="00992B88">
        <w:t xml:space="preserve"> relevant </w:t>
      </w:r>
      <w:r w:rsidR="00A6481E">
        <w:t>factor as</w:t>
      </w:r>
      <w:r w:rsidR="00A6481E" w:rsidRPr="00992B88">
        <w:t xml:space="preserve"> </w:t>
      </w:r>
      <w:r w:rsidRPr="00992B88">
        <w:t xml:space="preserve">it is an indicator for broader wage movements across the economy. </w:t>
      </w:r>
    </w:p>
    <w:p w14:paraId="6C19C825" w14:textId="77777777" w:rsidR="0086399D" w:rsidRDefault="0086399D">
      <w:pPr>
        <w:spacing w:after="80"/>
      </w:pPr>
      <w:r>
        <w:br w:type="page"/>
      </w:r>
    </w:p>
    <w:p w14:paraId="5AAE58CC" w14:textId="74702483" w:rsidR="007E178D" w:rsidRDefault="007E178D" w:rsidP="007E178D">
      <w:pPr>
        <w:pStyle w:val="01Chapterheading"/>
        <w:numPr>
          <w:ilvl w:val="0"/>
          <w:numId w:val="42"/>
        </w:numPr>
        <w:ind w:left="720"/>
      </w:pPr>
      <w:bookmarkStart w:id="30" w:name="_Toc209438891"/>
      <w:r>
        <w:lastRenderedPageBreak/>
        <w:t xml:space="preserve">Tribunal’s </w:t>
      </w:r>
      <w:r w:rsidR="00FF020A">
        <w:t>decisions</w:t>
      </w:r>
      <w:bookmarkEnd w:id="30"/>
    </w:p>
    <w:p w14:paraId="6D915E7A" w14:textId="77777777" w:rsidR="007E178D" w:rsidRDefault="007E178D" w:rsidP="007E178D">
      <w:pPr>
        <w:pStyle w:val="05Paragraph"/>
      </w:pPr>
      <w:r>
        <w:rPr>
          <w:noProof/>
        </w:rPr>
        <w:drawing>
          <wp:inline distT="0" distB="0" distL="0" distR="0" wp14:anchorId="7CE25C63" wp14:editId="12FF3BBA">
            <wp:extent cx="2212975" cy="255905"/>
            <wp:effectExtent l="0" t="0" r="0" b="0"/>
            <wp:docPr id="1341382757"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84" name="Picture 162">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p>
    <w:p w14:paraId="05EA239C" w14:textId="16F8AD9E" w:rsidR="00FB7A56" w:rsidRDefault="00FB7A56" w:rsidP="00DC0D9C">
      <w:pPr>
        <w:pStyle w:val="02VIRTHeading2"/>
        <w:jc w:val="both"/>
      </w:pPr>
      <w:bookmarkStart w:id="31" w:name="_Hlk201675958"/>
      <w:bookmarkStart w:id="32" w:name="_Toc209438892"/>
      <w:r>
        <w:t>3.1</w:t>
      </w:r>
      <w:r>
        <w:tab/>
        <w:t>Factors supporting an increase in the values of the remuneration bands</w:t>
      </w:r>
      <w:bookmarkEnd w:id="32"/>
    </w:p>
    <w:p w14:paraId="4119E25C" w14:textId="701A34AB" w:rsidR="00CD3200" w:rsidRDefault="0016163E" w:rsidP="00DC0D9C">
      <w:pPr>
        <w:pStyle w:val="05Paragraph"/>
        <w:jc w:val="both"/>
      </w:pPr>
      <w:r>
        <w:t>E</w:t>
      </w:r>
      <w:r w:rsidR="00B6386D">
        <w:t xml:space="preserve">conomic conditions </w:t>
      </w:r>
      <w:r>
        <w:t>in Australia and Victoria</w:t>
      </w:r>
      <w:r w:rsidR="00B6386D">
        <w:t xml:space="preserve"> </w:t>
      </w:r>
      <w:r w:rsidR="00BF4573">
        <w:t>appear stable</w:t>
      </w:r>
      <w:r w:rsidR="00285941">
        <w:t xml:space="preserve"> and</w:t>
      </w:r>
      <w:r w:rsidR="00BF4573">
        <w:t>, while the latest forecasts suggest a broadly neutral outlook</w:t>
      </w:r>
      <w:r w:rsidR="00285941">
        <w:t>, there are signs of positive trends over the coming years</w:t>
      </w:r>
      <w:r w:rsidR="00B6386D">
        <w:t xml:space="preserve">. </w:t>
      </w:r>
      <w:r w:rsidR="00D00423">
        <w:t xml:space="preserve">Recent data shows that </w:t>
      </w:r>
      <w:r w:rsidR="00722D47">
        <w:t>both</w:t>
      </w:r>
      <w:r w:rsidR="00D00423">
        <w:t xml:space="preserve"> economic growth </w:t>
      </w:r>
      <w:r w:rsidR="00B4732D">
        <w:t>and inflation have moderated</w:t>
      </w:r>
      <w:r w:rsidR="00457C38">
        <w:t xml:space="preserve">, with </w:t>
      </w:r>
      <w:r w:rsidR="00D00423">
        <w:t xml:space="preserve">headline inflation within the </w:t>
      </w:r>
      <w:r w:rsidR="002C042F">
        <w:t>RBA</w:t>
      </w:r>
      <w:r w:rsidR="00D00423">
        <w:t>’s target range of between 2 and 3 per cent.</w:t>
      </w:r>
    </w:p>
    <w:p w14:paraId="731EC5BF" w14:textId="3B25EEA8" w:rsidR="00B6386D" w:rsidRDefault="0095090A" w:rsidP="00DC0D9C">
      <w:pPr>
        <w:pStyle w:val="05Paragraph"/>
        <w:jc w:val="both"/>
      </w:pPr>
      <w:r>
        <w:t>P</w:t>
      </w:r>
      <w:r w:rsidR="00505723">
        <w:t>articular consideration</w:t>
      </w:r>
      <w:r>
        <w:t xml:space="preserve"> was given</w:t>
      </w:r>
      <w:r w:rsidR="00505723">
        <w:t xml:space="preserve"> to w</w:t>
      </w:r>
      <w:r w:rsidR="00B6386D">
        <w:t>ages growth</w:t>
      </w:r>
      <w:r w:rsidR="004B64AA">
        <w:t xml:space="preserve">, which </w:t>
      </w:r>
      <w:r>
        <w:t>wa</w:t>
      </w:r>
      <w:r w:rsidR="004B64AA">
        <w:t>s 3.4 per cent</w:t>
      </w:r>
      <w:r w:rsidR="00B6386D">
        <w:t xml:space="preserve"> for all sectors in Victoria and Australia and 3.2</w:t>
      </w:r>
      <w:r w:rsidR="004B64AA">
        <w:t xml:space="preserve"> per cent</w:t>
      </w:r>
      <w:r w:rsidR="00B6386D">
        <w:t xml:space="preserve"> for </w:t>
      </w:r>
      <w:r w:rsidR="00B92587">
        <w:t xml:space="preserve">the </w:t>
      </w:r>
      <w:r w:rsidR="00B6386D">
        <w:t>Victorian public sector</w:t>
      </w:r>
      <w:r w:rsidR="001C6D7C">
        <w:t>,</w:t>
      </w:r>
      <w:r w:rsidR="00C939C5">
        <w:t xml:space="preserve"> </w:t>
      </w:r>
      <w:r>
        <w:t xml:space="preserve">for the </w:t>
      </w:r>
      <w:r w:rsidR="00C939C5">
        <w:t xml:space="preserve">year to </w:t>
      </w:r>
      <w:r w:rsidR="00B92587">
        <w:t xml:space="preserve">the </w:t>
      </w:r>
      <w:r w:rsidR="00C939C5">
        <w:t>June quarter 2025</w:t>
      </w:r>
      <w:r w:rsidR="00474EED">
        <w:t xml:space="preserve">. This remains </w:t>
      </w:r>
      <w:r w:rsidR="00B6386D">
        <w:t>above Melbourne CPI</w:t>
      </w:r>
      <w:r w:rsidR="003551FA">
        <w:t xml:space="preserve"> growth</w:t>
      </w:r>
      <w:r w:rsidR="00B6386D">
        <w:t xml:space="preserve"> and Australian underlying inflation</w:t>
      </w:r>
      <w:r w:rsidR="00B917A2">
        <w:t>, which i</w:t>
      </w:r>
      <w:r w:rsidR="00876DA9">
        <w:t>mplies modest growth in real wages</w:t>
      </w:r>
      <w:r w:rsidR="00B6386D">
        <w:t xml:space="preserve">. </w:t>
      </w:r>
    </w:p>
    <w:p w14:paraId="7E953023" w14:textId="40FF3072" w:rsidR="00B6386D" w:rsidRDefault="00B6386D" w:rsidP="00DC0D9C">
      <w:pPr>
        <w:pStyle w:val="05Paragraph"/>
        <w:jc w:val="both"/>
      </w:pPr>
      <w:r>
        <w:t>The Victorian Government</w:t>
      </w:r>
      <w:r w:rsidR="008A0A9B">
        <w:t xml:space="preserve"> is</w:t>
      </w:r>
      <w:r>
        <w:t xml:space="preserve"> project</w:t>
      </w:r>
      <w:r w:rsidR="008A0A9B">
        <w:t>ing</w:t>
      </w:r>
      <w:r>
        <w:t xml:space="preserve"> </w:t>
      </w:r>
      <w:r w:rsidR="00D53FBA">
        <w:t>that</w:t>
      </w:r>
      <w:r>
        <w:t xml:space="preserve"> key fiscal aggregates, including the operating balance and net debt</w:t>
      </w:r>
      <w:r w:rsidR="009C507A">
        <w:t xml:space="preserve"> to GSP</w:t>
      </w:r>
      <w:r w:rsidR="000C516D">
        <w:t xml:space="preserve">, </w:t>
      </w:r>
      <w:r w:rsidR="001D1050">
        <w:t>will</w:t>
      </w:r>
      <w:r w:rsidR="000C516D">
        <w:t xml:space="preserve"> slowly improve</w:t>
      </w:r>
      <w:r>
        <w:t xml:space="preserve">. </w:t>
      </w:r>
      <w:r w:rsidR="0095090A">
        <w:t>Savings initiatives from the</w:t>
      </w:r>
      <w:r w:rsidR="00A27046">
        <w:t xml:space="preserve"> </w:t>
      </w:r>
      <w:r w:rsidR="00E61B9E">
        <w:t>Silver</w:t>
      </w:r>
      <w:r w:rsidR="00A27046">
        <w:t xml:space="preserve"> Review</w:t>
      </w:r>
      <w:r w:rsidR="00B85EE9">
        <w:t xml:space="preserve"> </w:t>
      </w:r>
      <w:r w:rsidR="00E61B9E">
        <w:t xml:space="preserve">may have </w:t>
      </w:r>
      <w:r w:rsidR="00705F6D">
        <w:t xml:space="preserve">further </w:t>
      </w:r>
      <w:r w:rsidR="00BE30CB">
        <w:t>short-term</w:t>
      </w:r>
      <w:r w:rsidR="00C94BED">
        <w:t xml:space="preserve"> </w:t>
      </w:r>
      <w:r w:rsidR="00463239">
        <w:t>impacts on the VPS.</w:t>
      </w:r>
      <w:r w:rsidR="00A27046">
        <w:t xml:space="preserve"> </w:t>
      </w:r>
    </w:p>
    <w:p w14:paraId="769C78FB" w14:textId="394174A1" w:rsidR="00505723" w:rsidRDefault="0095090A" w:rsidP="00DC0D9C">
      <w:pPr>
        <w:pStyle w:val="05Paragraph"/>
        <w:jc w:val="both"/>
      </w:pPr>
      <w:r>
        <w:t>P</w:t>
      </w:r>
      <w:r w:rsidR="00505723">
        <w:t>articular weighting</w:t>
      </w:r>
      <w:r>
        <w:t xml:space="preserve"> was also given</w:t>
      </w:r>
      <w:r w:rsidR="00505723">
        <w:t xml:space="preserve"> to the </w:t>
      </w:r>
      <w:r>
        <w:t>G</w:t>
      </w:r>
      <w:r w:rsidR="00851A45">
        <w:t>overnment</w:t>
      </w:r>
      <w:r w:rsidR="002E0069">
        <w:t>’s</w:t>
      </w:r>
      <w:r w:rsidR="00851A45">
        <w:t xml:space="preserve"> </w:t>
      </w:r>
      <w:r w:rsidR="00505723">
        <w:t>current Wages Policy</w:t>
      </w:r>
      <w:r w:rsidR="001C6D7C">
        <w:t>,</w:t>
      </w:r>
      <w:r w:rsidR="00505723">
        <w:t xml:space="preserve"> </w:t>
      </w:r>
      <w:r w:rsidR="001C67CF">
        <w:t xml:space="preserve">which </w:t>
      </w:r>
      <w:r w:rsidR="00D766B4">
        <w:t xml:space="preserve">generally </w:t>
      </w:r>
      <w:r w:rsidR="001C67CF">
        <w:t xml:space="preserve">provides for </w:t>
      </w:r>
      <w:r w:rsidR="00D62950">
        <w:t>public sector wages to grow at</w:t>
      </w:r>
      <w:r w:rsidR="009E41AA">
        <w:t xml:space="preserve"> </w:t>
      </w:r>
      <w:r w:rsidR="002916B9">
        <w:t>3 per cent per annum</w:t>
      </w:r>
      <w:r w:rsidR="00505723">
        <w:t>.</w:t>
      </w:r>
      <w:r w:rsidR="001528E3">
        <w:t xml:space="preserve"> </w:t>
      </w:r>
      <w:r w:rsidR="000735FD">
        <w:t xml:space="preserve">The </w:t>
      </w:r>
      <w:r w:rsidR="000735FD" w:rsidRPr="008708DF">
        <w:rPr>
          <w:i/>
          <w:iCs/>
        </w:rPr>
        <w:t>Victorian Public Service Agreement 2024</w:t>
      </w:r>
      <w:r w:rsidR="000735FD">
        <w:t xml:space="preserve"> provides for annual salary increase</w:t>
      </w:r>
      <w:r w:rsidR="00F25397">
        <w:t>s</w:t>
      </w:r>
      <w:r w:rsidR="000735FD">
        <w:t xml:space="preserve"> of 3 per cent over the life of the agreement for non-executive VPS staff.</w:t>
      </w:r>
    </w:p>
    <w:p w14:paraId="5180B0B6" w14:textId="01C8DD5B" w:rsidR="00505723" w:rsidRDefault="00272479" w:rsidP="00DC0D9C">
      <w:pPr>
        <w:pStyle w:val="05Paragraph"/>
        <w:jc w:val="both"/>
      </w:pPr>
      <w:r>
        <w:t xml:space="preserve">Remuneration relativities </w:t>
      </w:r>
      <w:r w:rsidR="006240DD">
        <w:t xml:space="preserve">between </w:t>
      </w:r>
      <w:r w:rsidR="00464F9D">
        <w:t>VPS</w:t>
      </w:r>
      <w:r w:rsidR="002B18CA">
        <w:t xml:space="preserve"> </w:t>
      </w:r>
      <w:r w:rsidR="006240DD">
        <w:t>employees</w:t>
      </w:r>
      <w:r w:rsidR="00505723">
        <w:t xml:space="preserve"> are </w:t>
      </w:r>
      <w:r w:rsidR="00B12DB1">
        <w:t>important to</w:t>
      </w:r>
      <w:r w:rsidR="004B66B6">
        <w:t xml:space="preserve"> encourage a steady flow of high-performing non-executives into executive roles, which have higher responsibilities, accountabilities and risks</w:t>
      </w:r>
      <w:r w:rsidR="00505723">
        <w:t xml:space="preserve">. The </w:t>
      </w:r>
      <w:r w:rsidR="00A4314A">
        <w:t xml:space="preserve">Tribunal </w:t>
      </w:r>
      <w:r w:rsidR="00547096">
        <w:t>noted that a</w:t>
      </w:r>
      <w:r w:rsidR="00A4314A">
        <w:t xml:space="preserve"> </w:t>
      </w:r>
      <w:r w:rsidR="003517A1">
        <w:br/>
      </w:r>
      <w:r w:rsidR="000148AC">
        <w:t>3 per cent increase to</w:t>
      </w:r>
      <w:r w:rsidR="00505723">
        <w:t xml:space="preserve"> the notional salary component of the remuneration bands</w:t>
      </w:r>
      <w:r w:rsidR="0000516A">
        <w:t xml:space="preserve"> </w:t>
      </w:r>
      <w:r w:rsidR="000148AC">
        <w:t>would</w:t>
      </w:r>
      <w:r w:rsidR="0000516A">
        <w:t xml:space="preserve"> </w:t>
      </w:r>
      <w:r w:rsidR="00505723">
        <w:t xml:space="preserve">maintain </w:t>
      </w:r>
      <w:r w:rsidR="00523C1B">
        <w:t>the</w:t>
      </w:r>
      <w:r w:rsidR="00505723">
        <w:t xml:space="preserve"> 12 per cent gap between the top of the VPS-6 band and the base of the SES-1 band</w:t>
      </w:r>
      <w:r w:rsidR="00A72B66">
        <w:t xml:space="preserve"> that it adopted </w:t>
      </w:r>
      <w:r w:rsidR="00505723">
        <w:t xml:space="preserve">in the 2024 Comprehensive Determination. </w:t>
      </w:r>
    </w:p>
    <w:p w14:paraId="33705D54" w14:textId="568FF623" w:rsidR="002E6790" w:rsidRDefault="00480714" w:rsidP="00DC0D9C">
      <w:pPr>
        <w:pStyle w:val="05Paragraph"/>
        <w:jc w:val="both"/>
      </w:pPr>
      <w:r>
        <w:t xml:space="preserve">Similarly, the </w:t>
      </w:r>
      <w:r w:rsidR="008A0C17">
        <w:t xml:space="preserve">Tribunal was also mindful of </w:t>
      </w:r>
      <w:r>
        <w:t>maintain</w:t>
      </w:r>
      <w:r w:rsidR="008A0C17">
        <w:t>ing</w:t>
      </w:r>
      <w:r>
        <w:t xml:space="preserve"> the gap between the top of the SES-3 band and the Secretary/Commissioner band, which reflects the differences in responsibility, risk and scrutiny attached to Secretary roles.</w:t>
      </w:r>
    </w:p>
    <w:p w14:paraId="68D1770B" w14:textId="5CFF1C24" w:rsidR="00C5363A" w:rsidRPr="00992B88" w:rsidRDefault="00C5363A" w:rsidP="00C5363A">
      <w:pPr>
        <w:pStyle w:val="05Paragraph"/>
        <w:jc w:val="both"/>
      </w:pPr>
      <w:r>
        <w:t>A further consideration for t</w:t>
      </w:r>
      <w:r w:rsidRPr="00992B88">
        <w:t>h</w:t>
      </w:r>
      <w:r>
        <w:t>e Tribunal was to maintain the current alignment</w:t>
      </w:r>
      <w:r w:rsidRPr="00992B88">
        <w:t xml:space="preserve"> </w:t>
      </w:r>
      <w:r>
        <w:t>of</w:t>
      </w:r>
      <w:r w:rsidRPr="00992B88">
        <w:t xml:space="preserve"> the remuneration bands </w:t>
      </w:r>
      <w:r>
        <w:t>for</w:t>
      </w:r>
      <w:r w:rsidRPr="00992B88">
        <w:t xml:space="preserve"> executives employed in </w:t>
      </w:r>
      <w:r>
        <w:t>public service bodies</w:t>
      </w:r>
      <w:r w:rsidR="003517A1">
        <w:t xml:space="preserve"> and public entities</w:t>
      </w:r>
      <w:r>
        <w:t xml:space="preserve">, consistent with </w:t>
      </w:r>
      <w:r w:rsidR="00FD0C6A">
        <w:t xml:space="preserve">its most recent </w:t>
      </w:r>
      <w:r w:rsidR="00FE5DA8">
        <w:t>c</w:t>
      </w:r>
      <w:r>
        <w:t xml:space="preserve">omprehensive </w:t>
      </w:r>
      <w:r w:rsidR="00FE5DA8">
        <w:t>d</w:t>
      </w:r>
      <w:r>
        <w:t>etermination</w:t>
      </w:r>
      <w:r w:rsidR="00FD0C6A">
        <w:t>s</w:t>
      </w:r>
      <w:r w:rsidRPr="00992B88">
        <w:t xml:space="preserve">. </w:t>
      </w:r>
    </w:p>
    <w:p w14:paraId="5BCEB1F3" w14:textId="098D631C" w:rsidR="00FB7A56" w:rsidRDefault="00910C03" w:rsidP="00DC0D9C">
      <w:pPr>
        <w:pStyle w:val="02VIRTHeading2"/>
        <w:jc w:val="both"/>
      </w:pPr>
      <w:bookmarkStart w:id="33" w:name="_Toc209438893"/>
      <w:r>
        <w:lastRenderedPageBreak/>
        <w:t>3.</w:t>
      </w:r>
      <w:r w:rsidR="00FB7A56">
        <w:t>2</w:t>
      </w:r>
      <w:r>
        <w:tab/>
        <w:t>Salary component</w:t>
      </w:r>
      <w:r w:rsidR="007B0647">
        <w:t xml:space="preserve"> adjustments</w:t>
      </w:r>
      <w:bookmarkEnd w:id="33"/>
    </w:p>
    <w:p w14:paraId="16841E42" w14:textId="54F524B9" w:rsidR="00D903CB" w:rsidRDefault="00FF020A" w:rsidP="00471F7C">
      <w:pPr>
        <w:pStyle w:val="05Paragraph"/>
        <w:jc w:val="both"/>
      </w:pPr>
      <w:r>
        <w:t xml:space="preserve">Having regard to </w:t>
      </w:r>
      <w:r w:rsidR="00414CEF">
        <w:t>the</w:t>
      </w:r>
      <w:r w:rsidR="00C15307">
        <w:t>se</w:t>
      </w:r>
      <w:r w:rsidR="00414CEF">
        <w:t xml:space="preserve"> </w:t>
      </w:r>
      <w:r>
        <w:t xml:space="preserve">considerations, the Tribunal has decided to increase the </w:t>
      </w:r>
      <w:r w:rsidR="00D903CB">
        <w:t xml:space="preserve">notional salary component of the values of </w:t>
      </w:r>
      <w:r w:rsidR="005F7788">
        <w:t xml:space="preserve">the </w:t>
      </w:r>
      <w:r w:rsidR="00D903CB">
        <w:t>VPS executive remuneration bands</w:t>
      </w:r>
      <w:r>
        <w:t xml:space="preserve"> by </w:t>
      </w:r>
      <w:r w:rsidR="0068673D" w:rsidRPr="0068673D">
        <w:t>3</w:t>
      </w:r>
      <w:r w:rsidRPr="0068673D">
        <w:t xml:space="preserve"> per cent from 1 July 2025.</w:t>
      </w:r>
    </w:p>
    <w:p w14:paraId="08AD8220" w14:textId="1A581DAF" w:rsidR="000F3CC3" w:rsidRDefault="00D903CB" w:rsidP="00471F7C">
      <w:pPr>
        <w:pStyle w:val="05Paragraph"/>
        <w:jc w:val="both"/>
      </w:pPr>
      <w:r w:rsidRPr="00892583">
        <w:t xml:space="preserve">Table </w:t>
      </w:r>
      <w:r w:rsidR="00892583">
        <w:t>1</w:t>
      </w:r>
      <w:r>
        <w:t xml:space="preserve"> shows the impact of applying the </w:t>
      </w:r>
      <w:r w:rsidR="0068673D" w:rsidRPr="0068673D">
        <w:t>3</w:t>
      </w:r>
      <w:r w:rsidRPr="0068673D">
        <w:t xml:space="preserve"> per cent adjustment</w:t>
      </w:r>
      <w:r>
        <w:t xml:space="preserve"> </w:t>
      </w:r>
      <w:r w:rsidR="00EF7D8A">
        <w:t xml:space="preserve">to </w:t>
      </w:r>
      <w:r>
        <w:t>the notional salary component of the values of the VPS executive remuneration bands.</w:t>
      </w:r>
    </w:p>
    <w:p w14:paraId="2D698CBD" w14:textId="3A0DEEFE" w:rsidR="00CA5FDF" w:rsidRPr="00626EB0" w:rsidRDefault="00CA5FDF" w:rsidP="00626EB0">
      <w:pPr>
        <w:pStyle w:val="08Figuretableboxheading"/>
      </w:pPr>
      <w:bookmarkStart w:id="34" w:name="_Hlk201676020"/>
      <w:r w:rsidRPr="00626EB0">
        <w:t xml:space="preserve">Table </w:t>
      </w:r>
      <w:r w:rsidR="00892583" w:rsidRPr="00626EB0">
        <w:t>1</w:t>
      </w:r>
      <w:r w:rsidRPr="00626EB0">
        <w:t>: Change to notional salary component of the remuneration bands due to the annual adjustment</w:t>
      </w:r>
    </w:p>
    <w:tbl>
      <w:tblPr>
        <w:tblStyle w:val="VIRTDeterminationTableStyle"/>
        <w:tblW w:w="0" w:type="auto"/>
        <w:tblInd w:w="0" w:type="dxa"/>
        <w:tblLayout w:type="fixed"/>
        <w:tblLook w:val="04A0" w:firstRow="1" w:lastRow="0" w:firstColumn="1" w:lastColumn="0" w:noHBand="0" w:noVBand="1"/>
      </w:tblPr>
      <w:tblGrid>
        <w:gridCol w:w="3402"/>
        <w:gridCol w:w="1488"/>
        <w:gridCol w:w="1489"/>
        <w:gridCol w:w="2125"/>
      </w:tblGrid>
      <w:tr w:rsidR="00DB3FEB" w:rsidRPr="00BB7A1E" w14:paraId="0B592AF4" w14:textId="77777777" w:rsidTr="00F0006A">
        <w:trPr>
          <w:cnfStyle w:val="100000000000" w:firstRow="1" w:lastRow="0" w:firstColumn="0" w:lastColumn="0" w:oddVBand="0" w:evenVBand="0" w:oddHBand="0" w:evenHBand="0" w:firstRowFirstColumn="0" w:firstRowLastColumn="0" w:lastRowFirstColumn="0" w:lastRowLastColumn="0"/>
          <w:trHeight w:val="203"/>
        </w:trPr>
        <w:tc>
          <w:tcPr>
            <w:cnfStyle w:val="001000000100" w:firstRow="0" w:lastRow="0" w:firstColumn="1" w:lastColumn="0" w:oddVBand="0" w:evenVBand="0" w:oddHBand="0" w:evenHBand="0" w:firstRowFirstColumn="1" w:firstRowLastColumn="0" w:lastRowFirstColumn="0" w:lastRowLastColumn="0"/>
            <w:tcW w:w="3402" w:type="dxa"/>
            <w:vMerge w:val="restart"/>
          </w:tcPr>
          <w:p w14:paraId="45490461" w14:textId="77777777" w:rsidR="00CA5FDF" w:rsidRPr="00BA71B7" w:rsidRDefault="00CA5FDF">
            <w:pPr>
              <w:pStyle w:val="08Figuretableboxheading"/>
              <w:spacing w:before="0"/>
              <w:ind w:left="0" w:firstLine="0"/>
              <w:rPr>
                <w:b/>
                <w:bCs w:val="0"/>
                <w:color w:val="FFFFFF" w:themeColor="background1"/>
                <w:sz w:val="22"/>
                <w:szCs w:val="20"/>
              </w:rPr>
            </w:pPr>
            <w:r w:rsidRPr="00BA71B7">
              <w:rPr>
                <w:b/>
                <w:bCs w:val="0"/>
                <w:color w:val="FFFFFF" w:themeColor="background1"/>
                <w:sz w:val="22"/>
                <w:szCs w:val="20"/>
              </w:rPr>
              <w:t>Classification</w:t>
            </w:r>
          </w:p>
        </w:tc>
        <w:tc>
          <w:tcPr>
            <w:tcW w:w="2977" w:type="dxa"/>
            <w:gridSpan w:val="2"/>
            <w:tcBorders>
              <w:bottom w:val="single" w:sz="4" w:space="0" w:color="00573F" w:themeColor="accent1"/>
            </w:tcBorders>
          </w:tcPr>
          <w:p w14:paraId="1D39CF4A" w14:textId="7BB3201E" w:rsidR="00CA5FDF" w:rsidRPr="00BA71B7" w:rsidRDefault="00501597">
            <w:pPr>
              <w:pStyle w:val="08Figuretableboxheading"/>
              <w:spacing w:before="0"/>
              <w:ind w:left="0" w:firstLine="0"/>
              <w:jc w:val="center"/>
              <w:cnfStyle w:val="100000000000" w:firstRow="1" w:lastRow="0" w:firstColumn="0" w:lastColumn="0" w:oddVBand="0" w:evenVBand="0" w:oddHBand="0" w:evenHBand="0" w:firstRowFirstColumn="0" w:firstRowLastColumn="0" w:lastRowFirstColumn="0" w:lastRowLastColumn="0"/>
              <w:rPr>
                <w:b/>
                <w:bCs w:val="0"/>
                <w:color w:val="FFFFFF" w:themeColor="background1"/>
                <w:sz w:val="22"/>
                <w:szCs w:val="20"/>
              </w:rPr>
            </w:pPr>
            <w:r>
              <w:rPr>
                <w:b/>
                <w:bCs w:val="0"/>
                <w:color w:val="FFFFFF" w:themeColor="background1"/>
                <w:sz w:val="22"/>
                <w:szCs w:val="20"/>
              </w:rPr>
              <w:t xml:space="preserve">Value as at </w:t>
            </w:r>
            <w:r w:rsidR="00CA5FDF" w:rsidRPr="00BA71B7">
              <w:rPr>
                <w:b/>
                <w:bCs w:val="0"/>
                <w:color w:val="FFFFFF" w:themeColor="background1"/>
                <w:sz w:val="22"/>
                <w:szCs w:val="20"/>
              </w:rPr>
              <w:t>30 June 2025</w:t>
            </w:r>
          </w:p>
        </w:tc>
        <w:tc>
          <w:tcPr>
            <w:tcW w:w="2125" w:type="dxa"/>
            <w:vMerge w:val="restart"/>
          </w:tcPr>
          <w:p w14:paraId="47901DBD" w14:textId="77777777" w:rsidR="00B87273" w:rsidRDefault="00CA5FDF">
            <w:pPr>
              <w:pStyle w:val="08Figuretableboxheading"/>
              <w:spacing w:before="0"/>
              <w:ind w:left="0" w:firstLine="0"/>
              <w:jc w:val="right"/>
              <w:cnfStyle w:val="100000000000" w:firstRow="1" w:lastRow="0" w:firstColumn="0" w:lastColumn="0" w:oddVBand="0" w:evenVBand="0" w:oddHBand="0" w:evenHBand="0" w:firstRowFirstColumn="0" w:firstRowLastColumn="0" w:lastRowFirstColumn="0" w:lastRowLastColumn="0"/>
              <w:rPr>
                <w:color w:val="FFFFFF" w:themeColor="background1"/>
                <w:sz w:val="22"/>
                <w:szCs w:val="20"/>
              </w:rPr>
            </w:pPr>
            <w:r w:rsidRPr="00BA71B7">
              <w:rPr>
                <w:b/>
                <w:bCs w:val="0"/>
                <w:color w:val="FFFFFF" w:themeColor="background1"/>
                <w:sz w:val="22"/>
                <w:szCs w:val="20"/>
              </w:rPr>
              <w:t>Change to notional salary component due to annual adjustment</w:t>
            </w:r>
            <w:r w:rsidRPr="00BA71B7">
              <w:rPr>
                <w:b/>
                <w:bCs w:val="0"/>
                <w:color w:val="FFFFFF" w:themeColor="background1"/>
                <w:sz w:val="22"/>
                <w:szCs w:val="20"/>
                <w:vertAlign w:val="superscript"/>
              </w:rPr>
              <w:t>(b)</w:t>
            </w:r>
            <w:r w:rsidRPr="00BA71B7">
              <w:rPr>
                <w:b/>
                <w:bCs w:val="0"/>
                <w:color w:val="FFFFFF" w:themeColor="background1"/>
                <w:sz w:val="22"/>
                <w:szCs w:val="20"/>
              </w:rPr>
              <w:t xml:space="preserve"> </w:t>
            </w:r>
          </w:p>
          <w:p w14:paraId="4DD1F963" w14:textId="4965202C" w:rsidR="00CA5FDF" w:rsidRPr="00BA71B7" w:rsidRDefault="00CA5FDF">
            <w:pPr>
              <w:pStyle w:val="08Figuretableboxheading"/>
              <w:spacing w:before="0"/>
              <w:ind w:left="0" w:firstLine="0"/>
              <w:jc w:val="right"/>
              <w:cnfStyle w:val="100000000000" w:firstRow="1" w:lastRow="0" w:firstColumn="0" w:lastColumn="0" w:oddVBand="0" w:evenVBand="0" w:oddHBand="0" w:evenHBand="0" w:firstRowFirstColumn="0" w:firstRowLastColumn="0" w:lastRowFirstColumn="0" w:lastRowLastColumn="0"/>
              <w:rPr>
                <w:b/>
                <w:bCs w:val="0"/>
                <w:color w:val="FFFFFF" w:themeColor="background1"/>
                <w:sz w:val="22"/>
                <w:szCs w:val="20"/>
              </w:rPr>
            </w:pPr>
            <w:r w:rsidRPr="00BA71B7">
              <w:rPr>
                <w:b/>
                <w:bCs w:val="0"/>
                <w:color w:val="FFFFFF" w:themeColor="background1"/>
                <w:sz w:val="22"/>
                <w:szCs w:val="20"/>
              </w:rPr>
              <w:t>($)</w:t>
            </w:r>
          </w:p>
        </w:tc>
      </w:tr>
      <w:tr w:rsidR="00DB3FEB" w14:paraId="46F627EF" w14:textId="77777777" w:rsidTr="00F3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Merge/>
            <w:tcBorders>
              <w:bottom w:val="single" w:sz="4" w:space="0" w:color="77D499" w:themeColor="accent6" w:themeShade="BF"/>
            </w:tcBorders>
          </w:tcPr>
          <w:p w14:paraId="76D179E6" w14:textId="77777777" w:rsidR="00CA5FDF" w:rsidRPr="00BA71B7" w:rsidRDefault="00CA5FDF">
            <w:pPr>
              <w:pStyle w:val="08Figuretableboxheading"/>
              <w:ind w:left="0" w:firstLine="0"/>
              <w:rPr>
                <w:sz w:val="22"/>
                <w:szCs w:val="20"/>
              </w:rPr>
            </w:pPr>
          </w:p>
        </w:tc>
        <w:tc>
          <w:tcPr>
            <w:tcW w:w="1488" w:type="dxa"/>
            <w:tcBorders>
              <w:top w:val="single" w:sz="4" w:space="0" w:color="00573F" w:themeColor="accent1"/>
              <w:bottom w:val="single" w:sz="4" w:space="0" w:color="77D499" w:themeColor="accent6" w:themeShade="BF"/>
            </w:tcBorders>
            <w:shd w:val="clear" w:color="auto" w:fill="383834" w:themeFill="background2" w:themeFillShade="40"/>
          </w:tcPr>
          <w:p w14:paraId="5D3E73A6" w14:textId="33F75791" w:rsidR="00CA5FDF" w:rsidRPr="00BA71B7" w:rsidRDefault="00CA5FDF" w:rsidP="00901D2F">
            <w:pPr>
              <w:pStyle w:val="08Figuretableboxheading"/>
              <w:spacing w:before="0"/>
              <w:ind w:left="0" w:firstLine="0"/>
              <w:jc w:val="right"/>
              <w:cnfStyle w:val="000000100000" w:firstRow="0" w:lastRow="0" w:firstColumn="0" w:lastColumn="0" w:oddVBand="0" w:evenVBand="0" w:oddHBand="1" w:evenHBand="0" w:firstRowFirstColumn="0" w:firstRowLastColumn="0" w:lastRowFirstColumn="0" w:lastRowLastColumn="0"/>
              <w:rPr>
                <w:sz w:val="22"/>
                <w:szCs w:val="20"/>
              </w:rPr>
            </w:pPr>
            <w:r w:rsidRPr="00BA71B7">
              <w:rPr>
                <w:color w:val="FFFFFF" w:themeColor="background1"/>
                <w:sz w:val="22"/>
                <w:szCs w:val="20"/>
              </w:rPr>
              <w:t xml:space="preserve">TRP value </w:t>
            </w:r>
            <w:r w:rsidRPr="00BA71B7">
              <w:rPr>
                <w:color w:val="FFFFFF" w:themeColor="background1"/>
                <w:sz w:val="22"/>
                <w:szCs w:val="20"/>
              </w:rPr>
              <w:br/>
            </w:r>
            <w:r w:rsidR="00201092" w:rsidRPr="00BA71B7">
              <w:rPr>
                <w:color w:val="FFFFFF" w:themeColor="background1"/>
                <w:sz w:val="22"/>
                <w:szCs w:val="20"/>
              </w:rPr>
              <w:br/>
            </w:r>
            <w:r w:rsidR="00201092" w:rsidRPr="00BA71B7">
              <w:rPr>
                <w:color w:val="FFFFFF" w:themeColor="background1"/>
                <w:sz w:val="22"/>
                <w:szCs w:val="20"/>
              </w:rPr>
              <w:br/>
            </w:r>
            <w:r w:rsidRPr="00BA71B7">
              <w:rPr>
                <w:color w:val="FFFFFF" w:themeColor="background1"/>
                <w:sz w:val="22"/>
                <w:szCs w:val="20"/>
              </w:rPr>
              <w:t xml:space="preserve">($ </w:t>
            </w:r>
            <w:r w:rsidR="00901D2F" w:rsidRPr="00BA71B7">
              <w:rPr>
                <w:color w:val="FFFFFF" w:themeColor="background1"/>
                <w:sz w:val="22"/>
                <w:szCs w:val="20"/>
              </w:rPr>
              <w:t>p.a.</w:t>
            </w:r>
            <w:r w:rsidRPr="00BA71B7">
              <w:rPr>
                <w:color w:val="FFFFFF" w:themeColor="background1"/>
                <w:sz w:val="22"/>
                <w:szCs w:val="20"/>
              </w:rPr>
              <w:t>)</w:t>
            </w:r>
          </w:p>
        </w:tc>
        <w:tc>
          <w:tcPr>
            <w:tcW w:w="1489" w:type="dxa"/>
            <w:tcBorders>
              <w:top w:val="single" w:sz="4" w:space="0" w:color="00573F" w:themeColor="accent1"/>
              <w:bottom w:val="single" w:sz="4" w:space="0" w:color="77D499" w:themeColor="accent6" w:themeShade="BF"/>
            </w:tcBorders>
            <w:shd w:val="clear" w:color="auto" w:fill="383834" w:themeFill="background2" w:themeFillShade="40"/>
          </w:tcPr>
          <w:p w14:paraId="3FE79453" w14:textId="1B3B2C9B" w:rsidR="00CA5FDF" w:rsidRPr="00BA71B7" w:rsidRDefault="00CA5FDF" w:rsidP="00901D2F">
            <w:pPr>
              <w:pStyle w:val="08Figuretableboxheading"/>
              <w:spacing w:before="0"/>
              <w:ind w:left="0" w:firstLine="0"/>
              <w:jc w:val="right"/>
              <w:cnfStyle w:val="000000100000" w:firstRow="0" w:lastRow="0" w:firstColumn="0" w:lastColumn="0" w:oddVBand="0" w:evenVBand="0" w:oddHBand="1" w:evenHBand="0" w:firstRowFirstColumn="0" w:firstRowLastColumn="0" w:lastRowFirstColumn="0" w:lastRowLastColumn="0"/>
              <w:rPr>
                <w:color w:val="FFFFFF" w:themeColor="background1"/>
                <w:sz w:val="22"/>
                <w:szCs w:val="20"/>
                <w:vertAlign w:val="superscript"/>
              </w:rPr>
            </w:pPr>
            <w:r w:rsidRPr="00BA71B7">
              <w:rPr>
                <w:color w:val="FFFFFF" w:themeColor="background1"/>
                <w:sz w:val="22"/>
                <w:szCs w:val="20"/>
              </w:rPr>
              <w:t>Notional salary component</w:t>
            </w:r>
            <w:r w:rsidRPr="00BA71B7">
              <w:rPr>
                <w:color w:val="FFFFFF" w:themeColor="background1"/>
                <w:sz w:val="22"/>
                <w:szCs w:val="20"/>
                <w:vertAlign w:val="superscript"/>
              </w:rPr>
              <w:t xml:space="preserve">(a) </w:t>
            </w:r>
            <w:r w:rsidRPr="00BA71B7">
              <w:rPr>
                <w:color w:val="FFFFFF" w:themeColor="background1"/>
                <w:sz w:val="22"/>
                <w:szCs w:val="20"/>
                <w:vertAlign w:val="superscript"/>
              </w:rPr>
              <w:br/>
            </w:r>
            <w:r w:rsidRPr="00BA71B7">
              <w:rPr>
                <w:color w:val="FFFFFF" w:themeColor="background1"/>
                <w:sz w:val="22"/>
                <w:szCs w:val="20"/>
              </w:rPr>
              <w:t xml:space="preserve">($ </w:t>
            </w:r>
            <w:r w:rsidR="00901D2F" w:rsidRPr="00BA71B7">
              <w:rPr>
                <w:color w:val="FFFFFF" w:themeColor="background1"/>
                <w:sz w:val="22"/>
                <w:szCs w:val="20"/>
              </w:rPr>
              <w:t>p.a.</w:t>
            </w:r>
            <w:r w:rsidRPr="00BA71B7">
              <w:rPr>
                <w:color w:val="FFFFFF" w:themeColor="background1"/>
                <w:sz w:val="22"/>
                <w:szCs w:val="20"/>
              </w:rPr>
              <w:t>)</w:t>
            </w:r>
          </w:p>
        </w:tc>
        <w:tc>
          <w:tcPr>
            <w:tcW w:w="2125" w:type="dxa"/>
            <w:vMerge/>
            <w:tcBorders>
              <w:bottom w:val="single" w:sz="4" w:space="0" w:color="77D499" w:themeColor="accent6" w:themeShade="BF"/>
            </w:tcBorders>
          </w:tcPr>
          <w:p w14:paraId="32321902" w14:textId="77777777" w:rsidR="00CA5FDF" w:rsidRPr="00BA71B7" w:rsidRDefault="00CA5FDF">
            <w:pPr>
              <w:pStyle w:val="08Figuretableboxheading"/>
              <w:ind w:left="0" w:firstLine="0"/>
              <w:jc w:val="right"/>
              <w:cnfStyle w:val="000000100000" w:firstRow="0" w:lastRow="0" w:firstColumn="0" w:lastColumn="0" w:oddVBand="0" w:evenVBand="0" w:oddHBand="1" w:evenHBand="0" w:firstRowFirstColumn="0" w:firstRowLastColumn="0" w:lastRowFirstColumn="0" w:lastRowLastColumn="0"/>
              <w:rPr>
                <w:sz w:val="22"/>
                <w:szCs w:val="20"/>
              </w:rPr>
            </w:pPr>
          </w:p>
        </w:tc>
      </w:tr>
      <w:tr w:rsidR="008364FD" w14:paraId="063B86A6" w14:textId="77777777" w:rsidTr="00B03FCC">
        <w:trPr>
          <w:trHeight w:val="227"/>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77D499" w:themeColor="accent6" w:themeShade="BF"/>
            </w:tcBorders>
            <w:shd w:val="clear" w:color="auto" w:fill="77D499" w:themeFill="accent6" w:themeFillShade="BF"/>
          </w:tcPr>
          <w:p w14:paraId="6C66DD3B" w14:textId="7CBBC3B0" w:rsidR="00CA5FDF" w:rsidRPr="00BA71B7" w:rsidRDefault="00CA5FDF" w:rsidP="000F2011">
            <w:pPr>
              <w:pStyle w:val="08Figuretableboxheading"/>
              <w:spacing w:before="0" w:after="0"/>
              <w:ind w:left="0" w:firstLine="0"/>
              <w:contextualSpacing/>
              <w:rPr>
                <w:color w:val="auto"/>
                <w:sz w:val="22"/>
                <w:szCs w:val="20"/>
              </w:rPr>
            </w:pPr>
            <w:r w:rsidRPr="0074248D">
              <w:rPr>
                <w:color w:val="auto"/>
                <w:sz w:val="22"/>
                <w:szCs w:val="20"/>
              </w:rPr>
              <w:t>SES-1</w:t>
            </w:r>
            <w:r w:rsidR="008A4EBF" w:rsidRPr="0074248D">
              <w:rPr>
                <w:color w:val="auto"/>
                <w:sz w:val="22"/>
                <w:szCs w:val="20"/>
              </w:rPr>
              <w:t xml:space="preserve"> </w:t>
            </w:r>
            <w:r w:rsidRPr="0074248D">
              <w:rPr>
                <w:color w:val="auto"/>
                <w:sz w:val="22"/>
                <w:szCs w:val="20"/>
              </w:rPr>
              <w:t>/</w:t>
            </w:r>
            <w:r w:rsidR="008A4EBF" w:rsidRPr="0074248D">
              <w:rPr>
                <w:color w:val="auto"/>
                <w:sz w:val="22"/>
                <w:szCs w:val="20"/>
              </w:rPr>
              <w:t xml:space="preserve"> </w:t>
            </w:r>
            <w:r w:rsidRPr="0074248D">
              <w:rPr>
                <w:color w:val="auto"/>
                <w:sz w:val="22"/>
                <w:szCs w:val="20"/>
              </w:rPr>
              <w:t>AO Head-1</w:t>
            </w:r>
          </w:p>
        </w:tc>
        <w:tc>
          <w:tcPr>
            <w:tcW w:w="1488" w:type="dxa"/>
            <w:tcBorders>
              <w:top w:val="single" w:sz="4" w:space="0" w:color="77D499" w:themeColor="accent6" w:themeShade="BF"/>
            </w:tcBorders>
            <w:shd w:val="clear" w:color="auto" w:fill="77D499" w:themeFill="accent6" w:themeFillShade="BF"/>
          </w:tcPr>
          <w:p w14:paraId="4141FF5E" w14:textId="77777777" w:rsidR="00CA5FDF" w:rsidRPr="00BA71B7" w:rsidRDefault="00CA5FDF" w:rsidP="000F2011">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color w:val="auto"/>
                <w:sz w:val="22"/>
                <w:szCs w:val="20"/>
              </w:rPr>
            </w:pPr>
          </w:p>
        </w:tc>
        <w:tc>
          <w:tcPr>
            <w:tcW w:w="1489" w:type="dxa"/>
            <w:tcBorders>
              <w:top w:val="single" w:sz="4" w:space="0" w:color="77D499" w:themeColor="accent6" w:themeShade="BF"/>
            </w:tcBorders>
            <w:shd w:val="clear" w:color="auto" w:fill="77D499" w:themeFill="accent6" w:themeFillShade="BF"/>
          </w:tcPr>
          <w:p w14:paraId="1BEE9863" w14:textId="77777777" w:rsidR="00CA5FDF" w:rsidRPr="00BA71B7" w:rsidRDefault="00CA5FDF" w:rsidP="000F2011">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sz w:val="22"/>
                <w:szCs w:val="20"/>
              </w:rPr>
            </w:pPr>
          </w:p>
        </w:tc>
        <w:tc>
          <w:tcPr>
            <w:tcW w:w="2125" w:type="dxa"/>
            <w:tcBorders>
              <w:top w:val="single" w:sz="4" w:space="0" w:color="77D499" w:themeColor="accent6" w:themeShade="BF"/>
            </w:tcBorders>
            <w:shd w:val="clear" w:color="auto" w:fill="77D499" w:themeFill="accent6" w:themeFillShade="BF"/>
          </w:tcPr>
          <w:p w14:paraId="2B58BC46" w14:textId="77777777" w:rsidR="00CA5FDF" w:rsidRPr="00BA71B7" w:rsidRDefault="00CA5FDF" w:rsidP="000F2011">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sz w:val="22"/>
                <w:szCs w:val="20"/>
              </w:rPr>
            </w:pPr>
          </w:p>
        </w:tc>
      </w:tr>
      <w:tr w:rsidR="008364FD" w14:paraId="63C6F1B2" w14:textId="77777777" w:rsidTr="00F0006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02" w:type="dxa"/>
          </w:tcPr>
          <w:p w14:paraId="34A95124" w14:textId="77777777" w:rsidR="00CA5FDF" w:rsidRPr="00BA71B7" w:rsidRDefault="00CA5FDF" w:rsidP="000F2011">
            <w:pPr>
              <w:pStyle w:val="08Figuretableboxheading"/>
              <w:spacing w:before="0" w:after="0"/>
              <w:ind w:left="0" w:firstLine="0"/>
              <w:contextualSpacing/>
              <w:rPr>
                <w:b w:val="0"/>
                <w:bCs w:val="0"/>
                <w:color w:val="auto"/>
                <w:sz w:val="22"/>
                <w:szCs w:val="20"/>
              </w:rPr>
            </w:pPr>
            <w:r w:rsidRPr="00BA71B7">
              <w:rPr>
                <w:b w:val="0"/>
                <w:bCs w:val="0"/>
                <w:color w:val="auto"/>
                <w:sz w:val="22"/>
                <w:szCs w:val="20"/>
              </w:rPr>
              <w:t>base of band</w:t>
            </w:r>
          </w:p>
        </w:tc>
        <w:tc>
          <w:tcPr>
            <w:tcW w:w="1488" w:type="dxa"/>
          </w:tcPr>
          <w:p w14:paraId="5E9AACD1" w14:textId="77777777" w:rsidR="00CA5FDF" w:rsidRPr="00BA71B7" w:rsidRDefault="00CA5FDF" w:rsidP="000F2011">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color w:val="auto"/>
                <w:sz w:val="22"/>
                <w:szCs w:val="20"/>
              </w:rPr>
            </w:pPr>
            <w:r w:rsidRPr="00BA71B7">
              <w:rPr>
                <w:b w:val="0"/>
                <w:bCs/>
                <w:color w:val="auto"/>
                <w:sz w:val="22"/>
                <w:szCs w:val="20"/>
              </w:rPr>
              <w:t>225,000</w:t>
            </w:r>
          </w:p>
        </w:tc>
        <w:tc>
          <w:tcPr>
            <w:tcW w:w="1489" w:type="dxa"/>
          </w:tcPr>
          <w:p w14:paraId="6EE4A67D" w14:textId="77777777" w:rsidR="00CA5FDF" w:rsidRPr="00BA71B7" w:rsidRDefault="00CA5FDF" w:rsidP="000F2011">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BA71B7">
              <w:rPr>
                <w:b w:val="0"/>
                <w:bCs/>
                <w:color w:val="auto"/>
                <w:sz w:val="22"/>
                <w:szCs w:val="20"/>
              </w:rPr>
              <w:t>201,794</w:t>
            </w:r>
          </w:p>
        </w:tc>
        <w:tc>
          <w:tcPr>
            <w:tcW w:w="2125" w:type="dxa"/>
          </w:tcPr>
          <w:p w14:paraId="54D3FE13" w14:textId="77777777" w:rsidR="00CA5FDF" w:rsidRPr="00BA71B7" w:rsidRDefault="00CA5FDF" w:rsidP="000F2011">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BA71B7">
              <w:rPr>
                <w:b w:val="0"/>
                <w:bCs/>
                <w:color w:val="auto"/>
                <w:sz w:val="22"/>
                <w:szCs w:val="20"/>
              </w:rPr>
              <w:t>6,054</w:t>
            </w:r>
          </w:p>
        </w:tc>
      </w:tr>
      <w:tr w:rsidR="008364FD" w14:paraId="14D333C7" w14:textId="77777777" w:rsidTr="00F0006A">
        <w:trPr>
          <w:trHeight w:val="227"/>
        </w:trPr>
        <w:tc>
          <w:tcPr>
            <w:cnfStyle w:val="001000000000" w:firstRow="0" w:lastRow="0" w:firstColumn="1" w:lastColumn="0" w:oddVBand="0" w:evenVBand="0" w:oddHBand="0" w:evenHBand="0" w:firstRowFirstColumn="0" w:firstRowLastColumn="0" w:lastRowFirstColumn="0" w:lastRowLastColumn="0"/>
            <w:tcW w:w="3402" w:type="dxa"/>
          </w:tcPr>
          <w:p w14:paraId="62332EDA" w14:textId="77777777" w:rsidR="00CA5FDF" w:rsidRPr="00BA71B7" w:rsidRDefault="00CA5FDF" w:rsidP="000F2011">
            <w:pPr>
              <w:pStyle w:val="08Figuretableboxheading"/>
              <w:spacing w:before="0" w:after="0"/>
              <w:ind w:left="0" w:firstLine="0"/>
              <w:contextualSpacing/>
              <w:rPr>
                <w:b w:val="0"/>
                <w:bCs w:val="0"/>
                <w:color w:val="auto"/>
                <w:sz w:val="22"/>
                <w:szCs w:val="20"/>
              </w:rPr>
            </w:pPr>
            <w:r w:rsidRPr="00BA71B7">
              <w:rPr>
                <w:b w:val="0"/>
                <w:bCs w:val="0"/>
                <w:color w:val="auto"/>
                <w:sz w:val="22"/>
                <w:szCs w:val="20"/>
              </w:rPr>
              <w:t>top of band</w:t>
            </w:r>
          </w:p>
        </w:tc>
        <w:tc>
          <w:tcPr>
            <w:tcW w:w="1488" w:type="dxa"/>
          </w:tcPr>
          <w:p w14:paraId="60993E54" w14:textId="77777777" w:rsidR="00CA5FDF" w:rsidRPr="00BA71B7" w:rsidRDefault="00CA5FDF" w:rsidP="000F2011">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color w:val="auto"/>
                <w:sz w:val="22"/>
                <w:szCs w:val="20"/>
              </w:rPr>
            </w:pPr>
            <w:r w:rsidRPr="00BA71B7">
              <w:rPr>
                <w:b w:val="0"/>
                <w:bCs/>
                <w:color w:val="auto"/>
                <w:sz w:val="22"/>
                <w:szCs w:val="20"/>
              </w:rPr>
              <w:t>290,600</w:t>
            </w:r>
          </w:p>
        </w:tc>
        <w:tc>
          <w:tcPr>
            <w:tcW w:w="1489" w:type="dxa"/>
          </w:tcPr>
          <w:p w14:paraId="71F91440" w14:textId="77777777" w:rsidR="00CA5FDF" w:rsidRPr="00BA71B7" w:rsidRDefault="00CA5FDF" w:rsidP="000F2011">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BA71B7">
              <w:rPr>
                <w:b w:val="0"/>
                <w:bCs/>
                <w:color w:val="auto"/>
                <w:sz w:val="22"/>
                <w:szCs w:val="20"/>
              </w:rPr>
              <w:t>260,668</w:t>
            </w:r>
          </w:p>
        </w:tc>
        <w:tc>
          <w:tcPr>
            <w:tcW w:w="2125" w:type="dxa"/>
          </w:tcPr>
          <w:p w14:paraId="7B8ABF20" w14:textId="77777777" w:rsidR="00CA5FDF" w:rsidRPr="00BA71B7" w:rsidRDefault="00CA5FDF" w:rsidP="000F2011">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BA71B7">
              <w:rPr>
                <w:b w:val="0"/>
                <w:bCs/>
                <w:color w:val="auto"/>
                <w:sz w:val="22"/>
                <w:szCs w:val="20"/>
              </w:rPr>
              <w:t>7,820</w:t>
            </w:r>
          </w:p>
        </w:tc>
      </w:tr>
      <w:tr w:rsidR="008364FD" w14:paraId="14581678" w14:textId="77777777" w:rsidTr="00F0006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02" w:type="dxa"/>
            <w:shd w:val="clear" w:color="auto" w:fill="77D499" w:themeFill="accent6" w:themeFillShade="BF"/>
          </w:tcPr>
          <w:p w14:paraId="0576043B" w14:textId="171A3149" w:rsidR="00CA5FDF" w:rsidRPr="006A5DD7" w:rsidRDefault="00CA5FDF" w:rsidP="000F2011">
            <w:pPr>
              <w:pStyle w:val="08Figuretableboxheading"/>
              <w:spacing w:before="0" w:after="0"/>
              <w:ind w:left="0" w:firstLine="0"/>
              <w:contextualSpacing/>
              <w:rPr>
                <w:color w:val="FFFFFF" w:themeColor="background1"/>
                <w:sz w:val="22"/>
                <w:szCs w:val="20"/>
              </w:rPr>
            </w:pPr>
            <w:r w:rsidRPr="0074248D">
              <w:rPr>
                <w:color w:val="auto"/>
                <w:sz w:val="22"/>
                <w:szCs w:val="20"/>
              </w:rPr>
              <w:t>SES-2</w:t>
            </w:r>
            <w:r w:rsidR="008A4EBF" w:rsidRPr="0074248D">
              <w:rPr>
                <w:color w:val="auto"/>
                <w:sz w:val="22"/>
                <w:szCs w:val="20"/>
              </w:rPr>
              <w:t xml:space="preserve"> </w:t>
            </w:r>
            <w:r w:rsidRPr="0074248D">
              <w:rPr>
                <w:color w:val="auto"/>
                <w:sz w:val="22"/>
                <w:szCs w:val="20"/>
              </w:rPr>
              <w:t>/</w:t>
            </w:r>
            <w:r w:rsidR="008A4EBF" w:rsidRPr="0074248D">
              <w:rPr>
                <w:color w:val="auto"/>
                <w:sz w:val="22"/>
                <w:szCs w:val="20"/>
              </w:rPr>
              <w:t xml:space="preserve"> </w:t>
            </w:r>
            <w:r w:rsidRPr="0074248D">
              <w:rPr>
                <w:color w:val="auto"/>
                <w:sz w:val="22"/>
                <w:szCs w:val="20"/>
              </w:rPr>
              <w:t>AO Head-2</w:t>
            </w:r>
          </w:p>
        </w:tc>
        <w:tc>
          <w:tcPr>
            <w:tcW w:w="1488" w:type="dxa"/>
            <w:shd w:val="clear" w:color="auto" w:fill="77D499" w:themeFill="accent6" w:themeFillShade="BF"/>
          </w:tcPr>
          <w:p w14:paraId="1B8D01FC" w14:textId="77777777" w:rsidR="00CA5FDF" w:rsidRPr="00BA71B7" w:rsidRDefault="00CA5FDF" w:rsidP="000F2011">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color w:val="auto"/>
                <w:sz w:val="22"/>
                <w:szCs w:val="20"/>
              </w:rPr>
            </w:pPr>
          </w:p>
        </w:tc>
        <w:tc>
          <w:tcPr>
            <w:tcW w:w="1489" w:type="dxa"/>
            <w:shd w:val="clear" w:color="auto" w:fill="77D499" w:themeFill="accent6" w:themeFillShade="BF"/>
          </w:tcPr>
          <w:p w14:paraId="0B91DD04" w14:textId="77777777" w:rsidR="00CA5FDF" w:rsidRPr="00BA71B7" w:rsidRDefault="00CA5FDF" w:rsidP="000F2011">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p>
        </w:tc>
        <w:tc>
          <w:tcPr>
            <w:tcW w:w="2125" w:type="dxa"/>
            <w:shd w:val="clear" w:color="auto" w:fill="77D499" w:themeFill="accent6" w:themeFillShade="BF"/>
          </w:tcPr>
          <w:p w14:paraId="75D8AC54" w14:textId="77777777" w:rsidR="00CA5FDF" w:rsidRPr="00BA71B7" w:rsidRDefault="00CA5FDF" w:rsidP="000F2011">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p>
        </w:tc>
      </w:tr>
      <w:tr w:rsidR="008364FD" w14:paraId="7C5131E8" w14:textId="77777777" w:rsidTr="00F0006A">
        <w:trPr>
          <w:trHeight w:val="227"/>
        </w:trPr>
        <w:tc>
          <w:tcPr>
            <w:cnfStyle w:val="001000000000" w:firstRow="0" w:lastRow="0" w:firstColumn="1" w:lastColumn="0" w:oddVBand="0" w:evenVBand="0" w:oddHBand="0" w:evenHBand="0" w:firstRowFirstColumn="0" w:firstRowLastColumn="0" w:lastRowFirstColumn="0" w:lastRowLastColumn="0"/>
            <w:tcW w:w="3402" w:type="dxa"/>
          </w:tcPr>
          <w:p w14:paraId="1262A821" w14:textId="77777777" w:rsidR="00CA5FDF" w:rsidRPr="00BA71B7" w:rsidRDefault="00CA5FDF" w:rsidP="000F2011">
            <w:pPr>
              <w:pStyle w:val="08Figuretableboxheading"/>
              <w:spacing w:before="0" w:after="0"/>
              <w:ind w:left="0" w:firstLine="0"/>
              <w:contextualSpacing/>
              <w:rPr>
                <w:b w:val="0"/>
                <w:bCs w:val="0"/>
                <w:color w:val="auto"/>
                <w:sz w:val="22"/>
                <w:szCs w:val="20"/>
              </w:rPr>
            </w:pPr>
            <w:r w:rsidRPr="00BA71B7">
              <w:rPr>
                <w:b w:val="0"/>
                <w:bCs w:val="0"/>
                <w:color w:val="auto"/>
                <w:sz w:val="22"/>
                <w:szCs w:val="20"/>
              </w:rPr>
              <w:t>base of band</w:t>
            </w:r>
          </w:p>
        </w:tc>
        <w:tc>
          <w:tcPr>
            <w:tcW w:w="1488" w:type="dxa"/>
          </w:tcPr>
          <w:p w14:paraId="6DD8A5BE" w14:textId="1542F8B2" w:rsidR="00CA5FDF" w:rsidRPr="00BA71B7" w:rsidRDefault="00A35322" w:rsidP="000F2011">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color w:val="auto"/>
                <w:sz w:val="22"/>
                <w:szCs w:val="20"/>
              </w:rPr>
            </w:pPr>
            <w:r>
              <w:rPr>
                <w:b w:val="0"/>
                <w:bCs/>
                <w:color w:val="auto"/>
                <w:sz w:val="22"/>
                <w:szCs w:val="20"/>
              </w:rPr>
              <w:t>290,601</w:t>
            </w:r>
          </w:p>
        </w:tc>
        <w:tc>
          <w:tcPr>
            <w:tcW w:w="1489" w:type="dxa"/>
          </w:tcPr>
          <w:p w14:paraId="2B5B6D39" w14:textId="77777777" w:rsidR="00CA5FDF" w:rsidRPr="00BA71B7" w:rsidRDefault="00CA5FDF" w:rsidP="000F2011">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BA71B7">
              <w:rPr>
                <w:b w:val="0"/>
                <w:bCs/>
                <w:color w:val="auto"/>
                <w:sz w:val="22"/>
                <w:szCs w:val="20"/>
              </w:rPr>
              <w:t>260,669</w:t>
            </w:r>
          </w:p>
        </w:tc>
        <w:tc>
          <w:tcPr>
            <w:tcW w:w="2125" w:type="dxa"/>
          </w:tcPr>
          <w:p w14:paraId="6D79FFA4" w14:textId="77777777" w:rsidR="00CA5FDF" w:rsidRPr="00BA71B7" w:rsidRDefault="00CA5FDF" w:rsidP="000F2011">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BA71B7">
              <w:rPr>
                <w:b w:val="0"/>
                <w:bCs/>
                <w:color w:val="auto"/>
                <w:sz w:val="22"/>
                <w:szCs w:val="20"/>
              </w:rPr>
              <w:t>7,820</w:t>
            </w:r>
          </w:p>
        </w:tc>
      </w:tr>
      <w:tr w:rsidR="008364FD" w14:paraId="4B4D8E2F" w14:textId="77777777" w:rsidTr="00F0006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02" w:type="dxa"/>
          </w:tcPr>
          <w:p w14:paraId="51F490E2" w14:textId="77777777" w:rsidR="00CA5FDF" w:rsidRPr="00BA71B7" w:rsidRDefault="00CA5FDF" w:rsidP="000F2011">
            <w:pPr>
              <w:pStyle w:val="08Figuretableboxheading"/>
              <w:spacing w:before="0" w:after="0"/>
              <w:ind w:left="0" w:firstLine="0"/>
              <w:contextualSpacing/>
              <w:rPr>
                <w:b w:val="0"/>
                <w:bCs w:val="0"/>
                <w:color w:val="auto"/>
                <w:sz w:val="22"/>
                <w:szCs w:val="20"/>
              </w:rPr>
            </w:pPr>
            <w:r w:rsidRPr="00BA71B7">
              <w:rPr>
                <w:b w:val="0"/>
                <w:bCs w:val="0"/>
                <w:color w:val="auto"/>
                <w:sz w:val="22"/>
                <w:szCs w:val="20"/>
              </w:rPr>
              <w:t>top of band</w:t>
            </w:r>
          </w:p>
        </w:tc>
        <w:tc>
          <w:tcPr>
            <w:tcW w:w="1488" w:type="dxa"/>
          </w:tcPr>
          <w:p w14:paraId="2E6714D4" w14:textId="292C4DC5" w:rsidR="00CA5FDF" w:rsidRPr="00BA71B7" w:rsidRDefault="00A35322" w:rsidP="000F2011">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color w:val="auto"/>
                <w:sz w:val="22"/>
                <w:szCs w:val="20"/>
              </w:rPr>
            </w:pPr>
            <w:r>
              <w:rPr>
                <w:b w:val="0"/>
                <w:bCs/>
                <w:color w:val="auto"/>
                <w:sz w:val="22"/>
                <w:szCs w:val="20"/>
              </w:rPr>
              <w:t>419,000</w:t>
            </w:r>
          </w:p>
        </w:tc>
        <w:tc>
          <w:tcPr>
            <w:tcW w:w="1489" w:type="dxa"/>
          </w:tcPr>
          <w:p w14:paraId="4396E3FB" w14:textId="77777777" w:rsidR="00CA5FDF" w:rsidRPr="00BA71B7" w:rsidRDefault="00CA5FDF" w:rsidP="000F2011">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BA71B7">
              <w:rPr>
                <w:b w:val="0"/>
                <w:bCs/>
                <w:color w:val="auto"/>
                <w:sz w:val="22"/>
                <w:szCs w:val="20"/>
              </w:rPr>
              <w:t>389,068</w:t>
            </w:r>
          </w:p>
        </w:tc>
        <w:tc>
          <w:tcPr>
            <w:tcW w:w="2125" w:type="dxa"/>
          </w:tcPr>
          <w:p w14:paraId="0EB4DB4B" w14:textId="77777777" w:rsidR="00CA5FDF" w:rsidRPr="00BA71B7" w:rsidRDefault="00CA5FDF" w:rsidP="000F2011">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BA71B7">
              <w:rPr>
                <w:b w:val="0"/>
                <w:bCs/>
                <w:color w:val="auto"/>
                <w:sz w:val="22"/>
                <w:szCs w:val="20"/>
              </w:rPr>
              <w:t>11,672</w:t>
            </w:r>
          </w:p>
        </w:tc>
      </w:tr>
      <w:tr w:rsidR="008364FD" w14:paraId="384A5400" w14:textId="77777777" w:rsidTr="00F0006A">
        <w:trPr>
          <w:trHeight w:val="227"/>
        </w:trPr>
        <w:tc>
          <w:tcPr>
            <w:cnfStyle w:val="001000000000" w:firstRow="0" w:lastRow="0" w:firstColumn="1" w:lastColumn="0" w:oddVBand="0" w:evenVBand="0" w:oddHBand="0" w:evenHBand="0" w:firstRowFirstColumn="0" w:firstRowLastColumn="0" w:lastRowFirstColumn="0" w:lastRowLastColumn="0"/>
            <w:tcW w:w="3402" w:type="dxa"/>
            <w:shd w:val="clear" w:color="auto" w:fill="77D499" w:themeFill="accent6" w:themeFillShade="BF"/>
          </w:tcPr>
          <w:p w14:paraId="795474EA" w14:textId="458122BE" w:rsidR="00CA5FDF" w:rsidRPr="00BA71B7" w:rsidRDefault="00CA5FDF" w:rsidP="000F2011">
            <w:pPr>
              <w:pStyle w:val="08Figuretableboxheading"/>
              <w:spacing w:before="0" w:after="0"/>
              <w:ind w:left="0" w:firstLine="0"/>
              <w:contextualSpacing/>
              <w:rPr>
                <w:color w:val="auto"/>
                <w:sz w:val="22"/>
                <w:szCs w:val="20"/>
              </w:rPr>
            </w:pPr>
            <w:r w:rsidRPr="0074248D">
              <w:rPr>
                <w:color w:val="auto"/>
                <w:sz w:val="22"/>
                <w:szCs w:val="20"/>
              </w:rPr>
              <w:t>SES-3</w:t>
            </w:r>
            <w:r w:rsidR="008A4EBF" w:rsidRPr="0074248D">
              <w:rPr>
                <w:color w:val="auto"/>
                <w:sz w:val="22"/>
                <w:szCs w:val="20"/>
              </w:rPr>
              <w:t xml:space="preserve"> </w:t>
            </w:r>
            <w:r w:rsidRPr="0074248D">
              <w:rPr>
                <w:color w:val="auto"/>
                <w:sz w:val="22"/>
                <w:szCs w:val="20"/>
              </w:rPr>
              <w:t>/</w:t>
            </w:r>
            <w:r w:rsidR="008A4EBF" w:rsidRPr="0074248D">
              <w:rPr>
                <w:color w:val="auto"/>
                <w:sz w:val="22"/>
                <w:szCs w:val="20"/>
              </w:rPr>
              <w:t xml:space="preserve"> </w:t>
            </w:r>
            <w:r w:rsidRPr="0074248D">
              <w:rPr>
                <w:color w:val="auto"/>
                <w:sz w:val="22"/>
                <w:szCs w:val="20"/>
              </w:rPr>
              <w:t>AO Head-3</w:t>
            </w:r>
          </w:p>
        </w:tc>
        <w:tc>
          <w:tcPr>
            <w:tcW w:w="1488" w:type="dxa"/>
            <w:shd w:val="clear" w:color="auto" w:fill="77D499" w:themeFill="accent6" w:themeFillShade="BF"/>
          </w:tcPr>
          <w:p w14:paraId="38163F07" w14:textId="77777777" w:rsidR="00CA5FDF" w:rsidRPr="00BA71B7" w:rsidRDefault="00CA5FDF" w:rsidP="000F2011">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color w:val="auto"/>
                <w:sz w:val="22"/>
                <w:szCs w:val="20"/>
              </w:rPr>
            </w:pPr>
          </w:p>
        </w:tc>
        <w:tc>
          <w:tcPr>
            <w:tcW w:w="1489" w:type="dxa"/>
            <w:shd w:val="clear" w:color="auto" w:fill="77D499" w:themeFill="accent6" w:themeFillShade="BF"/>
          </w:tcPr>
          <w:p w14:paraId="487CB97F" w14:textId="77777777" w:rsidR="00CA5FDF" w:rsidRPr="00BA71B7" w:rsidRDefault="00CA5FDF" w:rsidP="000F2011">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p>
        </w:tc>
        <w:tc>
          <w:tcPr>
            <w:tcW w:w="2125" w:type="dxa"/>
            <w:shd w:val="clear" w:color="auto" w:fill="77D499" w:themeFill="accent6" w:themeFillShade="BF"/>
          </w:tcPr>
          <w:p w14:paraId="73E521B0" w14:textId="77777777" w:rsidR="00CA5FDF" w:rsidRPr="00BA71B7" w:rsidRDefault="00CA5FDF" w:rsidP="000F2011">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p>
        </w:tc>
      </w:tr>
      <w:tr w:rsidR="008364FD" w14:paraId="0EF7941F" w14:textId="77777777" w:rsidTr="00F0006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02" w:type="dxa"/>
          </w:tcPr>
          <w:p w14:paraId="16854F9B" w14:textId="77777777" w:rsidR="00CA5FDF" w:rsidRPr="00BA71B7" w:rsidRDefault="00CA5FDF" w:rsidP="000F2011">
            <w:pPr>
              <w:pStyle w:val="08Figuretableboxheading"/>
              <w:spacing w:before="0" w:after="0"/>
              <w:ind w:left="0" w:firstLine="0"/>
              <w:contextualSpacing/>
              <w:rPr>
                <w:b w:val="0"/>
                <w:bCs w:val="0"/>
                <w:color w:val="auto"/>
                <w:sz w:val="22"/>
                <w:szCs w:val="20"/>
              </w:rPr>
            </w:pPr>
            <w:r w:rsidRPr="00BA71B7">
              <w:rPr>
                <w:b w:val="0"/>
                <w:bCs w:val="0"/>
                <w:color w:val="auto"/>
                <w:sz w:val="22"/>
                <w:szCs w:val="20"/>
              </w:rPr>
              <w:t>base of band</w:t>
            </w:r>
          </w:p>
        </w:tc>
        <w:tc>
          <w:tcPr>
            <w:tcW w:w="1488" w:type="dxa"/>
          </w:tcPr>
          <w:p w14:paraId="134BAB5A" w14:textId="29516138" w:rsidR="00CA5FDF" w:rsidRPr="00BA71B7" w:rsidRDefault="00A35322" w:rsidP="000F2011">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color w:val="auto"/>
                <w:sz w:val="22"/>
                <w:szCs w:val="20"/>
              </w:rPr>
            </w:pPr>
            <w:r>
              <w:rPr>
                <w:b w:val="0"/>
                <w:bCs/>
                <w:color w:val="auto"/>
                <w:sz w:val="22"/>
                <w:szCs w:val="20"/>
              </w:rPr>
              <w:t>419,001</w:t>
            </w:r>
          </w:p>
        </w:tc>
        <w:tc>
          <w:tcPr>
            <w:tcW w:w="1489" w:type="dxa"/>
          </w:tcPr>
          <w:p w14:paraId="58F95E75" w14:textId="77777777" w:rsidR="00CA5FDF" w:rsidRPr="00BA71B7" w:rsidRDefault="00CA5FDF" w:rsidP="000F2011">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BA71B7">
              <w:rPr>
                <w:b w:val="0"/>
                <w:bCs/>
                <w:color w:val="auto"/>
                <w:sz w:val="22"/>
                <w:szCs w:val="20"/>
              </w:rPr>
              <w:t>389,069</w:t>
            </w:r>
          </w:p>
        </w:tc>
        <w:tc>
          <w:tcPr>
            <w:tcW w:w="2125" w:type="dxa"/>
          </w:tcPr>
          <w:p w14:paraId="71A98245" w14:textId="77777777" w:rsidR="00CA5FDF" w:rsidRPr="00BA71B7" w:rsidRDefault="00CA5FDF" w:rsidP="000F2011">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BA71B7">
              <w:rPr>
                <w:b w:val="0"/>
                <w:bCs/>
                <w:color w:val="auto"/>
                <w:sz w:val="22"/>
                <w:szCs w:val="20"/>
              </w:rPr>
              <w:t>11,672</w:t>
            </w:r>
          </w:p>
        </w:tc>
      </w:tr>
      <w:tr w:rsidR="008364FD" w14:paraId="0EF3C3A5" w14:textId="77777777" w:rsidTr="00F0006A">
        <w:trPr>
          <w:trHeight w:val="227"/>
        </w:trPr>
        <w:tc>
          <w:tcPr>
            <w:cnfStyle w:val="001000000000" w:firstRow="0" w:lastRow="0" w:firstColumn="1" w:lastColumn="0" w:oddVBand="0" w:evenVBand="0" w:oddHBand="0" w:evenHBand="0" w:firstRowFirstColumn="0" w:firstRowLastColumn="0" w:lastRowFirstColumn="0" w:lastRowLastColumn="0"/>
            <w:tcW w:w="3402" w:type="dxa"/>
          </w:tcPr>
          <w:p w14:paraId="4AFA10E6" w14:textId="77777777" w:rsidR="00CA5FDF" w:rsidRPr="00BA71B7" w:rsidRDefault="00CA5FDF" w:rsidP="000F2011">
            <w:pPr>
              <w:pStyle w:val="08Figuretableboxheading"/>
              <w:spacing w:before="0" w:after="0"/>
              <w:ind w:left="0" w:firstLine="0"/>
              <w:contextualSpacing/>
              <w:rPr>
                <w:b w:val="0"/>
                <w:bCs w:val="0"/>
                <w:color w:val="auto"/>
                <w:sz w:val="22"/>
                <w:szCs w:val="20"/>
              </w:rPr>
            </w:pPr>
            <w:r w:rsidRPr="00BA71B7">
              <w:rPr>
                <w:b w:val="0"/>
                <w:bCs w:val="0"/>
                <w:color w:val="auto"/>
                <w:sz w:val="22"/>
                <w:szCs w:val="20"/>
              </w:rPr>
              <w:t>top of band</w:t>
            </w:r>
          </w:p>
        </w:tc>
        <w:tc>
          <w:tcPr>
            <w:tcW w:w="1488" w:type="dxa"/>
          </w:tcPr>
          <w:p w14:paraId="766724C3" w14:textId="03EDF1CC" w:rsidR="00CA5FDF" w:rsidRPr="00BA71B7" w:rsidRDefault="00A35322" w:rsidP="000F2011">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color w:val="auto"/>
                <w:sz w:val="22"/>
                <w:szCs w:val="20"/>
              </w:rPr>
            </w:pPr>
            <w:r>
              <w:rPr>
                <w:b w:val="0"/>
                <w:bCs/>
                <w:color w:val="auto"/>
                <w:sz w:val="22"/>
                <w:szCs w:val="20"/>
              </w:rPr>
              <w:t>557,435</w:t>
            </w:r>
          </w:p>
        </w:tc>
        <w:tc>
          <w:tcPr>
            <w:tcW w:w="1489" w:type="dxa"/>
          </w:tcPr>
          <w:p w14:paraId="6DFA4B8B" w14:textId="77777777" w:rsidR="00CA5FDF" w:rsidRPr="00BA71B7" w:rsidRDefault="00CA5FDF" w:rsidP="000F2011">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BA71B7">
              <w:rPr>
                <w:b w:val="0"/>
                <w:bCs/>
                <w:color w:val="auto"/>
                <w:sz w:val="22"/>
                <w:szCs w:val="20"/>
              </w:rPr>
              <w:t>527,503</w:t>
            </w:r>
          </w:p>
        </w:tc>
        <w:tc>
          <w:tcPr>
            <w:tcW w:w="2125" w:type="dxa"/>
          </w:tcPr>
          <w:p w14:paraId="3630F355" w14:textId="77777777" w:rsidR="00CA5FDF" w:rsidRPr="00BA71B7" w:rsidRDefault="00CA5FDF" w:rsidP="000F2011">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BA71B7">
              <w:rPr>
                <w:b w:val="0"/>
                <w:bCs/>
                <w:color w:val="auto"/>
                <w:sz w:val="22"/>
                <w:szCs w:val="20"/>
              </w:rPr>
              <w:t>15,825</w:t>
            </w:r>
          </w:p>
        </w:tc>
      </w:tr>
      <w:tr w:rsidR="006D7570" w14:paraId="4C0064E8" w14:textId="77777777" w:rsidTr="00F0006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379" w:type="dxa"/>
            <w:gridSpan w:val="3"/>
            <w:shd w:val="clear" w:color="auto" w:fill="77D499" w:themeFill="accent6" w:themeFillShade="BF"/>
          </w:tcPr>
          <w:p w14:paraId="091349A3" w14:textId="347FF584" w:rsidR="006D7570" w:rsidRPr="006A5DD7" w:rsidRDefault="006D7570" w:rsidP="006D7570">
            <w:pPr>
              <w:pStyle w:val="08Figuretableboxheading"/>
              <w:spacing w:before="0" w:after="0"/>
              <w:ind w:left="0" w:firstLine="0"/>
              <w:contextualSpacing/>
              <w:rPr>
                <w:b w:val="0"/>
                <w:bCs w:val="0"/>
                <w:color w:val="FFFFFF" w:themeColor="background1"/>
                <w:sz w:val="22"/>
                <w:szCs w:val="20"/>
              </w:rPr>
            </w:pPr>
            <w:r w:rsidRPr="0074248D">
              <w:rPr>
                <w:color w:val="auto"/>
                <w:sz w:val="22"/>
                <w:szCs w:val="20"/>
              </w:rPr>
              <w:t>Department Head</w:t>
            </w:r>
            <w:r w:rsidR="008A4EBF" w:rsidRPr="0074248D">
              <w:rPr>
                <w:color w:val="auto"/>
                <w:sz w:val="22"/>
                <w:szCs w:val="20"/>
              </w:rPr>
              <w:t xml:space="preserve"> </w:t>
            </w:r>
            <w:r w:rsidRPr="0074248D">
              <w:rPr>
                <w:color w:val="auto"/>
                <w:sz w:val="22"/>
                <w:szCs w:val="20"/>
              </w:rPr>
              <w:t>/</w:t>
            </w:r>
            <w:r w:rsidR="008A4EBF" w:rsidRPr="0074248D">
              <w:rPr>
                <w:color w:val="auto"/>
                <w:sz w:val="22"/>
                <w:szCs w:val="20"/>
              </w:rPr>
              <w:t xml:space="preserve"> </w:t>
            </w:r>
            <w:r w:rsidRPr="0074248D">
              <w:rPr>
                <w:color w:val="auto"/>
                <w:sz w:val="22"/>
                <w:szCs w:val="20"/>
              </w:rPr>
              <w:t>Victorian Public Sector Commissioner</w:t>
            </w:r>
          </w:p>
        </w:tc>
        <w:tc>
          <w:tcPr>
            <w:tcW w:w="2125" w:type="dxa"/>
            <w:shd w:val="clear" w:color="auto" w:fill="77D499" w:themeFill="accent6" w:themeFillShade="BF"/>
          </w:tcPr>
          <w:p w14:paraId="43FC9582" w14:textId="77777777" w:rsidR="006D7570" w:rsidRPr="00BA71B7" w:rsidRDefault="006D7570" w:rsidP="000F2011">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p>
        </w:tc>
      </w:tr>
      <w:tr w:rsidR="008364FD" w14:paraId="5D91E52B" w14:textId="77777777" w:rsidTr="00F0006A">
        <w:trPr>
          <w:trHeight w:val="227"/>
        </w:trPr>
        <w:tc>
          <w:tcPr>
            <w:cnfStyle w:val="001000000000" w:firstRow="0" w:lastRow="0" w:firstColumn="1" w:lastColumn="0" w:oddVBand="0" w:evenVBand="0" w:oddHBand="0" w:evenHBand="0" w:firstRowFirstColumn="0" w:firstRowLastColumn="0" w:lastRowFirstColumn="0" w:lastRowLastColumn="0"/>
            <w:tcW w:w="3402" w:type="dxa"/>
          </w:tcPr>
          <w:p w14:paraId="462BF977" w14:textId="77777777" w:rsidR="00CA5FDF" w:rsidRPr="00BA71B7" w:rsidRDefault="00CA5FDF" w:rsidP="000F2011">
            <w:pPr>
              <w:pStyle w:val="08Figuretableboxheading"/>
              <w:spacing w:before="0" w:after="0"/>
              <w:ind w:left="0" w:firstLine="0"/>
              <w:contextualSpacing/>
              <w:rPr>
                <w:b w:val="0"/>
                <w:bCs w:val="0"/>
                <w:color w:val="auto"/>
                <w:sz w:val="22"/>
                <w:szCs w:val="20"/>
              </w:rPr>
            </w:pPr>
            <w:r w:rsidRPr="00BA71B7">
              <w:rPr>
                <w:b w:val="0"/>
                <w:bCs w:val="0"/>
                <w:color w:val="auto"/>
                <w:sz w:val="22"/>
                <w:szCs w:val="20"/>
              </w:rPr>
              <w:t>base of band</w:t>
            </w:r>
          </w:p>
        </w:tc>
        <w:tc>
          <w:tcPr>
            <w:tcW w:w="1488" w:type="dxa"/>
          </w:tcPr>
          <w:p w14:paraId="200E1443" w14:textId="77777777" w:rsidR="00CA5FDF" w:rsidRPr="00BA71B7" w:rsidRDefault="00CA5FDF" w:rsidP="000F2011">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BA71B7">
              <w:rPr>
                <w:b w:val="0"/>
                <w:bCs/>
                <w:color w:val="auto"/>
                <w:sz w:val="22"/>
                <w:szCs w:val="20"/>
              </w:rPr>
              <w:t>603,713</w:t>
            </w:r>
          </w:p>
        </w:tc>
        <w:tc>
          <w:tcPr>
            <w:tcW w:w="1489" w:type="dxa"/>
          </w:tcPr>
          <w:p w14:paraId="572C137F" w14:textId="77777777" w:rsidR="00CA5FDF" w:rsidRPr="00BA71B7" w:rsidRDefault="00CA5FDF" w:rsidP="000F2011">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BA71B7">
              <w:rPr>
                <w:b w:val="0"/>
                <w:bCs/>
                <w:color w:val="auto"/>
                <w:sz w:val="22"/>
                <w:szCs w:val="20"/>
              </w:rPr>
              <w:t>573,781</w:t>
            </w:r>
          </w:p>
        </w:tc>
        <w:tc>
          <w:tcPr>
            <w:tcW w:w="2125" w:type="dxa"/>
          </w:tcPr>
          <w:p w14:paraId="50F4E213" w14:textId="77777777" w:rsidR="00CA5FDF" w:rsidRPr="00BA71B7" w:rsidRDefault="00CA5FDF" w:rsidP="000F2011">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BA71B7">
              <w:rPr>
                <w:b w:val="0"/>
                <w:bCs/>
                <w:color w:val="auto"/>
                <w:sz w:val="22"/>
                <w:szCs w:val="20"/>
              </w:rPr>
              <w:t>17,213</w:t>
            </w:r>
          </w:p>
        </w:tc>
      </w:tr>
      <w:tr w:rsidR="008364FD" w14:paraId="290F3C7B" w14:textId="77777777" w:rsidTr="00F0006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02" w:type="dxa"/>
          </w:tcPr>
          <w:p w14:paraId="41117C89" w14:textId="77777777" w:rsidR="00CA5FDF" w:rsidRPr="00BA71B7" w:rsidRDefault="00CA5FDF" w:rsidP="000F2011">
            <w:pPr>
              <w:pStyle w:val="08Figuretableboxheading"/>
              <w:spacing w:before="0" w:after="0"/>
              <w:ind w:left="0" w:firstLine="0"/>
              <w:contextualSpacing/>
              <w:rPr>
                <w:b w:val="0"/>
                <w:bCs w:val="0"/>
                <w:color w:val="auto"/>
                <w:sz w:val="22"/>
                <w:szCs w:val="20"/>
              </w:rPr>
            </w:pPr>
            <w:r w:rsidRPr="00BA71B7">
              <w:rPr>
                <w:b w:val="0"/>
                <w:bCs w:val="0"/>
                <w:color w:val="auto"/>
                <w:sz w:val="22"/>
                <w:szCs w:val="20"/>
              </w:rPr>
              <w:t>top of band</w:t>
            </w:r>
          </w:p>
        </w:tc>
        <w:tc>
          <w:tcPr>
            <w:tcW w:w="1488" w:type="dxa"/>
          </w:tcPr>
          <w:p w14:paraId="56E36C69" w14:textId="77777777" w:rsidR="00CA5FDF" w:rsidRPr="00BA71B7" w:rsidRDefault="00CA5FDF" w:rsidP="000F2011">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BA71B7">
              <w:rPr>
                <w:b w:val="0"/>
                <w:bCs/>
                <w:color w:val="auto"/>
                <w:sz w:val="22"/>
                <w:szCs w:val="20"/>
              </w:rPr>
              <w:t>813,524</w:t>
            </w:r>
          </w:p>
        </w:tc>
        <w:tc>
          <w:tcPr>
            <w:tcW w:w="1489" w:type="dxa"/>
          </w:tcPr>
          <w:p w14:paraId="6DC2CD69" w14:textId="77777777" w:rsidR="00CA5FDF" w:rsidRPr="00BA71B7" w:rsidRDefault="00CA5FDF" w:rsidP="000F2011">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BA71B7">
              <w:rPr>
                <w:b w:val="0"/>
                <w:bCs/>
                <w:color w:val="auto"/>
                <w:sz w:val="22"/>
                <w:szCs w:val="20"/>
              </w:rPr>
              <w:t>783,592</w:t>
            </w:r>
          </w:p>
        </w:tc>
        <w:tc>
          <w:tcPr>
            <w:tcW w:w="2125" w:type="dxa"/>
          </w:tcPr>
          <w:p w14:paraId="654F2A1B" w14:textId="77777777" w:rsidR="00CA5FDF" w:rsidRPr="00BA71B7" w:rsidRDefault="00CA5FDF" w:rsidP="000F2011">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BA71B7">
              <w:rPr>
                <w:b w:val="0"/>
                <w:bCs/>
                <w:color w:val="auto"/>
                <w:sz w:val="22"/>
                <w:szCs w:val="20"/>
              </w:rPr>
              <w:t>23,508</w:t>
            </w:r>
          </w:p>
        </w:tc>
      </w:tr>
    </w:tbl>
    <w:p w14:paraId="488FF906" w14:textId="788B1256" w:rsidR="00CA5FDF" w:rsidRDefault="00CA5FDF" w:rsidP="00CA5FDF">
      <w:pPr>
        <w:pStyle w:val="09Sourcesandnotesfortablesfiguresboxes"/>
      </w:pPr>
      <w:r>
        <w:t>Notes: (a) Calculated by reducing the TRP value by the amount of the superannuation entitlement as at 30 June 202</w:t>
      </w:r>
      <w:r w:rsidR="00155380">
        <w:t>5</w:t>
      </w:r>
      <w:r>
        <w:t xml:space="preserve">. The superannuation entitlement is based on Commonwealth superannuation law </w:t>
      </w:r>
      <w:r w:rsidRPr="00C2767F">
        <w:t>as at 30 June 2025</w:t>
      </w:r>
      <w:r w:rsidR="009700A3">
        <w:t xml:space="preserve"> — </w:t>
      </w:r>
      <w:r w:rsidRPr="00C2767F">
        <w:t>SG</w:t>
      </w:r>
      <w:r w:rsidR="009700A3">
        <w:t xml:space="preserve"> </w:t>
      </w:r>
      <w:r w:rsidRPr="00C2767F">
        <w:t>rate of 11.5</w:t>
      </w:r>
      <w:r w:rsidR="00835DAC">
        <w:t> </w:t>
      </w:r>
      <w:r w:rsidR="006900DC">
        <w:t>per</w:t>
      </w:r>
      <w:r w:rsidR="00835DAC">
        <w:t> </w:t>
      </w:r>
      <w:r w:rsidR="006900DC">
        <w:t>cent</w:t>
      </w:r>
      <w:r w:rsidRPr="00C2767F">
        <w:t xml:space="preserve"> and MSCB of $260,280 per annum.</w:t>
      </w:r>
      <w:r>
        <w:rPr>
          <w:noProof/>
          <w:lang w:eastAsia="en-AU"/>
        </w:rPr>
        <w:t xml:space="preserve"> (b) Calculated by multiplying the notional salary component by the annual adjustment </w:t>
      </w:r>
      <w:r w:rsidRPr="00A37345">
        <w:rPr>
          <w:noProof/>
          <w:lang w:eastAsia="en-AU"/>
        </w:rPr>
        <w:t xml:space="preserve">of </w:t>
      </w:r>
      <w:r w:rsidR="00FD7ED5">
        <w:rPr>
          <w:noProof/>
          <w:lang w:eastAsia="en-AU"/>
        </w:rPr>
        <w:t>3</w:t>
      </w:r>
      <w:r w:rsidR="00835DAC">
        <w:rPr>
          <w:noProof/>
          <w:lang w:eastAsia="en-AU"/>
        </w:rPr>
        <w:t> per cent</w:t>
      </w:r>
      <w:r w:rsidRPr="00A37345">
        <w:rPr>
          <w:noProof/>
          <w:lang w:eastAsia="en-AU"/>
        </w:rPr>
        <w:t>.</w:t>
      </w:r>
    </w:p>
    <w:p w14:paraId="55BD19B2" w14:textId="47A765A7" w:rsidR="00910C03" w:rsidRDefault="00910C03" w:rsidP="00DC0D9C">
      <w:pPr>
        <w:pStyle w:val="02VIRTHeading2"/>
        <w:jc w:val="both"/>
      </w:pPr>
      <w:bookmarkStart w:id="35" w:name="_Toc209438894"/>
      <w:bookmarkEnd w:id="31"/>
      <w:bookmarkEnd w:id="34"/>
      <w:r>
        <w:t>3.</w:t>
      </w:r>
      <w:r w:rsidR="00FB7A56">
        <w:t>3</w:t>
      </w:r>
      <w:r>
        <w:tab/>
        <w:t>Superannuation component</w:t>
      </w:r>
      <w:r w:rsidR="007B0647">
        <w:t xml:space="preserve"> adjustments</w:t>
      </w:r>
      <w:bookmarkEnd w:id="35"/>
    </w:p>
    <w:p w14:paraId="61858926" w14:textId="2FBCFF70" w:rsidR="00910C03" w:rsidRDefault="00910C03" w:rsidP="00DC0D9C">
      <w:pPr>
        <w:pStyle w:val="05Paragraph"/>
        <w:jc w:val="both"/>
      </w:pPr>
      <w:bookmarkStart w:id="36" w:name="_Hlk201676098"/>
      <w:r w:rsidRPr="005F01F3">
        <w:t>On 1 July 2025, the superannuation entitlements of eligible employees</w:t>
      </w:r>
      <w:r w:rsidR="00141EC6">
        <w:t>,</w:t>
      </w:r>
      <w:r w:rsidR="00EB32DA" w:rsidRPr="005F01F3">
        <w:t xml:space="preserve"> </w:t>
      </w:r>
      <w:r w:rsidRPr="005F01F3">
        <w:t>including VPS executives in an accumulation scheme</w:t>
      </w:r>
      <w:r w:rsidR="00141EC6">
        <w:t>,</w:t>
      </w:r>
      <w:r w:rsidR="00EB32DA" w:rsidRPr="005F01F3">
        <w:t xml:space="preserve"> </w:t>
      </w:r>
      <w:r w:rsidRPr="005F01F3">
        <w:t>increase</w:t>
      </w:r>
      <w:r w:rsidR="00882768" w:rsidRPr="005F01F3">
        <w:t>d</w:t>
      </w:r>
      <w:r w:rsidRPr="005F01F3">
        <w:t xml:space="preserve"> under Commonwealth law. </w:t>
      </w:r>
    </w:p>
    <w:p w14:paraId="5B288A22" w14:textId="767F73A1" w:rsidR="00910C03" w:rsidRDefault="00D40E4C" w:rsidP="00DC0D9C">
      <w:pPr>
        <w:pStyle w:val="05Paragraph"/>
        <w:jc w:val="both"/>
      </w:pPr>
      <w:r>
        <w:t>C</w:t>
      </w:r>
      <w:r w:rsidR="00910C03">
        <w:t xml:space="preserve">onsistent with the </w:t>
      </w:r>
      <w:r>
        <w:t xml:space="preserve">Superannuation Policy and </w:t>
      </w:r>
      <w:r w:rsidR="002F0965">
        <w:t>its</w:t>
      </w:r>
      <w:r w:rsidR="00910C03">
        <w:t xml:space="preserve"> approach in previous annual adjustments, t</w:t>
      </w:r>
      <w:r w:rsidR="00910C03" w:rsidRPr="00892583">
        <w:t xml:space="preserve">he Tribunal has determined to adjust the notional superannuation component of the remuneration bands in line with </w:t>
      </w:r>
      <w:r w:rsidR="001E6928">
        <w:t xml:space="preserve">changes to statutory superannuation </w:t>
      </w:r>
      <w:r w:rsidR="00762A11">
        <w:t>entitlements</w:t>
      </w:r>
      <w:r w:rsidR="00910C03" w:rsidRPr="00892583">
        <w:t xml:space="preserve"> (Table </w:t>
      </w:r>
      <w:r w:rsidR="009976EC">
        <w:t>2</w:t>
      </w:r>
      <w:r w:rsidR="00910C03" w:rsidRPr="00892583">
        <w:t>).</w:t>
      </w:r>
    </w:p>
    <w:p w14:paraId="1B27A847" w14:textId="1B75EFB2" w:rsidR="00201092" w:rsidRDefault="00201092" w:rsidP="00DC0D9C">
      <w:pPr>
        <w:pStyle w:val="05Paragraph"/>
        <w:jc w:val="both"/>
        <w:sectPr w:rsidR="00201092" w:rsidSect="00DB7769">
          <w:headerReference w:type="even" r:id="rId19"/>
          <w:footerReference w:type="even" r:id="rId20"/>
          <w:headerReference w:type="first" r:id="rId21"/>
          <w:footerReference w:type="first" r:id="rId22"/>
          <w:type w:val="continuous"/>
          <w:pgSz w:w="11906" w:h="16838"/>
          <w:pgMar w:top="1701" w:right="1701" w:bottom="1134" w:left="1701" w:header="425" w:footer="709" w:gutter="0"/>
          <w:cols w:space="282"/>
          <w:docGrid w:linePitch="360"/>
        </w:sectPr>
      </w:pPr>
    </w:p>
    <w:p w14:paraId="73A997EB" w14:textId="08D6F8A8" w:rsidR="00F76D34" w:rsidRPr="00626EB0" w:rsidRDefault="00F76D34" w:rsidP="00626EB0">
      <w:pPr>
        <w:pStyle w:val="08Figuretableboxheading"/>
      </w:pPr>
      <w:r w:rsidRPr="00626EB0">
        <w:lastRenderedPageBreak/>
        <w:t>Table</w:t>
      </w:r>
      <w:r w:rsidR="00892583" w:rsidRPr="00626EB0">
        <w:t xml:space="preserve"> 2</w:t>
      </w:r>
      <w:r w:rsidRPr="00626EB0">
        <w:t>:</w:t>
      </w:r>
      <w:r w:rsidR="00626EB0">
        <w:t xml:space="preserve"> </w:t>
      </w:r>
      <w:r w:rsidRPr="00626EB0">
        <w:t>Change to the notional superannuation component of the remuneration bands</w:t>
      </w:r>
    </w:p>
    <w:tbl>
      <w:tblPr>
        <w:tblStyle w:val="VIRTDeterminationTableStyle"/>
        <w:tblW w:w="0" w:type="auto"/>
        <w:tblInd w:w="0" w:type="dxa"/>
        <w:tblLayout w:type="fixed"/>
        <w:tblLook w:val="04A0" w:firstRow="1" w:lastRow="0" w:firstColumn="1" w:lastColumn="0" w:noHBand="0" w:noVBand="1"/>
      </w:tblPr>
      <w:tblGrid>
        <w:gridCol w:w="3261"/>
        <w:gridCol w:w="1022"/>
        <w:gridCol w:w="1813"/>
        <w:gridCol w:w="1842"/>
        <w:gridCol w:w="1701"/>
        <w:gridCol w:w="1843"/>
        <w:gridCol w:w="1843"/>
      </w:tblGrid>
      <w:tr w:rsidR="00DB3FEB" w14:paraId="0AA9F17E" w14:textId="77777777" w:rsidTr="00B526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61" w:type="dxa"/>
            <w:vMerge w:val="restart"/>
          </w:tcPr>
          <w:p w14:paraId="6ABA2C2F" w14:textId="65129540" w:rsidR="009509B9" w:rsidRPr="00BA71B7" w:rsidRDefault="009509B9" w:rsidP="00D123BE">
            <w:pPr>
              <w:pStyle w:val="08Figuretableboxheading"/>
              <w:spacing w:before="0" w:after="0"/>
              <w:ind w:left="0" w:firstLine="0"/>
              <w:rPr>
                <w:b/>
                <w:bCs w:val="0"/>
                <w:color w:val="FFFFFF" w:themeColor="background1"/>
                <w:sz w:val="22"/>
              </w:rPr>
            </w:pPr>
            <w:r w:rsidRPr="00BA71B7">
              <w:rPr>
                <w:b/>
                <w:bCs w:val="0"/>
                <w:color w:val="FFFFFF" w:themeColor="background1"/>
                <w:sz w:val="22"/>
              </w:rPr>
              <w:t>Classification</w:t>
            </w:r>
          </w:p>
        </w:tc>
        <w:tc>
          <w:tcPr>
            <w:tcW w:w="4677" w:type="dxa"/>
            <w:gridSpan w:val="3"/>
            <w:tcBorders>
              <w:top w:val="single" w:sz="4" w:space="0" w:color="808080" w:themeColor="background1" w:themeShade="80"/>
              <w:bottom w:val="single" w:sz="4" w:space="0" w:color="383834" w:themeColor="background2" w:themeShade="40"/>
            </w:tcBorders>
            <w:shd w:val="clear" w:color="auto" w:fill="383834" w:themeFill="background2" w:themeFillShade="40"/>
          </w:tcPr>
          <w:p w14:paraId="3D69B105" w14:textId="0CAEF3D5" w:rsidR="009509B9" w:rsidRPr="00BA71B7" w:rsidRDefault="009509B9" w:rsidP="00D123BE">
            <w:pPr>
              <w:pStyle w:val="08Figuretableboxheading"/>
              <w:spacing w:before="0" w:after="0"/>
              <w:ind w:left="0" w:firstLine="0"/>
              <w:jc w:val="center"/>
              <w:cnfStyle w:val="100000000000" w:firstRow="1" w:lastRow="0" w:firstColumn="0" w:lastColumn="0" w:oddVBand="0" w:evenVBand="0" w:oddHBand="0" w:evenHBand="0" w:firstRowFirstColumn="0" w:firstRowLastColumn="0" w:lastRowFirstColumn="0" w:lastRowLastColumn="0"/>
              <w:rPr>
                <w:b/>
                <w:bCs w:val="0"/>
                <w:color w:val="FFFFFF" w:themeColor="background1"/>
                <w:sz w:val="22"/>
              </w:rPr>
            </w:pPr>
            <w:r w:rsidRPr="00BA71B7">
              <w:rPr>
                <w:b/>
                <w:bCs w:val="0"/>
                <w:color w:val="FFFFFF" w:themeColor="background1"/>
                <w:sz w:val="22"/>
              </w:rPr>
              <w:t>Value as at 30 June 2025</w:t>
            </w:r>
          </w:p>
        </w:tc>
        <w:tc>
          <w:tcPr>
            <w:tcW w:w="3544" w:type="dxa"/>
            <w:gridSpan w:val="2"/>
            <w:tcBorders>
              <w:bottom w:val="single" w:sz="4" w:space="0" w:color="3D755F" w:themeColor="accent5" w:themeShade="80"/>
            </w:tcBorders>
            <w:shd w:val="clear" w:color="auto" w:fill="3D755F" w:themeFill="accent5" w:themeFillShade="80"/>
          </w:tcPr>
          <w:p w14:paraId="400E6861" w14:textId="49577229" w:rsidR="009509B9" w:rsidRPr="00BA71B7" w:rsidRDefault="009509B9" w:rsidP="00D123BE">
            <w:pPr>
              <w:pStyle w:val="08Figuretableboxheading"/>
              <w:spacing w:before="0" w:after="0"/>
              <w:ind w:left="0" w:firstLine="0"/>
              <w:jc w:val="center"/>
              <w:cnfStyle w:val="100000000000" w:firstRow="1" w:lastRow="0" w:firstColumn="0" w:lastColumn="0" w:oddVBand="0" w:evenVBand="0" w:oddHBand="0" w:evenHBand="0" w:firstRowFirstColumn="0" w:firstRowLastColumn="0" w:lastRowFirstColumn="0" w:lastRowLastColumn="0"/>
              <w:rPr>
                <w:b/>
                <w:bCs w:val="0"/>
                <w:color w:val="FFFFFF" w:themeColor="background1"/>
                <w:sz w:val="22"/>
              </w:rPr>
            </w:pPr>
            <w:r w:rsidRPr="00BA71B7">
              <w:rPr>
                <w:b/>
                <w:bCs w:val="0"/>
                <w:color w:val="FFFFFF" w:themeColor="background1"/>
                <w:sz w:val="22"/>
              </w:rPr>
              <w:t>Value as at 1 July 2025</w:t>
            </w:r>
          </w:p>
        </w:tc>
        <w:tc>
          <w:tcPr>
            <w:tcW w:w="1843" w:type="dxa"/>
            <w:vMerge w:val="restart"/>
          </w:tcPr>
          <w:p w14:paraId="03C72A2F" w14:textId="29DF76F4" w:rsidR="009509B9" w:rsidRPr="00BA71B7" w:rsidRDefault="009509B9" w:rsidP="00D123BE">
            <w:pPr>
              <w:pStyle w:val="08Figuretableboxheading"/>
              <w:spacing w:before="0" w:after="0"/>
              <w:ind w:left="0" w:firstLine="0"/>
              <w:jc w:val="right"/>
              <w:cnfStyle w:val="100000000000" w:firstRow="1" w:lastRow="0" w:firstColumn="0" w:lastColumn="0" w:oddVBand="0" w:evenVBand="0" w:oddHBand="0" w:evenHBand="0" w:firstRowFirstColumn="0" w:firstRowLastColumn="0" w:lastRowFirstColumn="0" w:lastRowLastColumn="0"/>
              <w:rPr>
                <w:b/>
                <w:bCs w:val="0"/>
                <w:color w:val="FFFFFF" w:themeColor="background1"/>
                <w:sz w:val="22"/>
              </w:rPr>
            </w:pPr>
            <w:r w:rsidRPr="00BA71B7">
              <w:rPr>
                <w:b/>
                <w:bCs w:val="0"/>
                <w:color w:val="FFFFFF" w:themeColor="background1"/>
                <w:sz w:val="22"/>
              </w:rPr>
              <w:t>Change to the superannuation component</w:t>
            </w:r>
            <w:r w:rsidRPr="00BA71B7">
              <w:rPr>
                <w:b/>
                <w:bCs w:val="0"/>
                <w:color w:val="FFFFFF" w:themeColor="background1"/>
                <w:sz w:val="22"/>
                <w:vertAlign w:val="superscript"/>
              </w:rPr>
              <w:t>(d)</w:t>
            </w:r>
            <w:r w:rsidRPr="00BA71B7">
              <w:rPr>
                <w:b/>
                <w:bCs w:val="0"/>
                <w:color w:val="FFFFFF" w:themeColor="background1"/>
                <w:sz w:val="22"/>
              </w:rPr>
              <w:br/>
            </w:r>
            <w:r w:rsidR="008875D1">
              <w:rPr>
                <w:b/>
                <w:bCs w:val="0"/>
                <w:color w:val="FFFFFF" w:themeColor="background1"/>
                <w:sz w:val="22"/>
              </w:rPr>
              <w:t>(</w:t>
            </w:r>
            <w:r w:rsidRPr="00BA71B7">
              <w:rPr>
                <w:b/>
                <w:bCs w:val="0"/>
                <w:color w:val="FFFFFF" w:themeColor="background1"/>
                <w:sz w:val="22"/>
              </w:rPr>
              <w:t>$</w:t>
            </w:r>
            <w:r w:rsidR="008875D1">
              <w:rPr>
                <w:b/>
                <w:bCs w:val="0"/>
                <w:color w:val="FFFFFF" w:themeColor="background1"/>
                <w:sz w:val="22"/>
              </w:rPr>
              <w:t>)</w:t>
            </w:r>
          </w:p>
        </w:tc>
      </w:tr>
      <w:tr w:rsidR="00A82823" w14:paraId="3680A7BD" w14:textId="77777777" w:rsidTr="00B526D8">
        <w:trPr>
          <w:cnfStyle w:val="000000100000" w:firstRow="0" w:lastRow="0" w:firstColumn="0" w:lastColumn="0" w:oddVBand="0" w:evenVBand="0" w:oddHBand="1"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3261" w:type="dxa"/>
            <w:vMerge/>
            <w:tcBorders>
              <w:bottom w:val="single" w:sz="4" w:space="0" w:color="77D499" w:themeColor="accent6" w:themeShade="BF"/>
            </w:tcBorders>
          </w:tcPr>
          <w:p w14:paraId="34A22CE4" w14:textId="2674F598" w:rsidR="009509B9" w:rsidRPr="00BA71B7" w:rsidRDefault="009509B9" w:rsidP="00D123BE">
            <w:pPr>
              <w:pStyle w:val="08Figuretableboxheading"/>
              <w:spacing w:before="0" w:after="0"/>
              <w:ind w:left="0" w:firstLine="0"/>
              <w:rPr>
                <w:rFonts w:cs="Calibri Light"/>
                <w:sz w:val="22"/>
                <w:szCs w:val="22"/>
              </w:rPr>
            </w:pPr>
          </w:p>
        </w:tc>
        <w:tc>
          <w:tcPr>
            <w:tcW w:w="1022" w:type="dxa"/>
            <w:tcBorders>
              <w:top w:val="single" w:sz="4" w:space="0" w:color="383834" w:themeColor="background2" w:themeShade="40"/>
              <w:bottom w:val="single" w:sz="4" w:space="0" w:color="77D499" w:themeColor="accent6" w:themeShade="BF"/>
            </w:tcBorders>
            <w:shd w:val="clear" w:color="auto" w:fill="BFBFBF" w:themeFill="background1" w:themeFillShade="BF"/>
          </w:tcPr>
          <w:p w14:paraId="24D1BEE1" w14:textId="77777777" w:rsidR="009509B9" w:rsidRPr="0074248D" w:rsidRDefault="009509B9" w:rsidP="00D123BE">
            <w:pPr>
              <w:pStyle w:val="08Figuretableboxheading"/>
              <w:spacing w:before="0" w:after="0"/>
              <w:ind w:left="0" w:firstLine="0"/>
              <w:jc w:val="right"/>
              <w:cnfStyle w:val="000000100000" w:firstRow="0" w:lastRow="0" w:firstColumn="0" w:lastColumn="0" w:oddVBand="0" w:evenVBand="0" w:oddHBand="1" w:evenHBand="0" w:firstRowFirstColumn="0" w:firstRowLastColumn="0" w:lastRowFirstColumn="0" w:lastRowLastColumn="0"/>
              <w:rPr>
                <w:rFonts w:cs="Calibri Light"/>
                <w:color w:val="auto"/>
                <w:sz w:val="22"/>
                <w:szCs w:val="22"/>
              </w:rPr>
            </w:pPr>
            <w:r w:rsidRPr="0074248D">
              <w:rPr>
                <w:rFonts w:cs="Calibri Light"/>
                <w:color w:val="auto"/>
                <w:sz w:val="22"/>
                <w:szCs w:val="22"/>
              </w:rPr>
              <w:t>TRP</w:t>
            </w:r>
          </w:p>
          <w:p w14:paraId="4CA0F08F" w14:textId="0E7005DF" w:rsidR="009509B9" w:rsidRPr="0074248D" w:rsidRDefault="00815DA1" w:rsidP="00D123BE">
            <w:pPr>
              <w:pStyle w:val="08Figuretableboxheading"/>
              <w:spacing w:before="0" w:after="0"/>
              <w:ind w:left="0" w:firstLine="0"/>
              <w:jc w:val="right"/>
              <w:cnfStyle w:val="000000100000" w:firstRow="0" w:lastRow="0" w:firstColumn="0" w:lastColumn="0" w:oddVBand="0" w:evenVBand="0" w:oddHBand="1" w:evenHBand="0" w:firstRowFirstColumn="0" w:firstRowLastColumn="0" w:lastRowFirstColumn="0" w:lastRowLastColumn="0"/>
              <w:rPr>
                <w:rFonts w:cs="Calibri Light"/>
                <w:color w:val="auto"/>
                <w:sz w:val="22"/>
                <w:szCs w:val="22"/>
              </w:rPr>
            </w:pPr>
            <w:r w:rsidRPr="0074248D">
              <w:rPr>
                <w:rFonts w:cs="Calibri Light"/>
                <w:color w:val="auto"/>
                <w:sz w:val="22"/>
                <w:szCs w:val="22"/>
              </w:rPr>
              <w:br/>
            </w:r>
            <w:r w:rsidR="008875D1" w:rsidRPr="0074248D">
              <w:rPr>
                <w:rFonts w:cs="Calibri Light"/>
                <w:color w:val="auto"/>
                <w:sz w:val="22"/>
                <w:szCs w:val="22"/>
              </w:rPr>
              <w:t>(</w:t>
            </w:r>
            <w:r w:rsidR="009509B9" w:rsidRPr="0074248D">
              <w:rPr>
                <w:rFonts w:cs="Calibri Light"/>
                <w:color w:val="auto"/>
                <w:sz w:val="22"/>
                <w:szCs w:val="22"/>
              </w:rPr>
              <w:t>$ p.a.</w:t>
            </w:r>
            <w:r w:rsidR="008875D1" w:rsidRPr="0074248D">
              <w:rPr>
                <w:rFonts w:cs="Calibri Light"/>
                <w:color w:val="auto"/>
                <w:sz w:val="22"/>
                <w:szCs w:val="22"/>
              </w:rPr>
              <w:t>)</w:t>
            </w:r>
          </w:p>
        </w:tc>
        <w:tc>
          <w:tcPr>
            <w:tcW w:w="1813" w:type="dxa"/>
            <w:tcBorders>
              <w:top w:val="single" w:sz="4" w:space="0" w:color="383834" w:themeColor="background2" w:themeShade="40"/>
              <w:bottom w:val="single" w:sz="4" w:space="0" w:color="77D499" w:themeColor="accent6" w:themeShade="BF"/>
            </w:tcBorders>
            <w:shd w:val="clear" w:color="auto" w:fill="BFBFBF" w:themeFill="background1" w:themeFillShade="BF"/>
          </w:tcPr>
          <w:p w14:paraId="55396D99" w14:textId="16D70D26" w:rsidR="009509B9" w:rsidRPr="0074248D" w:rsidRDefault="009509B9" w:rsidP="00D123BE">
            <w:pPr>
              <w:pStyle w:val="08Figuretableboxheading"/>
              <w:spacing w:before="0" w:after="0"/>
              <w:ind w:left="0" w:firstLine="0"/>
              <w:jc w:val="right"/>
              <w:cnfStyle w:val="000000100000" w:firstRow="0" w:lastRow="0" w:firstColumn="0" w:lastColumn="0" w:oddVBand="0" w:evenVBand="0" w:oddHBand="1" w:evenHBand="0" w:firstRowFirstColumn="0" w:firstRowLastColumn="0" w:lastRowFirstColumn="0" w:lastRowLastColumn="0"/>
              <w:rPr>
                <w:rFonts w:cs="Calibri Light"/>
                <w:color w:val="auto"/>
                <w:sz w:val="22"/>
                <w:szCs w:val="22"/>
              </w:rPr>
            </w:pPr>
            <w:r w:rsidRPr="0074248D">
              <w:rPr>
                <w:rFonts w:cs="Calibri Light"/>
                <w:color w:val="auto"/>
                <w:sz w:val="22"/>
                <w:szCs w:val="22"/>
              </w:rPr>
              <w:t>Salary component</w:t>
            </w:r>
            <w:r w:rsidRPr="0074248D">
              <w:rPr>
                <w:rFonts w:cs="Calibri Light"/>
                <w:color w:val="auto"/>
                <w:sz w:val="22"/>
                <w:szCs w:val="22"/>
              </w:rPr>
              <w:br/>
            </w:r>
            <w:r w:rsidR="008875D1" w:rsidRPr="0074248D">
              <w:rPr>
                <w:rFonts w:cs="Calibri Light"/>
                <w:color w:val="auto"/>
                <w:sz w:val="22"/>
                <w:szCs w:val="22"/>
              </w:rPr>
              <w:t>(</w:t>
            </w:r>
            <w:r w:rsidRPr="0074248D">
              <w:rPr>
                <w:rFonts w:cs="Calibri Light"/>
                <w:color w:val="auto"/>
                <w:sz w:val="22"/>
                <w:szCs w:val="22"/>
              </w:rPr>
              <w:t>$ p.a.</w:t>
            </w:r>
            <w:r w:rsidR="008875D1" w:rsidRPr="0074248D">
              <w:rPr>
                <w:rFonts w:cs="Calibri Light"/>
                <w:color w:val="auto"/>
                <w:sz w:val="22"/>
                <w:szCs w:val="22"/>
              </w:rPr>
              <w:t>)</w:t>
            </w:r>
          </w:p>
        </w:tc>
        <w:tc>
          <w:tcPr>
            <w:tcW w:w="1842" w:type="dxa"/>
            <w:tcBorders>
              <w:top w:val="single" w:sz="4" w:space="0" w:color="3D755F" w:themeColor="accent5" w:themeShade="80"/>
              <w:bottom w:val="single" w:sz="4" w:space="0" w:color="77D499" w:themeColor="accent6" w:themeShade="BF"/>
            </w:tcBorders>
            <w:shd w:val="clear" w:color="auto" w:fill="BFBFBF" w:themeFill="background1" w:themeFillShade="BF"/>
          </w:tcPr>
          <w:p w14:paraId="172E63A5" w14:textId="114ACC70" w:rsidR="009509B9" w:rsidRPr="0074248D" w:rsidRDefault="009509B9" w:rsidP="00D123BE">
            <w:pPr>
              <w:pStyle w:val="08Figuretableboxheading"/>
              <w:spacing w:before="0" w:after="0"/>
              <w:ind w:left="0" w:firstLine="0"/>
              <w:jc w:val="right"/>
              <w:cnfStyle w:val="000000100000" w:firstRow="0" w:lastRow="0" w:firstColumn="0" w:lastColumn="0" w:oddVBand="0" w:evenVBand="0" w:oddHBand="1" w:evenHBand="0" w:firstRowFirstColumn="0" w:firstRowLastColumn="0" w:lastRowFirstColumn="0" w:lastRowLastColumn="0"/>
              <w:rPr>
                <w:rFonts w:cs="Calibri Light"/>
                <w:color w:val="auto"/>
                <w:sz w:val="22"/>
                <w:szCs w:val="22"/>
              </w:rPr>
            </w:pPr>
            <w:r w:rsidRPr="0074248D">
              <w:rPr>
                <w:rFonts w:cs="Calibri Light"/>
                <w:color w:val="auto"/>
                <w:sz w:val="22"/>
                <w:szCs w:val="22"/>
              </w:rPr>
              <w:t>Superannuation component</w:t>
            </w:r>
            <w:r w:rsidRPr="0074248D">
              <w:rPr>
                <w:rFonts w:cs="Calibri Light"/>
                <w:color w:val="auto"/>
                <w:sz w:val="22"/>
                <w:szCs w:val="22"/>
                <w:vertAlign w:val="superscript"/>
              </w:rPr>
              <w:t>(a)</w:t>
            </w:r>
            <w:r w:rsidRPr="0074248D">
              <w:rPr>
                <w:rFonts w:cs="Calibri Light"/>
                <w:color w:val="auto"/>
                <w:sz w:val="22"/>
                <w:szCs w:val="22"/>
                <w:vertAlign w:val="superscript"/>
              </w:rPr>
              <w:br/>
            </w:r>
            <w:r w:rsidR="008875D1" w:rsidRPr="0074248D">
              <w:rPr>
                <w:rFonts w:cs="Calibri Light"/>
                <w:color w:val="auto"/>
                <w:sz w:val="22"/>
                <w:szCs w:val="22"/>
              </w:rPr>
              <w:t>(</w:t>
            </w:r>
            <w:r w:rsidRPr="0074248D">
              <w:rPr>
                <w:rFonts w:cs="Calibri Light"/>
                <w:color w:val="auto"/>
                <w:sz w:val="22"/>
                <w:szCs w:val="22"/>
              </w:rPr>
              <w:t>$ p.a.</w:t>
            </w:r>
            <w:r w:rsidR="008875D1" w:rsidRPr="0074248D">
              <w:rPr>
                <w:rFonts w:cs="Calibri Light"/>
                <w:color w:val="auto"/>
                <w:sz w:val="22"/>
                <w:szCs w:val="22"/>
              </w:rPr>
              <w:t>)</w:t>
            </w:r>
          </w:p>
        </w:tc>
        <w:tc>
          <w:tcPr>
            <w:tcW w:w="1701" w:type="dxa"/>
            <w:tcBorders>
              <w:top w:val="single" w:sz="4" w:space="0" w:color="3D755F" w:themeColor="accent5" w:themeShade="80"/>
              <w:bottom w:val="single" w:sz="4" w:space="0" w:color="77D499" w:themeColor="accent6" w:themeShade="BF"/>
            </w:tcBorders>
            <w:shd w:val="clear" w:color="auto" w:fill="5EAB8D" w:themeFill="accent5" w:themeFillShade="BF"/>
          </w:tcPr>
          <w:p w14:paraId="69B17B58" w14:textId="545C6261" w:rsidR="009509B9" w:rsidRPr="0054488D" w:rsidRDefault="009509B9" w:rsidP="00D123BE">
            <w:pPr>
              <w:pStyle w:val="08Figuretableboxheading"/>
              <w:spacing w:before="0" w:after="0"/>
              <w:ind w:left="0" w:firstLine="0"/>
              <w:jc w:val="right"/>
              <w:cnfStyle w:val="000000100000" w:firstRow="0" w:lastRow="0" w:firstColumn="0" w:lastColumn="0" w:oddVBand="0" w:evenVBand="0" w:oddHBand="1" w:evenHBand="0" w:firstRowFirstColumn="0" w:firstRowLastColumn="0" w:lastRowFirstColumn="0" w:lastRowLastColumn="0"/>
              <w:rPr>
                <w:rFonts w:cs="Calibri Light"/>
                <w:color w:val="auto"/>
                <w:sz w:val="22"/>
                <w:szCs w:val="22"/>
              </w:rPr>
            </w:pPr>
            <w:r w:rsidRPr="0054488D">
              <w:rPr>
                <w:rFonts w:cs="Calibri Light"/>
                <w:color w:val="auto"/>
                <w:sz w:val="22"/>
                <w:szCs w:val="22"/>
              </w:rPr>
              <w:t>Salary component</w:t>
            </w:r>
            <w:r w:rsidRPr="0054488D">
              <w:rPr>
                <w:rFonts w:cs="Calibri Light"/>
                <w:color w:val="auto"/>
                <w:sz w:val="22"/>
                <w:szCs w:val="22"/>
                <w:vertAlign w:val="superscript"/>
              </w:rPr>
              <w:t>(b)</w:t>
            </w:r>
            <w:r w:rsidRPr="0054488D">
              <w:rPr>
                <w:rFonts w:cs="Calibri Light"/>
                <w:color w:val="auto"/>
                <w:sz w:val="22"/>
                <w:szCs w:val="22"/>
              </w:rPr>
              <w:br/>
            </w:r>
            <w:r w:rsidR="008875D1" w:rsidRPr="0054488D">
              <w:rPr>
                <w:rFonts w:cs="Calibri Light"/>
                <w:color w:val="auto"/>
                <w:sz w:val="22"/>
                <w:szCs w:val="22"/>
              </w:rPr>
              <w:t>(</w:t>
            </w:r>
            <w:r w:rsidRPr="0054488D">
              <w:rPr>
                <w:rFonts w:cs="Calibri Light"/>
                <w:color w:val="auto"/>
                <w:sz w:val="22"/>
                <w:szCs w:val="22"/>
              </w:rPr>
              <w:t>$ p.a.</w:t>
            </w:r>
            <w:r w:rsidR="008875D1" w:rsidRPr="0054488D">
              <w:rPr>
                <w:rFonts w:cs="Calibri Light"/>
                <w:color w:val="auto"/>
                <w:sz w:val="22"/>
                <w:szCs w:val="22"/>
              </w:rPr>
              <w:t>)</w:t>
            </w:r>
          </w:p>
        </w:tc>
        <w:tc>
          <w:tcPr>
            <w:tcW w:w="1843" w:type="dxa"/>
            <w:tcBorders>
              <w:top w:val="single" w:sz="4" w:space="0" w:color="3D755F" w:themeColor="accent5" w:themeShade="80"/>
              <w:bottom w:val="single" w:sz="4" w:space="0" w:color="77D499" w:themeColor="accent6" w:themeShade="BF"/>
            </w:tcBorders>
            <w:shd w:val="clear" w:color="auto" w:fill="5EAB8D" w:themeFill="accent5" w:themeFillShade="BF"/>
          </w:tcPr>
          <w:p w14:paraId="58D5C6F8" w14:textId="14892F14" w:rsidR="009509B9" w:rsidRPr="0054488D" w:rsidRDefault="009509B9" w:rsidP="00D123BE">
            <w:pPr>
              <w:pStyle w:val="08Figuretableboxheading"/>
              <w:spacing w:before="0" w:after="0"/>
              <w:ind w:left="0" w:firstLine="0"/>
              <w:jc w:val="right"/>
              <w:cnfStyle w:val="000000100000" w:firstRow="0" w:lastRow="0" w:firstColumn="0" w:lastColumn="0" w:oddVBand="0" w:evenVBand="0" w:oddHBand="1" w:evenHBand="0" w:firstRowFirstColumn="0" w:firstRowLastColumn="0" w:lastRowFirstColumn="0" w:lastRowLastColumn="0"/>
              <w:rPr>
                <w:rFonts w:cs="Calibri Light"/>
                <w:color w:val="auto"/>
                <w:sz w:val="22"/>
                <w:szCs w:val="22"/>
              </w:rPr>
            </w:pPr>
            <w:r w:rsidRPr="0054488D">
              <w:rPr>
                <w:rFonts w:cs="Calibri Light"/>
                <w:color w:val="auto"/>
                <w:sz w:val="22"/>
                <w:szCs w:val="22"/>
              </w:rPr>
              <w:t>Superannuation component</w:t>
            </w:r>
            <w:r w:rsidRPr="0054488D">
              <w:rPr>
                <w:rFonts w:cs="Calibri Light"/>
                <w:color w:val="auto"/>
                <w:sz w:val="22"/>
                <w:szCs w:val="22"/>
                <w:vertAlign w:val="superscript"/>
              </w:rPr>
              <w:t>(c)</w:t>
            </w:r>
            <w:r w:rsidRPr="0054488D">
              <w:rPr>
                <w:rFonts w:cs="Calibri Light"/>
                <w:color w:val="auto"/>
                <w:sz w:val="22"/>
                <w:szCs w:val="22"/>
                <w:vertAlign w:val="superscript"/>
              </w:rPr>
              <w:br/>
            </w:r>
            <w:r w:rsidR="008875D1" w:rsidRPr="0054488D">
              <w:rPr>
                <w:rFonts w:cs="Calibri Light"/>
                <w:color w:val="auto"/>
                <w:sz w:val="22"/>
                <w:szCs w:val="22"/>
              </w:rPr>
              <w:t>(</w:t>
            </w:r>
            <w:r w:rsidRPr="0054488D">
              <w:rPr>
                <w:rFonts w:cs="Calibri Light"/>
                <w:color w:val="auto"/>
                <w:sz w:val="22"/>
                <w:szCs w:val="22"/>
              </w:rPr>
              <w:t>$ p.a.</w:t>
            </w:r>
            <w:r w:rsidR="008875D1" w:rsidRPr="0054488D">
              <w:rPr>
                <w:rFonts w:cs="Calibri Light"/>
                <w:color w:val="auto"/>
                <w:sz w:val="22"/>
                <w:szCs w:val="22"/>
              </w:rPr>
              <w:t>)</w:t>
            </w:r>
          </w:p>
        </w:tc>
        <w:tc>
          <w:tcPr>
            <w:tcW w:w="1843" w:type="dxa"/>
            <w:vMerge/>
            <w:tcBorders>
              <w:bottom w:val="single" w:sz="4" w:space="0" w:color="77D499" w:themeColor="accent6" w:themeShade="BF"/>
            </w:tcBorders>
          </w:tcPr>
          <w:p w14:paraId="1C3EF66E" w14:textId="77777777" w:rsidR="009509B9" w:rsidRPr="0054488D" w:rsidRDefault="009509B9" w:rsidP="00D123BE">
            <w:pPr>
              <w:pStyle w:val="08Figuretableboxheading"/>
              <w:spacing w:before="0" w:after="0"/>
              <w:ind w:left="0" w:firstLine="0"/>
              <w:cnfStyle w:val="000000100000" w:firstRow="0" w:lastRow="0" w:firstColumn="0" w:lastColumn="0" w:oddVBand="0" w:evenVBand="0" w:oddHBand="1" w:evenHBand="0" w:firstRowFirstColumn="0" w:firstRowLastColumn="0" w:lastRowFirstColumn="0" w:lastRowLastColumn="0"/>
              <w:rPr>
                <w:rFonts w:cs="Calibri Light"/>
                <w:color w:val="auto"/>
                <w:sz w:val="22"/>
                <w:szCs w:val="22"/>
              </w:rPr>
            </w:pPr>
          </w:p>
        </w:tc>
      </w:tr>
      <w:tr w:rsidR="008364FD" w14:paraId="52EBB118" w14:textId="77777777" w:rsidTr="00B03FCC">
        <w:trPr>
          <w:trHeight w:val="142"/>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7D499" w:themeColor="accent6" w:themeShade="BF"/>
            </w:tcBorders>
            <w:shd w:val="clear" w:color="auto" w:fill="77D499" w:themeFill="accent6" w:themeFillShade="BF"/>
          </w:tcPr>
          <w:p w14:paraId="00AFC5F8" w14:textId="3273872E" w:rsidR="009509B9" w:rsidRPr="00BA71B7" w:rsidRDefault="009509B9" w:rsidP="007959E3">
            <w:pPr>
              <w:pStyle w:val="08Figuretableboxheading"/>
              <w:spacing w:before="0" w:after="0"/>
              <w:ind w:left="0" w:firstLine="0"/>
              <w:contextualSpacing/>
              <w:rPr>
                <w:rFonts w:cs="Calibri Light"/>
                <w:sz w:val="22"/>
                <w:szCs w:val="22"/>
              </w:rPr>
            </w:pPr>
            <w:r w:rsidRPr="0054488D">
              <w:rPr>
                <w:rFonts w:cs="Calibri Light"/>
                <w:color w:val="auto"/>
                <w:sz w:val="22"/>
                <w:szCs w:val="22"/>
              </w:rPr>
              <w:t>SES-1</w:t>
            </w:r>
            <w:r w:rsidR="00F34529" w:rsidRPr="0054488D">
              <w:rPr>
                <w:rFonts w:cs="Calibri Light"/>
                <w:color w:val="auto"/>
                <w:sz w:val="22"/>
                <w:szCs w:val="22"/>
              </w:rPr>
              <w:t xml:space="preserve"> </w:t>
            </w:r>
            <w:r w:rsidRPr="0054488D">
              <w:rPr>
                <w:rFonts w:cs="Calibri Light"/>
                <w:color w:val="auto"/>
                <w:sz w:val="22"/>
                <w:szCs w:val="22"/>
              </w:rPr>
              <w:t>/</w:t>
            </w:r>
            <w:r w:rsidR="00F34529" w:rsidRPr="0054488D">
              <w:rPr>
                <w:rFonts w:cs="Calibri Light"/>
                <w:color w:val="auto"/>
                <w:sz w:val="22"/>
                <w:szCs w:val="22"/>
              </w:rPr>
              <w:t xml:space="preserve"> </w:t>
            </w:r>
            <w:r w:rsidRPr="0054488D">
              <w:rPr>
                <w:rFonts w:cs="Calibri Light"/>
                <w:color w:val="auto"/>
                <w:sz w:val="22"/>
                <w:szCs w:val="22"/>
              </w:rPr>
              <w:t>AO Head-1</w:t>
            </w:r>
          </w:p>
        </w:tc>
        <w:tc>
          <w:tcPr>
            <w:tcW w:w="1022" w:type="dxa"/>
            <w:tcBorders>
              <w:top w:val="single" w:sz="4" w:space="0" w:color="77D499" w:themeColor="accent6" w:themeShade="BF"/>
            </w:tcBorders>
            <w:shd w:val="clear" w:color="auto" w:fill="77D499" w:themeFill="accent6" w:themeFillShade="BF"/>
          </w:tcPr>
          <w:p w14:paraId="724A796E" w14:textId="77777777" w:rsidR="009509B9" w:rsidRPr="00BA71B7" w:rsidRDefault="009509B9" w:rsidP="007959E3">
            <w:pPr>
              <w:pStyle w:val="08Figuretableboxheading"/>
              <w:spacing w:before="0" w:after="0"/>
              <w:ind w:left="0" w:firstLine="0"/>
              <w:contextualSpacing/>
              <w:cnfStyle w:val="000000000000" w:firstRow="0" w:lastRow="0" w:firstColumn="0" w:lastColumn="0" w:oddVBand="0" w:evenVBand="0" w:oddHBand="0" w:evenHBand="0" w:firstRowFirstColumn="0" w:firstRowLastColumn="0" w:lastRowFirstColumn="0" w:lastRowLastColumn="0"/>
              <w:rPr>
                <w:rFonts w:cs="Calibri Light"/>
                <w:sz w:val="22"/>
                <w:szCs w:val="22"/>
              </w:rPr>
            </w:pPr>
          </w:p>
        </w:tc>
        <w:tc>
          <w:tcPr>
            <w:tcW w:w="1813" w:type="dxa"/>
            <w:tcBorders>
              <w:top w:val="single" w:sz="4" w:space="0" w:color="77D499" w:themeColor="accent6" w:themeShade="BF"/>
            </w:tcBorders>
            <w:shd w:val="clear" w:color="auto" w:fill="77D499" w:themeFill="accent6" w:themeFillShade="BF"/>
          </w:tcPr>
          <w:p w14:paraId="2E2175F6" w14:textId="77777777" w:rsidR="009509B9" w:rsidRPr="00BA71B7" w:rsidRDefault="009509B9" w:rsidP="007959E3">
            <w:pPr>
              <w:pStyle w:val="08Figuretableboxheading"/>
              <w:spacing w:before="0" w:after="0"/>
              <w:ind w:left="0" w:firstLine="0"/>
              <w:contextualSpacing/>
              <w:cnfStyle w:val="000000000000" w:firstRow="0" w:lastRow="0" w:firstColumn="0" w:lastColumn="0" w:oddVBand="0" w:evenVBand="0" w:oddHBand="0" w:evenHBand="0" w:firstRowFirstColumn="0" w:firstRowLastColumn="0" w:lastRowFirstColumn="0" w:lastRowLastColumn="0"/>
              <w:rPr>
                <w:rFonts w:cs="Calibri Light"/>
                <w:sz w:val="22"/>
                <w:szCs w:val="22"/>
              </w:rPr>
            </w:pPr>
          </w:p>
        </w:tc>
        <w:tc>
          <w:tcPr>
            <w:tcW w:w="1842" w:type="dxa"/>
            <w:tcBorders>
              <w:top w:val="single" w:sz="4" w:space="0" w:color="77D499" w:themeColor="accent6" w:themeShade="BF"/>
            </w:tcBorders>
            <w:shd w:val="clear" w:color="auto" w:fill="77D499" w:themeFill="accent6" w:themeFillShade="BF"/>
          </w:tcPr>
          <w:p w14:paraId="54B72D44" w14:textId="77777777" w:rsidR="009509B9" w:rsidRPr="00BA71B7" w:rsidRDefault="009509B9" w:rsidP="007959E3">
            <w:pPr>
              <w:pStyle w:val="08Figuretableboxheading"/>
              <w:spacing w:before="0" w:after="0"/>
              <w:ind w:left="0" w:firstLine="0"/>
              <w:contextualSpacing/>
              <w:cnfStyle w:val="000000000000" w:firstRow="0" w:lastRow="0" w:firstColumn="0" w:lastColumn="0" w:oddVBand="0" w:evenVBand="0" w:oddHBand="0" w:evenHBand="0" w:firstRowFirstColumn="0" w:firstRowLastColumn="0" w:lastRowFirstColumn="0" w:lastRowLastColumn="0"/>
              <w:rPr>
                <w:rFonts w:cs="Calibri Light"/>
                <w:sz w:val="22"/>
                <w:szCs w:val="22"/>
              </w:rPr>
            </w:pPr>
          </w:p>
        </w:tc>
        <w:tc>
          <w:tcPr>
            <w:tcW w:w="1701" w:type="dxa"/>
            <w:tcBorders>
              <w:top w:val="single" w:sz="4" w:space="0" w:color="77D499" w:themeColor="accent6" w:themeShade="BF"/>
            </w:tcBorders>
            <w:shd w:val="clear" w:color="auto" w:fill="77D499" w:themeFill="accent6" w:themeFillShade="BF"/>
          </w:tcPr>
          <w:p w14:paraId="12506DCF" w14:textId="77777777" w:rsidR="009509B9" w:rsidRPr="00BA71B7" w:rsidRDefault="009509B9" w:rsidP="007959E3">
            <w:pPr>
              <w:pStyle w:val="08Figuretableboxheading"/>
              <w:spacing w:before="0" w:after="0"/>
              <w:ind w:left="0" w:firstLine="0"/>
              <w:contextualSpacing/>
              <w:cnfStyle w:val="000000000000" w:firstRow="0" w:lastRow="0" w:firstColumn="0" w:lastColumn="0" w:oddVBand="0" w:evenVBand="0" w:oddHBand="0" w:evenHBand="0" w:firstRowFirstColumn="0" w:firstRowLastColumn="0" w:lastRowFirstColumn="0" w:lastRowLastColumn="0"/>
              <w:rPr>
                <w:rFonts w:cs="Calibri Light"/>
                <w:sz w:val="22"/>
                <w:szCs w:val="22"/>
              </w:rPr>
            </w:pPr>
          </w:p>
        </w:tc>
        <w:tc>
          <w:tcPr>
            <w:tcW w:w="1843" w:type="dxa"/>
            <w:tcBorders>
              <w:top w:val="single" w:sz="4" w:space="0" w:color="77D499" w:themeColor="accent6" w:themeShade="BF"/>
            </w:tcBorders>
            <w:shd w:val="clear" w:color="auto" w:fill="77D499" w:themeFill="accent6" w:themeFillShade="BF"/>
          </w:tcPr>
          <w:p w14:paraId="32916B74" w14:textId="77777777" w:rsidR="009509B9" w:rsidRPr="00BA71B7" w:rsidRDefault="009509B9" w:rsidP="007959E3">
            <w:pPr>
              <w:pStyle w:val="08Figuretableboxheading"/>
              <w:spacing w:before="0" w:after="0"/>
              <w:ind w:left="0" w:firstLine="0"/>
              <w:contextualSpacing/>
              <w:cnfStyle w:val="000000000000" w:firstRow="0" w:lastRow="0" w:firstColumn="0" w:lastColumn="0" w:oddVBand="0" w:evenVBand="0" w:oddHBand="0" w:evenHBand="0" w:firstRowFirstColumn="0" w:firstRowLastColumn="0" w:lastRowFirstColumn="0" w:lastRowLastColumn="0"/>
              <w:rPr>
                <w:rFonts w:cs="Calibri Light"/>
                <w:sz w:val="22"/>
                <w:szCs w:val="22"/>
              </w:rPr>
            </w:pPr>
          </w:p>
        </w:tc>
        <w:tc>
          <w:tcPr>
            <w:tcW w:w="1843" w:type="dxa"/>
            <w:tcBorders>
              <w:top w:val="single" w:sz="4" w:space="0" w:color="77D499" w:themeColor="accent6" w:themeShade="BF"/>
            </w:tcBorders>
            <w:shd w:val="clear" w:color="auto" w:fill="77D499" w:themeFill="accent6" w:themeFillShade="BF"/>
          </w:tcPr>
          <w:p w14:paraId="0FD3FF09" w14:textId="77777777" w:rsidR="009509B9" w:rsidRPr="00BA71B7" w:rsidRDefault="009509B9" w:rsidP="007959E3">
            <w:pPr>
              <w:pStyle w:val="08Figuretableboxheading"/>
              <w:spacing w:before="0" w:after="0"/>
              <w:ind w:left="0" w:firstLine="0"/>
              <w:contextualSpacing/>
              <w:cnfStyle w:val="000000000000" w:firstRow="0" w:lastRow="0" w:firstColumn="0" w:lastColumn="0" w:oddVBand="0" w:evenVBand="0" w:oddHBand="0" w:evenHBand="0" w:firstRowFirstColumn="0" w:firstRowLastColumn="0" w:lastRowFirstColumn="0" w:lastRowLastColumn="0"/>
              <w:rPr>
                <w:rFonts w:cs="Calibri Light"/>
                <w:sz w:val="22"/>
                <w:szCs w:val="22"/>
              </w:rPr>
            </w:pPr>
          </w:p>
        </w:tc>
      </w:tr>
      <w:tr w:rsidR="00A82823" w14:paraId="617C9C0E" w14:textId="77777777" w:rsidTr="00D6753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1" w:type="dxa"/>
          </w:tcPr>
          <w:p w14:paraId="36F5C1BB" w14:textId="38C112EB" w:rsidR="00A24A60" w:rsidRPr="00BA71B7" w:rsidRDefault="00A24A60" w:rsidP="00A24A60">
            <w:pPr>
              <w:pStyle w:val="08Figuretableboxheading"/>
              <w:spacing w:before="0" w:after="0"/>
              <w:ind w:left="0" w:firstLine="0"/>
              <w:contextualSpacing/>
              <w:rPr>
                <w:rFonts w:cs="Calibri Light"/>
                <w:sz w:val="22"/>
                <w:szCs w:val="22"/>
              </w:rPr>
            </w:pPr>
            <w:r w:rsidRPr="00BA71B7">
              <w:rPr>
                <w:rFonts w:cs="Calibri Light"/>
                <w:b w:val="0"/>
                <w:bCs w:val="0"/>
                <w:color w:val="auto"/>
                <w:sz w:val="22"/>
                <w:szCs w:val="22"/>
              </w:rPr>
              <w:t>base of band</w:t>
            </w:r>
          </w:p>
        </w:tc>
        <w:tc>
          <w:tcPr>
            <w:tcW w:w="1022" w:type="dxa"/>
          </w:tcPr>
          <w:p w14:paraId="0D15FEE0" w14:textId="65A5587F"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r w:rsidRPr="00BA71B7">
              <w:rPr>
                <w:b w:val="0"/>
                <w:bCs/>
                <w:color w:val="auto"/>
                <w:sz w:val="22"/>
                <w:szCs w:val="20"/>
              </w:rPr>
              <w:t>225,000</w:t>
            </w:r>
          </w:p>
        </w:tc>
        <w:tc>
          <w:tcPr>
            <w:tcW w:w="1813" w:type="dxa"/>
          </w:tcPr>
          <w:p w14:paraId="1FDF85FC" w14:textId="253D62B2"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r w:rsidRPr="00BA71B7">
              <w:rPr>
                <w:rFonts w:cs="Calibri Light"/>
                <w:b w:val="0"/>
                <w:bCs/>
                <w:color w:val="auto"/>
                <w:sz w:val="22"/>
                <w:szCs w:val="22"/>
              </w:rPr>
              <w:t>201,794</w:t>
            </w:r>
          </w:p>
        </w:tc>
        <w:tc>
          <w:tcPr>
            <w:tcW w:w="1842" w:type="dxa"/>
          </w:tcPr>
          <w:p w14:paraId="5D23C746" w14:textId="36B8FDBB"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auto"/>
                <w:sz w:val="22"/>
                <w:szCs w:val="22"/>
              </w:rPr>
            </w:pPr>
            <w:r w:rsidRPr="00BA71B7">
              <w:rPr>
                <w:rFonts w:cs="Calibri Light"/>
                <w:b w:val="0"/>
                <w:bCs/>
                <w:color w:val="auto"/>
                <w:sz w:val="22"/>
                <w:szCs w:val="22"/>
              </w:rPr>
              <w:t>23,206</w:t>
            </w:r>
          </w:p>
        </w:tc>
        <w:tc>
          <w:tcPr>
            <w:tcW w:w="1701" w:type="dxa"/>
          </w:tcPr>
          <w:p w14:paraId="40A0A125" w14:textId="429B529A"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207,848</w:t>
            </w:r>
          </w:p>
        </w:tc>
        <w:tc>
          <w:tcPr>
            <w:tcW w:w="1843" w:type="dxa"/>
          </w:tcPr>
          <w:p w14:paraId="6D52E4AD" w14:textId="0CCB6EC2"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24,942</w:t>
            </w:r>
          </w:p>
        </w:tc>
        <w:tc>
          <w:tcPr>
            <w:tcW w:w="1843" w:type="dxa"/>
          </w:tcPr>
          <w:p w14:paraId="201BB1B1" w14:textId="0F6F7F3B"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1,735</w:t>
            </w:r>
          </w:p>
        </w:tc>
      </w:tr>
      <w:tr w:rsidR="00A82823" w14:paraId="4A515E29" w14:textId="77777777" w:rsidTr="00D6753E">
        <w:trPr>
          <w:trHeight w:val="227"/>
        </w:trPr>
        <w:tc>
          <w:tcPr>
            <w:cnfStyle w:val="001000000000" w:firstRow="0" w:lastRow="0" w:firstColumn="1" w:lastColumn="0" w:oddVBand="0" w:evenVBand="0" w:oddHBand="0" w:evenHBand="0" w:firstRowFirstColumn="0" w:firstRowLastColumn="0" w:lastRowFirstColumn="0" w:lastRowLastColumn="0"/>
            <w:tcW w:w="3261" w:type="dxa"/>
          </w:tcPr>
          <w:p w14:paraId="047BAD3D" w14:textId="61FF86D4" w:rsidR="00A24A60" w:rsidRPr="00BA71B7" w:rsidRDefault="00A24A60" w:rsidP="00A24A60">
            <w:pPr>
              <w:pStyle w:val="08Figuretableboxheading"/>
              <w:spacing w:before="0" w:after="0"/>
              <w:ind w:left="0" w:firstLine="0"/>
              <w:contextualSpacing/>
              <w:rPr>
                <w:rFonts w:cs="Calibri Light"/>
                <w:sz w:val="22"/>
                <w:szCs w:val="22"/>
              </w:rPr>
            </w:pPr>
            <w:r w:rsidRPr="00BA71B7">
              <w:rPr>
                <w:rFonts w:cs="Calibri Light"/>
                <w:b w:val="0"/>
                <w:bCs w:val="0"/>
                <w:color w:val="auto"/>
                <w:sz w:val="22"/>
                <w:szCs w:val="22"/>
              </w:rPr>
              <w:t>top of band</w:t>
            </w:r>
          </w:p>
        </w:tc>
        <w:tc>
          <w:tcPr>
            <w:tcW w:w="1022" w:type="dxa"/>
          </w:tcPr>
          <w:p w14:paraId="17B1C312" w14:textId="3A953661"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r w:rsidRPr="00BA71B7">
              <w:rPr>
                <w:b w:val="0"/>
                <w:bCs/>
                <w:color w:val="auto"/>
                <w:sz w:val="22"/>
                <w:szCs w:val="20"/>
              </w:rPr>
              <w:t>290,600</w:t>
            </w:r>
          </w:p>
        </w:tc>
        <w:tc>
          <w:tcPr>
            <w:tcW w:w="1813" w:type="dxa"/>
          </w:tcPr>
          <w:p w14:paraId="19954F13" w14:textId="3F000528"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r w:rsidRPr="00BA71B7">
              <w:rPr>
                <w:rFonts w:cs="Calibri Light"/>
                <w:b w:val="0"/>
                <w:bCs/>
                <w:color w:val="auto"/>
                <w:sz w:val="22"/>
                <w:szCs w:val="22"/>
              </w:rPr>
              <w:t>260,668</w:t>
            </w:r>
          </w:p>
        </w:tc>
        <w:tc>
          <w:tcPr>
            <w:tcW w:w="1842" w:type="dxa"/>
          </w:tcPr>
          <w:p w14:paraId="100754F6" w14:textId="3C8F4DDD"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auto"/>
                <w:sz w:val="22"/>
                <w:szCs w:val="22"/>
              </w:rPr>
            </w:pPr>
            <w:r w:rsidRPr="00BA71B7">
              <w:rPr>
                <w:rFonts w:cs="Calibri Light"/>
                <w:b w:val="0"/>
                <w:bCs/>
                <w:color w:val="auto"/>
                <w:sz w:val="22"/>
                <w:szCs w:val="22"/>
              </w:rPr>
              <w:t>29,932</w:t>
            </w:r>
          </w:p>
        </w:tc>
        <w:tc>
          <w:tcPr>
            <w:tcW w:w="1701" w:type="dxa"/>
          </w:tcPr>
          <w:p w14:paraId="045318AB" w14:textId="515889B0"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2</w:t>
            </w:r>
            <w:r w:rsidR="00DF4CD4">
              <w:rPr>
                <w:rFonts w:cs="Calibri Light"/>
                <w:b w:val="0"/>
                <w:bCs/>
                <w:color w:val="000000" w:themeColor="text1"/>
                <w:sz w:val="22"/>
                <w:szCs w:val="22"/>
              </w:rPr>
              <w:t>6</w:t>
            </w:r>
            <w:r w:rsidRPr="00BA71B7">
              <w:rPr>
                <w:rFonts w:cs="Calibri Light"/>
                <w:b w:val="0"/>
                <w:bCs/>
                <w:color w:val="000000" w:themeColor="text1"/>
                <w:sz w:val="22"/>
                <w:szCs w:val="22"/>
              </w:rPr>
              <w:t>8,488</w:t>
            </w:r>
          </w:p>
        </w:tc>
        <w:tc>
          <w:tcPr>
            <w:tcW w:w="1843" w:type="dxa"/>
          </w:tcPr>
          <w:p w14:paraId="02E60D8D" w14:textId="7AB54735"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30,000</w:t>
            </w:r>
          </w:p>
        </w:tc>
        <w:tc>
          <w:tcPr>
            <w:tcW w:w="1843" w:type="dxa"/>
          </w:tcPr>
          <w:p w14:paraId="4EA27AE4" w14:textId="54E39448"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68</w:t>
            </w:r>
          </w:p>
        </w:tc>
      </w:tr>
      <w:tr w:rsidR="008364FD" w14:paraId="2ADBB125" w14:textId="77777777" w:rsidTr="00F1079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1" w:type="dxa"/>
            <w:shd w:val="clear" w:color="auto" w:fill="77D499" w:themeFill="accent6" w:themeFillShade="BF"/>
          </w:tcPr>
          <w:p w14:paraId="2E9639DD" w14:textId="7BF9A4E6" w:rsidR="00A24A60" w:rsidRPr="00BA71B7" w:rsidRDefault="00A24A60" w:rsidP="00A24A60">
            <w:pPr>
              <w:pStyle w:val="08Figuretableboxheading"/>
              <w:spacing w:before="0" w:after="0"/>
              <w:ind w:left="0" w:firstLine="0"/>
              <w:contextualSpacing/>
              <w:rPr>
                <w:rFonts w:cs="Calibri Light"/>
                <w:sz w:val="22"/>
                <w:szCs w:val="22"/>
              </w:rPr>
            </w:pPr>
            <w:r w:rsidRPr="0054488D">
              <w:rPr>
                <w:rFonts w:cs="Calibri Light"/>
                <w:color w:val="auto"/>
                <w:sz w:val="22"/>
                <w:szCs w:val="22"/>
              </w:rPr>
              <w:t>SES-2</w:t>
            </w:r>
            <w:r w:rsidR="00F34529" w:rsidRPr="0054488D">
              <w:rPr>
                <w:rFonts w:cs="Calibri Light"/>
                <w:color w:val="auto"/>
                <w:sz w:val="22"/>
                <w:szCs w:val="22"/>
              </w:rPr>
              <w:t xml:space="preserve"> </w:t>
            </w:r>
            <w:r w:rsidRPr="0054488D">
              <w:rPr>
                <w:rFonts w:cs="Calibri Light"/>
                <w:color w:val="auto"/>
                <w:sz w:val="22"/>
                <w:szCs w:val="22"/>
              </w:rPr>
              <w:t>/</w:t>
            </w:r>
            <w:r w:rsidR="00F34529" w:rsidRPr="0054488D">
              <w:rPr>
                <w:rFonts w:cs="Calibri Light"/>
                <w:color w:val="auto"/>
                <w:sz w:val="22"/>
                <w:szCs w:val="22"/>
              </w:rPr>
              <w:t xml:space="preserve"> </w:t>
            </w:r>
            <w:r w:rsidRPr="0054488D">
              <w:rPr>
                <w:rFonts w:cs="Calibri Light"/>
                <w:color w:val="auto"/>
                <w:sz w:val="22"/>
                <w:szCs w:val="22"/>
              </w:rPr>
              <w:t>AO Head-2</w:t>
            </w:r>
          </w:p>
        </w:tc>
        <w:tc>
          <w:tcPr>
            <w:tcW w:w="1022" w:type="dxa"/>
            <w:shd w:val="clear" w:color="auto" w:fill="77D499" w:themeFill="accent6" w:themeFillShade="BF"/>
          </w:tcPr>
          <w:p w14:paraId="5436AD7F" w14:textId="77777777"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p>
        </w:tc>
        <w:tc>
          <w:tcPr>
            <w:tcW w:w="1813" w:type="dxa"/>
            <w:shd w:val="clear" w:color="auto" w:fill="77D499" w:themeFill="accent6" w:themeFillShade="BF"/>
          </w:tcPr>
          <w:p w14:paraId="50AAD5A6" w14:textId="77777777"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p>
        </w:tc>
        <w:tc>
          <w:tcPr>
            <w:tcW w:w="1842" w:type="dxa"/>
            <w:shd w:val="clear" w:color="auto" w:fill="77D499" w:themeFill="accent6" w:themeFillShade="BF"/>
          </w:tcPr>
          <w:p w14:paraId="44D32C74" w14:textId="77777777"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auto"/>
                <w:sz w:val="22"/>
                <w:szCs w:val="22"/>
              </w:rPr>
            </w:pPr>
          </w:p>
        </w:tc>
        <w:tc>
          <w:tcPr>
            <w:tcW w:w="1701" w:type="dxa"/>
            <w:shd w:val="clear" w:color="auto" w:fill="77D499" w:themeFill="accent6" w:themeFillShade="BF"/>
          </w:tcPr>
          <w:p w14:paraId="745D2E3C" w14:textId="6CA0049E"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p>
        </w:tc>
        <w:tc>
          <w:tcPr>
            <w:tcW w:w="1843" w:type="dxa"/>
            <w:shd w:val="clear" w:color="auto" w:fill="77D499" w:themeFill="accent6" w:themeFillShade="BF"/>
          </w:tcPr>
          <w:p w14:paraId="35C3BAAB" w14:textId="77777777"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p>
        </w:tc>
        <w:tc>
          <w:tcPr>
            <w:tcW w:w="1843" w:type="dxa"/>
            <w:shd w:val="clear" w:color="auto" w:fill="77D499" w:themeFill="accent6" w:themeFillShade="BF"/>
          </w:tcPr>
          <w:p w14:paraId="30DD0A2A" w14:textId="77777777"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p>
        </w:tc>
      </w:tr>
      <w:tr w:rsidR="00A82823" w14:paraId="519610FD" w14:textId="77777777" w:rsidTr="00D6753E">
        <w:trPr>
          <w:trHeight w:val="227"/>
        </w:trPr>
        <w:tc>
          <w:tcPr>
            <w:cnfStyle w:val="001000000000" w:firstRow="0" w:lastRow="0" w:firstColumn="1" w:lastColumn="0" w:oddVBand="0" w:evenVBand="0" w:oddHBand="0" w:evenHBand="0" w:firstRowFirstColumn="0" w:firstRowLastColumn="0" w:lastRowFirstColumn="0" w:lastRowLastColumn="0"/>
            <w:tcW w:w="3261" w:type="dxa"/>
          </w:tcPr>
          <w:p w14:paraId="18FEEC1A" w14:textId="2D95C603" w:rsidR="00A24A60" w:rsidRPr="00BA71B7" w:rsidRDefault="00A24A60" w:rsidP="00A24A60">
            <w:pPr>
              <w:pStyle w:val="08Figuretableboxheading"/>
              <w:spacing w:before="0" w:after="0"/>
              <w:ind w:left="0" w:firstLine="0"/>
              <w:contextualSpacing/>
              <w:rPr>
                <w:rFonts w:cs="Calibri Light"/>
                <w:sz w:val="22"/>
                <w:szCs w:val="22"/>
              </w:rPr>
            </w:pPr>
            <w:r w:rsidRPr="00BA71B7">
              <w:rPr>
                <w:rFonts w:cs="Calibri Light"/>
                <w:b w:val="0"/>
                <w:bCs w:val="0"/>
                <w:color w:val="auto"/>
                <w:sz w:val="22"/>
                <w:szCs w:val="22"/>
              </w:rPr>
              <w:t>base of band</w:t>
            </w:r>
          </w:p>
        </w:tc>
        <w:tc>
          <w:tcPr>
            <w:tcW w:w="1022" w:type="dxa"/>
          </w:tcPr>
          <w:p w14:paraId="06B450E2" w14:textId="773008A2"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r>
              <w:rPr>
                <w:b w:val="0"/>
                <w:bCs/>
                <w:color w:val="auto"/>
                <w:sz w:val="22"/>
                <w:szCs w:val="20"/>
              </w:rPr>
              <w:t>290,601</w:t>
            </w:r>
          </w:p>
        </w:tc>
        <w:tc>
          <w:tcPr>
            <w:tcW w:w="1813" w:type="dxa"/>
          </w:tcPr>
          <w:p w14:paraId="4E8F9164" w14:textId="7ED295BC"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r w:rsidRPr="00BA71B7">
              <w:rPr>
                <w:rFonts w:cs="Calibri Light"/>
                <w:b w:val="0"/>
                <w:bCs/>
                <w:color w:val="auto"/>
                <w:sz w:val="22"/>
                <w:szCs w:val="22"/>
              </w:rPr>
              <w:t>260,669</w:t>
            </w:r>
          </w:p>
        </w:tc>
        <w:tc>
          <w:tcPr>
            <w:tcW w:w="1842" w:type="dxa"/>
          </w:tcPr>
          <w:p w14:paraId="74C9985E" w14:textId="6B8C97E9"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auto"/>
                <w:sz w:val="22"/>
                <w:szCs w:val="22"/>
              </w:rPr>
            </w:pPr>
            <w:r w:rsidRPr="00BA71B7">
              <w:rPr>
                <w:rFonts w:cs="Calibri Light"/>
                <w:b w:val="0"/>
                <w:bCs/>
                <w:color w:val="auto"/>
                <w:sz w:val="22"/>
                <w:szCs w:val="22"/>
              </w:rPr>
              <w:t>29,932</w:t>
            </w:r>
          </w:p>
        </w:tc>
        <w:tc>
          <w:tcPr>
            <w:tcW w:w="1701" w:type="dxa"/>
          </w:tcPr>
          <w:p w14:paraId="74E755B1" w14:textId="51DE06ED"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268,489</w:t>
            </w:r>
          </w:p>
        </w:tc>
        <w:tc>
          <w:tcPr>
            <w:tcW w:w="1843" w:type="dxa"/>
          </w:tcPr>
          <w:p w14:paraId="69CF57C4" w14:textId="4434C8AF"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30,000</w:t>
            </w:r>
          </w:p>
        </w:tc>
        <w:tc>
          <w:tcPr>
            <w:tcW w:w="1843" w:type="dxa"/>
          </w:tcPr>
          <w:p w14:paraId="5266ECC5" w14:textId="0CAC2AC7"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68</w:t>
            </w:r>
          </w:p>
        </w:tc>
      </w:tr>
      <w:tr w:rsidR="00A82823" w14:paraId="4948FAEF" w14:textId="77777777" w:rsidTr="00D6753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1" w:type="dxa"/>
          </w:tcPr>
          <w:p w14:paraId="0516A86F" w14:textId="65DA3C80" w:rsidR="00A24A60" w:rsidRPr="00BA71B7" w:rsidRDefault="00A24A60" w:rsidP="00A24A60">
            <w:pPr>
              <w:pStyle w:val="08Figuretableboxheading"/>
              <w:spacing w:before="0" w:after="0"/>
              <w:ind w:left="0" w:firstLine="0"/>
              <w:contextualSpacing/>
              <w:rPr>
                <w:rFonts w:cs="Calibri Light"/>
                <w:sz w:val="22"/>
                <w:szCs w:val="22"/>
              </w:rPr>
            </w:pPr>
            <w:r w:rsidRPr="00BA71B7">
              <w:rPr>
                <w:rFonts w:cs="Calibri Light"/>
                <w:b w:val="0"/>
                <w:bCs w:val="0"/>
                <w:color w:val="auto"/>
                <w:sz w:val="22"/>
                <w:szCs w:val="22"/>
              </w:rPr>
              <w:t>top of band</w:t>
            </w:r>
          </w:p>
        </w:tc>
        <w:tc>
          <w:tcPr>
            <w:tcW w:w="1022" w:type="dxa"/>
          </w:tcPr>
          <w:p w14:paraId="51485ABA" w14:textId="005DB975"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r>
              <w:rPr>
                <w:b w:val="0"/>
                <w:bCs/>
                <w:color w:val="auto"/>
                <w:sz w:val="22"/>
                <w:szCs w:val="20"/>
              </w:rPr>
              <w:t>419,000</w:t>
            </w:r>
          </w:p>
        </w:tc>
        <w:tc>
          <w:tcPr>
            <w:tcW w:w="1813" w:type="dxa"/>
          </w:tcPr>
          <w:p w14:paraId="5FCD7872" w14:textId="6FC75510"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r w:rsidRPr="00BA71B7">
              <w:rPr>
                <w:rFonts w:cs="Calibri Light"/>
                <w:b w:val="0"/>
                <w:bCs/>
                <w:color w:val="auto"/>
                <w:sz w:val="22"/>
                <w:szCs w:val="22"/>
              </w:rPr>
              <w:t>389,068</w:t>
            </w:r>
          </w:p>
        </w:tc>
        <w:tc>
          <w:tcPr>
            <w:tcW w:w="1842" w:type="dxa"/>
          </w:tcPr>
          <w:p w14:paraId="68929650" w14:textId="7AA8502F"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auto"/>
                <w:sz w:val="22"/>
                <w:szCs w:val="22"/>
              </w:rPr>
            </w:pPr>
            <w:r w:rsidRPr="00BA71B7">
              <w:rPr>
                <w:rFonts w:cs="Calibri Light"/>
                <w:b w:val="0"/>
                <w:bCs/>
                <w:color w:val="auto"/>
                <w:sz w:val="22"/>
                <w:szCs w:val="22"/>
              </w:rPr>
              <w:t>29,932</w:t>
            </w:r>
          </w:p>
        </w:tc>
        <w:tc>
          <w:tcPr>
            <w:tcW w:w="1701" w:type="dxa"/>
          </w:tcPr>
          <w:p w14:paraId="5A9D604A" w14:textId="2DCFBC92"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400,740</w:t>
            </w:r>
          </w:p>
        </w:tc>
        <w:tc>
          <w:tcPr>
            <w:tcW w:w="1843" w:type="dxa"/>
          </w:tcPr>
          <w:p w14:paraId="6283DFEE" w14:textId="3803C275"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30,000</w:t>
            </w:r>
          </w:p>
        </w:tc>
        <w:tc>
          <w:tcPr>
            <w:tcW w:w="1843" w:type="dxa"/>
          </w:tcPr>
          <w:p w14:paraId="7832A09F" w14:textId="2DD4553D"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68</w:t>
            </w:r>
          </w:p>
        </w:tc>
      </w:tr>
      <w:tr w:rsidR="008364FD" w14:paraId="266315F7" w14:textId="77777777" w:rsidTr="00F1079B">
        <w:trPr>
          <w:trHeight w:val="227"/>
        </w:trPr>
        <w:tc>
          <w:tcPr>
            <w:cnfStyle w:val="001000000000" w:firstRow="0" w:lastRow="0" w:firstColumn="1" w:lastColumn="0" w:oddVBand="0" w:evenVBand="0" w:oddHBand="0" w:evenHBand="0" w:firstRowFirstColumn="0" w:firstRowLastColumn="0" w:lastRowFirstColumn="0" w:lastRowLastColumn="0"/>
            <w:tcW w:w="3261" w:type="dxa"/>
            <w:shd w:val="clear" w:color="auto" w:fill="77D499" w:themeFill="accent6" w:themeFillShade="BF"/>
          </w:tcPr>
          <w:p w14:paraId="0FCF7061" w14:textId="048A4CDF" w:rsidR="00A24A60" w:rsidRPr="00BA71B7" w:rsidRDefault="00A24A60" w:rsidP="00A24A60">
            <w:pPr>
              <w:pStyle w:val="08Figuretableboxheading"/>
              <w:spacing w:before="0" w:after="0"/>
              <w:ind w:left="0" w:firstLine="0"/>
              <w:contextualSpacing/>
              <w:rPr>
                <w:rFonts w:cs="Calibri Light"/>
                <w:sz w:val="22"/>
                <w:szCs w:val="22"/>
              </w:rPr>
            </w:pPr>
            <w:r w:rsidRPr="0054488D">
              <w:rPr>
                <w:rFonts w:cs="Calibri Light"/>
                <w:color w:val="auto"/>
                <w:sz w:val="22"/>
                <w:szCs w:val="22"/>
              </w:rPr>
              <w:t>SES-3</w:t>
            </w:r>
            <w:r w:rsidR="00F34529" w:rsidRPr="0054488D">
              <w:rPr>
                <w:rFonts w:cs="Calibri Light"/>
                <w:color w:val="auto"/>
                <w:sz w:val="22"/>
                <w:szCs w:val="22"/>
              </w:rPr>
              <w:t xml:space="preserve"> </w:t>
            </w:r>
            <w:r w:rsidRPr="0054488D">
              <w:rPr>
                <w:rFonts w:cs="Calibri Light"/>
                <w:color w:val="auto"/>
                <w:sz w:val="22"/>
                <w:szCs w:val="22"/>
              </w:rPr>
              <w:t>/</w:t>
            </w:r>
            <w:r w:rsidR="00F34529" w:rsidRPr="0054488D">
              <w:rPr>
                <w:rFonts w:cs="Calibri Light"/>
                <w:color w:val="auto"/>
                <w:sz w:val="22"/>
                <w:szCs w:val="22"/>
              </w:rPr>
              <w:t xml:space="preserve"> </w:t>
            </w:r>
            <w:r w:rsidRPr="0054488D">
              <w:rPr>
                <w:rFonts w:cs="Calibri Light"/>
                <w:color w:val="auto"/>
                <w:sz w:val="22"/>
                <w:szCs w:val="22"/>
              </w:rPr>
              <w:t>AO Head-3</w:t>
            </w:r>
          </w:p>
        </w:tc>
        <w:tc>
          <w:tcPr>
            <w:tcW w:w="1022" w:type="dxa"/>
            <w:shd w:val="clear" w:color="auto" w:fill="77D499" w:themeFill="accent6" w:themeFillShade="BF"/>
          </w:tcPr>
          <w:p w14:paraId="2416ECA4" w14:textId="77777777"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p>
        </w:tc>
        <w:tc>
          <w:tcPr>
            <w:tcW w:w="1813" w:type="dxa"/>
            <w:shd w:val="clear" w:color="auto" w:fill="77D499" w:themeFill="accent6" w:themeFillShade="BF"/>
          </w:tcPr>
          <w:p w14:paraId="1E811A49" w14:textId="77777777"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p>
        </w:tc>
        <w:tc>
          <w:tcPr>
            <w:tcW w:w="1842" w:type="dxa"/>
            <w:shd w:val="clear" w:color="auto" w:fill="77D499" w:themeFill="accent6" w:themeFillShade="BF"/>
          </w:tcPr>
          <w:p w14:paraId="59DA19AA" w14:textId="77777777"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auto"/>
                <w:sz w:val="22"/>
                <w:szCs w:val="22"/>
              </w:rPr>
            </w:pPr>
          </w:p>
        </w:tc>
        <w:tc>
          <w:tcPr>
            <w:tcW w:w="1701" w:type="dxa"/>
            <w:shd w:val="clear" w:color="auto" w:fill="77D499" w:themeFill="accent6" w:themeFillShade="BF"/>
          </w:tcPr>
          <w:p w14:paraId="1F1782F9" w14:textId="77777777"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p>
        </w:tc>
        <w:tc>
          <w:tcPr>
            <w:tcW w:w="1843" w:type="dxa"/>
            <w:shd w:val="clear" w:color="auto" w:fill="77D499" w:themeFill="accent6" w:themeFillShade="BF"/>
          </w:tcPr>
          <w:p w14:paraId="640859BB" w14:textId="77777777"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p>
        </w:tc>
        <w:tc>
          <w:tcPr>
            <w:tcW w:w="1843" w:type="dxa"/>
            <w:shd w:val="clear" w:color="auto" w:fill="77D499" w:themeFill="accent6" w:themeFillShade="BF"/>
          </w:tcPr>
          <w:p w14:paraId="2F673B84" w14:textId="77777777"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p>
        </w:tc>
      </w:tr>
      <w:tr w:rsidR="00A82823" w14:paraId="25208C25" w14:textId="77777777" w:rsidTr="00D6753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1" w:type="dxa"/>
          </w:tcPr>
          <w:p w14:paraId="424E647F" w14:textId="15073773" w:rsidR="00A24A60" w:rsidRPr="00BA71B7" w:rsidRDefault="00A24A60" w:rsidP="00A24A60">
            <w:pPr>
              <w:pStyle w:val="08Figuretableboxheading"/>
              <w:spacing w:before="0" w:after="0"/>
              <w:ind w:left="0" w:firstLine="0"/>
              <w:contextualSpacing/>
              <w:rPr>
                <w:rFonts w:cs="Calibri Light"/>
                <w:sz w:val="22"/>
                <w:szCs w:val="22"/>
              </w:rPr>
            </w:pPr>
            <w:r w:rsidRPr="00BA71B7">
              <w:rPr>
                <w:rFonts w:cs="Calibri Light"/>
                <w:b w:val="0"/>
                <w:bCs w:val="0"/>
                <w:color w:val="auto"/>
                <w:sz w:val="22"/>
                <w:szCs w:val="22"/>
              </w:rPr>
              <w:t>base of band</w:t>
            </w:r>
          </w:p>
        </w:tc>
        <w:tc>
          <w:tcPr>
            <w:tcW w:w="1022" w:type="dxa"/>
          </w:tcPr>
          <w:p w14:paraId="547225B7" w14:textId="75712F77"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r>
              <w:rPr>
                <w:b w:val="0"/>
                <w:bCs/>
                <w:color w:val="auto"/>
                <w:sz w:val="22"/>
                <w:szCs w:val="20"/>
              </w:rPr>
              <w:t>419,001</w:t>
            </w:r>
          </w:p>
        </w:tc>
        <w:tc>
          <w:tcPr>
            <w:tcW w:w="1813" w:type="dxa"/>
          </w:tcPr>
          <w:p w14:paraId="3A1DC58E" w14:textId="4D174C1C"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r w:rsidRPr="00BA71B7">
              <w:rPr>
                <w:rFonts w:cs="Calibri Light"/>
                <w:b w:val="0"/>
                <w:bCs/>
                <w:color w:val="auto"/>
                <w:sz w:val="22"/>
                <w:szCs w:val="22"/>
              </w:rPr>
              <w:t>389,069</w:t>
            </w:r>
          </w:p>
        </w:tc>
        <w:tc>
          <w:tcPr>
            <w:tcW w:w="1842" w:type="dxa"/>
          </w:tcPr>
          <w:p w14:paraId="2330BDE4" w14:textId="26191775"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auto"/>
                <w:sz w:val="22"/>
                <w:szCs w:val="22"/>
              </w:rPr>
            </w:pPr>
            <w:r w:rsidRPr="00BA71B7">
              <w:rPr>
                <w:rFonts w:cs="Calibri Light"/>
                <w:b w:val="0"/>
                <w:bCs/>
                <w:color w:val="auto"/>
                <w:sz w:val="22"/>
                <w:szCs w:val="22"/>
              </w:rPr>
              <w:t>29,932</w:t>
            </w:r>
          </w:p>
        </w:tc>
        <w:tc>
          <w:tcPr>
            <w:tcW w:w="1701" w:type="dxa"/>
          </w:tcPr>
          <w:p w14:paraId="1FF19D7C" w14:textId="52C4DBC0"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400,741</w:t>
            </w:r>
          </w:p>
        </w:tc>
        <w:tc>
          <w:tcPr>
            <w:tcW w:w="1843" w:type="dxa"/>
          </w:tcPr>
          <w:p w14:paraId="133366BB" w14:textId="0347D707"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30,000</w:t>
            </w:r>
          </w:p>
        </w:tc>
        <w:tc>
          <w:tcPr>
            <w:tcW w:w="1843" w:type="dxa"/>
          </w:tcPr>
          <w:p w14:paraId="35F8CEC1" w14:textId="45D6BFE7"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68</w:t>
            </w:r>
          </w:p>
        </w:tc>
      </w:tr>
      <w:tr w:rsidR="00A82823" w14:paraId="7978413C" w14:textId="77777777" w:rsidTr="00D6753E">
        <w:trPr>
          <w:trHeight w:val="227"/>
        </w:trPr>
        <w:tc>
          <w:tcPr>
            <w:cnfStyle w:val="001000000000" w:firstRow="0" w:lastRow="0" w:firstColumn="1" w:lastColumn="0" w:oddVBand="0" w:evenVBand="0" w:oddHBand="0" w:evenHBand="0" w:firstRowFirstColumn="0" w:firstRowLastColumn="0" w:lastRowFirstColumn="0" w:lastRowLastColumn="0"/>
            <w:tcW w:w="3261" w:type="dxa"/>
          </w:tcPr>
          <w:p w14:paraId="6CAD2C99" w14:textId="50E6E682" w:rsidR="00A24A60" w:rsidRPr="00BA71B7" w:rsidRDefault="00A24A60" w:rsidP="00A24A60">
            <w:pPr>
              <w:pStyle w:val="08Figuretableboxheading"/>
              <w:spacing w:before="0" w:after="0"/>
              <w:ind w:left="0" w:firstLine="0"/>
              <w:contextualSpacing/>
              <w:rPr>
                <w:rFonts w:cs="Calibri Light"/>
                <w:sz w:val="22"/>
                <w:szCs w:val="22"/>
              </w:rPr>
            </w:pPr>
            <w:r w:rsidRPr="00BA71B7">
              <w:rPr>
                <w:rFonts w:cs="Calibri Light"/>
                <w:b w:val="0"/>
                <w:bCs w:val="0"/>
                <w:color w:val="auto"/>
                <w:sz w:val="22"/>
                <w:szCs w:val="22"/>
              </w:rPr>
              <w:t>top of band</w:t>
            </w:r>
          </w:p>
        </w:tc>
        <w:tc>
          <w:tcPr>
            <w:tcW w:w="1022" w:type="dxa"/>
          </w:tcPr>
          <w:p w14:paraId="4A94DC86" w14:textId="5D15B7CD"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r>
              <w:rPr>
                <w:b w:val="0"/>
                <w:bCs/>
                <w:color w:val="auto"/>
                <w:sz w:val="22"/>
                <w:szCs w:val="20"/>
              </w:rPr>
              <w:t>557,435</w:t>
            </w:r>
          </w:p>
        </w:tc>
        <w:tc>
          <w:tcPr>
            <w:tcW w:w="1813" w:type="dxa"/>
          </w:tcPr>
          <w:p w14:paraId="4BDCCCBB" w14:textId="11CFAD69"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r w:rsidRPr="00BA71B7">
              <w:rPr>
                <w:rFonts w:cs="Calibri Light"/>
                <w:b w:val="0"/>
                <w:bCs/>
                <w:color w:val="auto"/>
                <w:sz w:val="22"/>
                <w:szCs w:val="22"/>
              </w:rPr>
              <w:t>527,503</w:t>
            </w:r>
          </w:p>
        </w:tc>
        <w:tc>
          <w:tcPr>
            <w:tcW w:w="1842" w:type="dxa"/>
          </w:tcPr>
          <w:p w14:paraId="70A709C8" w14:textId="2BA5AB10"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auto"/>
                <w:sz w:val="22"/>
                <w:szCs w:val="22"/>
              </w:rPr>
            </w:pPr>
            <w:r w:rsidRPr="00BA71B7">
              <w:rPr>
                <w:rFonts w:cs="Calibri Light"/>
                <w:b w:val="0"/>
                <w:bCs/>
                <w:color w:val="auto"/>
                <w:sz w:val="22"/>
                <w:szCs w:val="22"/>
              </w:rPr>
              <w:t>29,932</w:t>
            </w:r>
          </w:p>
        </w:tc>
        <w:tc>
          <w:tcPr>
            <w:tcW w:w="1701" w:type="dxa"/>
          </w:tcPr>
          <w:p w14:paraId="532F346B" w14:textId="590AB41C"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543,328</w:t>
            </w:r>
          </w:p>
        </w:tc>
        <w:tc>
          <w:tcPr>
            <w:tcW w:w="1843" w:type="dxa"/>
          </w:tcPr>
          <w:p w14:paraId="54FAC2F6" w14:textId="7610D6D2"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30,000</w:t>
            </w:r>
          </w:p>
        </w:tc>
        <w:tc>
          <w:tcPr>
            <w:tcW w:w="1843" w:type="dxa"/>
          </w:tcPr>
          <w:p w14:paraId="33164C42" w14:textId="5A8CEA57"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68</w:t>
            </w:r>
          </w:p>
        </w:tc>
      </w:tr>
      <w:tr w:rsidR="009C0ABE" w14:paraId="264FAB7D" w14:textId="77777777" w:rsidTr="00F1079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325" w:type="dxa"/>
            <w:gridSpan w:val="7"/>
            <w:shd w:val="clear" w:color="auto" w:fill="77D499" w:themeFill="accent6" w:themeFillShade="BF"/>
          </w:tcPr>
          <w:p w14:paraId="3ABE0196" w14:textId="30A48EFE" w:rsidR="00A24A60" w:rsidRPr="0054488D" w:rsidRDefault="000C0331" w:rsidP="000C0331">
            <w:pPr>
              <w:pStyle w:val="08Figuretableboxheading"/>
              <w:spacing w:before="0" w:after="0"/>
              <w:ind w:left="0" w:firstLine="0"/>
              <w:contextualSpacing/>
              <w:rPr>
                <w:rFonts w:cs="Calibri Light"/>
                <w:b w:val="0"/>
                <w:bCs w:val="0"/>
                <w:color w:val="auto"/>
                <w:sz w:val="22"/>
                <w:szCs w:val="22"/>
              </w:rPr>
            </w:pPr>
            <w:r w:rsidRPr="0054488D">
              <w:rPr>
                <w:rFonts w:cs="Calibri Light"/>
                <w:color w:val="auto"/>
                <w:sz w:val="22"/>
                <w:szCs w:val="22"/>
              </w:rPr>
              <w:t>Departme</w:t>
            </w:r>
            <w:r w:rsidRPr="0054488D">
              <w:rPr>
                <w:rFonts w:cs="Calibri Light"/>
                <w:color w:val="auto"/>
                <w:sz w:val="22"/>
                <w:szCs w:val="22"/>
                <w:shd w:val="clear" w:color="auto" w:fill="77D499" w:themeFill="accent6" w:themeFillShade="BF"/>
              </w:rPr>
              <w:t>nt Head</w:t>
            </w:r>
            <w:r w:rsidR="00F34529" w:rsidRPr="0054488D">
              <w:rPr>
                <w:rFonts w:cs="Calibri Light"/>
                <w:color w:val="auto"/>
                <w:sz w:val="22"/>
                <w:szCs w:val="22"/>
                <w:shd w:val="clear" w:color="auto" w:fill="77D499" w:themeFill="accent6" w:themeFillShade="BF"/>
              </w:rPr>
              <w:t xml:space="preserve"> </w:t>
            </w:r>
            <w:r w:rsidRPr="0054488D">
              <w:rPr>
                <w:rFonts w:cs="Calibri Light"/>
                <w:color w:val="auto"/>
                <w:sz w:val="22"/>
                <w:szCs w:val="22"/>
                <w:shd w:val="clear" w:color="auto" w:fill="77D499" w:themeFill="accent6" w:themeFillShade="BF"/>
              </w:rPr>
              <w:t>/</w:t>
            </w:r>
            <w:r w:rsidR="00F34529" w:rsidRPr="0054488D">
              <w:rPr>
                <w:rFonts w:cs="Calibri Light"/>
                <w:color w:val="auto"/>
                <w:sz w:val="22"/>
                <w:szCs w:val="22"/>
                <w:shd w:val="clear" w:color="auto" w:fill="77D499" w:themeFill="accent6" w:themeFillShade="BF"/>
              </w:rPr>
              <w:t xml:space="preserve"> </w:t>
            </w:r>
            <w:r w:rsidRPr="0054488D">
              <w:rPr>
                <w:rFonts w:cs="Calibri Light"/>
                <w:color w:val="auto"/>
                <w:sz w:val="22"/>
                <w:szCs w:val="22"/>
                <w:shd w:val="clear" w:color="auto" w:fill="77D499" w:themeFill="accent6" w:themeFillShade="BF"/>
              </w:rPr>
              <w:t>Victorian Public Sector Commissioner</w:t>
            </w:r>
          </w:p>
        </w:tc>
      </w:tr>
      <w:tr w:rsidR="00A82823" w14:paraId="21F5B38F" w14:textId="77777777" w:rsidTr="00D6753E">
        <w:trPr>
          <w:trHeight w:val="227"/>
        </w:trPr>
        <w:tc>
          <w:tcPr>
            <w:cnfStyle w:val="001000000000" w:firstRow="0" w:lastRow="0" w:firstColumn="1" w:lastColumn="0" w:oddVBand="0" w:evenVBand="0" w:oddHBand="0" w:evenHBand="0" w:firstRowFirstColumn="0" w:firstRowLastColumn="0" w:lastRowFirstColumn="0" w:lastRowLastColumn="0"/>
            <w:tcW w:w="3261" w:type="dxa"/>
          </w:tcPr>
          <w:p w14:paraId="5582AA54" w14:textId="59F9F798" w:rsidR="00A24A60" w:rsidRPr="00BA71B7" w:rsidRDefault="00A24A60" w:rsidP="00A24A60">
            <w:pPr>
              <w:pStyle w:val="08Figuretableboxheading"/>
              <w:spacing w:before="0" w:after="0"/>
              <w:ind w:left="0" w:firstLine="0"/>
              <w:contextualSpacing/>
              <w:rPr>
                <w:rFonts w:cs="Calibri Light"/>
                <w:sz w:val="22"/>
                <w:szCs w:val="22"/>
              </w:rPr>
            </w:pPr>
            <w:r w:rsidRPr="00BA71B7">
              <w:rPr>
                <w:rFonts w:cs="Calibri Light"/>
                <w:b w:val="0"/>
                <w:bCs w:val="0"/>
                <w:color w:val="auto"/>
                <w:sz w:val="22"/>
                <w:szCs w:val="22"/>
              </w:rPr>
              <w:t>base of band</w:t>
            </w:r>
          </w:p>
        </w:tc>
        <w:tc>
          <w:tcPr>
            <w:tcW w:w="1022" w:type="dxa"/>
          </w:tcPr>
          <w:p w14:paraId="10CD2ADD" w14:textId="193C222D"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r w:rsidRPr="00BA71B7">
              <w:rPr>
                <w:b w:val="0"/>
                <w:bCs/>
                <w:color w:val="auto"/>
                <w:sz w:val="22"/>
                <w:szCs w:val="20"/>
              </w:rPr>
              <w:t>603,713</w:t>
            </w:r>
          </w:p>
        </w:tc>
        <w:tc>
          <w:tcPr>
            <w:tcW w:w="1813" w:type="dxa"/>
          </w:tcPr>
          <w:p w14:paraId="29F22BAA" w14:textId="673C4373"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r w:rsidRPr="00BA71B7">
              <w:rPr>
                <w:rFonts w:cs="Calibri Light"/>
                <w:b w:val="0"/>
                <w:bCs/>
                <w:color w:val="auto"/>
                <w:sz w:val="22"/>
                <w:szCs w:val="22"/>
              </w:rPr>
              <w:t>573,781</w:t>
            </w:r>
          </w:p>
        </w:tc>
        <w:tc>
          <w:tcPr>
            <w:tcW w:w="1842" w:type="dxa"/>
          </w:tcPr>
          <w:p w14:paraId="4A81E842" w14:textId="0DA04A33"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auto"/>
                <w:sz w:val="22"/>
                <w:szCs w:val="22"/>
              </w:rPr>
            </w:pPr>
            <w:r w:rsidRPr="00BA71B7">
              <w:rPr>
                <w:rFonts w:cs="Calibri Light"/>
                <w:b w:val="0"/>
                <w:bCs/>
                <w:color w:val="auto"/>
                <w:sz w:val="22"/>
                <w:szCs w:val="22"/>
              </w:rPr>
              <w:t>29,932</w:t>
            </w:r>
          </w:p>
        </w:tc>
        <w:tc>
          <w:tcPr>
            <w:tcW w:w="1701" w:type="dxa"/>
          </w:tcPr>
          <w:p w14:paraId="74B7FB19" w14:textId="1A08A33C"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590,994</w:t>
            </w:r>
          </w:p>
        </w:tc>
        <w:tc>
          <w:tcPr>
            <w:tcW w:w="1843" w:type="dxa"/>
          </w:tcPr>
          <w:p w14:paraId="5128E717" w14:textId="7F0E27BB"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30,000</w:t>
            </w:r>
          </w:p>
        </w:tc>
        <w:tc>
          <w:tcPr>
            <w:tcW w:w="1843" w:type="dxa"/>
          </w:tcPr>
          <w:p w14:paraId="293644AF" w14:textId="6B06FB3F" w:rsidR="00A24A60" w:rsidRPr="00BA71B7" w:rsidRDefault="00A24A60" w:rsidP="00A24A60">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68</w:t>
            </w:r>
          </w:p>
        </w:tc>
      </w:tr>
      <w:tr w:rsidR="00A82823" w14:paraId="106DC7F7" w14:textId="77777777" w:rsidTr="00D6753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1" w:type="dxa"/>
          </w:tcPr>
          <w:p w14:paraId="69F64173" w14:textId="659C753B" w:rsidR="00A24A60" w:rsidRPr="00BA71B7" w:rsidRDefault="00A24A60" w:rsidP="00A24A60">
            <w:pPr>
              <w:pStyle w:val="08Figuretableboxheading"/>
              <w:spacing w:before="0" w:after="0"/>
              <w:ind w:left="0" w:firstLine="0"/>
              <w:contextualSpacing/>
              <w:rPr>
                <w:rFonts w:cs="Calibri Light"/>
                <w:sz w:val="22"/>
                <w:szCs w:val="22"/>
              </w:rPr>
            </w:pPr>
            <w:r w:rsidRPr="00BA71B7">
              <w:rPr>
                <w:rFonts w:cs="Calibri Light"/>
                <w:b w:val="0"/>
                <w:bCs w:val="0"/>
                <w:color w:val="auto"/>
                <w:sz w:val="22"/>
                <w:szCs w:val="22"/>
              </w:rPr>
              <w:t>top of band</w:t>
            </w:r>
          </w:p>
        </w:tc>
        <w:tc>
          <w:tcPr>
            <w:tcW w:w="1022" w:type="dxa"/>
          </w:tcPr>
          <w:p w14:paraId="2739C414" w14:textId="697276E1"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r w:rsidRPr="00BA71B7">
              <w:rPr>
                <w:b w:val="0"/>
                <w:bCs/>
                <w:color w:val="auto"/>
                <w:sz w:val="22"/>
                <w:szCs w:val="20"/>
              </w:rPr>
              <w:t>813,524</w:t>
            </w:r>
          </w:p>
        </w:tc>
        <w:tc>
          <w:tcPr>
            <w:tcW w:w="1813" w:type="dxa"/>
          </w:tcPr>
          <w:p w14:paraId="6E23EAEF" w14:textId="0DF4765C"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r w:rsidRPr="00BA71B7">
              <w:rPr>
                <w:rFonts w:cs="Calibri Light"/>
                <w:b w:val="0"/>
                <w:bCs/>
                <w:color w:val="auto"/>
                <w:sz w:val="22"/>
                <w:szCs w:val="22"/>
              </w:rPr>
              <w:t>783,592</w:t>
            </w:r>
          </w:p>
        </w:tc>
        <w:tc>
          <w:tcPr>
            <w:tcW w:w="1842" w:type="dxa"/>
          </w:tcPr>
          <w:p w14:paraId="72F8D173" w14:textId="35EF2713"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auto"/>
                <w:sz w:val="22"/>
                <w:szCs w:val="22"/>
              </w:rPr>
            </w:pPr>
            <w:r w:rsidRPr="00BA71B7">
              <w:rPr>
                <w:rFonts w:cs="Calibri Light"/>
                <w:b w:val="0"/>
                <w:bCs/>
                <w:color w:val="auto"/>
                <w:sz w:val="22"/>
                <w:szCs w:val="22"/>
              </w:rPr>
              <w:t>29,932</w:t>
            </w:r>
          </w:p>
        </w:tc>
        <w:tc>
          <w:tcPr>
            <w:tcW w:w="1701" w:type="dxa"/>
          </w:tcPr>
          <w:p w14:paraId="4E882814" w14:textId="75C17AA1"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807,100</w:t>
            </w:r>
          </w:p>
        </w:tc>
        <w:tc>
          <w:tcPr>
            <w:tcW w:w="1843" w:type="dxa"/>
          </w:tcPr>
          <w:p w14:paraId="5876787B" w14:textId="5D172200"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30,000</w:t>
            </w:r>
          </w:p>
        </w:tc>
        <w:tc>
          <w:tcPr>
            <w:tcW w:w="1843" w:type="dxa"/>
          </w:tcPr>
          <w:p w14:paraId="53F8F221" w14:textId="05E19275" w:rsidR="00A24A60" w:rsidRPr="00BA71B7" w:rsidRDefault="00A24A60" w:rsidP="00A24A6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BA71B7">
              <w:rPr>
                <w:rFonts w:cs="Calibri Light"/>
                <w:b w:val="0"/>
                <w:bCs/>
                <w:color w:val="000000" w:themeColor="text1"/>
                <w:sz w:val="22"/>
                <w:szCs w:val="22"/>
              </w:rPr>
              <w:t>68</w:t>
            </w:r>
          </w:p>
        </w:tc>
      </w:tr>
    </w:tbl>
    <w:p w14:paraId="5C4B74C1" w14:textId="0020F011" w:rsidR="009C09FD" w:rsidRDefault="009C09FD" w:rsidP="00B87273">
      <w:pPr>
        <w:pStyle w:val="09Sourcesandnotesfortablesfiguresboxes"/>
        <w:ind w:right="253"/>
      </w:pPr>
      <w:r>
        <w:t>Notes: (a) Superannuation entitlement based on Commonwealth superannuation law as at 30 June 202</w:t>
      </w:r>
      <w:r w:rsidR="008D3059">
        <w:t>5</w:t>
      </w:r>
      <w:r w:rsidR="0095272D">
        <w:t xml:space="preserve"> — </w:t>
      </w:r>
      <w:r w:rsidR="003159DF">
        <w:t>SG</w:t>
      </w:r>
      <w:r w:rsidR="0095272D">
        <w:t xml:space="preserve"> </w:t>
      </w:r>
      <w:r w:rsidR="003159DF">
        <w:t>rate of 11.5</w:t>
      </w:r>
      <w:r w:rsidR="00587F36">
        <w:t> per cent</w:t>
      </w:r>
      <w:r w:rsidR="003159DF">
        <w:t xml:space="preserve"> and MSCB of $260,280 per annum</w:t>
      </w:r>
      <w:r>
        <w:t>.</w:t>
      </w:r>
      <w:r>
        <w:rPr>
          <w:noProof/>
          <w:lang w:eastAsia="en-AU"/>
        </w:rPr>
        <w:t xml:space="preserve"> (b) </w:t>
      </w:r>
      <w:r w:rsidR="00102CF7">
        <w:rPr>
          <w:noProof/>
          <w:lang w:eastAsia="en-AU"/>
        </w:rPr>
        <w:t>Equal to 30</w:t>
      </w:r>
      <w:r w:rsidR="00706069">
        <w:rPr>
          <w:noProof/>
          <w:lang w:eastAsia="en-AU"/>
        </w:rPr>
        <w:t> </w:t>
      </w:r>
      <w:r w:rsidR="00102CF7">
        <w:rPr>
          <w:noProof/>
          <w:lang w:eastAsia="en-AU"/>
        </w:rPr>
        <w:t>June</w:t>
      </w:r>
      <w:r w:rsidR="00706069">
        <w:rPr>
          <w:noProof/>
          <w:lang w:eastAsia="en-AU"/>
        </w:rPr>
        <w:t> </w:t>
      </w:r>
      <w:r w:rsidR="00102CF7">
        <w:rPr>
          <w:noProof/>
          <w:lang w:eastAsia="en-AU"/>
        </w:rPr>
        <w:t>2025 value plus the 3</w:t>
      </w:r>
      <w:r w:rsidR="00706069">
        <w:rPr>
          <w:noProof/>
          <w:lang w:eastAsia="en-AU"/>
        </w:rPr>
        <w:t> per cent</w:t>
      </w:r>
      <w:r w:rsidR="00102CF7">
        <w:rPr>
          <w:noProof/>
          <w:lang w:eastAsia="en-AU"/>
        </w:rPr>
        <w:t xml:space="preserve"> adjustment. </w:t>
      </w:r>
      <w:r w:rsidR="00EB6DC1">
        <w:rPr>
          <w:noProof/>
          <w:lang w:eastAsia="en-AU"/>
        </w:rPr>
        <w:t xml:space="preserve">(c) </w:t>
      </w:r>
      <w:r w:rsidR="00CD3FC2">
        <w:rPr>
          <w:noProof/>
          <w:lang w:eastAsia="en-AU"/>
        </w:rPr>
        <w:t>Superannuation entitlement (rounded up to the nearest dollar) based on Commonwealth superannuation law as at 1 July 2025</w:t>
      </w:r>
      <w:r w:rsidR="0095272D">
        <w:rPr>
          <w:noProof/>
          <w:lang w:eastAsia="en-AU"/>
        </w:rPr>
        <w:t xml:space="preserve"> — </w:t>
      </w:r>
      <w:r w:rsidR="0048621F">
        <w:rPr>
          <w:noProof/>
          <w:lang w:eastAsia="en-AU"/>
        </w:rPr>
        <w:br/>
      </w:r>
      <w:r w:rsidR="00CD3FC2">
        <w:rPr>
          <w:noProof/>
          <w:lang w:eastAsia="en-AU"/>
        </w:rPr>
        <w:t>SG</w:t>
      </w:r>
      <w:r w:rsidR="0095272D">
        <w:rPr>
          <w:noProof/>
          <w:lang w:eastAsia="en-AU"/>
        </w:rPr>
        <w:t xml:space="preserve"> </w:t>
      </w:r>
      <w:r w:rsidR="00CD3FC2">
        <w:rPr>
          <w:noProof/>
          <w:lang w:eastAsia="en-AU"/>
        </w:rPr>
        <w:t>rate of 12</w:t>
      </w:r>
      <w:r w:rsidR="00706069">
        <w:rPr>
          <w:noProof/>
          <w:lang w:eastAsia="en-AU"/>
        </w:rPr>
        <w:t> per cent</w:t>
      </w:r>
      <w:r w:rsidR="00CD3FC2">
        <w:rPr>
          <w:noProof/>
          <w:lang w:eastAsia="en-AU"/>
        </w:rPr>
        <w:t xml:space="preserve"> and MSCB of $250,000</w:t>
      </w:r>
      <w:r w:rsidR="00102FC6">
        <w:rPr>
          <w:noProof/>
          <w:lang w:eastAsia="en-AU"/>
        </w:rPr>
        <w:t xml:space="preserve"> p</w:t>
      </w:r>
      <w:r w:rsidR="009F3790">
        <w:rPr>
          <w:noProof/>
          <w:lang w:eastAsia="en-AU"/>
        </w:rPr>
        <w:t>er annum.</w:t>
      </w:r>
      <w:r w:rsidR="00102FC6">
        <w:rPr>
          <w:noProof/>
          <w:lang w:eastAsia="en-AU"/>
        </w:rPr>
        <w:t xml:space="preserve"> (d) </w:t>
      </w:r>
      <w:r>
        <w:rPr>
          <w:noProof/>
          <w:lang w:eastAsia="en-AU"/>
        </w:rPr>
        <w:t>Calculated by</w:t>
      </w:r>
      <w:r w:rsidR="00102FC6">
        <w:rPr>
          <w:noProof/>
          <w:lang w:eastAsia="en-AU"/>
        </w:rPr>
        <w:t xml:space="preserve"> subtracting the superannuation component as at 30 June 2025 from the superannuation component as at </w:t>
      </w:r>
      <w:r w:rsidR="004A6C0E">
        <w:rPr>
          <w:noProof/>
          <w:lang w:eastAsia="en-AU"/>
        </w:rPr>
        <w:t>1 Jul</w:t>
      </w:r>
      <w:r w:rsidR="001A2B6C">
        <w:rPr>
          <w:noProof/>
          <w:lang w:eastAsia="en-AU"/>
        </w:rPr>
        <w:t>y</w:t>
      </w:r>
      <w:r w:rsidR="004A6C0E">
        <w:rPr>
          <w:noProof/>
          <w:lang w:eastAsia="en-AU"/>
        </w:rPr>
        <w:t xml:space="preserve"> 2025. Differences in this table between the change to the superannuation component and the result of subtracting the superannuation component at 30 June 202</w:t>
      </w:r>
      <w:r w:rsidR="00126E2F">
        <w:rPr>
          <w:noProof/>
          <w:lang w:eastAsia="en-AU"/>
        </w:rPr>
        <w:t>5</w:t>
      </w:r>
      <w:r w:rsidR="004A6C0E">
        <w:rPr>
          <w:noProof/>
          <w:lang w:eastAsia="en-AU"/>
        </w:rPr>
        <w:t xml:space="preserve"> from the superannuation component at 1 July 2025 are due to rounding.</w:t>
      </w:r>
    </w:p>
    <w:p w14:paraId="5B6F5CDF" w14:textId="77777777" w:rsidR="00201092" w:rsidRDefault="00201092" w:rsidP="00910C03">
      <w:pPr>
        <w:pStyle w:val="05Paragraph"/>
        <w:sectPr w:rsidR="00201092" w:rsidSect="00DB7769">
          <w:pgSz w:w="16838" w:h="11906" w:orient="landscape"/>
          <w:pgMar w:top="1701" w:right="1701" w:bottom="1134" w:left="1559" w:header="425" w:footer="709" w:gutter="0"/>
          <w:cols w:space="282"/>
          <w:docGrid w:linePitch="360"/>
        </w:sectPr>
      </w:pPr>
    </w:p>
    <w:bookmarkEnd w:id="36"/>
    <w:p w14:paraId="158107FF" w14:textId="0AA65E46" w:rsidR="00B87273" w:rsidRDefault="00B87273" w:rsidP="00B87273">
      <w:pPr>
        <w:pStyle w:val="05Paragraph"/>
        <w:jc w:val="both"/>
      </w:pPr>
      <w:r>
        <w:lastRenderedPageBreak/>
        <w:t xml:space="preserve">The increase to the notional superannuation component reflects changes to the notional salary component as determined by the Tribunal, as well as superannuation changes that took effect on </w:t>
      </w:r>
      <w:r w:rsidRPr="00910356">
        <w:t>1 July 2025</w:t>
      </w:r>
      <w:r>
        <w:t xml:space="preserve"> — </w:t>
      </w:r>
      <w:r w:rsidRPr="00DB6070">
        <w:t>specifically, the increase in the SG rate from 11.5 per cent to 12 per cent, and the reduction in the MSCB from $260,280 to $250,000 per annum.</w:t>
      </w:r>
    </w:p>
    <w:p w14:paraId="08860EB5" w14:textId="243516BC" w:rsidR="00230738" w:rsidRDefault="00230738" w:rsidP="00B87273">
      <w:pPr>
        <w:pStyle w:val="02VIRTHeading2"/>
      </w:pPr>
      <w:bookmarkStart w:id="37" w:name="_Toc209438895"/>
      <w:r>
        <w:t>3.</w:t>
      </w:r>
      <w:r w:rsidR="00FB7A56">
        <w:t>4</w:t>
      </w:r>
      <w:r>
        <w:tab/>
        <w:t xml:space="preserve">Total adjustment to the </w:t>
      </w:r>
      <w:r w:rsidR="008F1CF7">
        <w:t xml:space="preserve">remuneration </w:t>
      </w:r>
      <w:r>
        <w:t>bands</w:t>
      </w:r>
      <w:bookmarkEnd w:id="37"/>
    </w:p>
    <w:p w14:paraId="1CE92013" w14:textId="29B8EFFC" w:rsidR="00230738" w:rsidRDefault="00230738" w:rsidP="00DC0D9C">
      <w:pPr>
        <w:pStyle w:val="05Paragraph"/>
        <w:jc w:val="both"/>
      </w:pPr>
      <w:r>
        <w:t xml:space="preserve">The values of the remuneration bands that </w:t>
      </w:r>
      <w:r w:rsidR="008F1CF7">
        <w:t>apply</w:t>
      </w:r>
      <w:r>
        <w:t xml:space="preserve"> from 1 July 202</w:t>
      </w:r>
      <w:r w:rsidR="00C36E4C">
        <w:t>5</w:t>
      </w:r>
      <w:r>
        <w:t xml:space="preserve"> are shown in </w:t>
      </w:r>
      <w:r w:rsidRPr="00892583">
        <w:t>Table</w:t>
      </w:r>
      <w:r w:rsidR="00892583" w:rsidRPr="00892583">
        <w:t xml:space="preserve"> 3</w:t>
      </w:r>
      <w:r w:rsidRPr="00892583">
        <w:t>.</w:t>
      </w:r>
      <w:r>
        <w:t xml:space="preserve"> The annual adjustment to each of the remuneration band values is equal to the sum of:</w:t>
      </w:r>
    </w:p>
    <w:p w14:paraId="7838FE90" w14:textId="7C56F83A" w:rsidR="00230738" w:rsidRDefault="00230738" w:rsidP="00DC0D9C">
      <w:pPr>
        <w:pStyle w:val="06VIRTBulletpoints"/>
      </w:pPr>
      <w:bookmarkStart w:id="38" w:name="_Hlk201676279"/>
      <w:r>
        <w:t>a</w:t>
      </w:r>
      <w:r w:rsidR="00E63B9F">
        <w:t xml:space="preserve"> </w:t>
      </w:r>
      <w:r w:rsidR="00E63B9F" w:rsidRPr="00E63B9F">
        <w:t xml:space="preserve">3 </w:t>
      </w:r>
      <w:r w:rsidRPr="00E63B9F">
        <w:t>per cent adjustment</w:t>
      </w:r>
      <w:r>
        <w:t xml:space="preserve"> applied to the salary component of the remuneration bands</w:t>
      </w:r>
    </w:p>
    <w:p w14:paraId="773D060C" w14:textId="78D9CD2B" w:rsidR="00230738" w:rsidRDefault="00230738" w:rsidP="00DC0D9C">
      <w:pPr>
        <w:pStyle w:val="06VIRTBulletpoints"/>
      </w:pPr>
      <w:r>
        <w:t xml:space="preserve">adjustments applied to the superannuation component of the remuneration bands to reflect changes to superannuation entitlements that occurred </w:t>
      </w:r>
      <w:r w:rsidRPr="00B323F7">
        <w:t xml:space="preserve">on </w:t>
      </w:r>
      <w:r w:rsidR="005F676C" w:rsidRPr="00B323F7">
        <w:t>1</w:t>
      </w:r>
      <w:r w:rsidR="005F676C">
        <w:t> </w:t>
      </w:r>
      <w:r w:rsidRPr="00B323F7">
        <w:t>July 2025 under Commonwealth law.</w:t>
      </w:r>
    </w:p>
    <w:p w14:paraId="7255C401" w14:textId="36DB5E67" w:rsidR="00BA4D1A" w:rsidRDefault="00BA4D1A" w:rsidP="00BA4D1A">
      <w:pPr>
        <w:pStyle w:val="05Paragraph"/>
        <w:jc w:val="both"/>
      </w:pPr>
      <w:r w:rsidRPr="00BA4D1A">
        <w:t>The effective increase in the remuneration bands is between 2.7 and 3.</w:t>
      </w:r>
      <w:r w:rsidR="00E41813">
        <w:t>5</w:t>
      </w:r>
      <w:r w:rsidRPr="00BA4D1A">
        <w:t xml:space="preserve"> per cent. </w:t>
      </w:r>
      <w:r w:rsidR="00530100">
        <w:t xml:space="preserve">This </w:t>
      </w:r>
      <w:r w:rsidR="00321793">
        <w:t xml:space="preserve">reflects the combined effects of the </w:t>
      </w:r>
      <w:r w:rsidR="007D5977">
        <w:t xml:space="preserve">salary </w:t>
      </w:r>
      <w:r w:rsidR="005B0C2D">
        <w:t>and superannuation adjust</w:t>
      </w:r>
      <w:r w:rsidR="00AA6418">
        <w:t>m</w:t>
      </w:r>
      <w:r w:rsidR="005B0C2D">
        <w:t>ents</w:t>
      </w:r>
      <w:r w:rsidR="00791925">
        <w:t>, and</w:t>
      </w:r>
      <w:r w:rsidR="00B02F70">
        <w:t>,</w:t>
      </w:r>
      <w:r w:rsidR="00791925">
        <w:t xml:space="preserve"> in particular, </w:t>
      </w:r>
      <w:r w:rsidR="00B02F70">
        <w:t>rela</w:t>
      </w:r>
      <w:r w:rsidR="00BD33AA">
        <w:t>tively small increase</w:t>
      </w:r>
      <w:r w:rsidR="008F1CF7">
        <w:t>s</w:t>
      </w:r>
      <w:r w:rsidR="00BD33AA">
        <w:t xml:space="preserve"> in employer superannuation contributions </w:t>
      </w:r>
      <w:r w:rsidR="008C3EC8">
        <w:t>shown in Table 3.</w:t>
      </w:r>
      <w:r w:rsidR="005B0C2D">
        <w:t xml:space="preserve"> </w:t>
      </w:r>
    </w:p>
    <w:p w14:paraId="2A84C08D" w14:textId="01BF8F5D" w:rsidR="00290E68" w:rsidRPr="00626EB0" w:rsidRDefault="00290E68" w:rsidP="00626EB0">
      <w:pPr>
        <w:pStyle w:val="08Figuretableboxheading"/>
      </w:pPr>
      <w:r w:rsidRPr="00626EB0">
        <w:t xml:space="preserve">Table </w:t>
      </w:r>
      <w:r w:rsidR="00892583" w:rsidRPr="00626EB0">
        <w:t>3</w:t>
      </w:r>
      <w:r w:rsidRPr="00626EB0">
        <w:t xml:space="preserve">: </w:t>
      </w:r>
      <w:r w:rsidR="009E5894" w:rsidRPr="00626EB0">
        <w:t>Annual adjustment to the remuneration band values as at 1 July 2025</w:t>
      </w:r>
    </w:p>
    <w:tbl>
      <w:tblPr>
        <w:tblStyle w:val="VIRTDeterminationTableStyle"/>
        <w:tblW w:w="0" w:type="auto"/>
        <w:tblInd w:w="0" w:type="dxa"/>
        <w:tblLayout w:type="fixed"/>
        <w:tblLook w:val="04A0" w:firstRow="1" w:lastRow="0" w:firstColumn="1" w:lastColumn="0" w:noHBand="0" w:noVBand="1"/>
      </w:tblPr>
      <w:tblGrid>
        <w:gridCol w:w="1843"/>
        <w:gridCol w:w="1134"/>
        <w:gridCol w:w="1276"/>
        <w:gridCol w:w="1701"/>
        <w:gridCol w:w="1417"/>
        <w:gridCol w:w="1133"/>
      </w:tblGrid>
      <w:tr w:rsidR="00BF79CD" w14:paraId="6441A7C6" w14:textId="77777777" w:rsidTr="00B97D8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vMerge w:val="restart"/>
          </w:tcPr>
          <w:p w14:paraId="372C055E" w14:textId="5C3C24A9" w:rsidR="00E22E5B" w:rsidRPr="003B1362" w:rsidRDefault="00E22E5B" w:rsidP="00FD0899">
            <w:pPr>
              <w:pStyle w:val="06VIRTBulletpoints"/>
              <w:numPr>
                <w:ilvl w:val="0"/>
                <w:numId w:val="0"/>
              </w:numPr>
              <w:spacing w:before="0" w:after="0"/>
              <w:rPr>
                <w:rFonts w:asciiTheme="minorHAnsi" w:hAnsiTheme="minorHAnsi" w:cstheme="minorHAnsi"/>
              </w:rPr>
            </w:pPr>
            <w:r w:rsidRPr="003B1362">
              <w:rPr>
                <w:rFonts w:asciiTheme="minorHAnsi" w:hAnsiTheme="minorHAnsi" w:cstheme="minorHAnsi"/>
              </w:rPr>
              <w:t>Classification</w:t>
            </w:r>
          </w:p>
        </w:tc>
        <w:tc>
          <w:tcPr>
            <w:tcW w:w="1134" w:type="dxa"/>
            <w:vMerge w:val="restart"/>
          </w:tcPr>
          <w:p w14:paraId="2ED6BC45" w14:textId="50F29BD8" w:rsidR="00E22E5B" w:rsidRPr="003B1362" w:rsidRDefault="00E22E5B" w:rsidP="00FD0899">
            <w:pPr>
              <w:pStyle w:val="06VIRTBulletpoints"/>
              <w:numPr>
                <w:ilvl w:val="0"/>
                <w:numId w:val="0"/>
              </w:num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B1362">
              <w:rPr>
                <w:rFonts w:asciiTheme="minorHAnsi" w:hAnsiTheme="minorHAnsi" w:cstheme="minorHAnsi"/>
              </w:rPr>
              <w:t xml:space="preserve">Value </w:t>
            </w:r>
            <w:r w:rsidR="00501597">
              <w:rPr>
                <w:rFonts w:asciiTheme="minorHAnsi" w:hAnsiTheme="minorHAnsi" w:cstheme="minorHAnsi"/>
              </w:rPr>
              <w:t xml:space="preserve">as </w:t>
            </w:r>
            <w:r w:rsidRPr="003B1362">
              <w:rPr>
                <w:rFonts w:asciiTheme="minorHAnsi" w:hAnsiTheme="minorHAnsi" w:cstheme="minorHAnsi"/>
              </w:rPr>
              <w:t>at</w:t>
            </w:r>
            <w:r w:rsidR="00FD0899" w:rsidRPr="003B1362">
              <w:rPr>
                <w:rFonts w:asciiTheme="minorHAnsi" w:hAnsiTheme="minorHAnsi" w:cstheme="minorHAnsi"/>
              </w:rPr>
              <w:t xml:space="preserve"> </w:t>
            </w:r>
            <w:r w:rsidRPr="003B1362">
              <w:rPr>
                <w:rFonts w:asciiTheme="minorHAnsi" w:hAnsiTheme="minorHAnsi" w:cstheme="minorHAnsi"/>
              </w:rPr>
              <w:t>30 June</w:t>
            </w:r>
            <w:r w:rsidR="009E5894" w:rsidRPr="003B1362">
              <w:rPr>
                <w:rFonts w:asciiTheme="minorHAnsi" w:hAnsiTheme="minorHAnsi" w:cstheme="minorHAnsi"/>
              </w:rPr>
              <w:t xml:space="preserve"> 2025</w:t>
            </w:r>
            <w:r w:rsidRPr="003B1362">
              <w:rPr>
                <w:rFonts w:asciiTheme="minorHAnsi" w:hAnsiTheme="minorHAnsi" w:cstheme="minorHAnsi"/>
              </w:rPr>
              <w:t xml:space="preserve"> </w:t>
            </w:r>
            <w:r w:rsidRPr="003B1362">
              <w:rPr>
                <w:rFonts w:asciiTheme="minorHAnsi" w:hAnsiTheme="minorHAnsi" w:cstheme="minorHAnsi"/>
              </w:rPr>
              <w:br/>
            </w:r>
            <w:r w:rsidR="008F1CF7">
              <w:rPr>
                <w:rFonts w:asciiTheme="minorHAnsi" w:hAnsiTheme="minorHAnsi" w:cstheme="minorHAnsi"/>
              </w:rPr>
              <w:t>(</w:t>
            </w:r>
            <w:r w:rsidRPr="003B1362">
              <w:rPr>
                <w:rFonts w:asciiTheme="minorHAnsi" w:hAnsiTheme="minorHAnsi" w:cstheme="minorHAnsi"/>
              </w:rPr>
              <w:t>$ p.a.</w:t>
            </w:r>
            <w:r w:rsidR="008F1CF7">
              <w:rPr>
                <w:rFonts w:asciiTheme="minorHAnsi" w:hAnsiTheme="minorHAnsi" w:cstheme="minorHAnsi"/>
              </w:rPr>
              <w:t>)</w:t>
            </w:r>
          </w:p>
        </w:tc>
        <w:tc>
          <w:tcPr>
            <w:tcW w:w="2977" w:type="dxa"/>
            <w:gridSpan w:val="2"/>
          </w:tcPr>
          <w:p w14:paraId="735BCD67" w14:textId="75901283" w:rsidR="00E22E5B" w:rsidRPr="003B1362" w:rsidRDefault="00E22E5B" w:rsidP="00A97F20">
            <w:pPr>
              <w:pStyle w:val="06VIRTBulletpoints"/>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B1362">
              <w:rPr>
                <w:rFonts w:asciiTheme="minorHAnsi" w:hAnsiTheme="minorHAnsi" w:cstheme="minorHAnsi"/>
              </w:rPr>
              <w:t>Adjustments</w:t>
            </w:r>
          </w:p>
        </w:tc>
        <w:tc>
          <w:tcPr>
            <w:tcW w:w="1417" w:type="dxa"/>
            <w:vMerge w:val="restart"/>
          </w:tcPr>
          <w:p w14:paraId="23E3EBEB" w14:textId="5C7B1937" w:rsidR="00E22E5B" w:rsidRPr="003B1362" w:rsidRDefault="00E22E5B" w:rsidP="00FD0899">
            <w:pPr>
              <w:pStyle w:val="06VIRTBulletpoints"/>
              <w:numPr>
                <w:ilvl w:val="0"/>
                <w:numId w:val="0"/>
              </w:num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B1362">
              <w:rPr>
                <w:rFonts w:asciiTheme="minorHAnsi" w:hAnsiTheme="minorHAnsi" w:cstheme="minorHAnsi"/>
              </w:rPr>
              <w:t>Total adjustment</w:t>
            </w:r>
            <w:r w:rsidRPr="003B1362">
              <w:rPr>
                <w:rFonts w:asciiTheme="minorHAnsi" w:hAnsiTheme="minorHAnsi" w:cstheme="minorHAnsi"/>
                <w:vertAlign w:val="superscript"/>
              </w:rPr>
              <w:t>(a)</w:t>
            </w:r>
            <w:r w:rsidRPr="003B1362">
              <w:rPr>
                <w:rFonts w:asciiTheme="minorHAnsi" w:hAnsiTheme="minorHAnsi" w:cstheme="minorHAnsi"/>
              </w:rPr>
              <w:br/>
            </w:r>
            <w:r w:rsidR="00E23A51" w:rsidRPr="003B1362">
              <w:rPr>
                <w:rFonts w:asciiTheme="minorHAnsi" w:hAnsiTheme="minorHAnsi" w:cstheme="minorHAnsi"/>
              </w:rPr>
              <w:br/>
            </w:r>
            <w:r w:rsidR="008F1CF7">
              <w:rPr>
                <w:rFonts w:asciiTheme="minorHAnsi" w:hAnsiTheme="minorHAnsi" w:cstheme="minorHAnsi"/>
              </w:rPr>
              <w:t>(</w:t>
            </w:r>
            <w:r w:rsidRPr="003B1362">
              <w:rPr>
                <w:rFonts w:asciiTheme="minorHAnsi" w:hAnsiTheme="minorHAnsi" w:cstheme="minorHAnsi"/>
              </w:rPr>
              <w:t>$</w:t>
            </w:r>
            <w:r w:rsidR="008F1CF7">
              <w:rPr>
                <w:rFonts w:asciiTheme="minorHAnsi" w:hAnsiTheme="minorHAnsi" w:cstheme="minorHAnsi"/>
              </w:rPr>
              <w:t>)</w:t>
            </w:r>
          </w:p>
        </w:tc>
        <w:tc>
          <w:tcPr>
            <w:tcW w:w="1133" w:type="dxa"/>
            <w:vMerge w:val="restart"/>
          </w:tcPr>
          <w:p w14:paraId="79DE67D1" w14:textId="789C24EA" w:rsidR="00E22E5B" w:rsidRPr="003B1362" w:rsidRDefault="00E22E5B" w:rsidP="00FD0899">
            <w:pPr>
              <w:pStyle w:val="06VIRTBulletpoints"/>
              <w:numPr>
                <w:ilvl w:val="0"/>
                <w:numId w:val="0"/>
              </w:num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B1362">
              <w:rPr>
                <w:rFonts w:asciiTheme="minorHAnsi" w:hAnsiTheme="minorHAnsi" w:cstheme="minorHAnsi"/>
              </w:rPr>
              <w:t xml:space="preserve">Value </w:t>
            </w:r>
            <w:r w:rsidR="00501597">
              <w:rPr>
                <w:rFonts w:asciiTheme="minorHAnsi" w:hAnsiTheme="minorHAnsi" w:cstheme="minorHAnsi"/>
              </w:rPr>
              <w:t xml:space="preserve">as </w:t>
            </w:r>
            <w:r w:rsidRPr="003B1362">
              <w:rPr>
                <w:rFonts w:asciiTheme="minorHAnsi" w:hAnsiTheme="minorHAnsi" w:cstheme="minorHAnsi"/>
              </w:rPr>
              <w:t>at 1 July 2025</w:t>
            </w:r>
            <w:r w:rsidRPr="003B1362">
              <w:rPr>
                <w:rFonts w:asciiTheme="minorHAnsi" w:hAnsiTheme="minorHAnsi" w:cstheme="minorHAnsi"/>
              </w:rPr>
              <w:br/>
            </w:r>
            <w:r w:rsidR="008F1CF7">
              <w:rPr>
                <w:rFonts w:asciiTheme="minorHAnsi" w:hAnsiTheme="minorHAnsi" w:cstheme="minorHAnsi"/>
              </w:rPr>
              <w:t>(</w:t>
            </w:r>
            <w:r w:rsidRPr="003B1362">
              <w:rPr>
                <w:rFonts w:asciiTheme="minorHAnsi" w:hAnsiTheme="minorHAnsi" w:cstheme="minorHAnsi"/>
              </w:rPr>
              <w:t>$ p.a.</w:t>
            </w:r>
            <w:r w:rsidR="008F1CF7">
              <w:rPr>
                <w:rFonts w:asciiTheme="minorHAnsi" w:hAnsiTheme="minorHAnsi" w:cstheme="minorHAnsi"/>
              </w:rPr>
              <w:t>)</w:t>
            </w:r>
          </w:p>
        </w:tc>
      </w:tr>
      <w:tr w:rsidR="00DB3FEB" w14:paraId="1BE7DD57" w14:textId="77777777" w:rsidTr="00086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bottom w:val="single" w:sz="4" w:space="0" w:color="77D499" w:themeColor="accent6" w:themeShade="BF"/>
            </w:tcBorders>
          </w:tcPr>
          <w:p w14:paraId="45CE31AB" w14:textId="77777777" w:rsidR="00E22E5B" w:rsidRPr="003B1362" w:rsidRDefault="00E22E5B" w:rsidP="00FD0899">
            <w:pPr>
              <w:pStyle w:val="06VIRTBulletpoints"/>
              <w:numPr>
                <w:ilvl w:val="0"/>
                <w:numId w:val="0"/>
              </w:numPr>
              <w:spacing w:before="0" w:after="0"/>
              <w:rPr>
                <w:rFonts w:asciiTheme="minorHAnsi" w:hAnsiTheme="minorHAnsi" w:cstheme="minorHAnsi"/>
                <w:szCs w:val="22"/>
                <w:highlight w:val="yellow"/>
              </w:rPr>
            </w:pPr>
          </w:p>
        </w:tc>
        <w:tc>
          <w:tcPr>
            <w:tcW w:w="1134" w:type="dxa"/>
            <w:vMerge/>
            <w:tcBorders>
              <w:bottom w:val="single" w:sz="4" w:space="0" w:color="77D499" w:themeColor="accent6" w:themeShade="BF"/>
            </w:tcBorders>
          </w:tcPr>
          <w:p w14:paraId="125445B0" w14:textId="77777777" w:rsidR="00E22E5B" w:rsidRPr="003B1362" w:rsidRDefault="00E22E5B" w:rsidP="00FD0899">
            <w:pPr>
              <w:pStyle w:val="06VIRTBulletpoints"/>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highlight w:val="yellow"/>
              </w:rPr>
            </w:pPr>
          </w:p>
        </w:tc>
        <w:tc>
          <w:tcPr>
            <w:tcW w:w="1276" w:type="dxa"/>
            <w:tcBorders>
              <w:top w:val="single" w:sz="4" w:space="0" w:color="00573F" w:themeColor="accent1"/>
              <w:bottom w:val="single" w:sz="4" w:space="0" w:color="77D499" w:themeColor="accent6" w:themeShade="BF"/>
            </w:tcBorders>
            <w:shd w:val="clear" w:color="auto" w:fill="383834" w:themeFill="background2" w:themeFillShade="40"/>
          </w:tcPr>
          <w:p w14:paraId="46023F3D" w14:textId="02C8FBF8" w:rsidR="00E22E5B" w:rsidRPr="003B1362" w:rsidRDefault="00E22E5B" w:rsidP="00FD0899">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cs="Calibri Light"/>
                <w:b/>
                <w:bCs/>
                <w:color w:val="FFFFFF" w:themeColor="background1"/>
                <w:szCs w:val="22"/>
              </w:rPr>
            </w:pPr>
            <w:r w:rsidRPr="003B1362">
              <w:rPr>
                <w:rFonts w:cs="Calibri Light"/>
                <w:b/>
                <w:bCs/>
                <w:color w:val="FFFFFF" w:themeColor="background1"/>
                <w:szCs w:val="22"/>
              </w:rPr>
              <w:t>Salary component</w:t>
            </w:r>
            <w:r w:rsidRPr="003B1362">
              <w:rPr>
                <w:rFonts w:cs="Calibri Light"/>
                <w:b/>
                <w:bCs/>
                <w:color w:val="FFFFFF" w:themeColor="background1"/>
                <w:szCs w:val="22"/>
              </w:rPr>
              <w:br/>
            </w:r>
            <w:r w:rsidR="008F1CF7">
              <w:rPr>
                <w:rFonts w:cs="Calibri Light"/>
                <w:b/>
                <w:bCs/>
                <w:color w:val="FFFFFF" w:themeColor="background1"/>
                <w:szCs w:val="22"/>
              </w:rPr>
              <w:t>(</w:t>
            </w:r>
            <w:r w:rsidRPr="003B1362">
              <w:rPr>
                <w:rFonts w:cs="Calibri Light"/>
                <w:b/>
                <w:bCs/>
                <w:color w:val="FFFFFF" w:themeColor="background1"/>
                <w:szCs w:val="22"/>
              </w:rPr>
              <w:t>$</w:t>
            </w:r>
            <w:r w:rsidR="008F1CF7">
              <w:rPr>
                <w:rFonts w:cs="Calibri Light"/>
                <w:b/>
                <w:bCs/>
                <w:color w:val="FFFFFF" w:themeColor="background1"/>
                <w:szCs w:val="22"/>
              </w:rPr>
              <w:t>)</w:t>
            </w:r>
          </w:p>
        </w:tc>
        <w:tc>
          <w:tcPr>
            <w:tcW w:w="1701" w:type="dxa"/>
            <w:tcBorders>
              <w:top w:val="single" w:sz="4" w:space="0" w:color="00573F" w:themeColor="accent1"/>
              <w:bottom w:val="single" w:sz="4" w:space="0" w:color="77D499" w:themeColor="accent6" w:themeShade="BF"/>
            </w:tcBorders>
            <w:shd w:val="clear" w:color="auto" w:fill="383834" w:themeFill="background2" w:themeFillShade="40"/>
          </w:tcPr>
          <w:p w14:paraId="5F40D9E1" w14:textId="368C4CD9" w:rsidR="00E22E5B" w:rsidRPr="003B1362" w:rsidRDefault="00E22E5B" w:rsidP="00FD0899">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cs="Calibri Light"/>
                <w:b/>
                <w:bCs/>
                <w:color w:val="FFFFFF" w:themeColor="background1"/>
                <w:szCs w:val="22"/>
              </w:rPr>
            </w:pPr>
            <w:r w:rsidRPr="003B1362">
              <w:rPr>
                <w:rFonts w:cs="Calibri Light"/>
                <w:b/>
                <w:bCs/>
                <w:color w:val="FFFFFF" w:themeColor="background1"/>
                <w:szCs w:val="22"/>
              </w:rPr>
              <w:t>Superannuation component</w:t>
            </w:r>
            <w:r w:rsidRPr="003B1362">
              <w:rPr>
                <w:rFonts w:cs="Calibri Light"/>
                <w:b/>
                <w:bCs/>
                <w:color w:val="FFFFFF" w:themeColor="background1"/>
                <w:szCs w:val="22"/>
              </w:rPr>
              <w:br/>
            </w:r>
            <w:r w:rsidR="008F1CF7">
              <w:rPr>
                <w:rFonts w:cs="Calibri Light"/>
                <w:b/>
                <w:bCs/>
                <w:color w:val="FFFFFF" w:themeColor="background1"/>
                <w:szCs w:val="22"/>
              </w:rPr>
              <w:t>(</w:t>
            </w:r>
            <w:r w:rsidRPr="003B1362">
              <w:rPr>
                <w:rFonts w:cs="Calibri Light"/>
                <w:b/>
                <w:bCs/>
                <w:color w:val="FFFFFF" w:themeColor="background1"/>
                <w:szCs w:val="22"/>
              </w:rPr>
              <w:t>$</w:t>
            </w:r>
            <w:r w:rsidR="008F1CF7">
              <w:rPr>
                <w:rFonts w:cs="Calibri Light"/>
                <w:b/>
                <w:bCs/>
                <w:color w:val="FFFFFF" w:themeColor="background1"/>
                <w:szCs w:val="22"/>
              </w:rPr>
              <w:t>)</w:t>
            </w:r>
          </w:p>
        </w:tc>
        <w:tc>
          <w:tcPr>
            <w:tcW w:w="1417" w:type="dxa"/>
            <w:vMerge/>
            <w:tcBorders>
              <w:bottom w:val="single" w:sz="4" w:space="0" w:color="77D499" w:themeColor="accent6" w:themeShade="BF"/>
            </w:tcBorders>
          </w:tcPr>
          <w:p w14:paraId="55F37AF5" w14:textId="77777777" w:rsidR="00E22E5B" w:rsidRPr="003B1362" w:rsidRDefault="00E22E5B" w:rsidP="00FD0899">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highlight w:val="yellow"/>
              </w:rPr>
            </w:pPr>
          </w:p>
        </w:tc>
        <w:tc>
          <w:tcPr>
            <w:tcW w:w="1133" w:type="dxa"/>
            <w:vMerge/>
            <w:tcBorders>
              <w:bottom w:val="single" w:sz="4" w:space="0" w:color="77D499" w:themeColor="accent6" w:themeShade="BF"/>
            </w:tcBorders>
          </w:tcPr>
          <w:p w14:paraId="78C0EA42" w14:textId="77777777" w:rsidR="00E22E5B" w:rsidRPr="003B1362" w:rsidRDefault="00E22E5B" w:rsidP="00FD0899">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highlight w:val="yellow"/>
              </w:rPr>
            </w:pPr>
          </w:p>
        </w:tc>
      </w:tr>
      <w:tr w:rsidR="008364FD" w14:paraId="0AD94C69" w14:textId="77777777" w:rsidTr="00B03FCC">
        <w:trPr>
          <w:trHeight w:val="227"/>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77D499" w:themeColor="accent6" w:themeShade="BF"/>
            </w:tcBorders>
            <w:shd w:val="clear" w:color="auto" w:fill="77D499" w:themeFill="accent6" w:themeFillShade="BF"/>
          </w:tcPr>
          <w:p w14:paraId="292313B8" w14:textId="4FFB75CE" w:rsidR="00E22E5B" w:rsidRPr="00086532" w:rsidRDefault="00E22E5B" w:rsidP="00E23A51">
            <w:pPr>
              <w:pStyle w:val="06VIRTBulletpoints"/>
              <w:numPr>
                <w:ilvl w:val="0"/>
                <w:numId w:val="0"/>
              </w:numPr>
              <w:spacing w:before="0" w:after="0"/>
              <w:jc w:val="left"/>
              <w:rPr>
                <w:rFonts w:asciiTheme="minorHAnsi" w:hAnsiTheme="minorHAnsi" w:cstheme="minorHAnsi"/>
                <w:b/>
                <w:bCs w:val="0"/>
                <w:color w:val="auto"/>
                <w:szCs w:val="22"/>
                <w:highlight w:val="yellow"/>
              </w:rPr>
            </w:pPr>
            <w:r w:rsidRPr="00086532">
              <w:rPr>
                <w:rFonts w:asciiTheme="minorHAnsi" w:hAnsiTheme="minorHAnsi" w:cstheme="minorHAnsi"/>
                <w:b/>
                <w:bCs w:val="0"/>
                <w:color w:val="auto"/>
                <w:szCs w:val="22"/>
              </w:rPr>
              <w:t>SES-1</w:t>
            </w:r>
            <w:r w:rsidR="00F34529" w:rsidRPr="00086532">
              <w:rPr>
                <w:rFonts w:asciiTheme="minorHAnsi" w:hAnsiTheme="minorHAnsi" w:cstheme="minorHAnsi"/>
                <w:b/>
                <w:bCs w:val="0"/>
                <w:color w:val="auto"/>
                <w:szCs w:val="22"/>
              </w:rPr>
              <w:t xml:space="preserve"> </w:t>
            </w:r>
            <w:r w:rsidRPr="00086532">
              <w:rPr>
                <w:rFonts w:asciiTheme="minorHAnsi" w:hAnsiTheme="minorHAnsi" w:cstheme="minorHAnsi"/>
                <w:b/>
                <w:bCs w:val="0"/>
                <w:color w:val="auto"/>
                <w:szCs w:val="22"/>
              </w:rPr>
              <w:t>/</w:t>
            </w:r>
            <w:r w:rsidR="00F34529" w:rsidRPr="00086532">
              <w:rPr>
                <w:rFonts w:asciiTheme="minorHAnsi" w:hAnsiTheme="minorHAnsi" w:cstheme="minorHAnsi"/>
                <w:b/>
                <w:bCs w:val="0"/>
                <w:color w:val="auto"/>
                <w:szCs w:val="22"/>
              </w:rPr>
              <w:t xml:space="preserve"> </w:t>
            </w:r>
            <w:r w:rsidRPr="00086532">
              <w:rPr>
                <w:rFonts w:asciiTheme="minorHAnsi" w:hAnsiTheme="minorHAnsi" w:cstheme="minorHAnsi"/>
                <w:b/>
                <w:bCs w:val="0"/>
                <w:color w:val="auto"/>
                <w:szCs w:val="22"/>
              </w:rPr>
              <w:t>AO Head-1</w:t>
            </w:r>
          </w:p>
        </w:tc>
        <w:tc>
          <w:tcPr>
            <w:tcW w:w="1134" w:type="dxa"/>
            <w:tcBorders>
              <w:top w:val="single" w:sz="4" w:space="0" w:color="77D499" w:themeColor="accent6" w:themeShade="BF"/>
            </w:tcBorders>
            <w:shd w:val="clear" w:color="auto" w:fill="77D499" w:themeFill="accent6" w:themeFillShade="BF"/>
          </w:tcPr>
          <w:p w14:paraId="41B84DC3" w14:textId="77777777" w:rsidR="00E22E5B" w:rsidRPr="00086532" w:rsidRDefault="00E22E5B" w:rsidP="00E23A51">
            <w:pPr>
              <w:pStyle w:val="06VIRTBulletpoin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highlight w:val="yellow"/>
              </w:rPr>
            </w:pPr>
          </w:p>
        </w:tc>
        <w:tc>
          <w:tcPr>
            <w:tcW w:w="1276" w:type="dxa"/>
            <w:tcBorders>
              <w:top w:val="single" w:sz="4" w:space="0" w:color="77D499" w:themeColor="accent6" w:themeShade="BF"/>
            </w:tcBorders>
            <w:shd w:val="clear" w:color="auto" w:fill="77D499" w:themeFill="accent6" w:themeFillShade="BF"/>
          </w:tcPr>
          <w:p w14:paraId="568C1C76" w14:textId="77777777" w:rsidR="00E22E5B" w:rsidRPr="003B1362" w:rsidRDefault="00E22E5B" w:rsidP="00E23A51">
            <w:pPr>
              <w:pStyle w:val="06VIRTBulletpoin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highlight w:val="yellow"/>
              </w:rPr>
            </w:pPr>
          </w:p>
        </w:tc>
        <w:tc>
          <w:tcPr>
            <w:tcW w:w="1701" w:type="dxa"/>
            <w:tcBorders>
              <w:top w:val="single" w:sz="4" w:space="0" w:color="77D499" w:themeColor="accent6" w:themeShade="BF"/>
            </w:tcBorders>
            <w:shd w:val="clear" w:color="auto" w:fill="77D499" w:themeFill="accent6" w:themeFillShade="BF"/>
          </w:tcPr>
          <w:p w14:paraId="582CC6EA" w14:textId="77777777" w:rsidR="00E22E5B" w:rsidRPr="003B1362" w:rsidRDefault="00E22E5B" w:rsidP="00E23A51">
            <w:pPr>
              <w:pStyle w:val="06VIRTBulletpoin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highlight w:val="yellow"/>
              </w:rPr>
            </w:pPr>
          </w:p>
        </w:tc>
        <w:tc>
          <w:tcPr>
            <w:tcW w:w="1417" w:type="dxa"/>
            <w:tcBorders>
              <w:top w:val="single" w:sz="4" w:space="0" w:color="77D499" w:themeColor="accent6" w:themeShade="BF"/>
            </w:tcBorders>
            <w:shd w:val="clear" w:color="auto" w:fill="77D499" w:themeFill="accent6" w:themeFillShade="BF"/>
          </w:tcPr>
          <w:p w14:paraId="48D7D600" w14:textId="77777777" w:rsidR="00E22E5B" w:rsidRPr="003B1362" w:rsidRDefault="00E22E5B" w:rsidP="00E23A51">
            <w:pPr>
              <w:pStyle w:val="06VIRTBulletpoin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highlight w:val="yellow"/>
              </w:rPr>
            </w:pPr>
          </w:p>
        </w:tc>
        <w:tc>
          <w:tcPr>
            <w:tcW w:w="1133" w:type="dxa"/>
            <w:tcBorders>
              <w:top w:val="single" w:sz="4" w:space="0" w:color="77D499" w:themeColor="accent6" w:themeShade="BF"/>
            </w:tcBorders>
            <w:shd w:val="clear" w:color="auto" w:fill="77D499" w:themeFill="accent6" w:themeFillShade="BF"/>
          </w:tcPr>
          <w:p w14:paraId="1B39936C" w14:textId="77777777" w:rsidR="00E22E5B" w:rsidRPr="003B1362" w:rsidRDefault="00E22E5B" w:rsidP="00E23A51">
            <w:pPr>
              <w:pStyle w:val="06VIRTBulletpoin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highlight w:val="yellow"/>
              </w:rPr>
            </w:pPr>
          </w:p>
        </w:tc>
      </w:tr>
      <w:tr w:rsidR="008364FD" w14:paraId="5ABC7462" w14:textId="77777777" w:rsidTr="00B97D8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43" w:type="dxa"/>
          </w:tcPr>
          <w:p w14:paraId="4D551822" w14:textId="6E25C7C3" w:rsidR="00A24A60" w:rsidRPr="003B1362" w:rsidRDefault="00A24A60" w:rsidP="00A24A60">
            <w:pPr>
              <w:pStyle w:val="06VIRTBulletpoints"/>
              <w:numPr>
                <w:ilvl w:val="0"/>
                <w:numId w:val="0"/>
              </w:numPr>
              <w:spacing w:before="0" w:after="0"/>
              <w:jc w:val="left"/>
              <w:rPr>
                <w:rFonts w:asciiTheme="minorHAnsi" w:hAnsiTheme="minorHAnsi" w:cstheme="minorHAnsi"/>
                <w:szCs w:val="22"/>
                <w:highlight w:val="yellow"/>
              </w:rPr>
            </w:pPr>
            <w:r w:rsidRPr="003B1362">
              <w:rPr>
                <w:rFonts w:asciiTheme="minorHAnsi" w:hAnsiTheme="minorHAnsi" w:cstheme="minorHAnsi"/>
                <w:color w:val="auto"/>
                <w:szCs w:val="22"/>
              </w:rPr>
              <w:t>base of band</w:t>
            </w:r>
          </w:p>
        </w:tc>
        <w:tc>
          <w:tcPr>
            <w:tcW w:w="1134" w:type="dxa"/>
          </w:tcPr>
          <w:p w14:paraId="548BAED6" w14:textId="459533A7" w:rsidR="00A24A60" w:rsidRPr="00A24A60" w:rsidRDefault="00A24A60" w:rsidP="00A24A60">
            <w:pPr>
              <w:pStyle w:val="06VIRTBulletpoints"/>
              <w:numPr>
                <w:ilvl w:val="0"/>
                <w:numId w:val="0"/>
              </w:numPr>
              <w:tabs>
                <w:tab w:val="left" w:pos="510"/>
              </w:tabs>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A24A60">
              <w:rPr>
                <w:color w:val="auto"/>
                <w:szCs w:val="20"/>
              </w:rPr>
              <w:t>225,000</w:t>
            </w:r>
          </w:p>
        </w:tc>
        <w:tc>
          <w:tcPr>
            <w:tcW w:w="1276" w:type="dxa"/>
          </w:tcPr>
          <w:p w14:paraId="0DBF2375" w14:textId="10178894"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color w:val="auto"/>
                <w:szCs w:val="22"/>
              </w:rPr>
              <w:t>6,054</w:t>
            </w:r>
          </w:p>
        </w:tc>
        <w:tc>
          <w:tcPr>
            <w:tcW w:w="1701" w:type="dxa"/>
          </w:tcPr>
          <w:p w14:paraId="78BFFF91" w14:textId="30D92FAE"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1,735</w:t>
            </w:r>
          </w:p>
        </w:tc>
        <w:tc>
          <w:tcPr>
            <w:tcW w:w="1417" w:type="dxa"/>
          </w:tcPr>
          <w:p w14:paraId="78BC4320" w14:textId="40091721"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7,7</w:t>
            </w:r>
            <w:r w:rsidR="00FD1B07">
              <w:rPr>
                <w:rFonts w:asciiTheme="minorHAnsi" w:hAnsiTheme="minorHAnsi" w:cstheme="minorHAnsi"/>
                <w:szCs w:val="22"/>
              </w:rPr>
              <w:t>90</w:t>
            </w:r>
          </w:p>
        </w:tc>
        <w:tc>
          <w:tcPr>
            <w:tcW w:w="1133" w:type="dxa"/>
          </w:tcPr>
          <w:p w14:paraId="696820BA" w14:textId="16EB29E6"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232,7</w:t>
            </w:r>
            <w:r w:rsidR="00FD1B07">
              <w:rPr>
                <w:rFonts w:asciiTheme="minorHAnsi" w:hAnsiTheme="minorHAnsi" w:cstheme="minorHAnsi"/>
                <w:szCs w:val="22"/>
              </w:rPr>
              <w:t>90</w:t>
            </w:r>
          </w:p>
        </w:tc>
      </w:tr>
      <w:tr w:rsidR="008364FD" w14:paraId="01F832C6" w14:textId="77777777" w:rsidTr="00B97D87">
        <w:trPr>
          <w:trHeight w:val="227"/>
        </w:trPr>
        <w:tc>
          <w:tcPr>
            <w:cnfStyle w:val="001000000000" w:firstRow="0" w:lastRow="0" w:firstColumn="1" w:lastColumn="0" w:oddVBand="0" w:evenVBand="0" w:oddHBand="0" w:evenHBand="0" w:firstRowFirstColumn="0" w:firstRowLastColumn="0" w:lastRowFirstColumn="0" w:lastRowLastColumn="0"/>
            <w:tcW w:w="1843" w:type="dxa"/>
          </w:tcPr>
          <w:p w14:paraId="0AC9B443" w14:textId="3A6D870A" w:rsidR="00A24A60" w:rsidRPr="003B1362" w:rsidRDefault="00A24A60" w:rsidP="00A24A60">
            <w:pPr>
              <w:pStyle w:val="06VIRTBulletpoints"/>
              <w:numPr>
                <w:ilvl w:val="0"/>
                <w:numId w:val="0"/>
              </w:numPr>
              <w:spacing w:before="0" w:after="0"/>
              <w:jc w:val="left"/>
              <w:rPr>
                <w:rFonts w:asciiTheme="minorHAnsi" w:hAnsiTheme="minorHAnsi" w:cstheme="minorHAnsi"/>
                <w:szCs w:val="22"/>
                <w:highlight w:val="yellow"/>
              </w:rPr>
            </w:pPr>
            <w:r w:rsidRPr="003B1362">
              <w:rPr>
                <w:rFonts w:asciiTheme="minorHAnsi" w:hAnsiTheme="minorHAnsi" w:cstheme="minorHAnsi"/>
                <w:color w:val="auto"/>
                <w:szCs w:val="22"/>
              </w:rPr>
              <w:t>top of band</w:t>
            </w:r>
          </w:p>
        </w:tc>
        <w:tc>
          <w:tcPr>
            <w:tcW w:w="1134" w:type="dxa"/>
          </w:tcPr>
          <w:p w14:paraId="77152DF3" w14:textId="6F757ACC" w:rsidR="00A24A60" w:rsidRPr="00A24A60"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A24A60">
              <w:rPr>
                <w:color w:val="auto"/>
                <w:szCs w:val="20"/>
              </w:rPr>
              <w:t>290,600</w:t>
            </w:r>
          </w:p>
        </w:tc>
        <w:tc>
          <w:tcPr>
            <w:tcW w:w="1276" w:type="dxa"/>
          </w:tcPr>
          <w:p w14:paraId="0290CBA7" w14:textId="71DF402C"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color w:val="auto"/>
                <w:szCs w:val="22"/>
              </w:rPr>
              <w:t>7,820</w:t>
            </w:r>
          </w:p>
        </w:tc>
        <w:tc>
          <w:tcPr>
            <w:tcW w:w="1701" w:type="dxa"/>
          </w:tcPr>
          <w:p w14:paraId="07E16943" w14:textId="1706E215"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68</w:t>
            </w:r>
          </w:p>
        </w:tc>
        <w:tc>
          <w:tcPr>
            <w:tcW w:w="1417" w:type="dxa"/>
          </w:tcPr>
          <w:p w14:paraId="6D8FED88" w14:textId="6D1AFAEE"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7,888</w:t>
            </w:r>
          </w:p>
        </w:tc>
        <w:tc>
          <w:tcPr>
            <w:tcW w:w="1133" w:type="dxa"/>
          </w:tcPr>
          <w:p w14:paraId="45986219" w14:textId="1586916D"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298,488</w:t>
            </w:r>
          </w:p>
        </w:tc>
      </w:tr>
      <w:tr w:rsidR="008364FD" w14:paraId="39C63234" w14:textId="77777777" w:rsidTr="00B03F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43" w:type="dxa"/>
            <w:shd w:val="clear" w:color="auto" w:fill="77D499" w:themeFill="accent6" w:themeFillShade="BF"/>
          </w:tcPr>
          <w:p w14:paraId="29C099AB" w14:textId="0E7628E1" w:rsidR="00A24A60" w:rsidRPr="00086532" w:rsidRDefault="00A24A60" w:rsidP="00A24A60">
            <w:pPr>
              <w:pStyle w:val="06VIRTBulletpoints"/>
              <w:numPr>
                <w:ilvl w:val="0"/>
                <w:numId w:val="0"/>
              </w:numPr>
              <w:spacing w:before="0" w:after="0"/>
              <w:jc w:val="left"/>
              <w:rPr>
                <w:rFonts w:asciiTheme="minorHAnsi" w:hAnsiTheme="minorHAnsi" w:cstheme="minorHAnsi"/>
                <w:b/>
                <w:bCs w:val="0"/>
                <w:color w:val="auto"/>
                <w:szCs w:val="22"/>
                <w:highlight w:val="yellow"/>
              </w:rPr>
            </w:pPr>
            <w:r w:rsidRPr="00086532">
              <w:rPr>
                <w:rFonts w:asciiTheme="minorHAnsi" w:hAnsiTheme="minorHAnsi" w:cstheme="minorHAnsi"/>
                <w:b/>
                <w:bCs w:val="0"/>
                <w:color w:val="auto"/>
                <w:szCs w:val="22"/>
              </w:rPr>
              <w:t>SES-2</w:t>
            </w:r>
            <w:r w:rsidR="00F34529" w:rsidRPr="00086532">
              <w:rPr>
                <w:rFonts w:asciiTheme="minorHAnsi" w:hAnsiTheme="minorHAnsi" w:cstheme="minorHAnsi"/>
                <w:b/>
                <w:bCs w:val="0"/>
                <w:color w:val="auto"/>
                <w:szCs w:val="22"/>
              </w:rPr>
              <w:t xml:space="preserve"> </w:t>
            </w:r>
            <w:r w:rsidRPr="00086532">
              <w:rPr>
                <w:rFonts w:asciiTheme="minorHAnsi" w:hAnsiTheme="minorHAnsi" w:cstheme="minorHAnsi"/>
                <w:b/>
                <w:bCs w:val="0"/>
                <w:color w:val="auto"/>
                <w:szCs w:val="22"/>
              </w:rPr>
              <w:t>/</w:t>
            </w:r>
            <w:r w:rsidR="00F34529" w:rsidRPr="00086532">
              <w:rPr>
                <w:rFonts w:asciiTheme="minorHAnsi" w:hAnsiTheme="minorHAnsi" w:cstheme="minorHAnsi"/>
                <w:b/>
                <w:bCs w:val="0"/>
                <w:color w:val="auto"/>
                <w:szCs w:val="22"/>
              </w:rPr>
              <w:t xml:space="preserve"> </w:t>
            </w:r>
            <w:r w:rsidRPr="00086532">
              <w:rPr>
                <w:rFonts w:asciiTheme="minorHAnsi" w:hAnsiTheme="minorHAnsi" w:cstheme="minorHAnsi"/>
                <w:b/>
                <w:bCs w:val="0"/>
                <w:color w:val="auto"/>
                <w:szCs w:val="22"/>
              </w:rPr>
              <w:t>AO Head-2</w:t>
            </w:r>
          </w:p>
        </w:tc>
        <w:tc>
          <w:tcPr>
            <w:tcW w:w="1134" w:type="dxa"/>
            <w:shd w:val="clear" w:color="auto" w:fill="77D499" w:themeFill="accent6" w:themeFillShade="BF"/>
          </w:tcPr>
          <w:p w14:paraId="5CD3F064" w14:textId="77777777" w:rsidR="00A24A60" w:rsidRPr="0008653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2"/>
              </w:rPr>
            </w:pPr>
          </w:p>
        </w:tc>
        <w:tc>
          <w:tcPr>
            <w:tcW w:w="1276" w:type="dxa"/>
            <w:shd w:val="clear" w:color="auto" w:fill="77D499" w:themeFill="accent6" w:themeFillShade="BF"/>
          </w:tcPr>
          <w:p w14:paraId="49BA10CF" w14:textId="77777777"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701" w:type="dxa"/>
            <w:shd w:val="clear" w:color="auto" w:fill="77D499" w:themeFill="accent6" w:themeFillShade="BF"/>
          </w:tcPr>
          <w:p w14:paraId="02239EEF" w14:textId="77777777"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417" w:type="dxa"/>
            <w:shd w:val="clear" w:color="auto" w:fill="77D499" w:themeFill="accent6" w:themeFillShade="BF"/>
          </w:tcPr>
          <w:p w14:paraId="2B94E01C" w14:textId="77777777"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133" w:type="dxa"/>
            <w:shd w:val="clear" w:color="auto" w:fill="77D499" w:themeFill="accent6" w:themeFillShade="BF"/>
          </w:tcPr>
          <w:p w14:paraId="09666F3D" w14:textId="77777777"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8364FD" w14:paraId="665A3CDB" w14:textId="77777777" w:rsidTr="00B97D87">
        <w:trPr>
          <w:trHeight w:val="227"/>
        </w:trPr>
        <w:tc>
          <w:tcPr>
            <w:cnfStyle w:val="001000000000" w:firstRow="0" w:lastRow="0" w:firstColumn="1" w:lastColumn="0" w:oddVBand="0" w:evenVBand="0" w:oddHBand="0" w:evenHBand="0" w:firstRowFirstColumn="0" w:firstRowLastColumn="0" w:lastRowFirstColumn="0" w:lastRowLastColumn="0"/>
            <w:tcW w:w="1843" w:type="dxa"/>
          </w:tcPr>
          <w:p w14:paraId="22624290" w14:textId="0685C403" w:rsidR="00A24A60" w:rsidRPr="003B1362" w:rsidRDefault="00A24A60" w:rsidP="00A24A60">
            <w:pPr>
              <w:pStyle w:val="06VIRTBulletpoints"/>
              <w:numPr>
                <w:ilvl w:val="0"/>
                <w:numId w:val="0"/>
              </w:numPr>
              <w:spacing w:before="0" w:after="0"/>
              <w:jc w:val="left"/>
              <w:rPr>
                <w:rFonts w:asciiTheme="minorHAnsi" w:hAnsiTheme="minorHAnsi" w:cstheme="minorHAnsi"/>
                <w:szCs w:val="22"/>
                <w:highlight w:val="yellow"/>
              </w:rPr>
            </w:pPr>
            <w:r w:rsidRPr="003B1362">
              <w:rPr>
                <w:rFonts w:asciiTheme="minorHAnsi" w:hAnsiTheme="minorHAnsi" w:cstheme="minorHAnsi"/>
                <w:color w:val="auto"/>
                <w:szCs w:val="22"/>
              </w:rPr>
              <w:t>base of band</w:t>
            </w:r>
          </w:p>
        </w:tc>
        <w:tc>
          <w:tcPr>
            <w:tcW w:w="1134" w:type="dxa"/>
          </w:tcPr>
          <w:p w14:paraId="2EA05ABE" w14:textId="34DC4EEA" w:rsidR="00A24A60" w:rsidRPr="00A24A60"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A24A60">
              <w:rPr>
                <w:color w:val="auto"/>
                <w:szCs w:val="20"/>
              </w:rPr>
              <w:t>290,601</w:t>
            </w:r>
          </w:p>
        </w:tc>
        <w:tc>
          <w:tcPr>
            <w:tcW w:w="1276" w:type="dxa"/>
          </w:tcPr>
          <w:p w14:paraId="58C5E8FD" w14:textId="1CADD0D9"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color w:val="auto"/>
                <w:szCs w:val="22"/>
              </w:rPr>
              <w:t>7,820</w:t>
            </w:r>
          </w:p>
        </w:tc>
        <w:tc>
          <w:tcPr>
            <w:tcW w:w="1701" w:type="dxa"/>
          </w:tcPr>
          <w:p w14:paraId="3B881411" w14:textId="7E1BF81F"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68</w:t>
            </w:r>
          </w:p>
        </w:tc>
        <w:tc>
          <w:tcPr>
            <w:tcW w:w="1417" w:type="dxa"/>
          </w:tcPr>
          <w:p w14:paraId="6E76A810" w14:textId="62BA2AA8"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7,888</w:t>
            </w:r>
          </w:p>
        </w:tc>
        <w:tc>
          <w:tcPr>
            <w:tcW w:w="1133" w:type="dxa"/>
          </w:tcPr>
          <w:p w14:paraId="591A707C" w14:textId="6685D29E"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298,489</w:t>
            </w:r>
          </w:p>
        </w:tc>
      </w:tr>
      <w:tr w:rsidR="008364FD" w14:paraId="12215E29" w14:textId="77777777" w:rsidTr="00B97D8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43" w:type="dxa"/>
          </w:tcPr>
          <w:p w14:paraId="2EDD8868" w14:textId="54BD59D1" w:rsidR="00A24A60" w:rsidRPr="003B1362" w:rsidRDefault="00A24A60" w:rsidP="00A24A60">
            <w:pPr>
              <w:pStyle w:val="06VIRTBulletpoints"/>
              <w:numPr>
                <w:ilvl w:val="0"/>
                <w:numId w:val="0"/>
              </w:numPr>
              <w:spacing w:before="0" w:after="0"/>
              <w:jc w:val="left"/>
              <w:rPr>
                <w:rFonts w:asciiTheme="minorHAnsi" w:hAnsiTheme="minorHAnsi" w:cstheme="minorHAnsi"/>
                <w:szCs w:val="22"/>
                <w:highlight w:val="yellow"/>
              </w:rPr>
            </w:pPr>
            <w:r w:rsidRPr="003B1362">
              <w:rPr>
                <w:rFonts w:asciiTheme="minorHAnsi" w:hAnsiTheme="minorHAnsi" w:cstheme="minorHAnsi"/>
                <w:color w:val="auto"/>
                <w:szCs w:val="22"/>
              </w:rPr>
              <w:t>top of band</w:t>
            </w:r>
          </w:p>
        </w:tc>
        <w:tc>
          <w:tcPr>
            <w:tcW w:w="1134" w:type="dxa"/>
          </w:tcPr>
          <w:p w14:paraId="03C6D860" w14:textId="6D17E216" w:rsidR="00A24A60" w:rsidRPr="00A24A60"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A24A60">
              <w:rPr>
                <w:color w:val="auto"/>
                <w:szCs w:val="20"/>
              </w:rPr>
              <w:t>419,000</w:t>
            </w:r>
          </w:p>
        </w:tc>
        <w:tc>
          <w:tcPr>
            <w:tcW w:w="1276" w:type="dxa"/>
          </w:tcPr>
          <w:p w14:paraId="7E677F23" w14:textId="5331C7DB"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color w:val="auto"/>
                <w:szCs w:val="22"/>
              </w:rPr>
              <w:t>11,672</w:t>
            </w:r>
          </w:p>
        </w:tc>
        <w:tc>
          <w:tcPr>
            <w:tcW w:w="1701" w:type="dxa"/>
          </w:tcPr>
          <w:p w14:paraId="63855E9E" w14:textId="120ABBD2"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68</w:t>
            </w:r>
          </w:p>
        </w:tc>
        <w:tc>
          <w:tcPr>
            <w:tcW w:w="1417" w:type="dxa"/>
          </w:tcPr>
          <w:p w14:paraId="0E8BCBD0" w14:textId="3DE44571"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11,740</w:t>
            </w:r>
          </w:p>
        </w:tc>
        <w:tc>
          <w:tcPr>
            <w:tcW w:w="1133" w:type="dxa"/>
          </w:tcPr>
          <w:p w14:paraId="24169A12" w14:textId="36EDF74D"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430,740</w:t>
            </w:r>
          </w:p>
        </w:tc>
      </w:tr>
      <w:tr w:rsidR="008364FD" w14:paraId="51DB056D" w14:textId="77777777" w:rsidTr="00B03FCC">
        <w:trPr>
          <w:trHeight w:val="227"/>
        </w:trPr>
        <w:tc>
          <w:tcPr>
            <w:cnfStyle w:val="001000000000" w:firstRow="0" w:lastRow="0" w:firstColumn="1" w:lastColumn="0" w:oddVBand="0" w:evenVBand="0" w:oddHBand="0" w:evenHBand="0" w:firstRowFirstColumn="0" w:firstRowLastColumn="0" w:lastRowFirstColumn="0" w:lastRowLastColumn="0"/>
            <w:tcW w:w="1843" w:type="dxa"/>
            <w:shd w:val="clear" w:color="auto" w:fill="77D499" w:themeFill="accent6" w:themeFillShade="BF"/>
          </w:tcPr>
          <w:p w14:paraId="25261886" w14:textId="0F3FBDE7" w:rsidR="00A24A60" w:rsidRPr="003B1362" w:rsidRDefault="00A24A60" w:rsidP="00A24A60">
            <w:pPr>
              <w:pStyle w:val="06VIRTBulletpoints"/>
              <w:numPr>
                <w:ilvl w:val="0"/>
                <w:numId w:val="0"/>
              </w:numPr>
              <w:spacing w:before="0" w:after="0"/>
              <w:jc w:val="left"/>
              <w:rPr>
                <w:rFonts w:asciiTheme="minorHAnsi" w:hAnsiTheme="minorHAnsi" w:cstheme="minorHAnsi"/>
                <w:b/>
                <w:bCs w:val="0"/>
                <w:szCs w:val="22"/>
                <w:highlight w:val="yellow"/>
              </w:rPr>
            </w:pPr>
            <w:r w:rsidRPr="00086532">
              <w:rPr>
                <w:rFonts w:asciiTheme="minorHAnsi" w:hAnsiTheme="minorHAnsi" w:cstheme="minorHAnsi"/>
                <w:b/>
                <w:bCs w:val="0"/>
                <w:color w:val="auto"/>
                <w:szCs w:val="22"/>
              </w:rPr>
              <w:t>SES-3</w:t>
            </w:r>
            <w:r w:rsidR="00F34529" w:rsidRPr="00086532">
              <w:rPr>
                <w:rFonts w:asciiTheme="minorHAnsi" w:hAnsiTheme="minorHAnsi" w:cstheme="minorHAnsi"/>
                <w:b/>
                <w:bCs w:val="0"/>
                <w:color w:val="auto"/>
                <w:szCs w:val="22"/>
              </w:rPr>
              <w:t xml:space="preserve"> </w:t>
            </w:r>
            <w:r w:rsidRPr="00086532">
              <w:rPr>
                <w:rFonts w:asciiTheme="minorHAnsi" w:hAnsiTheme="minorHAnsi" w:cstheme="minorHAnsi"/>
                <w:b/>
                <w:bCs w:val="0"/>
                <w:color w:val="auto"/>
                <w:szCs w:val="22"/>
              </w:rPr>
              <w:t>/</w:t>
            </w:r>
            <w:r w:rsidR="00F34529" w:rsidRPr="00086532">
              <w:rPr>
                <w:rFonts w:asciiTheme="minorHAnsi" w:hAnsiTheme="minorHAnsi" w:cstheme="minorHAnsi"/>
                <w:b/>
                <w:bCs w:val="0"/>
                <w:color w:val="auto"/>
                <w:szCs w:val="22"/>
              </w:rPr>
              <w:t xml:space="preserve"> </w:t>
            </w:r>
            <w:r w:rsidRPr="00086532">
              <w:rPr>
                <w:rFonts w:asciiTheme="minorHAnsi" w:hAnsiTheme="minorHAnsi" w:cstheme="minorHAnsi"/>
                <w:b/>
                <w:bCs w:val="0"/>
                <w:color w:val="auto"/>
                <w:szCs w:val="22"/>
              </w:rPr>
              <w:t>AO Head-3</w:t>
            </w:r>
          </w:p>
        </w:tc>
        <w:tc>
          <w:tcPr>
            <w:tcW w:w="1134" w:type="dxa"/>
            <w:shd w:val="clear" w:color="auto" w:fill="77D499" w:themeFill="accent6" w:themeFillShade="BF"/>
          </w:tcPr>
          <w:p w14:paraId="4187870D" w14:textId="77777777" w:rsidR="00A24A60" w:rsidRPr="00A24A60"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276" w:type="dxa"/>
            <w:shd w:val="clear" w:color="auto" w:fill="77D499" w:themeFill="accent6" w:themeFillShade="BF"/>
          </w:tcPr>
          <w:p w14:paraId="0754C44F" w14:textId="77777777"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701" w:type="dxa"/>
            <w:shd w:val="clear" w:color="auto" w:fill="77D499" w:themeFill="accent6" w:themeFillShade="BF"/>
          </w:tcPr>
          <w:p w14:paraId="59FBC238" w14:textId="77777777"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417" w:type="dxa"/>
            <w:shd w:val="clear" w:color="auto" w:fill="77D499" w:themeFill="accent6" w:themeFillShade="BF"/>
          </w:tcPr>
          <w:p w14:paraId="2A56CF0A" w14:textId="77777777"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133" w:type="dxa"/>
            <w:shd w:val="clear" w:color="auto" w:fill="77D499" w:themeFill="accent6" w:themeFillShade="BF"/>
          </w:tcPr>
          <w:p w14:paraId="5F516D4D" w14:textId="77777777"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8364FD" w14:paraId="49C533A2" w14:textId="77777777" w:rsidTr="00B97D8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43" w:type="dxa"/>
          </w:tcPr>
          <w:p w14:paraId="5A6C1A5C" w14:textId="42CC92D1" w:rsidR="00A24A60" w:rsidRPr="003B1362" w:rsidRDefault="00A24A60" w:rsidP="00A24A60">
            <w:pPr>
              <w:pStyle w:val="06VIRTBulletpoints"/>
              <w:numPr>
                <w:ilvl w:val="0"/>
                <w:numId w:val="0"/>
              </w:numPr>
              <w:spacing w:before="0" w:after="0"/>
              <w:jc w:val="left"/>
              <w:rPr>
                <w:rFonts w:asciiTheme="minorHAnsi" w:hAnsiTheme="minorHAnsi" w:cstheme="minorHAnsi"/>
                <w:szCs w:val="22"/>
                <w:highlight w:val="yellow"/>
              </w:rPr>
            </w:pPr>
            <w:r w:rsidRPr="003B1362">
              <w:rPr>
                <w:rFonts w:asciiTheme="minorHAnsi" w:hAnsiTheme="minorHAnsi" w:cstheme="minorHAnsi"/>
                <w:color w:val="auto"/>
                <w:szCs w:val="22"/>
              </w:rPr>
              <w:t>base of band</w:t>
            </w:r>
          </w:p>
        </w:tc>
        <w:tc>
          <w:tcPr>
            <w:tcW w:w="1134" w:type="dxa"/>
          </w:tcPr>
          <w:p w14:paraId="003C2D9E" w14:textId="3E398A96" w:rsidR="00A24A60" w:rsidRPr="00A24A60"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A24A60">
              <w:rPr>
                <w:color w:val="auto"/>
                <w:szCs w:val="20"/>
              </w:rPr>
              <w:t>419,001</w:t>
            </w:r>
          </w:p>
        </w:tc>
        <w:tc>
          <w:tcPr>
            <w:tcW w:w="1276" w:type="dxa"/>
          </w:tcPr>
          <w:p w14:paraId="1FAEB2FC" w14:textId="37CD1126"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color w:val="auto"/>
                <w:szCs w:val="22"/>
              </w:rPr>
              <w:t>11,672</w:t>
            </w:r>
          </w:p>
        </w:tc>
        <w:tc>
          <w:tcPr>
            <w:tcW w:w="1701" w:type="dxa"/>
          </w:tcPr>
          <w:p w14:paraId="0C1523F3" w14:textId="40D412D3"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68</w:t>
            </w:r>
          </w:p>
        </w:tc>
        <w:tc>
          <w:tcPr>
            <w:tcW w:w="1417" w:type="dxa"/>
          </w:tcPr>
          <w:p w14:paraId="2210DE32" w14:textId="3984EB59"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11,740</w:t>
            </w:r>
          </w:p>
        </w:tc>
        <w:tc>
          <w:tcPr>
            <w:tcW w:w="1133" w:type="dxa"/>
          </w:tcPr>
          <w:p w14:paraId="7C28F17D" w14:textId="62352122"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430,741</w:t>
            </w:r>
          </w:p>
        </w:tc>
      </w:tr>
      <w:tr w:rsidR="008364FD" w14:paraId="1DF732F9" w14:textId="77777777" w:rsidTr="00B97D87">
        <w:trPr>
          <w:trHeight w:val="227"/>
        </w:trPr>
        <w:tc>
          <w:tcPr>
            <w:cnfStyle w:val="001000000000" w:firstRow="0" w:lastRow="0" w:firstColumn="1" w:lastColumn="0" w:oddVBand="0" w:evenVBand="0" w:oddHBand="0" w:evenHBand="0" w:firstRowFirstColumn="0" w:firstRowLastColumn="0" w:lastRowFirstColumn="0" w:lastRowLastColumn="0"/>
            <w:tcW w:w="1843" w:type="dxa"/>
          </w:tcPr>
          <w:p w14:paraId="2D5AA4FF" w14:textId="3D29267B" w:rsidR="00A24A60" w:rsidRPr="003B1362" w:rsidRDefault="00A24A60" w:rsidP="00A24A60">
            <w:pPr>
              <w:pStyle w:val="06VIRTBulletpoints"/>
              <w:numPr>
                <w:ilvl w:val="0"/>
                <w:numId w:val="0"/>
              </w:numPr>
              <w:spacing w:before="0" w:after="0"/>
              <w:jc w:val="left"/>
              <w:rPr>
                <w:rFonts w:asciiTheme="minorHAnsi" w:hAnsiTheme="minorHAnsi" w:cstheme="minorHAnsi"/>
                <w:szCs w:val="22"/>
                <w:highlight w:val="yellow"/>
              </w:rPr>
            </w:pPr>
            <w:r w:rsidRPr="003B1362">
              <w:rPr>
                <w:rFonts w:asciiTheme="minorHAnsi" w:hAnsiTheme="minorHAnsi" w:cstheme="minorHAnsi"/>
                <w:color w:val="auto"/>
                <w:szCs w:val="22"/>
              </w:rPr>
              <w:t>top of band</w:t>
            </w:r>
          </w:p>
        </w:tc>
        <w:tc>
          <w:tcPr>
            <w:tcW w:w="1134" w:type="dxa"/>
          </w:tcPr>
          <w:p w14:paraId="097887A2" w14:textId="7EAAACC0" w:rsidR="00A24A60" w:rsidRPr="00A24A60"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A24A60">
              <w:rPr>
                <w:color w:val="auto"/>
                <w:szCs w:val="20"/>
              </w:rPr>
              <w:t>557,435</w:t>
            </w:r>
          </w:p>
        </w:tc>
        <w:tc>
          <w:tcPr>
            <w:tcW w:w="1276" w:type="dxa"/>
          </w:tcPr>
          <w:p w14:paraId="6FF7FFC8" w14:textId="5117AA8E"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color w:val="auto"/>
                <w:szCs w:val="22"/>
              </w:rPr>
              <w:t>15,825</w:t>
            </w:r>
          </w:p>
        </w:tc>
        <w:tc>
          <w:tcPr>
            <w:tcW w:w="1701" w:type="dxa"/>
          </w:tcPr>
          <w:p w14:paraId="181C82C3" w14:textId="22E2F096"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68</w:t>
            </w:r>
          </w:p>
        </w:tc>
        <w:tc>
          <w:tcPr>
            <w:tcW w:w="1417" w:type="dxa"/>
          </w:tcPr>
          <w:p w14:paraId="18D123EC" w14:textId="2A12C9BB"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15,893</w:t>
            </w:r>
          </w:p>
        </w:tc>
        <w:tc>
          <w:tcPr>
            <w:tcW w:w="1133" w:type="dxa"/>
          </w:tcPr>
          <w:p w14:paraId="2A5BC73D" w14:textId="2B44FF3A"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573,328</w:t>
            </w:r>
          </w:p>
        </w:tc>
      </w:tr>
      <w:tr w:rsidR="00F92B07" w14:paraId="5905FCE7" w14:textId="77777777" w:rsidTr="00B03F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954" w:type="dxa"/>
            <w:gridSpan w:val="4"/>
            <w:shd w:val="clear" w:color="auto" w:fill="77D499" w:themeFill="accent6" w:themeFillShade="BF"/>
          </w:tcPr>
          <w:p w14:paraId="18DE9137" w14:textId="166857BB" w:rsidR="00F92B07" w:rsidRPr="003B1362" w:rsidRDefault="00F92B07" w:rsidP="00F92B07">
            <w:pPr>
              <w:pStyle w:val="06VIRTBulletpoints"/>
              <w:numPr>
                <w:ilvl w:val="0"/>
                <w:numId w:val="0"/>
              </w:numPr>
              <w:spacing w:before="0" w:after="0"/>
              <w:rPr>
                <w:rFonts w:asciiTheme="minorHAnsi" w:hAnsiTheme="minorHAnsi" w:cstheme="minorHAnsi"/>
                <w:szCs w:val="22"/>
              </w:rPr>
            </w:pPr>
            <w:r w:rsidRPr="00086532">
              <w:rPr>
                <w:rFonts w:asciiTheme="minorHAnsi" w:hAnsiTheme="minorHAnsi" w:cstheme="minorHAnsi"/>
                <w:b/>
                <w:bCs w:val="0"/>
                <w:color w:val="auto"/>
                <w:szCs w:val="22"/>
              </w:rPr>
              <w:t>Department Head</w:t>
            </w:r>
            <w:r w:rsidR="00F34529" w:rsidRPr="00086532">
              <w:rPr>
                <w:rFonts w:asciiTheme="minorHAnsi" w:hAnsiTheme="minorHAnsi" w:cstheme="minorHAnsi"/>
                <w:b/>
                <w:bCs w:val="0"/>
                <w:color w:val="auto"/>
                <w:szCs w:val="22"/>
              </w:rPr>
              <w:t xml:space="preserve"> </w:t>
            </w:r>
            <w:r w:rsidRPr="00086532">
              <w:rPr>
                <w:rFonts w:asciiTheme="minorHAnsi" w:hAnsiTheme="minorHAnsi" w:cstheme="minorHAnsi"/>
                <w:b/>
                <w:bCs w:val="0"/>
                <w:color w:val="auto"/>
                <w:szCs w:val="22"/>
              </w:rPr>
              <w:t>/</w:t>
            </w:r>
            <w:r w:rsidR="00F34529" w:rsidRPr="00086532">
              <w:rPr>
                <w:rFonts w:asciiTheme="minorHAnsi" w:hAnsiTheme="minorHAnsi" w:cstheme="minorHAnsi"/>
                <w:b/>
                <w:bCs w:val="0"/>
                <w:color w:val="auto"/>
                <w:szCs w:val="22"/>
              </w:rPr>
              <w:t xml:space="preserve"> </w:t>
            </w:r>
            <w:r w:rsidRPr="00086532">
              <w:rPr>
                <w:rFonts w:asciiTheme="minorHAnsi" w:hAnsiTheme="minorHAnsi" w:cstheme="minorHAnsi"/>
                <w:b/>
                <w:bCs w:val="0"/>
                <w:color w:val="auto"/>
                <w:szCs w:val="22"/>
              </w:rPr>
              <w:t>Victorian Public Sector Commissioner</w:t>
            </w:r>
          </w:p>
        </w:tc>
        <w:tc>
          <w:tcPr>
            <w:tcW w:w="1417" w:type="dxa"/>
            <w:shd w:val="clear" w:color="auto" w:fill="77D499" w:themeFill="accent6" w:themeFillShade="BF"/>
          </w:tcPr>
          <w:p w14:paraId="2D75B396" w14:textId="77777777" w:rsidR="00F92B07" w:rsidRPr="003B1362" w:rsidRDefault="00F92B07"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133" w:type="dxa"/>
            <w:shd w:val="clear" w:color="auto" w:fill="77D499" w:themeFill="accent6" w:themeFillShade="BF"/>
          </w:tcPr>
          <w:p w14:paraId="17775BB5" w14:textId="77777777" w:rsidR="00F92B07" w:rsidRPr="003B1362" w:rsidRDefault="00F92B07"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8364FD" w14:paraId="485EFD7B" w14:textId="77777777" w:rsidTr="00B97D87">
        <w:trPr>
          <w:trHeight w:val="227"/>
        </w:trPr>
        <w:tc>
          <w:tcPr>
            <w:cnfStyle w:val="001000000000" w:firstRow="0" w:lastRow="0" w:firstColumn="1" w:lastColumn="0" w:oddVBand="0" w:evenVBand="0" w:oddHBand="0" w:evenHBand="0" w:firstRowFirstColumn="0" w:firstRowLastColumn="0" w:lastRowFirstColumn="0" w:lastRowLastColumn="0"/>
            <w:tcW w:w="1843" w:type="dxa"/>
          </w:tcPr>
          <w:p w14:paraId="58CED3C3" w14:textId="59011611" w:rsidR="00A24A60" w:rsidRPr="003B1362" w:rsidRDefault="00A24A60" w:rsidP="00A24A60">
            <w:pPr>
              <w:pStyle w:val="06VIRTBulletpoints"/>
              <w:numPr>
                <w:ilvl w:val="0"/>
                <w:numId w:val="0"/>
              </w:numPr>
              <w:spacing w:before="0" w:after="0"/>
              <w:jc w:val="left"/>
              <w:rPr>
                <w:rFonts w:asciiTheme="minorHAnsi" w:hAnsiTheme="minorHAnsi" w:cstheme="minorHAnsi"/>
                <w:szCs w:val="22"/>
                <w:highlight w:val="yellow"/>
              </w:rPr>
            </w:pPr>
            <w:r w:rsidRPr="003B1362">
              <w:rPr>
                <w:rFonts w:asciiTheme="minorHAnsi" w:hAnsiTheme="minorHAnsi" w:cstheme="minorHAnsi"/>
                <w:color w:val="auto"/>
                <w:szCs w:val="22"/>
              </w:rPr>
              <w:t>base of band</w:t>
            </w:r>
          </w:p>
        </w:tc>
        <w:tc>
          <w:tcPr>
            <w:tcW w:w="1134" w:type="dxa"/>
          </w:tcPr>
          <w:p w14:paraId="119EB3C3" w14:textId="7414F0C5" w:rsidR="00A24A60" w:rsidRPr="00A24A60"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A24A60">
              <w:rPr>
                <w:color w:val="auto"/>
                <w:szCs w:val="20"/>
              </w:rPr>
              <w:t>603,713</w:t>
            </w:r>
          </w:p>
        </w:tc>
        <w:tc>
          <w:tcPr>
            <w:tcW w:w="1276" w:type="dxa"/>
          </w:tcPr>
          <w:p w14:paraId="1063041A" w14:textId="13F6FBEE"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color w:val="auto"/>
                <w:szCs w:val="22"/>
              </w:rPr>
              <w:t>17,213</w:t>
            </w:r>
          </w:p>
        </w:tc>
        <w:tc>
          <w:tcPr>
            <w:tcW w:w="1701" w:type="dxa"/>
          </w:tcPr>
          <w:p w14:paraId="41A11F21" w14:textId="77346C5A"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68</w:t>
            </w:r>
          </w:p>
        </w:tc>
        <w:tc>
          <w:tcPr>
            <w:tcW w:w="1417" w:type="dxa"/>
          </w:tcPr>
          <w:p w14:paraId="5D340BFB" w14:textId="494340DD"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1</w:t>
            </w:r>
            <w:r w:rsidR="003B2A89">
              <w:rPr>
                <w:rFonts w:asciiTheme="minorHAnsi" w:hAnsiTheme="minorHAnsi" w:cstheme="minorHAnsi"/>
                <w:szCs w:val="22"/>
              </w:rPr>
              <w:t>7</w:t>
            </w:r>
            <w:r w:rsidRPr="003B1362">
              <w:rPr>
                <w:rFonts w:asciiTheme="minorHAnsi" w:hAnsiTheme="minorHAnsi" w:cstheme="minorHAnsi"/>
                <w:szCs w:val="22"/>
              </w:rPr>
              <w:t>,281</w:t>
            </w:r>
          </w:p>
        </w:tc>
        <w:tc>
          <w:tcPr>
            <w:tcW w:w="1133" w:type="dxa"/>
          </w:tcPr>
          <w:p w14:paraId="30BC719A" w14:textId="110020CD" w:rsidR="00A24A60" w:rsidRPr="003B1362" w:rsidRDefault="00A24A60" w:rsidP="00A24A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620,994</w:t>
            </w:r>
          </w:p>
        </w:tc>
      </w:tr>
      <w:tr w:rsidR="008364FD" w14:paraId="4376CF5E" w14:textId="77777777" w:rsidTr="00B97D8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43" w:type="dxa"/>
          </w:tcPr>
          <w:p w14:paraId="7F2F3E08" w14:textId="19B87F24" w:rsidR="00A24A60" w:rsidRPr="003B1362" w:rsidRDefault="00A24A60" w:rsidP="00A24A60">
            <w:pPr>
              <w:pStyle w:val="06VIRTBulletpoints"/>
              <w:numPr>
                <w:ilvl w:val="0"/>
                <w:numId w:val="0"/>
              </w:numPr>
              <w:spacing w:before="0" w:after="0"/>
              <w:jc w:val="left"/>
              <w:rPr>
                <w:rFonts w:asciiTheme="minorHAnsi" w:hAnsiTheme="minorHAnsi" w:cstheme="minorHAnsi"/>
                <w:szCs w:val="22"/>
                <w:highlight w:val="yellow"/>
              </w:rPr>
            </w:pPr>
            <w:r w:rsidRPr="003B1362">
              <w:rPr>
                <w:rFonts w:asciiTheme="minorHAnsi" w:hAnsiTheme="minorHAnsi" w:cstheme="minorHAnsi"/>
                <w:color w:val="auto"/>
                <w:szCs w:val="22"/>
              </w:rPr>
              <w:t>top of band</w:t>
            </w:r>
          </w:p>
        </w:tc>
        <w:tc>
          <w:tcPr>
            <w:tcW w:w="1134" w:type="dxa"/>
          </w:tcPr>
          <w:p w14:paraId="526BBDC1" w14:textId="700FB9EF" w:rsidR="00A24A60" w:rsidRPr="00A24A60"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A24A60">
              <w:rPr>
                <w:color w:val="auto"/>
                <w:szCs w:val="20"/>
              </w:rPr>
              <w:t>813,524</w:t>
            </w:r>
          </w:p>
        </w:tc>
        <w:tc>
          <w:tcPr>
            <w:tcW w:w="1276" w:type="dxa"/>
          </w:tcPr>
          <w:p w14:paraId="0A5B70E7" w14:textId="052B93FC"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color w:val="auto"/>
                <w:szCs w:val="22"/>
              </w:rPr>
              <w:t>23,508</w:t>
            </w:r>
          </w:p>
        </w:tc>
        <w:tc>
          <w:tcPr>
            <w:tcW w:w="1701" w:type="dxa"/>
          </w:tcPr>
          <w:p w14:paraId="710714F3" w14:textId="312DABF0"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68</w:t>
            </w:r>
          </w:p>
        </w:tc>
        <w:tc>
          <w:tcPr>
            <w:tcW w:w="1417" w:type="dxa"/>
          </w:tcPr>
          <w:p w14:paraId="37BB8F9C" w14:textId="0134CEE3"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23,576</w:t>
            </w:r>
          </w:p>
        </w:tc>
        <w:tc>
          <w:tcPr>
            <w:tcW w:w="1133" w:type="dxa"/>
          </w:tcPr>
          <w:p w14:paraId="31812BB7" w14:textId="4CF70BF3" w:rsidR="00A24A60" w:rsidRPr="003B1362" w:rsidRDefault="00A24A60" w:rsidP="00A24A60">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B1362">
              <w:rPr>
                <w:rFonts w:asciiTheme="minorHAnsi" w:hAnsiTheme="minorHAnsi" w:cstheme="minorHAnsi"/>
                <w:szCs w:val="22"/>
              </w:rPr>
              <w:t>837,100</w:t>
            </w:r>
          </w:p>
        </w:tc>
      </w:tr>
    </w:tbl>
    <w:bookmarkEnd w:id="38"/>
    <w:p w14:paraId="1377119E" w14:textId="376E2DC7" w:rsidR="00E573AD" w:rsidRPr="00E573AD" w:rsidRDefault="00E573AD" w:rsidP="00E573AD">
      <w:pPr>
        <w:pStyle w:val="05Paragraph"/>
        <w:spacing w:before="0"/>
        <w:jc w:val="both"/>
        <w:rPr>
          <w:sz w:val="18"/>
        </w:rPr>
      </w:pPr>
      <w:r w:rsidRPr="00E573AD">
        <w:rPr>
          <w:sz w:val="18"/>
        </w:rPr>
        <w:t>Note: (a) Differences in this table between the total adjustment and the sum of the adjustments to the salary component and superannuation component are due to rounding.</w:t>
      </w:r>
    </w:p>
    <w:p w14:paraId="0AC3B885" w14:textId="44051EB0" w:rsidR="009E3A2C" w:rsidRDefault="00230738" w:rsidP="00DC0D9C">
      <w:pPr>
        <w:pStyle w:val="05Paragraph"/>
        <w:jc w:val="both"/>
      </w:pPr>
      <w:r>
        <w:lastRenderedPageBreak/>
        <w:t xml:space="preserve">The Tribunal notes that it does not adjust the remuneration for individual executives, which is a matter for their employer. </w:t>
      </w:r>
    </w:p>
    <w:p w14:paraId="538BA1DA" w14:textId="5069ED5C" w:rsidR="00230738" w:rsidRDefault="00230738" w:rsidP="00DC0D9C">
      <w:pPr>
        <w:pStyle w:val="05Paragraph"/>
        <w:jc w:val="both"/>
      </w:pPr>
      <w:r>
        <w:t xml:space="preserve">Nonetheless, under the </w:t>
      </w:r>
      <w:r>
        <w:rPr>
          <w:i/>
          <w:iCs/>
        </w:rPr>
        <w:t xml:space="preserve">Public Administration Act 2004 </w:t>
      </w:r>
      <w:r>
        <w:t>(Vic), an executive must be remunerated within the relevant band set by the Tribunal.</w:t>
      </w:r>
      <w:r>
        <w:rPr>
          <w:rStyle w:val="FootnoteReference"/>
        </w:rPr>
        <w:footnoteReference w:id="49"/>
      </w:r>
      <w:r>
        <w:t xml:space="preserve"> As a consequence, executives remunerated at or near the base of the relevant band immediately prior to 1 July 202</w:t>
      </w:r>
      <w:r w:rsidR="00ED39E0">
        <w:t>5</w:t>
      </w:r>
      <w:r>
        <w:t xml:space="preserve"> will receive a TRP uplift to ensure that they continue to be remunerated within that band.</w:t>
      </w:r>
    </w:p>
    <w:p w14:paraId="7B5B51C0" w14:textId="54730D0B" w:rsidR="00F05CA8" w:rsidRDefault="00F05CA8" w:rsidP="00DC0D9C">
      <w:pPr>
        <w:pStyle w:val="05Paragraph"/>
        <w:jc w:val="both"/>
      </w:pPr>
      <w:r>
        <w:t>T</w:t>
      </w:r>
      <w:r w:rsidR="00FB7799">
        <w:t>h</w:t>
      </w:r>
      <w:r w:rsidR="00D273A6">
        <w:t xml:space="preserve">is may </w:t>
      </w:r>
      <w:r w:rsidR="009066AB">
        <w:t xml:space="preserve">result in </w:t>
      </w:r>
      <w:r w:rsidR="00461F75">
        <w:t xml:space="preserve">a </w:t>
      </w:r>
      <w:r w:rsidR="002D3626">
        <w:t xml:space="preserve">compression of remuneration </w:t>
      </w:r>
      <w:r w:rsidR="00E61258">
        <w:t xml:space="preserve">relativities for executives </w:t>
      </w:r>
      <w:r w:rsidR="00461F75">
        <w:t xml:space="preserve">at the bottom of the remuneration bands. The Tribunal’s </w:t>
      </w:r>
      <w:r w:rsidR="003833DA">
        <w:t xml:space="preserve">VPS </w:t>
      </w:r>
      <w:r w:rsidR="00583A60">
        <w:t>G</w:t>
      </w:r>
      <w:r>
        <w:t>uidelines</w:t>
      </w:r>
      <w:r w:rsidR="00085102">
        <w:t>,</w:t>
      </w:r>
      <w:r w:rsidR="00FB7799">
        <w:t xml:space="preserve"> discussed earlier</w:t>
      </w:r>
      <w:r w:rsidR="00085102">
        <w:t>,</w:t>
      </w:r>
      <w:r>
        <w:t xml:space="preserve"> </w:t>
      </w:r>
      <w:r w:rsidR="00A92673">
        <w:t>encourage</w:t>
      </w:r>
      <w:r>
        <w:t xml:space="preserve"> employers to consider a variety of factors when setting remuneration to better utilise the scope of the remuneration bands</w:t>
      </w:r>
      <w:r w:rsidR="00DA5A74">
        <w:t>. Remuneration arrangements in general for executives within departments should be reviewed regularly to ensure fairness and continuing relevance</w:t>
      </w:r>
      <w:r>
        <w:t>.</w:t>
      </w:r>
    </w:p>
    <w:p w14:paraId="3286A2D7" w14:textId="1478C8CE" w:rsidR="00230738" w:rsidRDefault="00230738" w:rsidP="00DC0D9C">
      <w:pPr>
        <w:pStyle w:val="02VIRTHeading2"/>
        <w:jc w:val="both"/>
      </w:pPr>
      <w:bookmarkStart w:id="39" w:name="_Toc209438896"/>
      <w:r>
        <w:t>3.</w:t>
      </w:r>
      <w:r w:rsidR="00FB7A56">
        <w:t>5</w:t>
      </w:r>
      <w:r>
        <w:tab/>
        <w:t>Conclusion</w:t>
      </w:r>
      <w:bookmarkEnd w:id="39"/>
    </w:p>
    <w:p w14:paraId="0DF5F7D1" w14:textId="77777777" w:rsidR="00230738" w:rsidRDefault="00230738" w:rsidP="00DC0D9C">
      <w:pPr>
        <w:pStyle w:val="05Paragraph"/>
        <w:jc w:val="both"/>
      </w:pPr>
      <w:r>
        <w:t>This Statement of Reasons explains the Tribunal’s considerations in making the 2025 VPS Annual Adjustment Determination.</w:t>
      </w:r>
    </w:p>
    <w:p w14:paraId="77A1A131" w14:textId="75E5C378" w:rsidR="00230738" w:rsidRDefault="00230738" w:rsidP="00DC0D9C">
      <w:pPr>
        <w:pStyle w:val="05Paragraph"/>
        <w:jc w:val="both"/>
      </w:pPr>
      <w:bookmarkStart w:id="40" w:name="_Hlk201676587"/>
      <w:r>
        <w:t xml:space="preserve">Before making the Determination, the Tribunal published notice of its intention to make a </w:t>
      </w:r>
      <w:r w:rsidR="00CE25D6">
        <w:t>d</w:t>
      </w:r>
      <w:r>
        <w:t>etermination and called for submissions. The Tribunal considered each submission it received and expresses its appreciation t</w:t>
      </w:r>
      <w:r w:rsidR="00071BEC">
        <w:t>o</w:t>
      </w:r>
      <w:r>
        <w:t xml:space="preserve"> those who made submissions or otherwise participated in the process and assisted the Tribunal to perform its functions.</w:t>
      </w:r>
    </w:p>
    <w:p w14:paraId="6C3CEEC3" w14:textId="77777777" w:rsidR="001E2945" w:rsidRDefault="00230738" w:rsidP="00DC0D9C">
      <w:pPr>
        <w:pStyle w:val="05Paragraph"/>
        <w:jc w:val="both"/>
      </w:pPr>
      <w:r>
        <w:t>This Determination adjusts the value</w:t>
      </w:r>
      <w:r w:rsidR="001E2945">
        <w:t>s of the remuneration bands by:</w:t>
      </w:r>
    </w:p>
    <w:p w14:paraId="16E1B38F" w14:textId="1C29CDA4" w:rsidR="001E2945" w:rsidRDefault="001E2945" w:rsidP="00DC0D9C">
      <w:pPr>
        <w:pStyle w:val="06VIRTBulletpoints"/>
      </w:pPr>
      <w:r>
        <w:t xml:space="preserve">a </w:t>
      </w:r>
      <w:r w:rsidR="00350649" w:rsidRPr="00350649">
        <w:t>3</w:t>
      </w:r>
      <w:r w:rsidRPr="00350649">
        <w:t xml:space="preserve"> per cent</w:t>
      </w:r>
      <w:r>
        <w:t xml:space="preserve"> adjustment</w:t>
      </w:r>
      <w:r w:rsidR="00E463E7">
        <w:t xml:space="preserve"> </w:t>
      </w:r>
      <w:r>
        <w:t>applied to</w:t>
      </w:r>
      <w:r w:rsidR="00230738">
        <w:t xml:space="preserve"> the notional salary component of the values of </w:t>
      </w:r>
      <w:r>
        <w:t xml:space="preserve">the </w:t>
      </w:r>
      <w:r w:rsidR="00230738">
        <w:t xml:space="preserve">remuneration bands </w:t>
      </w:r>
    </w:p>
    <w:p w14:paraId="2377F6D3" w14:textId="635A6BB6" w:rsidR="001E2945" w:rsidRPr="006E682B" w:rsidRDefault="001E2945" w:rsidP="00DC0D9C">
      <w:pPr>
        <w:pStyle w:val="06VIRTBulletpoints"/>
      </w:pPr>
      <w:r w:rsidRPr="006E682B">
        <w:t>a further amount, ranging from $</w:t>
      </w:r>
      <w:r w:rsidR="006E682B" w:rsidRPr="006E682B">
        <w:t>68</w:t>
      </w:r>
      <w:r w:rsidRPr="006E682B">
        <w:t xml:space="preserve"> to $</w:t>
      </w:r>
      <w:r w:rsidR="006E682B" w:rsidRPr="006E682B">
        <w:t>1,735</w:t>
      </w:r>
      <w:r w:rsidR="007C3144">
        <w:t>,</w:t>
      </w:r>
      <w:r w:rsidRPr="006E682B">
        <w:t xml:space="preserve"> to take into account changes to superannuation entitlements that came into effect on 1 July 2025.</w:t>
      </w:r>
      <w:r w:rsidR="00230738" w:rsidRPr="006E682B">
        <w:t xml:space="preserve"> </w:t>
      </w:r>
    </w:p>
    <w:p w14:paraId="23D47923" w14:textId="10F2DF9D" w:rsidR="007E178D" w:rsidRDefault="001E2945" w:rsidP="00DC0D9C">
      <w:pPr>
        <w:pStyle w:val="05Paragraph"/>
        <w:jc w:val="both"/>
      </w:pPr>
      <w:r>
        <w:t xml:space="preserve">This Determination </w:t>
      </w:r>
      <w:r w:rsidR="0081712A">
        <w:t>is</w:t>
      </w:r>
      <w:r>
        <w:t xml:space="preserve"> made on </w:t>
      </w:r>
      <w:r w:rsidR="00892583" w:rsidRPr="00DD2BD0">
        <w:t>23 September 2025 and</w:t>
      </w:r>
      <w:r w:rsidRPr="006E682B">
        <w:t xml:space="preserve"> </w:t>
      </w:r>
      <w:r w:rsidR="007C3144">
        <w:t>applies</w:t>
      </w:r>
      <w:r w:rsidRPr="006E682B">
        <w:t xml:space="preserve"> from 1 July 2025.</w:t>
      </w:r>
      <w:r w:rsidR="007E178D">
        <w:br w:type="page"/>
      </w:r>
    </w:p>
    <w:p w14:paraId="6E1DEBA1" w14:textId="6EA1A34E" w:rsidR="00184C12" w:rsidRDefault="00051414" w:rsidP="00184C12">
      <w:pPr>
        <w:pStyle w:val="01Chapterheading"/>
      </w:pPr>
      <w:bookmarkStart w:id="41" w:name="_Toc209438897"/>
      <w:bookmarkEnd w:id="16"/>
      <w:bookmarkEnd w:id="40"/>
      <w:r>
        <w:lastRenderedPageBreak/>
        <w:t>References</w:t>
      </w:r>
      <w:bookmarkEnd w:id="41"/>
    </w:p>
    <w:p w14:paraId="0CE57F18" w14:textId="77777777" w:rsidR="00051414" w:rsidRPr="00907DBA" w:rsidRDefault="00051414" w:rsidP="00184C12">
      <w:pPr>
        <w:pStyle w:val="05Paragraph"/>
      </w:pPr>
      <w:bookmarkStart w:id="42" w:name="_Toc97728589"/>
      <w:r>
        <w:rPr>
          <w:noProof/>
        </w:rPr>
        <w:drawing>
          <wp:inline distT="0" distB="0" distL="0" distR="0" wp14:anchorId="19742AFF" wp14:editId="18A22C57">
            <wp:extent cx="2222500" cy="253365"/>
            <wp:effectExtent l="0" t="0" r="6350" b="0"/>
            <wp:docPr id="176179339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94" name="Picture 5">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42"/>
    </w:p>
    <w:p w14:paraId="2F103D7F" w14:textId="676C2C01" w:rsidR="006C6328" w:rsidRDefault="006C6328" w:rsidP="00217AC0">
      <w:pPr>
        <w:pStyle w:val="05Paragraph"/>
        <w:jc w:val="both"/>
        <w:rPr>
          <w:noProof/>
          <w:color w:val="auto"/>
          <w:lang w:eastAsia="en-AU"/>
        </w:rPr>
      </w:pPr>
      <w:r w:rsidRPr="006C6328">
        <w:rPr>
          <w:noProof/>
          <w:color w:val="auto"/>
          <w:lang w:eastAsia="en-AU"/>
        </w:rPr>
        <w:t xml:space="preserve">ABS (Australian Bureau of Statistics) (2025a), </w:t>
      </w:r>
      <w:r w:rsidRPr="00C03151">
        <w:rPr>
          <w:i/>
          <w:color w:val="auto"/>
          <w:lang w:eastAsia="en-AU"/>
        </w:rPr>
        <w:t>Australian National Accounts: National Income, Expenditure and Product</w:t>
      </w:r>
      <w:r w:rsidRPr="00FB370F">
        <w:rPr>
          <w:noProof/>
          <w:color w:val="auto"/>
          <w:lang w:eastAsia="en-AU"/>
        </w:rPr>
        <w:t xml:space="preserve">, </w:t>
      </w:r>
      <w:r w:rsidR="007C15A6" w:rsidRPr="00FB370F">
        <w:rPr>
          <w:noProof/>
          <w:color w:val="auto"/>
          <w:lang w:eastAsia="en-AU"/>
        </w:rPr>
        <w:t xml:space="preserve">June </w:t>
      </w:r>
      <w:r w:rsidRPr="00FB370F">
        <w:rPr>
          <w:noProof/>
          <w:color w:val="auto"/>
          <w:lang w:eastAsia="en-AU"/>
        </w:rPr>
        <w:t>2025.</w:t>
      </w:r>
      <w:r w:rsidRPr="006C6328">
        <w:rPr>
          <w:noProof/>
          <w:color w:val="auto"/>
          <w:lang w:eastAsia="en-AU"/>
        </w:rPr>
        <w:t xml:space="preserve"> </w:t>
      </w:r>
    </w:p>
    <w:p w14:paraId="231E7FB4" w14:textId="5E4A217A" w:rsidR="006C6328" w:rsidRDefault="006C6328" w:rsidP="00217AC0">
      <w:pPr>
        <w:pStyle w:val="05Paragraph"/>
        <w:jc w:val="both"/>
        <w:rPr>
          <w:noProof/>
          <w:color w:val="auto"/>
          <w:lang w:eastAsia="en-AU"/>
        </w:rPr>
      </w:pPr>
      <w:r w:rsidRPr="006C6328">
        <w:rPr>
          <w:noProof/>
          <w:color w:val="auto"/>
          <w:lang w:eastAsia="en-AU"/>
        </w:rPr>
        <w:t xml:space="preserve">——— (2025b), </w:t>
      </w:r>
      <w:r w:rsidRPr="00C03151">
        <w:rPr>
          <w:i/>
          <w:color w:val="auto"/>
          <w:lang w:eastAsia="en-AU"/>
        </w:rPr>
        <w:t>Consumer Price Index, Australia</w:t>
      </w:r>
      <w:r w:rsidRPr="006C6328">
        <w:rPr>
          <w:noProof/>
          <w:color w:val="auto"/>
          <w:lang w:eastAsia="en-AU"/>
        </w:rPr>
        <w:t xml:space="preserve">, </w:t>
      </w:r>
      <w:r>
        <w:rPr>
          <w:noProof/>
          <w:color w:val="auto"/>
          <w:lang w:eastAsia="en-AU"/>
        </w:rPr>
        <w:t>June</w:t>
      </w:r>
      <w:r w:rsidRPr="006C6328">
        <w:rPr>
          <w:noProof/>
          <w:color w:val="auto"/>
          <w:lang w:eastAsia="en-AU"/>
        </w:rPr>
        <w:t xml:space="preserve"> quarter 2025. </w:t>
      </w:r>
    </w:p>
    <w:p w14:paraId="5ACE1082" w14:textId="00583A4A" w:rsidR="002950E6" w:rsidRDefault="002950E6" w:rsidP="00217AC0">
      <w:pPr>
        <w:pStyle w:val="05Paragraph"/>
        <w:jc w:val="both"/>
        <w:rPr>
          <w:noProof/>
          <w:color w:val="auto"/>
          <w:lang w:eastAsia="en-AU"/>
        </w:rPr>
      </w:pPr>
      <w:r w:rsidRPr="006C6328">
        <w:rPr>
          <w:noProof/>
          <w:color w:val="auto"/>
          <w:lang w:eastAsia="en-AU"/>
        </w:rPr>
        <w:t>———</w:t>
      </w:r>
      <w:r>
        <w:rPr>
          <w:noProof/>
          <w:color w:val="auto"/>
          <w:lang w:eastAsia="en-AU"/>
        </w:rPr>
        <w:t xml:space="preserve"> (2025c), </w:t>
      </w:r>
      <w:r w:rsidRPr="00C03151">
        <w:rPr>
          <w:i/>
          <w:color w:val="auto"/>
          <w:lang w:eastAsia="en-AU"/>
        </w:rPr>
        <w:t>Labou</w:t>
      </w:r>
      <w:r w:rsidR="005D240F" w:rsidRPr="00C03151">
        <w:rPr>
          <w:i/>
          <w:color w:val="auto"/>
          <w:lang w:eastAsia="en-AU"/>
        </w:rPr>
        <w:t>r Forc</w:t>
      </w:r>
      <w:r w:rsidR="005D240F" w:rsidRPr="00187770">
        <w:rPr>
          <w:i/>
          <w:color w:val="auto"/>
          <w:lang w:eastAsia="en-AU"/>
        </w:rPr>
        <w:t>e</w:t>
      </w:r>
      <w:r w:rsidR="005D240F" w:rsidRPr="00187770">
        <w:rPr>
          <w:i/>
          <w:noProof/>
          <w:color w:val="auto"/>
          <w:lang w:eastAsia="en-AU"/>
        </w:rPr>
        <w:t>, Australia</w:t>
      </w:r>
      <w:r w:rsidR="005D240F">
        <w:rPr>
          <w:noProof/>
          <w:color w:val="auto"/>
          <w:lang w:eastAsia="en-AU"/>
        </w:rPr>
        <w:t xml:space="preserve">, July </w:t>
      </w:r>
      <w:r w:rsidR="00197A24">
        <w:rPr>
          <w:noProof/>
          <w:color w:val="auto"/>
          <w:lang w:eastAsia="en-AU"/>
        </w:rPr>
        <w:t>2025.</w:t>
      </w:r>
    </w:p>
    <w:p w14:paraId="036E6AE0" w14:textId="7232DD39" w:rsidR="007A1462" w:rsidRDefault="006C6328" w:rsidP="00217AC0">
      <w:pPr>
        <w:pStyle w:val="05Paragraph"/>
        <w:jc w:val="both"/>
        <w:rPr>
          <w:noProof/>
          <w:color w:val="auto"/>
          <w:lang w:eastAsia="en-AU"/>
        </w:rPr>
      </w:pPr>
      <w:r w:rsidRPr="006C6328">
        <w:rPr>
          <w:noProof/>
          <w:color w:val="auto"/>
          <w:lang w:eastAsia="en-AU"/>
        </w:rPr>
        <w:t>——— (2025</w:t>
      </w:r>
      <w:r w:rsidR="002950E6">
        <w:rPr>
          <w:noProof/>
          <w:color w:val="auto"/>
          <w:lang w:eastAsia="en-AU"/>
        </w:rPr>
        <w:t>d</w:t>
      </w:r>
      <w:r w:rsidRPr="006C6328">
        <w:rPr>
          <w:noProof/>
          <w:color w:val="auto"/>
          <w:lang w:eastAsia="en-AU"/>
        </w:rPr>
        <w:t xml:space="preserve">), </w:t>
      </w:r>
      <w:r w:rsidRPr="00C03151">
        <w:rPr>
          <w:i/>
          <w:color w:val="auto"/>
          <w:lang w:eastAsia="en-AU"/>
        </w:rPr>
        <w:t>Wage Price Inde</w:t>
      </w:r>
      <w:r w:rsidRPr="00187770">
        <w:rPr>
          <w:i/>
          <w:color w:val="auto"/>
          <w:lang w:eastAsia="en-AU"/>
        </w:rPr>
        <w:t>x</w:t>
      </w:r>
      <w:r w:rsidRPr="00187770">
        <w:rPr>
          <w:i/>
          <w:noProof/>
          <w:color w:val="auto"/>
          <w:lang w:eastAsia="en-AU"/>
        </w:rPr>
        <w:t>, Australia</w:t>
      </w:r>
      <w:r w:rsidRPr="006C6328">
        <w:rPr>
          <w:noProof/>
          <w:color w:val="auto"/>
          <w:lang w:eastAsia="en-AU"/>
        </w:rPr>
        <w:t xml:space="preserve">, </w:t>
      </w:r>
      <w:r>
        <w:rPr>
          <w:noProof/>
          <w:color w:val="auto"/>
          <w:lang w:eastAsia="en-AU"/>
        </w:rPr>
        <w:t>June</w:t>
      </w:r>
      <w:r w:rsidRPr="006C6328">
        <w:rPr>
          <w:noProof/>
          <w:color w:val="auto"/>
          <w:lang w:eastAsia="en-AU"/>
        </w:rPr>
        <w:t xml:space="preserve"> quarter 2025</w:t>
      </w:r>
      <w:r>
        <w:rPr>
          <w:noProof/>
          <w:color w:val="auto"/>
          <w:lang w:eastAsia="en-AU"/>
        </w:rPr>
        <w:t>.</w:t>
      </w:r>
    </w:p>
    <w:p w14:paraId="6BE5A0BC" w14:textId="77777777" w:rsidR="000C61A5" w:rsidRDefault="00EA6259" w:rsidP="00007873">
      <w:pPr>
        <w:pStyle w:val="05Paragraph"/>
        <w:jc w:val="both"/>
        <w:rPr>
          <w:i/>
          <w:iCs/>
          <w:noProof/>
          <w:color w:val="auto"/>
          <w:lang w:eastAsia="en-AU"/>
        </w:rPr>
      </w:pPr>
      <w:r>
        <w:rPr>
          <w:noProof/>
          <w:color w:val="auto"/>
          <w:lang w:eastAsia="en-AU"/>
        </w:rPr>
        <w:t>APSC (Australian Public Service Commission) (202</w:t>
      </w:r>
      <w:r w:rsidR="00A6599A">
        <w:rPr>
          <w:noProof/>
          <w:color w:val="auto"/>
          <w:lang w:eastAsia="en-AU"/>
        </w:rPr>
        <w:t xml:space="preserve">2), </w:t>
      </w:r>
      <w:r w:rsidR="00A6599A">
        <w:rPr>
          <w:i/>
          <w:iCs/>
          <w:noProof/>
          <w:color w:val="auto"/>
          <w:lang w:eastAsia="en-AU"/>
        </w:rPr>
        <w:t>Executive Remuneration Management Policy</w:t>
      </w:r>
      <w:r>
        <w:rPr>
          <w:i/>
          <w:iCs/>
          <w:noProof/>
          <w:color w:val="auto"/>
          <w:lang w:eastAsia="en-AU"/>
        </w:rPr>
        <w:t>.</w:t>
      </w:r>
    </w:p>
    <w:p w14:paraId="7963CD4D" w14:textId="34897089" w:rsidR="00EA6259" w:rsidRPr="001D2DCA" w:rsidRDefault="000C61A5" w:rsidP="007D44F4">
      <w:pPr>
        <w:pStyle w:val="05Paragraph"/>
        <w:ind w:left="851" w:hanging="851"/>
        <w:jc w:val="both"/>
        <w:rPr>
          <w:noProof/>
          <w:color w:val="auto"/>
          <w:lang w:eastAsia="en-AU"/>
        </w:rPr>
      </w:pPr>
      <w:r w:rsidRPr="006C6328">
        <w:rPr>
          <w:noProof/>
          <w:color w:val="auto"/>
          <w:lang w:eastAsia="en-AU"/>
        </w:rPr>
        <w:t>———</w:t>
      </w:r>
      <w:r w:rsidR="00007873">
        <w:rPr>
          <w:noProof/>
          <w:color w:val="auto"/>
          <w:lang w:eastAsia="en-AU"/>
        </w:rPr>
        <w:t xml:space="preserve"> </w:t>
      </w:r>
      <w:r>
        <w:rPr>
          <w:noProof/>
          <w:color w:val="auto"/>
          <w:lang w:eastAsia="en-AU"/>
        </w:rPr>
        <w:t xml:space="preserve">(2022), </w:t>
      </w:r>
      <w:r>
        <w:rPr>
          <w:i/>
          <w:iCs/>
          <w:noProof/>
          <w:color w:val="auto"/>
          <w:lang w:eastAsia="en-AU"/>
        </w:rPr>
        <w:t>APS Bargaining,</w:t>
      </w:r>
      <w:r w:rsidRPr="001D2DCA">
        <w:rPr>
          <w:noProof/>
          <w:color w:val="auto"/>
          <w:lang w:eastAsia="en-AU"/>
        </w:rPr>
        <w:t xml:space="preserve"> </w:t>
      </w:r>
      <w:hyperlink r:id="rId23" w:history="1">
        <w:r w:rsidR="00007873" w:rsidRPr="00D55D14">
          <w:rPr>
            <w:rStyle w:val="Hyperlink"/>
            <w:noProof/>
            <w:lang w:eastAsia="en-AU"/>
          </w:rPr>
          <w:t>https://www.apsc.gov.au/apsbargaining</w:t>
        </w:r>
      </w:hyperlink>
      <w:r w:rsidR="001D2DCA">
        <w:rPr>
          <w:noProof/>
          <w:color w:val="auto"/>
          <w:lang w:eastAsia="en-AU"/>
        </w:rPr>
        <w:t>, last updated 22 August 2024</w:t>
      </w:r>
      <w:r w:rsidR="00C14C00">
        <w:rPr>
          <w:noProof/>
          <w:color w:val="auto"/>
          <w:lang w:eastAsia="en-AU"/>
        </w:rPr>
        <w:t>.</w:t>
      </w:r>
      <w:r w:rsidR="00EA6259" w:rsidRPr="001D2DCA">
        <w:rPr>
          <w:noProof/>
          <w:color w:val="auto"/>
          <w:lang w:eastAsia="en-AU"/>
        </w:rPr>
        <w:t xml:space="preserve"> </w:t>
      </w:r>
    </w:p>
    <w:p w14:paraId="6832B113" w14:textId="33B999BD" w:rsidR="00EC25C0" w:rsidRPr="00EC25C0" w:rsidRDefault="00EC25C0" w:rsidP="006F5551">
      <w:pPr>
        <w:pStyle w:val="05Paragraph"/>
        <w:jc w:val="both"/>
        <w:rPr>
          <w:noProof/>
          <w:color w:val="auto"/>
          <w:lang w:eastAsia="en-AU"/>
        </w:rPr>
      </w:pPr>
      <w:r>
        <w:rPr>
          <w:noProof/>
          <w:color w:val="auto"/>
          <w:lang w:eastAsia="en-AU"/>
        </w:rPr>
        <w:t xml:space="preserve">Australian Taxation Office (2025), </w:t>
      </w:r>
      <w:r>
        <w:rPr>
          <w:i/>
          <w:iCs/>
          <w:noProof/>
          <w:color w:val="auto"/>
          <w:lang w:eastAsia="en-AU"/>
        </w:rPr>
        <w:t xml:space="preserve">Super guarantee, </w:t>
      </w:r>
      <w:hyperlink r:id="rId24" w:history="1">
        <w:r w:rsidR="00007873" w:rsidRPr="00007873">
          <w:rPr>
            <w:rStyle w:val="Hyperlink"/>
            <w:noProof/>
            <w:lang w:eastAsia="en-AU"/>
          </w:rPr>
          <w:t>https://www.ato.gov.au/tax-rates-and-codes/key-superannuation-rates-and-thresholds/super-guarantee?page=7</w:t>
        </w:r>
      </w:hyperlink>
      <w:r w:rsidRPr="008F4D4F">
        <w:rPr>
          <w:noProof/>
          <w:color w:val="auto"/>
          <w:lang w:eastAsia="en-AU"/>
        </w:rPr>
        <w:t>,</w:t>
      </w:r>
      <w:r w:rsidRPr="008F4D4F">
        <w:rPr>
          <w:i/>
          <w:iCs/>
          <w:noProof/>
          <w:color w:val="auto"/>
          <w:lang w:eastAsia="en-AU"/>
        </w:rPr>
        <w:t xml:space="preserve"> </w:t>
      </w:r>
      <w:r w:rsidRPr="008F4D4F">
        <w:rPr>
          <w:noProof/>
          <w:color w:val="auto"/>
          <w:lang w:eastAsia="en-AU"/>
        </w:rPr>
        <w:t>last updated 1 April 2025.</w:t>
      </w:r>
    </w:p>
    <w:p w14:paraId="45A7F1FC" w14:textId="4950B9B9" w:rsidR="006806D4" w:rsidRDefault="006806D4" w:rsidP="007D44F4">
      <w:pPr>
        <w:pStyle w:val="05Paragraph"/>
        <w:jc w:val="both"/>
        <w:rPr>
          <w:i/>
          <w:iCs/>
          <w:noProof/>
          <w:color w:val="auto"/>
          <w:lang w:eastAsia="en-AU"/>
        </w:rPr>
      </w:pPr>
      <w:r w:rsidRPr="00534075">
        <w:rPr>
          <w:noProof/>
          <w:color w:val="auto"/>
          <w:lang w:eastAsia="en-AU"/>
        </w:rPr>
        <w:t>DTF (Department of Treasury and Finance) (202</w:t>
      </w:r>
      <w:r>
        <w:rPr>
          <w:noProof/>
          <w:color w:val="auto"/>
          <w:lang w:eastAsia="en-AU"/>
        </w:rPr>
        <w:t>5</w:t>
      </w:r>
      <w:r w:rsidR="003D0AA0">
        <w:rPr>
          <w:noProof/>
          <w:color w:val="auto"/>
          <w:lang w:eastAsia="en-AU"/>
        </w:rPr>
        <w:t>a</w:t>
      </w:r>
      <w:r w:rsidRPr="00534075">
        <w:rPr>
          <w:noProof/>
          <w:color w:val="auto"/>
          <w:lang w:eastAsia="en-AU"/>
        </w:rPr>
        <w:t>)</w:t>
      </w:r>
      <w:r>
        <w:rPr>
          <w:noProof/>
          <w:color w:val="auto"/>
          <w:lang w:eastAsia="en-AU"/>
        </w:rPr>
        <w:t xml:space="preserve">, </w:t>
      </w:r>
      <w:r w:rsidRPr="00A00842">
        <w:rPr>
          <w:i/>
          <w:iCs/>
          <w:noProof/>
          <w:color w:val="auto"/>
          <w:lang w:eastAsia="en-AU"/>
        </w:rPr>
        <w:t>Victorian Budget 2025</w:t>
      </w:r>
      <w:r w:rsidR="009427E7">
        <w:rPr>
          <w:i/>
          <w:iCs/>
          <w:noProof/>
          <w:color w:val="auto"/>
          <w:lang w:eastAsia="en-AU"/>
        </w:rPr>
        <w:t>–</w:t>
      </w:r>
      <w:r w:rsidRPr="00A00842">
        <w:rPr>
          <w:i/>
          <w:iCs/>
          <w:noProof/>
          <w:color w:val="auto"/>
          <w:lang w:eastAsia="en-AU"/>
        </w:rPr>
        <w:t>26</w:t>
      </w:r>
      <w:r w:rsidR="009427E7">
        <w:rPr>
          <w:i/>
          <w:iCs/>
          <w:noProof/>
          <w:color w:val="auto"/>
          <w:lang w:eastAsia="en-AU"/>
        </w:rPr>
        <w:t xml:space="preserve"> </w:t>
      </w:r>
      <w:r w:rsidRPr="00A00842">
        <w:rPr>
          <w:i/>
          <w:iCs/>
          <w:noProof/>
          <w:color w:val="auto"/>
          <w:lang w:eastAsia="en-AU"/>
        </w:rPr>
        <w:t>– Budget Paper No. 2: Strategy and Outlook</w:t>
      </w:r>
      <w:r>
        <w:rPr>
          <w:i/>
          <w:iCs/>
          <w:noProof/>
          <w:color w:val="auto"/>
          <w:lang w:eastAsia="en-AU"/>
        </w:rPr>
        <w:t>.</w:t>
      </w:r>
    </w:p>
    <w:p w14:paraId="35F3C8A3" w14:textId="61EF68D7" w:rsidR="007A56CA" w:rsidRPr="00587931" w:rsidRDefault="007A56CA" w:rsidP="007D44F4">
      <w:pPr>
        <w:pStyle w:val="05Paragraph"/>
        <w:jc w:val="both"/>
        <w:rPr>
          <w:noProof/>
          <w:color w:val="auto"/>
          <w:lang w:eastAsia="en-AU"/>
        </w:rPr>
      </w:pPr>
      <w:r w:rsidRPr="006C6328">
        <w:rPr>
          <w:noProof/>
          <w:color w:val="auto"/>
          <w:lang w:eastAsia="en-AU"/>
        </w:rPr>
        <w:t>———</w:t>
      </w:r>
      <w:r>
        <w:rPr>
          <w:noProof/>
          <w:color w:val="auto"/>
          <w:lang w:eastAsia="en-AU"/>
        </w:rPr>
        <w:t xml:space="preserve"> (2025</w:t>
      </w:r>
      <w:r w:rsidR="003D0AA0">
        <w:rPr>
          <w:noProof/>
          <w:color w:val="auto"/>
          <w:lang w:eastAsia="en-AU"/>
        </w:rPr>
        <w:t>b</w:t>
      </w:r>
      <w:r>
        <w:rPr>
          <w:noProof/>
          <w:color w:val="auto"/>
          <w:lang w:eastAsia="en-AU"/>
        </w:rPr>
        <w:t xml:space="preserve">), </w:t>
      </w:r>
      <w:r>
        <w:rPr>
          <w:i/>
          <w:iCs/>
          <w:noProof/>
          <w:color w:val="auto"/>
          <w:lang w:eastAsia="en-AU"/>
        </w:rPr>
        <w:t>Victorian Budget 2025</w:t>
      </w:r>
      <w:r w:rsidR="009427E7">
        <w:rPr>
          <w:i/>
          <w:iCs/>
          <w:noProof/>
          <w:color w:val="auto"/>
          <w:lang w:eastAsia="en-AU"/>
        </w:rPr>
        <w:t>–</w:t>
      </w:r>
      <w:r>
        <w:rPr>
          <w:i/>
          <w:iCs/>
          <w:noProof/>
          <w:color w:val="auto"/>
          <w:lang w:eastAsia="en-AU"/>
        </w:rPr>
        <w:t>26 Overview</w:t>
      </w:r>
      <w:r w:rsidR="00587931">
        <w:rPr>
          <w:i/>
          <w:iCs/>
          <w:noProof/>
          <w:color w:val="auto"/>
          <w:lang w:eastAsia="en-AU"/>
        </w:rPr>
        <w:t xml:space="preserve">. </w:t>
      </w:r>
    </w:p>
    <w:p w14:paraId="705E5A43" w14:textId="155602BA" w:rsidR="009B0887" w:rsidRPr="009B0887" w:rsidRDefault="00380E4F" w:rsidP="007D44F4">
      <w:pPr>
        <w:pStyle w:val="05Paragraph"/>
        <w:spacing w:before="160"/>
        <w:jc w:val="both"/>
      </w:pPr>
      <w:r>
        <w:t>FWC (</w:t>
      </w:r>
      <w:r w:rsidR="009B0887" w:rsidRPr="009B0887">
        <w:t>Fair Work Commission</w:t>
      </w:r>
      <w:r>
        <w:t>)</w:t>
      </w:r>
      <w:r w:rsidR="009B0887" w:rsidRPr="009B0887">
        <w:t xml:space="preserve"> (202</w:t>
      </w:r>
      <w:r w:rsidR="004C531A">
        <w:t>4</w:t>
      </w:r>
      <w:r w:rsidR="009B0887" w:rsidRPr="009B0887">
        <w:t>),</w:t>
      </w:r>
      <w:r w:rsidR="007E627E">
        <w:t xml:space="preserve"> </w:t>
      </w:r>
      <w:r w:rsidR="007E627E">
        <w:rPr>
          <w:i/>
          <w:iCs/>
        </w:rPr>
        <w:t>Victorian Public Service Enterprise Agreement 2024 (AG2024/2648)</w:t>
      </w:r>
      <w:r w:rsidR="009B0887" w:rsidRPr="009B0887">
        <w:t>.</w:t>
      </w:r>
    </w:p>
    <w:p w14:paraId="172C4337" w14:textId="3CAE81B3" w:rsidR="00DC0410" w:rsidRPr="0092057A" w:rsidRDefault="00DC0410" w:rsidP="007D44F4">
      <w:pPr>
        <w:pStyle w:val="05Paragraph"/>
        <w:spacing w:before="160"/>
        <w:jc w:val="both"/>
      </w:pPr>
      <w:r>
        <w:t>IRV (Industrial Relations Victoria) (202</w:t>
      </w:r>
      <w:r w:rsidR="00D45B66">
        <w:t>3</w:t>
      </w:r>
      <w:r>
        <w:t xml:space="preserve">), </w:t>
      </w:r>
      <w:r>
        <w:rPr>
          <w:i/>
          <w:iCs/>
        </w:rPr>
        <w:t>Wages Policy and the Enterprise Bargaining Framework</w:t>
      </w:r>
      <w:r w:rsidR="0092057A">
        <w:rPr>
          <w:i/>
          <w:iCs/>
        </w:rPr>
        <w:t>,</w:t>
      </w:r>
      <w:r w:rsidR="00FD54BA">
        <w:rPr>
          <w:i/>
          <w:iCs/>
        </w:rPr>
        <w:t xml:space="preserve"> </w:t>
      </w:r>
      <w:hyperlink r:id="rId25" w:history="1">
        <w:r w:rsidR="00FD54BA" w:rsidRPr="00FD54BA">
          <w:rPr>
            <w:rStyle w:val="Hyperlink"/>
          </w:rPr>
          <w:t>https://www.vic.gov.au/wages-policy-and-enterprise-bargaining-framework</w:t>
        </w:r>
      </w:hyperlink>
      <w:r w:rsidR="0092057A" w:rsidRPr="00FD54BA">
        <w:t>,</w:t>
      </w:r>
      <w:r w:rsidR="0092057A">
        <w:t xml:space="preserve"> </w:t>
      </w:r>
      <w:r w:rsidR="0092057A" w:rsidRPr="0080054C">
        <w:t>last updated 13 November 2024.</w:t>
      </w:r>
    </w:p>
    <w:p w14:paraId="6174EB90" w14:textId="5EC5732F" w:rsidR="00AF5EAE" w:rsidRPr="00CA50C2" w:rsidRDefault="00E439D5" w:rsidP="007D44F4">
      <w:pPr>
        <w:pStyle w:val="05Paragraph"/>
        <w:spacing w:before="160"/>
        <w:jc w:val="both"/>
      </w:pPr>
      <w:r>
        <w:t xml:space="preserve">Queensland Public Sector Commission (2023), </w:t>
      </w:r>
      <w:r>
        <w:rPr>
          <w:i/>
          <w:iCs/>
        </w:rPr>
        <w:t>Senior executive service – employment conditions (Directive 09/23),</w:t>
      </w:r>
      <w:r w:rsidR="004B75E9" w:rsidRPr="004B75E9">
        <w:t xml:space="preserve"> </w:t>
      </w:r>
      <w:hyperlink r:id="rId26" w:history="1">
        <w:r w:rsidR="004B75E9" w:rsidRPr="00FD54BA">
          <w:rPr>
            <w:rStyle w:val="Hyperlink"/>
          </w:rPr>
          <w:t>https://www.forgov.qld.gov.au/pay-benefits-and-policy/directives-policies-circulars-and-guidelines/senior-executive-service-employment-conditions-directive-0923</w:t>
        </w:r>
      </w:hyperlink>
      <w:r w:rsidR="00CA50C2">
        <w:rPr>
          <w:i/>
          <w:iCs/>
        </w:rPr>
        <w:t xml:space="preserve">, </w:t>
      </w:r>
      <w:r w:rsidR="00CA50C2">
        <w:t>effective 1 July 2023.</w:t>
      </w:r>
    </w:p>
    <w:p w14:paraId="59082767" w14:textId="7B4A037E" w:rsidR="00FF091C" w:rsidRPr="00187770" w:rsidRDefault="00FF091C" w:rsidP="00007873">
      <w:pPr>
        <w:pStyle w:val="05Paragraph"/>
        <w:spacing w:before="160"/>
        <w:jc w:val="both"/>
        <w:rPr>
          <w:i/>
          <w:iCs/>
        </w:rPr>
      </w:pPr>
      <w:r w:rsidRPr="00FF091C">
        <w:t>RBA (Reserve Bank of Australia) (2025),</w:t>
      </w:r>
      <w:r w:rsidRPr="00187770">
        <w:rPr>
          <w:i/>
          <w:iCs/>
        </w:rPr>
        <w:t xml:space="preserve"> Statement on Monetary Policy – August 2025.</w:t>
      </w:r>
    </w:p>
    <w:p w14:paraId="710882C7" w14:textId="44C4185F" w:rsidR="0092044A" w:rsidRDefault="00982ACA" w:rsidP="0092044A">
      <w:pPr>
        <w:pStyle w:val="05Paragraph"/>
        <w:spacing w:before="160"/>
        <w:jc w:val="both"/>
      </w:pPr>
      <w:r>
        <w:lastRenderedPageBreak/>
        <w:t>Remuneration Tribunal (Cth) (2025</w:t>
      </w:r>
      <w:r w:rsidR="003A523F">
        <w:t xml:space="preserve">), </w:t>
      </w:r>
      <w:r w:rsidR="003A523F">
        <w:rPr>
          <w:i/>
          <w:iCs/>
        </w:rPr>
        <w:t>Explanatory Statement: Remuneration Tribunal (Departmental Secretaries – Classification Structure and Terms and Conditions) Determination 2025</w:t>
      </w:r>
      <w:r w:rsidR="00B23E06">
        <w:t>.</w:t>
      </w:r>
    </w:p>
    <w:p w14:paraId="2863FA63" w14:textId="79618330" w:rsidR="00A70600" w:rsidRPr="00C74C29" w:rsidRDefault="00A70600" w:rsidP="00B23E06">
      <w:pPr>
        <w:pStyle w:val="05Paragraph"/>
        <w:spacing w:before="160"/>
      </w:pPr>
      <w:r>
        <w:t>Statutory and Other Offices Remuneration Trib</w:t>
      </w:r>
      <w:r w:rsidR="00C74C29">
        <w:t xml:space="preserve">unal (NSW) (2025), </w:t>
      </w:r>
      <w:r w:rsidR="00C74C29">
        <w:rPr>
          <w:i/>
          <w:iCs/>
        </w:rPr>
        <w:t>Public Service Senior Executives – Annual</w:t>
      </w:r>
      <w:r w:rsidR="00B23E06">
        <w:rPr>
          <w:i/>
          <w:iCs/>
        </w:rPr>
        <w:t xml:space="preserve"> </w:t>
      </w:r>
      <w:r w:rsidR="00C74C29">
        <w:rPr>
          <w:i/>
          <w:iCs/>
        </w:rPr>
        <w:t>Determination</w:t>
      </w:r>
      <w:r w:rsidR="003019D2">
        <w:t>.</w:t>
      </w:r>
    </w:p>
    <w:p w14:paraId="18DBEB0A" w14:textId="4045E040" w:rsidR="00576081" w:rsidRPr="002A49E5" w:rsidRDefault="00576081" w:rsidP="00BD52DC">
      <w:pPr>
        <w:pStyle w:val="05Paragraph"/>
        <w:spacing w:before="160"/>
      </w:pPr>
      <w:r>
        <w:t>State Government of Victoria (2024</w:t>
      </w:r>
      <w:r w:rsidR="007E517B">
        <w:rPr>
          <w:noProof/>
          <w:color w:val="auto"/>
          <w:lang w:eastAsia="en-AU"/>
        </w:rPr>
        <w:t xml:space="preserve">), </w:t>
      </w:r>
      <w:r w:rsidR="007E517B">
        <w:rPr>
          <w:i/>
          <w:iCs/>
          <w:noProof/>
          <w:color w:val="auto"/>
          <w:lang w:eastAsia="en-AU"/>
        </w:rPr>
        <w:t>Executive and senior office holders annual remuneration changes,</w:t>
      </w:r>
      <w:r w:rsidR="007E517B" w:rsidRPr="00FE1039">
        <w:t xml:space="preserve"> </w:t>
      </w:r>
      <w:hyperlink r:id="rId27" w:history="1">
        <w:r w:rsidR="007E517B" w:rsidRPr="00FD54BA">
          <w:rPr>
            <w:rStyle w:val="Hyperlink"/>
            <w:noProof/>
            <w:lang w:eastAsia="en-AU"/>
          </w:rPr>
          <w:t>https://www.vic.gov.au/executive-and-senior-office-holders-annual-remuneration-changes</w:t>
        </w:r>
      </w:hyperlink>
      <w:r w:rsidR="007E517B" w:rsidRPr="00FD54BA">
        <w:rPr>
          <w:noProof/>
          <w:color w:val="auto"/>
          <w:lang w:eastAsia="en-AU"/>
        </w:rPr>
        <w:t xml:space="preserve">, </w:t>
      </w:r>
      <w:r w:rsidR="007E517B">
        <w:rPr>
          <w:noProof/>
          <w:color w:val="auto"/>
          <w:lang w:eastAsia="en-AU"/>
        </w:rPr>
        <w:t>last updated 20 December 2024.</w:t>
      </w:r>
    </w:p>
    <w:p w14:paraId="562CF409" w14:textId="7D330A10" w:rsidR="00073E64" w:rsidRPr="00073E64" w:rsidRDefault="00073E64" w:rsidP="00BD52DC">
      <w:pPr>
        <w:pStyle w:val="05Paragraph"/>
        <w:spacing w:before="160"/>
        <w:rPr>
          <w:i/>
          <w:iCs/>
          <w:noProof/>
          <w:color w:val="auto"/>
          <w:lang w:eastAsia="en-AU"/>
        </w:rPr>
      </w:pPr>
      <w:r>
        <w:t xml:space="preserve">Victorian Independent Remuneration Tribunal </w:t>
      </w:r>
      <w:r w:rsidRPr="004733EC">
        <w:t>(2024)</w:t>
      </w:r>
      <w:r>
        <w:t xml:space="preserve">, </w:t>
      </w:r>
      <w:r>
        <w:rPr>
          <w:i/>
          <w:iCs/>
        </w:rPr>
        <w:t xml:space="preserve">Remuneration bands for executives employed in public service bodies (Victoria) Determination No. 01/2024. </w:t>
      </w:r>
    </w:p>
    <w:p w14:paraId="753F46A6" w14:textId="57E0BE7F" w:rsidR="00C83038" w:rsidRDefault="00D86894" w:rsidP="007D44F4">
      <w:pPr>
        <w:pStyle w:val="05Paragraph"/>
        <w:spacing w:before="160"/>
        <w:jc w:val="both"/>
      </w:pPr>
      <w:r>
        <w:t>VPSC (</w:t>
      </w:r>
      <w:r w:rsidR="00C83038">
        <w:t>Victorian Public Sector Commission</w:t>
      </w:r>
      <w:r>
        <w:t>)</w:t>
      </w:r>
      <w:r w:rsidR="00C83038">
        <w:t xml:space="preserve">  </w:t>
      </w:r>
      <w:r w:rsidR="00C83038" w:rsidRPr="00661E75">
        <w:t>(2022)</w:t>
      </w:r>
      <w:r w:rsidR="00661E75" w:rsidRPr="00661E75">
        <w:t>,</w:t>
      </w:r>
      <w:r w:rsidR="00C83038">
        <w:t xml:space="preserve"> </w:t>
      </w:r>
      <w:r w:rsidR="00661E75" w:rsidRPr="00661E75">
        <w:rPr>
          <w:i/>
          <w:iCs/>
        </w:rPr>
        <w:t>VPS</w:t>
      </w:r>
      <w:r w:rsidR="00C83038" w:rsidRPr="008D47F0">
        <w:rPr>
          <w:i/>
          <w:iCs/>
        </w:rPr>
        <w:t xml:space="preserve"> Executive Employment Handbook</w:t>
      </w:r>
      <w:r w:rsidR="00C83038">
        <w:t xml:space="preserve">, </w:t>
      </w:r>
      <w:hyperlink r:id="rId28" w:history="1">
        <w:r w:rsidR="00C83038" w:rsidRPr="006C7AB4">
          <w:rPr>
            <w:rStyle w:val="Hyperlink"/>
          </w:rPr>
          <w:t>https://vpsc.vic.gov.au/executive-employment/victorian-public-service-executive-employment/victorian-public-service-executive-employment-handbook/</w:t>
        </w:r>
      </w:hyperlink>
      <w:r w:rsidR="00C83038" w:rsidRPr="0080054C">
        <w:t xml:space="preserve">, last updated </w:t>
      </w:r>
      <w:r w:rsidR="00661E75" w:rsidRPr="0080054C">
        <w:t>29 Jul</w:t>
      </w:r>
      <w:r w:rsidR="00E968B9" w:rsidRPr="0080054C">
        <w:t>y</w:t>
      </w:r>
      <w:r w:rsidR="00661E75" w:rsidRPr="0080054C">
        <w:t xml:space="preserve"> 2024</w:t>
      </w:r>
      <w:r w:rsidR="00C83038" w:rsidRPr="0080054C">
        <w:t>.</w:t>
      </w:r>
    </w:p>
    <w:p w14:paraId="2D2A0C98" w14:textId="56D5766C" w:rsidR="000B5F2B" w:rsidRDefault="000B5F2B" w:rsidP="007D44F4">
      <w:pPr>
        <w:pStyle w:val="05Paragraph"/>
        <w:rPr>
          <w:noProof/>
          <w:color w:val="auto"/>
          <w:lang w:eastAsia="en-AU"/>
        </w:rPr>
      </w:pPr>
      <w:r>
        <w:rPr>
          <w:noProof/>
          <w:color w:val="auto"/>
          <w:lang w:eastAsia="en-AU"/>
        </w:rPr>
        <w:br w:type="page"/>
      </w:r>
    </w:p>
    <w:p w14:paraId="4131EA53" w14:textId="1B07B4F6" w:rsidR="005E0471" w:rsidRPr="000D25A6" w:rsidRDefault="005E0471" w:rsidP="003A5D8F">
      <w:pPr>
        <w:spacing w:before="180" w:line="276" w:lineRule="auto"/>
        <w:jc w:val="both"/>
        <w:rPr>
          <w:rFonts w:cs="Calibri Light"/>
        </w:rPr>
      </w:pPr>
    </w:p>
    <w:p w14:paraId="32F75A74" w14:textId="77777777" w:rsidR="005E0471" w:rsidRPr="000D25A6" w:rsidRDefault="005E0471" w:rsidP="003A5D8F">
      <w:pPr>
        <w:spacing w:before="180" w:line="276" w:lineRule="auto"/>
        <w:jc w:val="both"/>
        <w:rPr>
          <w:rFonts w:cs="Calibri Light"/>
        </w:rPr>
      </w:pPr>
      <w:bookmarkStart w:id="43" w:name="_Hlk96348976"/>
      <w:bookmarkStart w:id="44" w:name="_Hlk96349639"/>
    </w:p>
    <w:p w14:paraId="5655E7FC" w14:textId="77777777" w:rsidR="005E0471" w:rsidRPr="000D25A6" w:rsidRDefault="005E0471" w:rsidP="003A5D8F">
      <w:pPr>
        <w:spacing w:before="180" w:line="276" w:lineRule="auto"/>
        <w:jc w:val="both"/>
        <w:rPr>
          <w:rFonts w:cs="Calibri Light"/>
        </w:rPr>
      </w:pPr>
    </w:p>
    <w:p w14:paraId="38B19234" w14:textId="77777777" w:rsidR="005E0471" w:rsidRPr="000D25A6" w:rsidRDefault="005E0471" w:rsidP="003A5D8F">
      <w:pPr>
        <w:spacing w:before="180" w:line="276" w:lineRule="auto"/>
        <w:jc w:val="both"/>
        <w:rPr>
          <w:rFonts w:cs="Calibri Light"/>
        </w:rPr>
      </w:pPr>
    </w:p>
    <w:p w14:paraId="0F429EB3" w14:textId="77777777" w:rsidR="005E0471" w:rsidRPr="000D25A6" w:rsidRDefault="005E0471" w:rsidP="003A5D8F">
      <w:pPr>
        <w:spacing w:before="180" w:line="276" w:lineRule="auto"/>
        <w:jc w:val="both"/>
        <w:rPr>
          <w:rFonts w:cs="Calibri Light"/>
        </w:rPr>
      </w:pPr>
    </w:p>
    <w:p w14:paraId="09CEE949" w14:textId="77777777" w:rsidR="005E0471" w:rsidRPr="000D25A6" w:rsidRDefault="005E0471" w:rsidP="003A5D8F">
      <w:pPr>
        <w:spacing w:before="180" w:line="276" w:lineRule="auto"/>
        <w:jc w:val="both"/>
        <w:rPr>
          <w:rFonts w:cs="Calibri Light"/>
        </w:rPr>
      </w:pPr>
    </w:p>
    <w:p w14:paraId="61D84818" w14:textId="4C0F1C43" w:rsidR="005E0471" w:rsidRPr="000D25A6" w:rsidRDefault="001E2945" w:rsidP="004C21F9">
      <w:pPr>
        <w:ind w:left="-426" w:right="701"/>
        <w:outlineLvl w:val="0"/>
        <w:rPr>
          <w:rFonts w:asciiTheme="majorHAnsi" w:hAnsiTheme="majorHAnsi" w:cs="@MS PMincho"/>
          <w:sz w:val="64"/>
          <w:szCs w:val="68"/>
        </w:rPr>
      </w:pPr>
      <w:bookmarkStart w:id="45" w:name="_Hlk97559626"/>
      <w:bookmarkStart w:id="46" w:name="_Toc171436617"/>
      <w:r w:rsidRPr="000D25A6">
        <w:rPr>
          <w:rFonts w:asciiTheme="majorHAnsi" w:hAnsiTheme="majorHAnsi" w:cs="@MS PMincho"/>
          <w:sz w:val="64"/>
          <w:szCs w:val="68"/>
        </w:rPr>
        <w:t>Remuneration bands for executives employed in public service bodies (Victoria) Annual Adjustment Determination 2025</w:t>
      </w:r>
      <w:r w:rsidR="00D8626E" w:rsidRPr="000D25A6">
        <w:rPr>
          <w:rFonts w:asciiTheme="majorHAnsi" w:hAnsiTheme="majorHAnsi" w:cs="@MS PMincho"/>
          <w:sz w:val="64"/>
          <w:szCs w:val="68"/>
        </w:rPr>
        <w:t xml:space="preserve"> </w:t>
      </w:r>
      <w:bookmarkEnd w:id="45"/>
      <w:bookmarkEnd w:id="46"/>
    </w:p>
    <w:p w14:paraId="4152B1DC" w14:textId="77777777" w:rsidR="005E0471" w:rsidRPr="000D25A6" w:rsidRDefault="005E0471" w:rsidP="004C21F9"/>
    <w:p w14:paraId="1C7E2967" w14:textId="77777777" w:rsidR="005E0471" w:rsidRPr="000D25A6" w:rsidRDefault="005E0471" w:rsidP="004C21F9"/>
    <w:p w14:paraId="2F071E26" w14:textId="77777777" w:rsidR="005E0471" w:rsidRPr="000D25A6" w:rsidRDefault="005E0471" w:rsidP="004C21F9">
      <w:pPr>
        <w:tabs>
          <w:tab w:val="right" w:pos="8498"/>
        </w:tabs>
        <w:spacing w:after="80"/>
        <w:rPr>
          <w:b/>
          <w:bCs/>
        </w:rPr>
      </w:pPr>
      <w:r w:rsidRPr="000D25A6">
        <w:rPr>
          <w:b/>
          <w:bCs/>
        </w:rPr>
        <w:br w:type="page"/>
      </w:r>
    </w:p>
    <w:p w14:paraId="3F1C6774" w14:textId="77777777" w:rsidR="005E0471" w:rsidRDefault="005E0471" w:rsidP="003A5D8F">
      <w:pPr>
        <w:spacing w:after="80"/>
        <w:rPr>
          <w:b/>
          <w:bCs/>
        </w:rPr>
      </w:pPr>
      <w:r>
        <w:rPr>
          <w:noProof/>
        </w:rPr>
        <w:lastRenderedPageBreak/>
        <w:drawing>
          <wp:anchor distT="0" distB="0" distL="114300" distR="114300" simplePos="0" relativeHeight="251658241" behindDoc="0" locked="0" layoutInCell="1" allowOverlap="0" wp14:anchorId="75CCE092" wp14:editId="4FD0278A">
            <wp:simplePos x="0" y="0"/>
            <wp:positionH relativeFrom="page">
              <wp:posOffset>5537200</wp:posOffset>
            </wp:positionH>
            <wp:positionV relativeFrom="page">
              <wp:posOffset>1159510</wp:posOffset>
            </wp:positionV>
            <wp:extent cx="1540800" cy="9507600"/>
            <wp:effectExtent l="0" t="0" r="2540" b="0"/>
            <wp:wrapSquare wrapText="bothSides"/>
            <wp:docPr id="516" name="Picture 5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16" name="Picture 516">
                      <a:extLst>
                        <a:ext uri="{C183D7F6-B498-43B3-948B-1728B52AA6E4}">
                          <adec:decorative xmlns:adec="http://schemas.microsoft.com/office/drawing/2017/decorative" val="1"/>
                        </a:ext>
                      </a:extLst>
                    </pic:cNvPr>
                    <pic:cNvPicPr/>
                  </pic:nvPicPr>
                  <pic:blipFill>
                    <a:blip r:embed="rId29"/>
                    <a:stretch>
                      <a:fillRect/>
                    </a:stretch>
                  </pic:blipFill>
                  <pic:spPr>
                    <a:xfrm>
                      <a:off x="0" y="0"/>
                      <a:ext cx="1540800" cy="9507600"/>
                    </a:xfrm>
                    <a:prstGeom prst="rect">
                      <a:avLst/>
                    </a:prstGeom>
                  </pic:spPr>
                </pic:pic>
              </a:graphicData>
            </a:graphic>
            <wp14:sizeRelH relativeFrom="margin">
              <wp14:pctWidth>0</wp14:pctWidth>
            </wp14:sizeRelH>
            <wp14:sizeRelV relativeFrom="margin">
              <wp14:pctHeight>0</wp14:pctHeight>
            </wp14:sizeRelV>
          </wp:anchor>
        </w:drawing>
      </w:r>
    </w:p>
    <w:p w14:paraId="3FB9AA34" w14:textId="77777777" w:rsidR="005E0471" w:rsidRDefault="005E0471" w:rsidP="003A5D8F">
      <w:pPr>
        <w:spacing w:after="80"/>
        <w:rPr>
          <w:b/>
          <w:bCs/>
        </w:rPr>
        <w:sectPr w:rsidR="005E0471" w:rsidSect="00DB7769">
          <w:headerReference w:type="even" r:id="rId30"/>
          <w:footerReference w:type="even" r:id="rId31"/>
          <w:headerReference w:type="first" r:id="rId32"/>
          <w:footerReference w:type="first" r:id="rId33"/>
          <w:pgSz w:w="11906" w:h="16838"/>
          <w:pgMar w:top="1701" w:right="1701" w:bottom="1134" w:left="1701" w:header="425" w:footer="709" w:gutter="0"/>
          <w:cols w:space="282"/>
          <w:docGrid w:linePitch="360"/>
        </w:sectPr>
      </w:pPr>
    </w:p>
    <w:tbl>
      <w:tblPr>
        <w:tblW w:w="0" w:type="auto"/>
        <w:tblLook w:val="04A0" w:firstRow="1" w:lastRow="0" w:firstColumn="1" w:lastColumn="0" w:noHBand="0" w:noVBand="1"/>
      </w:tblPr>
      <w:tblGrid>
        <w:gridCol w:w="4302"/>
        <w:gridCol w:w="4196"/>
      </w:tblGrid>
      <w:tr w:rsidR="00FC143C" w:rsidRPr="006E545C" w14:paraId="11F40F39" w14:textId="77777777" w:rsidTr="00417F9D">
        <w:tc>
          <w:tcPr>
            <w:tcW w:w="4302" w:type="dxa"/>
          </w:tcPr>
          <w:p w14:paraId="50C3574B" w14:textId="77777777" w:rsidR="005E0471" w:rsidRDefault="005E0471" w:rsidP="003A5D8F">
            <w:pPr>
              <w:pStyle w:val="03VIRTHeading3"/>
            </w:pPr>
            <w:bookmarkStart w:id="47" w:name="_Toc171436618"/>
            <w:bookmarkEnd w:id="43"/>
            <w:r w:rsidRPr="00B62251">
              <w:lastRenderedPageBreak/>
              <w:t>DETERMINATION</w:t>
            </w:r>
            <w:bookmarkEnd w:id="47"/>
          </w:p>
        </w:tc>
        <w:tc>
          <w:tcPr>
            <w:tcW w:w="4196" w:type="dxa"/>
          </w:tcPr>
          <w:p w14:paraId="70F8C03E" w14:textId="1929C451" w:rsidR="005E0471" w:rsidRPr="006E545C" w:rsidRDefault="005E0471" w:rsidP="003A5D8F">
            <w:pPr>
              <w:pStyle w:val="Instrumenttableofcontents"/>
              <w:jc w:val="right"/>
              <w:rPr>
                <w:color w:val="auto"/>
              </w:rPr>
            </w:pPr>
            <w:r w:rsidRPr="006E545C">
              <w:rPr>
                <w:color w:val="auto"/>
              </w:rPr>
              <w:t>[</w:t>
            </w:r>
            <w:r w:rsidR="001E2945">
              <w:rPr>
                <w:color w:val="auto"/>
              </w:rPr>
              <w:t>2025</w:t>
            </w:r>
            <w:r w:rsidRPr="006E545C">
              <w:rPr>
                <w:color w:val="auto"/>
              </w:rPr>
              <w:t xml:space="preserve">] </w:t>
            </w:r>
            <w:r w:rsidR="00B52667">
              <w:rPr>
                <w:color w:val="auto"/>
              </w:rPr>
              <w:t>DVPSA</w:t>
            </w:r>
            <w:r w:rsidRPr="006E545C">
              <w:rPr>
                <w:color w:val="auto"/>
              </w:rPr>
              <w:t xml:space="preserve"> </w:t>
            </w:r>
            <w:r w:rsidR="00B52667">
              <w:rPr>
                <w:color w:val="auto"/>
              </w:rPr>
              <w:t>01</w:t>
            </w:r>
          </w:p>
        </w:tc>
      </w:tr>
    </w:tbl>
    <w:p w14:paraId="5AF8CB8E" w14:textId="77777777" w:rsidR="005E0471" w:rsidRDefault="005E0471" w:rsidP="003A5D8F">
      <w:pPr>
        <w:pStyle w:val="Instrumenttableofcontents"/>
      </w:pPr>
      <w:r w:rsidRPr="00417650">
        <w:rPr>
          <w:i/>
          <w:iCs/>
        </w:rPr>
        <w:t>Victorian Independent Remuneration Tribunal and Improving Parliamentary Standards Act 2019</w:t>
      </w:r>
      <w:r>
        <w:t xml:space="preserve"> (Vic)</w:t>
      </w:r>
    </w:p>
    <w:p w14:paraId="15A5FC3A" w14:textId="7D324631" w:rsidR="005E0471" w:rsidRDefault="005E0471" w:rsidP="003A5D8F">
      <w:pPr>
        <w:pStyle w:val="Instrumenttableofcontents"/>
      </w:pPr>
      <w:r>
        <w:t>Part 3</w:t>
      </w:r>
      <w:r w:rsidR="001E2945">
        <w:t>—</w:t>
      </w:r>
      <w:r w:rsidR="00472CD3">
        <w:t>Determinations for annual adjustments in relation to executives employed in public service bodies</w:t>
      </w:r>
      <w:r>
        <w:t>.</w:t>
      </w:r>
    </w:p>
    <w:p w14:paraId="1BC9F74B" w14:textId="1C5E3FEE" w:rsidR="005E0471" w:rsidRPr="00982C10" w:rsidRDefault="00472CD3" w:rsidP="00982C10">
      <w:pPr>
        <w:pStyle w:val="01Chapterheading"/>
        <w:rPr>
          <w:sz w:val="44"/>
          <w:szCs w:val="20"/>
        </w:rPr>
      </w:pPr>
      <w:bookmarkStart w:id="48" w:name="_Toc209438898"/>
      <w:r w:rsidRPr="00982C10">
        <w:rPr>
          <w:sz w:val="44"/>
          <w:szCs w:val="20"/>
        </w:rPr>
        <w:t>Remuneration bands for executives employed in public service bodies (Victoria) Annual Adjustment 2025</w:t>
      </w:r>
      <w:bookmarkEnd w:id="48"/>
    </w:p>
    <w:p w14:paraId="2E20B0E5" w14:textId="77777777" w:rsidR="005E0471" w:rsidRDefault="005E0471" w:rsidP="003A5D8F">
      <w:pPr>
        <w:pStyle w:val="03VIRTHeading3"/>
      </w:pPr>
      <w:bookmarkStart w:id="49" w:name="_Toc171436620"/>
      <w:r>
        <w:rPr>
          <w:noProof/>
        </w:rPr>
        <w:drawing>
          <wp:inline distT="0" distB="0" distL="0" distR="0" wp14:anchorId="7F89C58D" wp14:editId="636CAC0E">
            <wp:extent cx="2218055" cy="254635"/>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218055" cy="254635"/>
                    </a:xfrm>
                    <a:prstGeom prst="rect">
                      <a:avLst/>
                    </a:prstGeom>
                  </pic:spPr>
                </pic:pic>
              </a:graphicData>
            </a:graphic>
          </wp:inline>
        </w:drawing>
      </w:r>
      <w:bookmarkEnd w:id="49"/>
    </w:p>
    <w:p w14:paraId="372F00F5" w14:textId="6F846712" w:rsidR="00F63E15" w:rsidRPr="00472CD3" w:rsidRDefault="000A2D66" w:rsidP="00472CD3">
      <w:pPr>
        <w:pStyle w:val="14Annualadjustmentinstrumentclause"/>
      </w:pPr>
      <w:r w:rsidRPr="00472CD3">
        <w:t xml:space="preserve">Pursuant to section </w:t>
      </w:r>
      <w:r w:rsidR="00472CD3" w:rsidRPr="00472CD3">
        <w:t>22(1)</w:t>
      </w:r>
      <w:r w:rsidRPr="00472CD3">
        <w:t xml:space="preserve"> of the </w:t>
      </w:r>
      <w:r w:rsidRPr="00EC2539">
        <w:rPr>
          <w:i/>
          <w:iCs/>
        </w:rPr>
        <w:t>Victorian Independent Remuneration Tribunal and Improving Parliament</w:t>
      </w:r>
      <w:r w:rsidR="00D77CFD">
        <w:rPr>
          <w:i/>
          <w:iCs/>
        </w:rPr>
        <w:t>ary</w:t>
      </w:r>
      <w:r w:rsidRPr="00EC2539">
        <w:rPr>
          <w:i/>
          <w:iCs/>
        </w:rPr>
        <w:t xml:space="preserve"> Standards Act 2019</w:t>
      </w:r>
      <w:r w:rsidRPr="00472CD3">
        <w:t xml:space="preserve"> (Vic) (VIRTIPS Act), the Tribunal determines to make the following adjustments to the</w:t>
      </w:r>
      <w:r w:rsidR="00472CD3" w:rsidRPr="00472CD3">
        <w:t xml:space="preserve"> values of the remuneration bands set in the </w:t>
      </w:r>
      <w:r w:rsidR="00472CD3" w:rsidRPr="00864C08">
        <w:rPr>
          <w:i/>
          <w:iCs/>
        </w:rPr>
        <w:t>Remuneration bands for executives employed in public service bodies (Victoria) Determination No. 01/2024</w:t>
      </w:r>
      <w:r w:rsidRPr="00472CD3">
        <w:t>.</w:t>
      </w:r>
    </w:p>
    <w:p w14:paraId="6311FC31" w14:textId="3DEBAC05" w:rsidR="00D755BD" w:rsidRDefault="000C24B9" w:rsidP="000C24B9">
      <w:pPr>
        <w:pStyle w:val="14Annualadjustmentinstrumentclause"/>
        <w:numPr>
          <w:ilvl w:val="1"/>
          <w:numId w:val="31"/>
        </w:numPr>
        <w:ind w:left="940"/>
      </w:pPr>
      <w:r>
        <w:t>Delete Table 1 and replace it with the following:</w:t>
      </w:r>
    </w:p>
    <w:p w14:paraId="54B9B410" w14:textId="01EEE3EE" w:rsidR="00916685" w:rsidRPr="00626EB0" w:rsidRDefault="00916685" w:rsidP="00626EB0">
      <w:pPr>
        <w:pStyle w:val="08Figuretableboxheading"/>
      </w:pPr>
      <w:r w:rsidRPr="00626EB0">
        <w:t>Table 1: Values of remuneration bands for the Senior Executive Service</w:t>
      </w:r>
      <w:r w:rsidR="009E5E8F" w:rsidRPr="00626EB0">
        <w:t xml:space="preserve"> from 1 July 2025</w:t>
      </w:r>
    </w:p>
    <w:tbl>
      <w:tblPr>
        <w:tblStyle w:val="VIRTDeterminationTableStyle"/>
        <w:tblW w:w="5000" w:type="pct"/>
        <w:tblInd w:w="0" w:type="dxa"/>
        <w:tblLook w:val="04A0" w:firstRow="1" w:lastRow="0" w:firstColumn="1" w:lastColumn="0" w:noHBand="0" w:noVBand="1"/>
      </w:tblPr>
      <w:tblGrid>
        <w:gridCol w:w="2859"/>
        <w:gridCol w:w="2379"/>
        <w:gridCol w:w="3270"/>
      </w:tblGrid>
      <w:tr w:rsidR="00E160C2" w14:paraId="188DDFEE" w14:textId="77777777" w:rsidTr="007511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80" w:type="pct"/>
            <w:hideMark/>
          </w:tcPr>
          <w:p w14:paraId="733DA18D" w14:textId="77777777" w:rsidR="00916685" w:rsidRPr="008C4CBC" w:rsidRDefault="00916685">
            <w:pPr>
              <w:spacing w:after="0"/>
              <w:rPr>
                <w:rFonts w:cstheme="minorBidi"/>
              </w:rPr>
            </w:pPr>
            <w:r w:rsidRPr="008C4CBC">
              <w:rPr>
                <w:rFonts w:cstheme="minorBidi"/>
              </w:rPr>
              <w:t>Classification</w:t>
            </w:r>
          </w:p>
        </w:tc>
        <w:tc>
          <w:tcPr>
            <w:tcW w:w="1398" w:type="pct"/>
            <w:hideMark/>
          </w:tcPr>
          <w:p w14:paraId="1E6B92F7" w14:textId="77777777" w:rsidR="00916685" w:rsidRPr="008C4CBC" w:rsidRDefault="00916685">
            <w:pPr>
              <w:spacing w:after="0"/>
              <w:jc w:val="right"/>
              <w:cnfStyle w:val="100000000000" w:firstRow="1" w:lastRow="0" w:firstColumn="0" w:lastColumn="0" w:oddVBand="0" w:evenVBand="0" w:oddHBand="0" w:evenHBand="0" w:firstRowFirstColumn="0" w:firstRowLastColumn="0" w:lastRowFirstColumn="0" w:lastRowLastColumn="0"/>
              <w:rPr>
                <w:rFonts w:cstheme="minorBidi"/>
              </w:rPr>
            </w:pPr>
            <w:r w:rsidRPr="008C4CBC">
              <w:rPr>
                <w:rFonts w:cstheme="minorBidi"/>
              </w:rPr>
              <w:t>Base of band TRP</w:t>
            </w:r>
            <w:r w:rsidRPr="008C4CBC">
              <w:rPr>
                <w:rFonts w:cstheme="minorBidi"/>
              </w:rPr>
              <w:br/>
              <w:t>$ per annum</w:t>
            </w:r>
          </w:p>
        </w:tc>
        <w:tc>
          <w:tcPr>
            <w:tcW w:w="1923" w:type="pct"/>
            <w:hideMark/>
          </w:tcPr>
          <w:p w14:paraId="1FF1C135" w14:textId="77777777" w:rsidR="00916685" w:rsidRPr="008C4CBC" w:rsidRDefault="00916685">
            <w:pPr>
              <w:spacing w:after="0"/>
              <w:jc w:val="right"/>
              <w:cnfStyle w:val="100000000000" w:firstRow="1" w:lastRow="0" w:firstColumn="0" w:lastColumn="0" w:oddVBand="0" w:evenVBand="0" w:oddHBand="0" w:evenHBand="0" w:firstRowFirstColumn="0" w:firstRowLastColumn="0" w:lastRowFirstColumn="0" w:lastRowLastColumn="0"/>
              <w:rPr>
                <w:rFonts w:cstheme="minorBidi"/>
              </w:rPr>
            </w:pPr>
            <w:r w:rsidRPr="008C4CBC">
              <w:rPr>
                <w:rFonts w:cstheme="minorBidi"/>
              </w:rPr>
              <w:t>Top of band TRP</w:t>
            </w:r>
            <w:r w:rsidRPr="008C4CBC">
              <w:rPr>
                <w:rFonts w:cstheme="minorBidi"/>
              </w:rPr>
              <w:br/>
              <w:t>$ per annum</w:t>
            </w:r>
          </w:p>
        </w:tc>
      </w:tr>
      <w:tr w:rsidR="00916685" w14:paraId="4114BF12" w14:textId="77777777" w:rsidTr="00751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pct"/>
            <w:hideMark/>
          </w:tcPr>
          <w:p w14:paraId="15D4607D" w14:textId="77777777" w:rsidR="00916685" w:rsidRPr="00205FE3" w:rsidRDefault="00916685">
            <w:pPr>
              <w:pStyle w:val="10Tabletext"/>
              <w:rPr>
                <w:rFonts w:cs="Calibri Light"/>
                <w:bCs w:val="0"/>
                <w:color w:val="FFFFFF" w:themeColor="background1"/>
              </w:rPr>
            </w:pPr>
            <w:r w:rsidRPr="00205FE3">
              <w:rPr>
                <w:bCs w:val="0"/>
                <w:color w:val="auto"/>
              </w:rPr>
              <w:t>Senior Executive Service-1</w:t>
            </w:r>
          </w:p>
        </w:tc>
        <w:tc>
          <w:tcPr>
            <w:tcW w:w="1398" w:type="pct"/>
            <w:hideMark/>
          </w:tcPr>
          <w:p w14:paraId="0F8669A3" w14:textId="0041289A" w:rsidR="00916685" w:rsidRDefault="00134436">
            <w:pPr>
              <w:pStyle w:val="10Tabletext"/>
              <w:jc w:val="right"/>
              <w:cnfStyle w:val="000000100000" w:firstRow="0" w:lastRow="0" w:firstColumn="0" w:lastColumn="0" w:oddVBand="0" w:evenVBand="0" w:oddHBand="1" w:evenHBand="0" w:firstRowFirstColumn="0" w:firstRowLastColumn="0" w:lastRowFirstColumn="0" w:lastRowLastColumn="0"/>
            </w:pPr>
            <w:r>
              <w:t>232,</w:t>
            </w:r>
            <w:r w:rsidR="0062632A">
              <w:t>790</w:t>
            </w:r>
          </w:p>
        </w:tc>
        <w:tc>
          <w:tcPr>
            <w:tcW w:w="1923" w:type="pct"/>
            <w:hideMark/>
          </w:tcPr>
          <w:p w14:paraId="328F5DF8" w14:textId="73E62254" w:rsidR="00916685" w:rsidRDefault="00134436">
            <w:pPr>
              <w:pStyle w:val="10Tabletext"/>
              <w:jc w:val="right"/>
              <w:cnfStyle w:val="000000100000" w:firstRow="0" w:lastRow="0" w:firstColumn="0" w:lastColumn="0" w:oddVBand="0" w:evenVBand="0" w:oddHBand="1" w:evenHBand="0" w:firstRowFirstColumn="0" w:firstRowLastColumn="0" w:lastRowFirstColumn="0" w:lastRowLastColumn="0"/>
            </w:pPr>
            <w:r>
              <w:t>298,488</w:t>
            </w:r>
          </w:p>
        </w:tc>
      </w:tr>
      <w:tr w:rsidR="00E176C4" w14:paraId="53E8238E" w14:textId="77777777" w:rsidTr="007511D9">
        <w:tc>
          <w:tcPr>
            <w:cnfStyle w:val="001000000000" w:firstRow="0" w:lastRow="0" w:firstColumn="1" w:lastColumn="0" w:oddVBand="0" w:evenVBand="0" w:oddHBand="0" w:evenHBand="0" w:firstRowFirstColumn="0" w:firstRowLastColumn="0" w:lastRowFirstColumn="0" w:lastRowLastColumn="0"/>
            <w:tcW w:w="1680" w:type="pct"/>
            <w:hideMark/>
          </w:tcPr>
          <w:p w14:paraId="53F2F66C" w14:textId="77777777" w:rsidR="00916685" w:rsidRPr="00205FE3" w:rsidRDefault="00916685">
            <w:pPr>
              <w:pStyle w:val="10Tabletext"/>
              <w:rPr>
                <w:bCs w:val="0"/>
              </w:rPr>
            </w:pPr>
            <w:r w:rsidRPr="00205FE3">
              <w:rPr>
                <w:bCs w:val="0"/>
                <w:color w:val="auto"/>
              </w:rPr>
              <w:t>Senior Executive Service-2</w:t>
            </w:r>
          </w:p>
        </w:tc>
        <w:tc>
          <w:tcPr>
            <w:tcW w:w="1398" w:type="pct"/>
            <w:hideMark/>
          </w:tcPr>
          <w:p w14:paraId="2AE461C1" w14:textId="307E2419" w:rsidR="00916685" w:rsidRDefault="00134436">
            <w:pPr>
              <w:pStyle w:val="10Tabletext"/>
              <w:jc w:val="right"/>
              <w:cnfStyle w:val="000000000000" w:firstRow="0" w:lastRow="0" w:firstColumn="0" w:lastColumn="0" w:oddVBand="0" w:evenVBand="0" w:oddHBand="0" w:evenHBand="0" w:firstRowFirstColumn="0" w:firstRowLastColumn="0" w:lastRowFirstColumn="0" w:lastRowLastColumn="0"/>
            </w:pPr>
            <w:r>
              <w:t>298,489</w:t>
            </w:r>
          </w:p>
        </w:tc>
        <w:tc>
          <w:tcPr>
            <w:tcW w:w="1923" w:type="pct"/>
            <w:hideMark/>
          </w:tcPr>
          <w:p w14:paraId="1686FEC2" w14:textId="5CF9ABFB" w:rsidR="00916685" w:rsidRDefault="00E9362B">
            <w:pPr>
              <w:pStyle w:val="10Tabletext"/>
              <w:jc w:val="right"/>
              <w:cnfStyle w:val="000000000000" w:firstRow="0" w:lastRow="0" w:firstColumn="0" w:lastColumn="0" w:oddVBand="0" w:evenVBand="0" w:oddHBand="0" w:evenHBand="0" w:firstRowFirstColumn="0" w:firstRowLastColumn="0" w:lastRowFirstColumn="0" w:lastRowLastColumn="0"/>
            </w:pPr>
            <w:r>
              <w:t>430,740</w:t>
            </w:r>
          </w:p>
        </w:tc>
      </w:tr>
      <w:tr w:rsidR="00916685" w14:paraId="7DFE3E22" w14:textId="77777777" w:rsidTr="00751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pct"/>
            <w:hideMark/>
          </w:tcPr>
          <w:p w14:paraId="0BA8D894" w14:textId="77777777" w:rsidR="00916685" w:rsidRPr="00205FE3" w:rsidRDefault="00916685">
            <w:pPr>
              <w:pStyle w:val="10Tabletext"/>
              <w:rPr>
                <w:bCs w:val="0"/>
              </w:rPr>
            </w:pPr>
            <w:r w:rsidRPr="00205FE3">
              <w:rPr>
                <w:bCs w:val="0"/>
                <w:color w:val="auto"/>
              </w:rPr>
              <w:t>Senior Executive Service-3</w:t>
            </w:r>
          </w:p>
        </w:tc>
        <w:tc>
          <w:tcPr>
            <w:tcW w:w="1398" w:type="pct"/>
            <w:hideMark/>
          </w:tcPr>
          <w:p w14:paraId="67895F02" w14:textId="509B481A" w:rsidR="00916685" w:rsidRDefault="00916685">
            <w:pPr>
              <w:pStyle w:val="10Tabletext"/>
              <w:jc w:val="right"/>
              <w:cnfStyle w:val="000000100000" w:firstRow="0" w:lastRow="0" w:firstColumn="0" w:lastColumn="0" w:oddVBand="0" w:evenVBand="0" w:oddHBand="1" w:evenHBand="0" w:firstRowFirstColumn="0" w:firstRowLastColumn="0" w:lastRowFirstColumn="0" w:lastRowLastColumn="0"/>
            </w:pPr>
            <w:r>
              <w:t>4</w:t>
            </w:r>
            <w:r w:rsidR="00E9362B">
              <w:t>30,741</w:t>
            </w:r>
          </w:p>
        </w:tc>
        <w:tc>
          <w:tcPr>
            <w:tcW w:w="1923" w:type="pct"/>
            <w:hideMark/>
          </w:tcPr>
          <w:p w14:paraId="1C0EC73D" w14:textId="6994D2EC" w:rsidR="00916685" w:rsidRDefault="00916685">
            <w:pPr>
              <w:pStyle w:val="10Tabletext"/>
              <w:jc w:val="right"/>
              <w:cnfStyle w:val="000000100000" w:firstRow="0" w:lastRow="0" w:firstColumn="0" w:lastColumn="0" w:oddVBand="0" w:evenVBand="0" w:oddHBand="1" w:evenHBand="0" w:firstRowFirstColumn="0" w:firstRowLastColumn="0" w:lastRowFirstColumn="0" w:lastRowLastColumn="0"/>
            </w:pPr>
            <w:r>
              <w:t>5</w:t>
            </w:r>
            <w:r w:rsidR="00E9362B">
              <w:t>73,328</w:t>
            </w:r>
          </w:p>
        </w:tc>
      </w:tr>
    </w:tbl>
    <w:p w14:paraId="1DA2896D" w14:textId="22D99347" w:rsidR="0009602E" w:rsidRDefault="00916685" w:rsidP="00626EB0">
      <w:pPr>
        <w:pStyle w:val="09Sourcesandnotesfortablesfiguresboxes"/>
        <w:ind w:right="3"/>
      </w:pPr>
      <w:r>
        <w:t xml:space="preserve">Note: </w:t>
      </w:r>
      <w:r w:rsidR="00864C08">
        <w:t>T</w:t>
      </w:r>
      <w:r>
        <w:t xml:space="preserve">he above values are for executives employed on a 1.0 FTE </w:t>
      </w:r>
      <w:r w:rsidR="00390C1F">
        <w:t>basis and</w:t>
      </w:r>
      <w:r>
        <w:t xml:space="preserve"> apply pro rata to executives employed on a part-time basis. </w:t>
      </w:r>
      <w:r w:rsidR="0009602E">
        <w:br/>
      </w:r>
    </w:p>
    <w:p w14:paraId="0FF3CA69" w14:textId="77777777" w:rsidR="0009602E" w:rsidRDefault="0009602E">
      <w:pPr>
        <w:spacing w:after="80"/>
        <w:rPr>
          <w:sz w:val="18"/>
        </w:rPr>
      </w:pPr>
      <w:r>
        <w:br w:type="page"/>
      </w:r>
    </w:p>
    <w:p w14:paraId="4404D3D2" w14:textId="4416D908" w:rsidR="00C82431" w:rsidRDefault="00465BFA" w:rsidP="00D755BD">
      <w:pPr>
        <w:numPr>
          <w:ilvl w:val="1"/>
          <w:numId w:val="31"/>
        </w:numPr>
        <w:spacing w:before="180" w:after="160" w:line="276" w:lineRule="auto"/>
        <w:rPr>
          <w:rFonts w:eastAsia="Calibri" w:cs="Calibri Light"/>
          <w:szCs w:val="44"/>
        </w:rPr>
      </w:pPr>
      <w:r>
        <w:rPr>
          <w:rFonts w:eastAsia="Calibri" w:cs="Calibri Light"/>
          <w:szCs w:val="44"/>
        </w:rPr>
        <w:lastRenderedPageBreak/>
        <w:t>Delete Table 2 and replace it with the following:</w:t>
      </w:r>
    </w:p>
    <w:p w14:paraId="3ED6923B" w14:textId="4FE7D77A" w:rsidR="00090F83" w:rsidRPr="00626EB0" w:rsidRDefault="00090F83" w:rsidP="00626EB0">
      <w:pPr>
        <w:pStyle w:val="08Figuretableboxheading"/>
      </w:pPr>
      <w:r w:rsidRPr="00626EB0">
        <w:rPr>
          <w:rStyle w:val="08FiguretableboxheadingChar"/>
          <w:b/>
        </w:rPr>
        <w:t>T</w:t>
      </w:r>
      <w:r w:rsidRPr="00626EB0">
        <w:t xml:space="preserve">able 2: Values of remuneration bands for </w:t>
      </w:r>
      <w:r w:rsidR="009E5E8F" w:rsidRPr="00626EB0">
        <w:t>Administrative Office Heads from 1 July 2025</w:t>
      </w:r>
    </w:p>
    <w:tbl>
      <w:tblPr>
        <w:tblStyle w:val="VIRTDeterminationTableStyle"/>
        <w:tblW w:w="4998" w:type="pct"/>
        <w:tblInd w:w="0" w:type="dxa"/>
        <w:tblLook w:val="04A0" w:firstRow="1" w:lastRow="0" w:firstColumn="1" w:lastColumn="0" w:noHBand="0" w:noVBand="1"/>
      </w:tblPr>
      <w:tblGrid>
        <w:gridCol w:w="2905"/>
        <w:gridCol w:w="2417"/>
        <w:gridCol w:w="3183"/>
      </w:tblGrid>
      <w:tr w:rsidR="00E160C2" w14:paraId="5A8C7FBF" w14:textId="77777777" w:rsidTr="007511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8" w:type="pct"/>
            <w:hideMark/>
          </w:tcPr>
          <w:p w14:paraId="48B4C58A" w14:textId="3B3543EB" w:rsidR="00090F83" w:rsidRPr="008C4CBC" w:rsidRDefault="00090F83" w:rsidP="00F92B07">
            <w:pPr>
              <w:spacing w:after="0"/>
              <w:rPr>
                <w:rFonts w:cstheme="minorBidi"/>
              </w:rPr>
            </w:pPr>
            <w:r w:rsidRPr="008C4CBC">
              <w:rPr>
                <w:rFonts w:cstheme="minorBidi"/>
              </w:rPr>
              <w:t>Classification</w:t>
            </w:r>
          </w:p>
        </w:tc>
        <w:tc>
          <w:tcPr>
            <w:tcW w:w="1421" w:type="pct"/>
            <w:hideMark/>
          </w:tcPr>
          <w:p w14:paraId="5A0B0C62" w14:textId="77777777" w:rsidR="00090F83" w:rsidRPr="008C4CBC" w:rsidRDefault="00090F83">
            <w:pPr>
              <w:spacing w:after="0"/>
              <w:jc w:val="right"/>
              <w:cnfStyle w:val="100000000000" w:firstRow="1" w:lastRow="0" w:firstColumn="0" w:lastColumn="0" w:oddVBand="0" w:evenVBand="0" w:oddHBand="0" w:evenHBand="0" w:firstRowFirstColumn="0" w:firstRowLastColumn="0" w:lastRowFirstColumn="0" w:lastRowLastColumn="0"/>
              <w:rPr>
                <w:rFonts w:cstheme="minorBidi"/>
              </w:rPr>
            </w:pPr>
            <w:r w:rsidRPr="008C4CBC">
              <w:rPr>
                <w:rFonts w:cstheme="minorBidi"/>
              </w:rPr>
              <w:t>Base of band TRP</w:t>
            </w:r>
            <w:r w:rsidRPr="008C4CBC">
              <w:rPr>
                <w:rFonts w:cstheme="minorBidi"/>
              </w:rPr>
              <w:br/>
              <w:t>$ per annum</w:t>
            </w:r>
          </w:p>
        </w:tc>
        <w:tc>
          <w:tcPr>
            <w:tcW w:w="1871" w:type="pct"/>
            <w:hideMark/>
          </w:tcPr>
          <w:p w14:paraId="74E6EFDA" w14:textId="77777777" w:rsidR="00090F83" w:rsidRPr="008C4CBC" w:rsidRDefault="00090F83">
            <w:pPr>
              <w:spacing w:after="0"/>
              <w:jc w:val="right"/>
              <w:cnfStyle w:val="100000000000" w:firstRow="1" w:lastRow="0" w:firstColumn="0" w:lastColumn="0" w:oddVBand="0" w:evenVBand="0" w:oddHBand="0" w:evenHBand="0" w:firstRowFirstColumn="0" w:firstRowLastColumn="0" w:lastRowFirstColumn="0" w:lastRowLastColumn="0"/>
              <w:rPr>
                <w:rFonts w:cstheme="minorBidi"/>
              </w:rPr>
            </w:pPr>
            <w:r w:rsidRPr="008C4CBC">
              <w:rPr>
                <w:rFonts w:cstheme="minorBidi"/>
              </w:rPr>
              <w:t>Top of band TRP</w:t>
            </w:r>
            <w:r w:rsidRPr="008C4CBC">
              <w:rPr>
                <w:rFonts w:cstheme="minorBidi"/>
              </w:rPr>
              <w:br/>
              <w:t>$ per annum</w:t>
            </w:r>
          </w:p>
        </w:tc>
      </w:tr>
      <w:tr w:rsidR="00090F83" w14:paraId="1E3DFED1" w14:textId="77777777" w:rsidTr="00751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pct"/>
            <w:hideMark/>
          </w:tcPr>
          <w:p w14:paraId="5B0D9E79" w14:textId="7A8A21BA" w:rsidR="00090F83" w:rsidRPr="00205FE3" w:rsidRDefault="00E7683D">
            <w:pPr>
              <w:pStyle w:val="10Tabletext"/>
              <w:rPr>
                <w:rFonts w:cs="Calibri Light"/>
                <w:bCs w:val="0"/>
                <w:color w:val="FFFFFF" w:themeColor="background1"/>
              </w:rPr>
            </w:pPr>
            <w:r w:rsidRPr="00205FE3">
              <w:rPr>
                <w:bCs w:val="0"/>
                <w:color w:val="auto"/>
              </w:rPr>
              <w:t xml:space="preserve">Senior Executive Service-1 / </w:t>
            </w:r>
            <w:r w:rsidR="009E5E8F" w:rsidRPr="00205FE3">
              <w:rPr>
                <w:bCs w:val="0"/>
                <w:color w:val="auto"/>
              </w:rPr>
              <w:t>Administrative Office Head-</w:t>
            </w:r>
            <w:r w:rsidR="00090F83" w:rsidRPr="00205FE3">
              <w:rPr>
                <w:bCs w:val="0"/>
                <w:color w:val="auto"/>
              </w:rPr>
              <w:t>1</w:t>
            </w:r>
          </w:p>
        </w:tc>
        <w:tc>
          <w:tcPr>
            <w:tcW w:w="1421" w:type="pct"/>
            <w:hideMark/>
          </w:tcPr>
          <w:p w14:paraId="34856ADD" w14:textId="7610BC6E" w:rsidR="00090F83" w:rsidRDefault="00090F83">
            <w:pPr>
              <w:pStyle w:val="10Tabletext"/>
              <w:jc w:val="right"/>
              <w:cnfStyle w:val="000000100000" w:firstRow="0" w:lastRow="0" w:firstColumn="0" w:lastColumn="0" w:oddVBand="0" w:evenVBand="0" w:oddHBand="1" w:evenHBand="0" w:firstRowFirstColumn="0" w:firstRowLastColumn="0" w:lastRowFirstColumn="0" w:lastRowLastColumn="0"/>
            </w:pPr>
            <w:r>
              <w:t>232,7</w:t>
            </w:r>
            <w:r w:rsidR="0062632A">
              <w:t>90</w:t>
            </w:r>
          </w:p>
        </w:tc>
        <w:tc>
          <w:tcPr>
            <w:tcW w:w="1871" w:type="pct"/>
            <w:hideMark/>
          </w:tcPr>
          <w:p w14:paraId="7D617121" w14:textId="77777777" w:rsidR="00090F83" w:rsidRDefault="00090F83">
            <w:pPr>
              <w:pStyle w:val="10Tabletext"/>
              <w:jc w:val="right"/>
              <w:cnfStyle w:val="000000100000" w:firstRow="0" w:lastRow="0" w:firstColumn="0" w:lastColumn="0" w:oddVBand="0" w:evenVBand="0" w:oddHBand="1" w:evenHBand="0" w:firstRowFirstColumn="0" w:firstRowLastColumn="0" w:lastRowFirstColumn="0" w:lastRowLastColumn="0"/>
            </w:pPr>
            <w:r>
              <w:t>298,488</w:t>
            </w:r>
          </w:p>
        </w:tc>
      </w:tr>
      <w:tr w:rsidR="00E176C4" w14:paraId="3EB2C843" w14:textId="77777777" w:rsidTr="007511D9">
        <w:tc>
          <w:tcPr>
            <w:cnfStyle w:val="001000000000" w:firstRow="0" w:lastRow="0" w:firstColumn="1" w:lastColumn="0" w:oddVBand="0" w:evenVBand="0" w:oddHBand="0" w:evenHBand="0" w:firstRowFirstColumn="0" w:firstRowLastColumn="0" w:lastRowFirstColumn="0" w:lastRowLastColumn="0"/>
            <w:tcW w:w="1708" w:type="pct"/>
            <w:hideMark/>
          </w:tcPr>
          <w:p w14:paraId="4B656D45" w14:textId="77FC8CC0" w:rsidR="00090F83" w:rsidRPr="00205FE3" w:rsidRDefault="00E7683D">
            <w:pPr>
              <w:pStyle w:val="10Tabletext"/>
              <w:rPr>
                <w:bCs w:val="0"/>
              </w:rPr>
            </w:pPr>
            <w:r w:rsidRPr="00205FE3">
              <w:rPr>
                <w:bCs w:val="0"/>
                <w:color w:val="auto"/>
              </w:rPr>
              <w:t xml:space="preserve">Senior Executive Service-2 / </w:t>
            </w:r>
            <w:r w:rsidR="009E5E8F" w:rsidRPr="00205FE3">
              <w:rPr>
                <w:bCs w:val="0"/>
                <w:color w:val="auto"/>
              </w:rPr>
              <w:t>Administrative Office Head</w:t>
            </w:r>
            <w:r w:rsidR="00090F83" w:rsidRPr="00205FE3">
              <w:rPr>
                <w:bCs w:val="0"/>
                <w:color w:val="auto"/>
              </w:rPr>
              <w:t>-2</w:t>
            </w:r>
          </w:p>
        </w:tc>
        <w:tc>
          <w:tcPr>
            <w:tcW w:w="1421" w:type="pct"/>
            <w:hideMark/>
          </w:tcPr>
          <w:p w14:paraId="0D1DC5A3" w14:textId="77777777" w:rsidR="00090F83" w:rsidRDefault="00090F83">
            <w:pPr>
              <w:pStyle w:val="10Tabletext"/>
              <w:jc w:val="right"/>
              <w:cnfStyle w:val="000000000000" w:firstRow="0" w:lastRow="0" w:firstColumn="0" w:lastColumn="0" w:oddVBand="0" w:evenVBand="0" w:oddHBand="0" w:evenHBand="0" w:firstRowFirstColumn="0" w:firstRowLastColumn="0" w:lastRowFirstColumn="0" w:lastRowLastColumn="0"/>
            </w:pPr>
            <w:r>
              <w:t>298,489</w:t>
            </w:r>
          </w:p>
        </w:tc>
        <w:tc>
          <w:tcPr>
            <w:tcW w:w="1871" w:type="pct"/>
            <w:hideMark/>
          </w:tcPr>
          <w:p w14:paraId="4A33C253" w14:textId="77777777" w:rsidR="00090F83" w:rsidRDefault="00090F83">
            <w:pPr>
              <w:pStyle w:val="10Tabletext"/>
              <w:jc w:val="right"/>
              <w:cnfStyle w:val="000000000000" w:firstRow="0" w:lastRow="0" w:firstColumn="0" w:lastColumn="0" w:oddVBand="0" w:evenVBand="0" w:oddHBand="0" w:evenHBand="0" w:firstRowFirstColumn="0" w:firstRowLastColumn="0" w:lastRowFirstColumn="0" w:lastRowLastColumn="0"/>
            </w:pPr>
            <w:r>
              <w:t>430,740</w:t>
            </w:r>
          </w:p>
        </w:tc>
      </w:tr>
      <w:tr w:rsidR="00090F83" w14:paraId="05B736D8" w14:textId="77777777" w:rsidTr="00751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pct"/>
            <w:hideMark/>
          </w:tcPr>
          <w:p w14:paraId="6BB99192" w14:textId="4109F4AF" w:rsidR="00090F83" w:rsidRPr="00205FE3" w:rsidRDefault="00E7683D">
            <w:pPr>
              <w:pStyle w:val="10Tabletext"/>
              <w:rPr>
                <w:bCs w:val="0"/>
              </w:rPr>
            </w:pPr>
            <w:r w:rsidRPr="00205FE3">
              <w:rPr>
                <w:bCs w:val="0"/>
                <w:color w:val="auto"/>
              </w:rPr>
              <w:t xml:space="preserve">Senior Executive Service-3 / </w:t>
            </w:r>
            <w:r w:rsidR="009E5E8F" w:rsidRPr="00205FE3">
              <w:rPr>
                <w:bCs w:val="0"/>
                <w:color w:val="auto"/>
              </w:rPr>
              <w:t>Administrative Office Head</w:t>
            </w:r>
            <w:r w:rsidR="00090F83" w:rsidRPr="00205FE3">
              <w:rPr>
                <w:bCs w:val="0"/>
                <w:color w:val="auto"/>
              </w:rPr>
              <w:t>-3</w:t>
            </w:r>
          </w:p>
        </w:tc>
        <w:tc>
          <w:tcPr>
            <w:tcW w:w="1421" w:type="pct"/>
            <w:hideMark/>
          </w:tcPr>
          <w:p w14:paraId="49128912" w14:textId="77777777" w:rsidR="00090F83" w:rsidRDefault="00090F83">
            <w:pPr>
              <w:pStyle w:val="10Tabletext"/>
              <w:jc w:val="right"/>
              <w:cnfStyle w:val="000000100000" w:firstRow="0" w:lastRow="0" w:firstColumn="0" w:lastColumn="0" w:oddVBand="0" w:evenVBand="0" w:oddHBand="1" w:evenHBand="0" w:firstRowFirstColumn="0" w:firstRowLastColumn="0" w:lastRowFirstColumn="0" w:lastRowLastColumn="0"/>
            </w:pPr>
            <w:r>
              <w:t>430,741</w:t>
            </w:r>
          </w:p>
        </w:tc>
        <w:tc>
          <w:tcPr>
            <w:tcW w:w="1871" w:type="pct"/>
            <w:hideMark/>
          </w:tcPr>
          <w:p w14:paraId="67215B44" w14:textId="77777777" w:rsidR="00090F83" w:rsidRDefault="00090F83">
            <w:pPr>
              <w:pStyle w:val="10Tabletext"/>
              <w:jc w:val="right"/>
              <w:cnfStyle w:val="000000100000" w:firstRow="0" w:lastRow="0" w:firstColumn="0" w:lastColumn="0" w:oddVBand="0" w:evenVBand="0" w:oddHBand="1" w:evenHBand="0" w:firstRowFirstColumn="0" w:firstRowLastColumn="0" w:lastRowFirstColumn="0" w:lastRowLastColumn="0"/>
            </w:pPr>
            <w:r>
              <w:t>573,328</w:t>
            </w:r>
          </w:p>
        </w:tc>
      </w:tr>
    </w:tbl>
    <w:p w14:paraId="60BFA89A" w14:textId="375D64F3" w:rsidR="00090F83" w:rsidRDefault="00090F83" w:rsidP="00BC2546">
      <w:pPr>
        <w:pStyle w:val="09Sourcesandnotesfortablesfiguresboxes"/>
        <w:ind w:right="3"/>
        <w:rPr>
          <w:rFonts w:cstheme="minorBidi"/>
          <w:color w:val="auto"/>
          <w:sz w:val="22"/>
          <w:szCs w:val="22"/>
        </w:rPr>
      </w:pPr>
      <w:r>
        <w:t xml:space="preserve">Note: </w:t>
      </w:r>
      <w:r w:rsidR="005A5322">
        <w:t>T</w:t>
      </w:r>
      <w:r>
        <w:t xml:space="preserve">he above values are for executives employed on a 1.0 FTE basis and apply pro rata to executives employed on a part-time basis. </w:t>
      </w:r>
    </w:p>
    <w:p w14:paraId="20F922D0" w14:textId="4E9D2F71" w:rsidR="00674C31" w:rsidRPr="000122A5" w:rsidRDefault="00157D00" w:rsidP="00674C31">
      <w:pPr>
        <w:numPr>
          <w:ilvl w:val="1"/>
          <w:numId w:val="31"/>
        </w:numPr>
        <w:spacing w:before="180" w:after="160" w:line="276" w:lineRule="auto"/>
      </w:pPr>
      <w:r w:rsidRPr="000122A5">
        <w:rPr>
          <w:rFonts w:eastAsia="Calibri" w:cs="Calibri Light"/>
          <w:szCs w:val="44"/>
        </w:rPr>
        <w:t>Delete Table 3 and replace it with the following:</w:t>
      </w:r>
    </w:p>
    <w:p w14:paraId="185E99D4" w14:textId="515689A2" w:rsidR="00157D00" w:rsidRPr="00626EB0" w:rsidRDefault="00157D00" w:rsidP="00626EB0">
      <w:pPr>
        <w:pStyle w:val="08Figuretableboxheading"/>
      </w:pPr>
      <w:r w:rsidRPr="00626EB0">
        <w:rPr>
          <w:rStyle w:val="08FiguretableboxheadingChar"/>
          <w:b/>
        </w:rPr>
        <w:t>T</w:t>
      </w:r>
      <w:r w:rsidRPr="00626EB0">
        <w:t xml:space="preserve">able </w:t>
      </w:r>
      <w:r w:rsidR="005A5322" w:rsidRPr="00626EB0">
        <w:t>3</w:t>
      </w:r>
      <w:r w:rsidRPr="00626EB0">
        <w:t>: Values of remuneration band</w:t>
      </w:r>
      <w:r w:rsidR="003551D7" w:rsidRPr="00626EB0">
        <w:t xml:space="preserve"> for Department Heads and the Victorian Public Sector Commissioner</w:t>
      </w:r>
      <w:r w:rsidRPr="00626EB0">
        <w:t xml:space="preserve"> from 1 July 2025</w:t>
      </w:r>
    </w:p>
    <w:tbl>
      <w:tblPr>
        <w:tblStyle w:val="VIRTDeterminationTableStyle"/>
        <w:tblW w:w="4998" w:type="pct"/>
        <w:tblInd w:w="0" w:type="dxa"/>
        <w:tblLook w:val="04A0" w:firstRow="1" w:lastRow="0" w:firstColumn="1" w:lastColumn="0" w:noHBand="0" w:noVBand="1"/>
      </w:tblPr>
      <w:tblGrid>
        <w:gridCol w:w="2905"/>
        <w:gridCol w:w="2417"/>
        <w:gridCol w:w="3183"/>
      </w:tblGrid>
      <w:tr w:rsidR="00DB3FEB" w14:paraId="6E73F49E" w14:textId="77777777" w:rsidTr="007511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8" w:type="pct"/>
            <w:hideMark/>
          </w:tcPr>
          <w:p w14:paraId="004027CC" w14:textId="77777777" w:rsidR="00157D00" w:rsidRPr="008C4CBC" w:rsidRDefault="00157D00">
            <w:pPr>
              <w:spacing w:after="0"/>
              <w:rPr>
                <w:rFonts w:cstheme="minorBidi"/>
              </w:rPr>
            </w:pPr>
            <w:r w:rsidRPr="008C4CBC">
              <w:rPr>
                <w:rFonts w:cstheme="minorBidi"/>
              </w:rPr>
              <w:t>Classification</w:t>
            </w:r>
          </w:p>
        </w:tc>
        <w:tc>
          <w:tcPr>
            <w:tcW w:w="1421" w:type="pct"/>
            <w:hideMark/>
          </w:tcPr>
          <w:p w14:paraId="38435F0D" w14:textId="77777777" w:rsidR="00157D00" w:rsidRPr="008C4CBC" w:rsidRDefault="00157D00">
            <w:pPr>
              <w:spacing w:after="0"/>
              <w:jc w:val="right"/>
              <w:cnfStyle w:val="100000000000" w:firstRow="1" w:lastRow="0" w:firstColumn="0" w:lastColumn="0" w:oddVBand="0" w:evenVBand="0" w:oddHBand="0" w:evenHBand="0" w:firstRowFirstColumn="0" w:firstRowLastColumn="0" w:lastRowFirstColumn="0" w:lastRowLastColumn="0"/>
              <w:rPr>
                <w:rFonts w:cstheme="minorBidi"/>
              </w:rPr>
            </w:pPr>
            <w:r w:rsidRPr="008C4CBC">
              <w:rPr>
                <w:rFonts w:cstheme="minorBidi"/>
              </w:rPr>
              <w:t>Base of band TRP</w:t>
            </w:r>
            <w:r w:rsidRPr="008C4CBC">
              <w:rPr>
                <w:rFonts w:cstheme="minorBidi"/>
              </w:rPr>
              <w:br/>
              <w:t>$ per annum</w:t>
            </w:r>
          </w:p>
        </w:tc>
        <w:tc>
          <w:tcPr>
            <w:tcW w:w="1871" w:type="pct"/>
            <w:hideMark/>
          </w:tcPr>
          <w:p w14:paraId="0BA25A6E" w14:textId="77777777" w:rsidR="00157D00" w:rsidRPr="008C4CBC" w:rsidRDefault="00157D00">
            <w:pPr>
              <w:spacing w:after="0"/>
              <w:jc w:val="right"/>
              <w:cnfStyle w:val="100000000000" w:firstRow="1" w:lastRow="0" w:firstColumn="0" w:lastColumn="0" w:oddVBand="0" w:evenVBand="0" w:oddHBand="0" w:evenHBand="0" w:firstRowFirstColumn="0" w:firstRowLastColumn="0" w:lastRowFirstColumn="0" w:lastRowLastColumn="0"/>
              <w:rPr>
                <w:rFonts w:cstheme="minorBidi"/>
              </w:rPr>
            </w:pPr>
            <w:r w:rsidRPr="008C4CBC">
              <w:rPr>
                <w:rFonts w:cstheme="minorBidi"/>
              </w:rPr>
              <w:t>Top of band TRP</w:t>
            </w:r>
            <w:r w:rsidRPr="008C4CBC">
              <w:rPr>
                <w:rFonts w:cstheme="minorBidi"/>
              </w:rPr>
              <w:br/>
              <w:t>$ per annum</w:t>
            </w:r>
          </w:p>
        </w:tc>
      </w:tr>
      <w:tr w:rsidR="00DB3FEB" w14:paraId="500A7D40" w14:textId="77777777" w:rsidTr="00751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pct"/>
            <w:hideMark/>
          </w:tcPr>
          <w:p w14:paraId="717C3640" w14:textId="6213E28C" w:rsidR="00157D00" w:rsidRPr="00205FE3" w:rsidRDefault="00E40853">
            <w:pPr>
              <w:pStyle w:val="10Tabletext"/>
              <w:rPr>
                <w:rFonts w:cs="Calibri Light"/>
                <w:bCs w:val="0"/>
                <w:color w:val="FFFFFF" w:themeColor="background1"/>
              </w:rPr>
            </w:pPr>
            <w:r w:rsidRPr="00205FE3">
              <w:rPr>
                <w:bCs w:val="0"/>
                <w:color w:val="auto"/>
              </w:rPr>
              <w:t>Department Head / Victorian Public Sector Commissioner</w:t>
            </w:r>
          </w:p>
        </w:tc>
        <w:tc>
          <w:tcPr>
            <w:tcW w:w="1421" w:type="pct"/>
            <w:hideMark/>
          </w:tcPr>
          <w:p w14:paraId="453A21F9" w14:textId="55275FD5" w:rsidR="00157D00" w:rsidRDefault="003551D7">
            <w:pPr>
              <w:pStyle w:val="10Tabletext"/>
              <w:jc w:val="right"/>
              <w:cnfStyle w:val="000000100000" w:firstRow="0" w:lastRow="0" w:firstColumn="0" w:lastColumn="0" w:oddVBand="0" w:evenVBand="0" w:oddHBand="1" w:evenHBand="0" w:firstRowFirstColumn="0" w:firstRowLastColumn="0" w:lastRowFirstColumn="0" w:lastRowLastColumn="0"/>
            </w:pPr>
            <w:r>
              <w:t>620,994</w:t>
            </w:r>
          </w:p>
        </w:tc>
        <w:tc>
          <w:tcPr>
            <w:tcW w:w="1871" w:type="pct"/>
            <w:hideMark/>
          </w:tcPr>
          <w:p w14:paraId="62361683" w14:textId="4ABEF450" w:rsidR="00157D00" w:rsidRDefault="003551D7">
            <w:pPr>
              <w:pStyle w:val="10Tabletext"/>
              <w:jc w:val="right"/>
              <w:cnfStyle w:val="000000100000" w:firstRow="0" w:lastRow="0" w:firstColumn="0" w:lastColumn="0" w:oddVBand="0" w:evenVBand="0" w:oddHBand="1" w:evenHBand="0" w:firstRowFirstColumn="0" w:firstRowLastColumn="0" w:lastRowFirstColumn="0" w:lastRowLastColumn="0"/>
            </w:pPr>
            <w:r>
              <w:t>837,100</w:t>
            </w:r>
          </w:p>
        </w:tc>
      </w:tr>
    </w:tbl>
    <w:p w14:paraId="4B208686" w14:textId="484309B1" w:rsidR="00E40853" w:rsidRDefault="00E40853" w:rsidP="00BC2546">
      <w:pPr>
        <w:pStyle w:val="09Sourcesandnotesfortablesfiguresboxes"/>
        <w:ind w:right="3"/>
        <w:rPr>
          <w:rFonts w:cstheme="minorBidi"/>
          <w:color w:val="auto"/>
          <w:sz w:val="22"/>
          <w:szCs w:val="22"/>
        </w:rPr>
      </w:pPr>
      <w:r>
        <w:t xml:space="preserve">Note: </w:t>
      </w:r>
      <w:r w:rsidR="00302374">
        <w:t>T</w:t>
      </w:r>
      <w:r>
        <w:t xml:space="preserve">he above values are for executives employed on a 1.0 FTE basis and apply pro rata to executives employed on a part-time basis. </w:t>
      </w:r>
    </w:p>
    <w:p w14:paraId="10B95224" w14:textId="74667E18" w:rsidR="005E0471" w:rsidRDefault="00C84827" w:rsidP="00800D4B">
      <w:pPr>
        <w:pStyle w:val="14Annualadjustmentinstrumentclause"/>
      </w:pPr>
      <w:r w:rsidRPr="00C84827">
        <w:t xml:space="preserve">This Determination </w:t>
      </w:r>
      <w:r w:rsidR="008941D8">
        <w:t xml:space="preserve">takes effect on </w:t>
      </w:r>
      <w:r w:rsidR="003A0A81">
        <w:t>1 July 2025</w:t>
      </w:r>
      <w:r>
        <w:t>.</w:t>
      </w:r>
    </w:p>
    <w:p w14:paraId="3090FAFB" w14:textId="16E21E88" w:rsidR="00C84827" w:rsidRPr="00FE2890" w:rsidRDefault="002C1331" w:rsidP="00800D4B">
      <w:pPr>
        <w:pStyle w:val="14Annualadjustmentinstrumentclause"/>
      </w:pPr>
      <w:r w:rsidRPr="002C1331">
        <w:t xml:space="preserve">The </w:t>
      </w:r>
      <w:r w:rsidR="00472CD3">
        <w:rPr>
          <w:i/>
          <w:iCs/>
        </w:rPr>
        <w:t>Remuneration bands for executives employed in public service bodies (Victoria) Determination No. 01/202</w:t>
      </w:r>
      <w:r w:rsidR="00694995">
        <w:rPr>
          <w:i/>
          <w:iCs/>
        </w:rPr>
        <w:t>4</w:t>
      </w:r>
      <w:r w:rsidRPr="002C1331">
        <w:t xml:space="preserve"> as varied is available on the Tribunal’s website.</w:t>
      </w:r>
    </w:p>
    <w:p w14:paraId="44F94919" w14:textId="77777777" w:rsidR="005E0471" w:rsidRDefault="005E0471" w:rsidP="003A5D8F">
      <w:pPr>
        <w:pStyle w:val="Instrumenttableofcontents"/>
        <w:rPr>
          <w:bCs w:val="0"/>
        </w:rPr>
      </w:pPr>
    </w:p>
    <w:p w14:paraId="3A3F3A77" w14:textId="77777777" w:rsidR="005E0471" w:rsidRDefault="005E0471" w:rsidP="003A5D8F">
      <w:pPr>
        <w:pStyle w:val="Instrumenttableofcontents"/>
        <w:rPr>
          <w:bCs w:val="0"/>
        </w:rPr>
      </w:pPr>
    </w:p>
    <w:bookmarkEnd w:id="44"/>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3"/>
      </w:tblGrid>
      <w:tr w:rsidR="000862A6" w:rsidRPr="00A17293" w14:paraId="733B38F4" w14:textId="77777777" w:rsidTr="00DD6B31">
        <w:tc>
          <w:tcPr>
            <w:tcW w:w="2882" w:type="dxa"/>
            <w:vAlign w:val="center"/>
          </w:tcPr>
          <w:p w14:paraId="7B70BE37" w14:textId="77777777" w:rsidR="000862A6" w:rsidRPr="006F1B2E" w:rsidRDefault="000862A6" w:rsidP="00DD6B31">
            <w:pPr>
              <w:spacing w:after="0"/>
              <w:rPr>
                <w:rFonts w:cs="Calibri Light"/>
                <w:color w:val="auto"/>
              </w:rPr>
            </w:pPr>
          </w:p>
        </w:tc>
        <w:tc>
          <w:tcPr>
            <w:tcW w:w="2882" w:type="dxa"/>
          </w:tcPr>
          <w:p w14:paraId="2F3E3E7D" w14:textId="77777777" w:rsidR="000862A6" w:rsidRPr="006F1B2E" w:rsidRDefault="000862A6" w:rsidP="00DD6B31">
            <w:pPr>
              <w:spacing w:after="0"/>
              <w:rPr>
                <w:rFonts w:cs="Calibri Light"/>
                <w:color w:val="auto"/>
              </w:rPr>
            </w:pPr>
          </w:p>
        </w:tc>
        <w:tc>
          <w:tcPr>
            <w:tcW w:w="2883" w:type="dxa"/>
          </w:tcPr>
          <w:p w14:paraId="01F01AA7" w14:textId="77777777" w:rsidR="000862A6" w:rsidRPr="00A17293" w:rsidRDefault="000862A6" w:rsidP="00DD6B31">
            <w:pPr>
              <w:spacing w:after="0"/>
              <w:rPr>
                <w:rFonts w:cs="Calibri Light"/>
                <w:color w:val="auto"/>
                <w:highlight w:val="yellow"/>
              </w:rPr>
            </w:pPr>
          </w:p>
        </w:tc>
      </w:tr>
      <w:tr w:rsidR="000862A6" w:rsidRPr="00A17293" w14:paraId="3D671470" w14:textId="77777777" w:rsidTr="00DD6B31">
        <w:tc>
          <w:tcPr>
            <w:tcW w:w="2882" w:type="dxa"/>
            <w:vAlign w:val="center"/>
          </w:tcPr>
          <w:p w14:paraId="4204E300" w14:textId="0BFAA598" w:rsidR="000862A6" w:rsidRPr="006F1B2E" w:rsidRDefault="000862A6" w:rsidP="00DD6B31">
            <w:pPr>
              <w:spacing w:after="0"/>
              <w:jc w:val="center"/>
              <w:rPr>
                <w:rFonts w:cs="Calibri Light"/>
                <w:color w:val="auto"/>
              </w:rPr>
            </w:pPr>
          </w:p>
        </w:tc>
        <w:tc>
          <w:tcPr>
            <w:tcW w:w="2882" w:type="dxa"/>
            <w:vAlign w:val="center"/>
          </w:tcPr>
          <w:p w14:paraId="5085593B" w14:textId="29AF77A6" w:rsidR="000862A6" w:rsidRPr="006F1B2E" w:rsidRDefault="000862A6" w:rsidP="00DD6B31">
            <w:pPr>
              <w:spacing w:after="0"/>
              <w:jc w:val="center"/>
              <w:rPr>
                <w:rFonts w:cs="Calibri Light"/>
                <w:color w:val="auto"/>
              </w:rPr>
            </w:pPr>
          </w:p>
        </w:tc>
        <w:tc>
          <w:tcPr>
            <w:tcW w:w="2883" w:type="dxa"/>
            <w:vAlign w:val="center"/>
          </w:tcPr>
          <w:p w14:paraId="26BD0B4B" w14:textId="4B8DD8B5" w:rsidR="000862A6" w:rsidRPr="00A17293" w:rsidRDefault="000862A6" w:rsidP="00DD6B31">
            <w:pPr>
              <w:spacing w:after="0"/>
              <w:jc w:val="center"/>
              <w:rPr>
                <w:rFonts w:cs="Calibri Light"/>
                <w:color w:val="auto"/>
                <w:highlight w:val="yellow"/>
              </w:rPr>
            </w:pPr>
          </w:p>
        </w:tc>
      </w:tr>
      <w:tr w:rsidR="000862A6" w:rsidRPr="00A17293" w14:paraId="074DAE8B" w14:textId="77777777" w:rsidTr="00DD6B31">
        <w:tc>
          <w:tcPr>
            <w:tcW w:w="2882" w:type="dxa"/>
          </w:tcPr>
          <w:p w14:paraId="3687DE83" w14:textId="77777777" w:rsidR="000862A6" w:rsidRPr="006F1B2E" w:rsidRDefault="000862A6" w:rsidP="00DD6B31">
            <w:pPr>
              <w:spacing w:after="0"/>
              <w:rPr>
                <w:rFonts w:cs="Calibri Light"/>
                <w:color w:val="auto"/>
              </w:rPr>
            </w:pPr>
          </w:p>
        </w:tc>
        <w:tc>
          <w:tcPr>
            <w:tcW w:w="2882" w:type="dxa"/>
          </w:tcPr>
          <w:p w14:paraId="1570088E" w14:textId="77777777" w:rsidR="000862A6" w:rsidRPr="006F1B2E" w:rsidRDefault="000862A6" w:rsidP="00DD6B31">
            <w:pPr>
              <w:spacing w:after="0"/>
              <w:rPr>
                <w:rFonts w:cs="Calibri Light"/>
                <w:color w:val="auto"/>
              </w:rPr>
            </w:pPr>
          </w:p>
        </w:tc>
        <w:tc>
          <w:tcPr>
            <w:tcW w:w="2883" w:type="dxa"/>
          </w:tcPr>
          <w:p w14:paraId="0604F593" w14:textId="77777777" w:rsidR="000862A6" w:rsidRPr="00A17293" w:rsidRDefault="000862A6" w:rsidP="00DD6B31">
            <w:pPr>
              <w:spacing w:after="0"/>
              <w:rPr>
                <w:rFonts w:cs="Calibri Light"/>
                <w:color w:val="auto"/>
                <w:highlight w:val="yellow"/>
              </w:rPr>
            </w:pPr>
          </w:p>
        </w:tc>
      </w:tr>
      <w:tr w:rsidR="000862A6" w:rsidRPr="00AF3940" w14:paraId="47C00A07" w14:textId="77777777" w:rsidTr="00DD6B31">
        <w:tc>
          <w:tcPr>
            <w:tcW w:w="2882" w:type="dxa"/>
            <w:hideMark/>
          </w:tcPr>
          <w:p w14:paraId="4A2DCF6E" w14:textId="77777777" w:rsidR="000862A6" w:rsidRDefault="000862A6" w:rsidP="00DD6B31">
            <w:pPr>
              <w:spacing w:before="120" w:after="120"/>
              <w:rPr>
                <w:rFonts w:cs="Calibri Light"/>
                <w:color w:val="auto"/>
              </w:rPr>
            </w:pPr>
            <w:r w:rsidRPr="006F1B2E">
              <w:rPr>
                <w:rFonts w:cs="Calibri Light"/>
                <w:color w:val="auto"/>
              </w:rPr>
              <w:t>Warren McCann</w:t>
            </w:r>
          </w:p>
          <w:p w14:paraId="5A7B8CFF" w14:textId="77777777" w:rsidR="000862A6" w:rsidRDefault="000862A6" w:rsidP="00DD6B31">
            <w:pPr>
              <w:spacing w:before="120" w:after="120"/>
              <w:rPr>
                <w:rFonts w:cs="Calibri Light"/>
                <w:i/>
                <w:color w:val="auto"/>
              </w:rPr>
            </w:pPr>
            <w:r w:rsidRPr="006F1B2E">
              <w:rPr>
                <w:rFonts w:cs="Calibri Light"/>
                <w:i/>
                <w:color w:val="auto"/>
              </w:rPr>
              <w:t>Chair</w:t>
            </w:r>
          </w:p>
          <w:p w14:paraId="50DCEAE7" w14:textId="77777777" w:rsidR="000862A6" w:rsidRPr="00893FF3" w:rsidRDefault="000862A6" w:rsidP="00DD6B31">
            <w:pPr>
              <w:spacing w:before="120" w:after="120"/>
              <w:rPr>
                <w:rFonts w:cs="Calibri Light"/>
                <w:color w:val="auto"/>
              </w:rPr>
            </w:pPr>
            <w:r w:rsidRPr="006F1B2E">
              <w:rPr>
                <w:rFonts w:cs="Calibri Light"/>
                <w:color w:val="auto"/>
              </w:rPr>
              <w:t>Victorian Independent Remuneration Tribunal</w:t>
            </w:r>
          </w:p>
        </w:tc>
        <w:tc>
          <w:tcPr>
            <w:tcW w:w="2882" w:type="dxa"/>
          </w:tcPr>
          <w:p w14:paraId="462C78B5" w14:textId="77777777" w:rsidR="000862A6" w:rsidRDefault="000862A6" w:rsidP="00DD6B31">
            <w:pPr>
              <w:spacing w:before="120" w:after="120"/>
              <w:rPr>
                <w:rFonts w:cs="Calibri Light"/>
                <w:color w:val="auto"/>
              </w:rPr>
            </w:pPr>
            <w:r w:rsidRPr="006F1B2E">
              <w:rPr>
                <w:rFonts w:cs="Calibri Light"/>
                <w:color w:val="auto"/>
              </w:rPr>
              <w:t>Laurinda Gardner</w:t>
            </w:r>
          </w:p>
          <w:p w14:paraId="331F9AF6" w14:textId="77777777" w:rsidR="000862A6" w:rsidRDefault="000862A6" w:rsidP="00DD6B31">
            <w:pPr>
              <w:spacing w:before="120" w:after="120"/>
              <w:rPr>
                <w:rFonts w:cs="Calibri Light"/>
                <w:color w:val="auto"/>
              </w:rPr>
            </w:pPr>
            <w:r w:rsidRPr="006F1B2E">
              <w:rPr>
                <w:rFonts w:cs="Calibri Light"/>
                <w:i/>
                <w:color w:val="auto"/>
              </w:rPr>
              <w:t>Member</w:t>
            </w:r>
            <w:r w:rsidRPr="006F1B2E">
              <w:rPr>
                <w:rFonts w:cs="Calibri Light"/>
                <w:color w:val="auto"/>
              </w:rPr>
              <w:t xml:space="preserve"> </w:t>
            </w:r>
          </w:p>
          <w:p w14:paraId="5E8895B9" w14:textId="77777777" w:rsidR="000862A6" w:rsidRPr="006F1B2E" w:rsidRDefault="000862A6" w:rsidP="00DD6B31">
            <w:pPr>
              <w:spacing w:before="120" w:after="120"/>
              <w:rPr>
                <w:rFonts w:cs="Calibri Light"/>
                <w:color w:val="auto"/>
              </w:rPr>
            </w:pPr>
            <w:r w:rsidRPr="006F1B2E">
              <w:rPr>
                <w:rFonts w:cs="Calibri Light"/>
                <w:color w:val="auto"/>
              </w:rPr>
              <w:t>Victorian Independent Remuneration Tribunal</w:t>
            </w:r>
          </w:p>
        </w:tc>
        <w:tc>
          <w:tcPr>
            <w:tcW w:w="2883" w:type="dxa"/>
          </w:tcPr>
          <w:p w14:paraId="38E4C98D" w14:textId="77777777" w:rsidR="000862A6" w:rsidRPr="00AF3940" w:rsidRDefault="000862A6" w:rsidP="00DD6B31">
            <w:pPr>
              <w:spacing w:before="120" w:after="120"/>
              <w:rPr>
                <w:rFonts w:cs="Calibri Light"/>
                <w:iCs/>
                <w:color w:val="auto"/>
              </w:rPr>
            </w:pPr>
            <w:r w:rsidRPr="00AF3940">
              <w:rPr>
                <w:rFonts w:cs="Calibri Light"/>
                <w:iCs/>
                <w:color w:val="auto"/>
              </w:rPr>
              <w:t>Greg</w:t>
            </w:r>
            <w:r>
              <w:rPr>
                <w:rFonts w:cs="Calibri Light"/>
                <w:iCs/>
                <w:color w:val="auto"/>
              </w:rPr>
              <w:t>ory</w:t>
            </w:r>
            <w:r w:rsidRPr="00AF3940">
              <w:rPr>
                <w:rFonts w:cs="Calibri Light"/>
                <w:iCs/>
                <w:color w:val="auto"/>
              </w:rPr>
              <w:t xml:space="preserve"> Wilson</w:t>
            </w:r>
          </w:p>
          <w:p w14:paraId="3C14FCEA" w14:textId="77777777" w:rsidR="000862A6" w:rsidRPr="00AF3940" w:rsidRDefault="000862A6" w:rsidP="00DD6B31">
            <w:pPr>
              <w:spacing w:before="120" w:after="120"/>
              <w:rPr>
                <w:rFonts w:cs="Calibri Light"/>
                <w:i/>
                <w:color w:val="auto"/>
              </w:rPr>
            </w:pPr>
            <w:r w:rsidRPr="00AF3940">
              <w:rPr>
                <w:rFonts w:cs="Calibri Light"/>
                <w:i/>
                <w:color w:val="auto"/>
              </w:rPr>
              <w:t xml:space="preserve">Member </w:t>
            </w:r>
          </w:p>
          <w:p w14:paraId="0C377CEB" w14:textId="77777777" w:rsidR="000862A6" w:rsidRPr="00AF3940" w:rsidRDefault="000862A6" w:rsidP="00DD6B31">
            <w:pPr>
              <w:spacing w:before="120" w:after="120"/>
              <w:rPr>
                <w:rFonts w:cs="Calibri Light"/>
                <w:iCs/>
                <w:color w:val="auto"/>
              </w:rPr>
            </w:pPr>
            <w:r w:rsidRPr="00AF3940">
              <w:rPr>
                <w:rFonts w:cs="Calibri Light"/>
                <w:iCs/>
                <w:color w:val="auto"/>
              </w:rPr>
              <w:t>Victorian Independent Remuneration Tribunal</w:t>
            </w:r>
          </w:p>
        </w:tc>
      </w:tr>
      <w:tr w:rsidR="000862A6" w:rsidRPr="00A17293" w14:paraId="22F1C9C0" w14:textId="77777777" w:rsidTr="00DD6B31">
        <w:tc>
          <w:tcPr>
            <w:tcW w:w="5764" w:type="dxa"/>
            <w:gridSpan w:val="2"/>
            <w:hideMark/>
          </w:tcPr>
          <w:p w14:paraId="2D4D9366" w14:textId="77777777" w:rsidR="000862A6" w:rsidRPr="00472CD3" w:rsidRDefault="000862A6" w:rsidP="00DD6B31">
            <w:pPr>
              <w:spacing w:before="120" w:after="120"/>
              <w:rPr>
                <w:rFonts w:cs="Calibri Light"/>
                <w:color w:val="auto"/>
                <w:highlight w:val="yellow"/>
              </w:rPr>
            </w:pPr>
            <w:r w:rsidRPr="00187770">
              <w:rPr>
                <w:rFonts w:cs="Calibri Light"/>
                <w:color w:val="auto"/>
              </w:rPr>
              <w:t>Date: 23 September 2025</w:t>
            </w:r>
          </w:p>
        </w:tc>
        <w:tc>
          <w:tcPr>
            <w:tcW w:w="2883" w:type="dxa"/>
          </w:tcPr>
          <w:p w14:paraId="141C7644" w14:textId="77777777" w:rsidR="000862A6" w:rsidRPr="00A17293" w:rsidRDefault="000862A6" w:rsidP="00DD6B31">
            <w:pPr>
              <w:spacing w:after="0"/>
              <w:rPr>
                <w:rFonts w:cs="Calibri Light"/>
                <w:color w:val="auto"/>
                <w:highlight w:val="yellow"/>
              </w:rPr>
            </w:pPr>
          </w:p>
        </w:tc>
      </w:tr>
    </w:tbl>
    <w:p w14:paraId="1A9720AD" w14:textId="6F53C7B6" w:rsidR="005E0471" w:rsidRPr="000862A6" w:rsidRDefault="005E0471" w:rsidP="000862A6">
      <w:pPr>
        <w:pStyle w:val="05Paragraph"/>
        <w:spacing w:before="0"/>
        <w:rPr>
          <w:sz w:val="8"/>
          <w:szCs w:val="8"/>
        </w:rPr>
      </w:pPr>
    </w:p>
    <w:sectPr w:rsidR="005E0471" w:rsidRPr="000862A6" w:rsidSect="00DB7769">
      <w:headerReference w:type="even" r:id="rId34"/>
      <w:headerReference w:type="default" r:id="rId35"/>
      <w:footerReference w:type="default" r:id="rId36"/>
      <w:headerReference w:type="first" r:id="rId37"/>
      <w:pgSz w:w="11906" w:h="16838" w:code="9"/>
      <w:pgMar w:top="1699" w:right="1699" w:bottom="1134"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F67A" w14:textId="77777777" w:rsidR="009D1DC3" w:rsidRPr="00333B58" w:rsidRDefault="009D1DC3" w:rsidP="00333B58">
      <w:r>
        <w:separator/>
      </w:r>
    </w:p>
    <w:p w14:paraId="69C69763" w14:textId="77777777" w:rsidR="009D1DC3" w:rsidRDefault="009D1DC3"/>
    <w:p w14:paraId="02AA8E7B" w14:textId="77777777" w:rsidR="009D1DC3" w:rsidRDefault="009D1DC3"/>
  </w:endnote>
  <w:endnote w:type="continuationSeparator" w:id="0">
    <w:p w14:paraId="0761E344" w14:textId="77777777" w:rsidR="009D1DC3" w:rsidRPr="00333B58" w:rsidRDefault="009D1DC3" w:rsidP="00333B58">
      <w:r>
        <w:continuationSeparator/>
      </w:r>
    </w:p>
    <w:p w14:paraId="51585290" w14:textId="77777777" w:rsidR="009D1DC3" w:rsidRDefault="009D1DC3"/>
    <w:p w14:paraId="44643441" w14:textId="77777777" w:rsidR="009D1DC3" w:rsidRDefault="009D1DC3"/>
  </w:endnote>
  <w:endnote w:type="continuationNotice" w:id="1">
    <w:p w14:paraId="47C4EC2E" w14:textId="77777777" w:rsidR="009D1DC3" w:rsidRDefault="009D1DC3">
      <w:pPr>
        <w:spacing w:after="0"/>
      </w:pPr>
    </w:p>
    <w:p w14:paraId="68A581D1" w14:textId="77777777" w:rsidR="009D1DC3" w:rsidRDefault="009D1DC3"/>
    <w:p w14:paraId="3072185A" w14:textId="77777777" w:rsidR="009D1DC3" w:rsidRDefault="009D1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Rockwell">
    <w:altName w:val="Cambria"/>
    <w:panose1 w:val="02060603020205020403"/>
    <w:charset w:val="00"/>
    <w:family w:val="roman"/>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A43C" w14:textId="77777777" w:rsidR="00C3360F" w:rsidRDefault="00C3360F" w:rsidP="00042C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1CD9" w14:textId="77777777" w:rsidR="00042C47" w:rsidRDefault="00000000" w:rsidP="00042C47">
    <w:pPr>
      <w:pStyle w:val="Footer"/>
      <w:jc w:val="center"/>
    </w:pPr>
    <w:sdt>
      <w:sdtPr>
        <w:id w:val="1296559184"/>
        <w:docPartObj>
          <w:docPartGallery w:val="Page Numbers (Bottom of Page)"/>
          <w:docPartUnique/>
        </w:docPartObj>
      </w:sdtPr>
      <w:sdtEndPr>
        <w:rPr>
          <w:noProof/>
        </w:rPr>
      </w:sdtEndPr>
      <w:sdtContent>
        <w:r w:rsidR="00042C47" w:rsidRPr="00C930CF">
          <w:rPr>
            <w:rFonts w:cs="Calibri Light"/>
          </w:rPr>
          <w:fldChar w:fldCharType="begin"/>
        </w:r>
        <w:r w:rsidR="00042C47" w:rsidRPr="00C930CF">
          <w:rPr>
            <w:rFonts w:cs="Calibri Light"/>
          </w:rPr>
          <w:instrText xml:space="preserve"> PAGE   \* MERGEFORMAT </w:instrText>
        </w:r>
        <w:r w:rsidR="00042C47" w:rsidRPr="00C930CF">
          <w:rPr>
            <w:rFonts w:cs="Calibri Light"/>
          </w:rPr>
          <w:fldChar w:fldCharType="separate"/>
        </w:r>
        <w:r w:rsidR="00042C47">
          <w:rPr>
            <w:rFonts w:cs="Calibri Light"/>
          </w:rPr>
          <w:t>25</w:t>
        </w:r>
        <w:r w:rsidR="00042C47" w:rsidRPr="00C930CF">
          <w:rPr>
            <w:rFonts w:cs="Calibri Light"/>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41BB" w14:textId="77777777" w:rsidR="005E0471" w:rsidRDefault="005E0471">
    <w:pPr>
      <w:pStyle w:val="Footer"/>
    </w:pPr>
  </w:p>
  <w:p w14:paraId="1D4092F4" w14:textId="77777777" w:rsidR="005E0471" w:rsidRDefault="005E0471">
    <w:pPr>
      <w:rPr>
        <w:color w:val="aut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3C9E" w14:textId="77777777" w:rsidR="005E0471" w:rsidRDefault="005E0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1FF2" w14:textId="77777777" w:rsidR="00B87273" w:rsidRDefault="00B87273">
    <w:pPr>
      <w:pStyle w:val="Footer"/>
    </w:pPr>
  </w:p>
  <w:p w14:paraId="39B88060" w14:textId="77777777" w:rsidR="00B87273" w:rsidRDefault="00B87273">
    <w:pPr>
      <w:rPr>
        <w:color w:val="aut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AA86A" w14:textId="77777777" w:rsidR="00B87273" w:rsidRDefault="00B872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30B6" w14:textId="77777777" w:rsidR="00CA359B" w:rsidRDefault="00000000" w:rsidP="00561BE1">
    <w:pPr>
      <w:pStyle w:val="Footer"/>
      <w:jc w:val="center"/>
    </w:pPr>
    <w:sdt>
      <w:sdtPr>
        <w:id w:val="-830684218"/>
        <w:docPartObj>
          <w:docPartGallery w:val="Page Numbers (Bottom of Page)"/>
          <w:docPartUnique/>
        </w:docPartObj>
      </w:sdtPr>
      <w:sdtEndPr>
        <w:rPr>
          <w:noProof/>
        </w:rPr>
      </w:sdtEndPr>
      <w:sdtContent>
        <w:r w:rsidR="008448A9">
          <w:fldChar w:fldCharType="begin"/>
        </w:r>
        <w:r w:rsidR="008448A9">
          <w:instrText xml:space="preserve"> PAGE   \* MERGEFORMAT </w:instrText>
        </w:r>
        <w:r w:rsidR="008448A9">
          <w:fldChar w:fldCharType="separate"/>
        </w:r>
        <w:r w:rsidR="008448A9">
          <w:rPr>
            <w:noProof/>
          </w:rPr>
          <w:t>2</w:t>
        </w:r>
        <w:r w:rsidR="008448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DBDC0" w14:textId="77777777" w:rsidR="009D1DC3" w:rsidRDefault="009D1DC3" w:rsidP="001A34BC">
      <w:pPr>
        <w:spacing w:after="0"/>
      </w:pPr>
      <w:r>
        <w:separator/>
      </w:r>
    </w:p>
  </w:footnote>
  <w:footnote w:type="continuationSeparator" w:id="0">
    <w:p w14:paraId="5DA3C915" w14:textId="77777777" w:rsidR="009D1DC3" w:rsidRPr="001A34BC" w:rsidRDefault="009D1DC3" w:rsidP="001A34BC">
      <w:pPr>
        <w:spacing w:after="0"/>
        <w:rPr>
          <w:sz w:val="2"/>
          <w:szCs w:val="2"/>
        </w:rPr>
      </w:pPr>
      <w:r>
        <w:continuationSeparator/>
      </w:r>
    </w:p>
  </w:footnote>
  <w:footnote w:type="continuationNotice" w:id="1">
    <w:p w14:paraId="3B91D58E" w14:textId="77777777" w:rsidR="009D1DC3" w:rsidRDefault="009D1DC3"/>
  </w:footnote>
  <w:footnote w:id="2">
    <w:p w14:paraId="7D90B4C1" w14:textId="4F45AE14" w:rsidR="00141EC6" w:rsidRDefault="00141EC6">
      <w:pPr>
        <w:pStyle w:val="FootnoteText"/>
      </w:pPr>
      <w:r>
        <w:rPr>
          <w:rStyle w:val="FootnoteReference"/>
        </w:rPr>
        <w:footnoteRef/>
      </w:r>
      <w:r>
        <w:t xml:space="preserve"> </w:t>
      </w:r>
      <w:r>
        <w:tab/>
      </w:r>
      <w:r w:rsidRPr="00073E64">
        <w:rPr>
          <w:rFonts w:asciiTheme="minorHAnsi" w:hAnsiTheme="minorHAnsi" w:cstheme="minorHAnsi"/>
        </w:rPr>
        <w:t xml:space="preserve">Section 4(1) of the </w:t>
      </w:r>
      <w:r w:rsidRPr="00073E64">
        <w:rPr>
          <w:rFonts w:asciiTheme="minorHAnsi" w:hAnsiTheme="minorHAnsi" w:cstheme="minorHAnsi"/>
          <w:i/>
        </w:rPr>
        <w:t>Public Administration Act 2004</w:t>
      </w:r>
      <w:r w:rsidRPr="00073E64">
        <w:rPr>
          <w:rFonts w:asciiTheme="minorHAnsi" w:hAnsiTheme="minorHAnsi" w:cstheme="minorHAnsi"/>
        </w:rPr>
        <w:t xml:space="preserve"> (Vic) (PAA) defines ‘public service bod</w:t>
      </w:r>
      <w:r>
        <w:rPr>
          <w:rFonts w:asciiTheme="minorHAnsi" w:hAnsiTheme="minorHAnsi" w:cstheme="minorHAnsi"/>
        </w:rPr>
        <w:t>y</w:t>
      </w:r>
      <w:r w:rsidRPr="00073E64">
        <w:rPr>
          <w:rFonts w:asciiTheme="minorHAnsi" w:hAnsiTheme="minorHAnsi" w:cstheme="minorHAnsi"/>
        </w:rPr>
        <w:t>’ as</w:t>
      </w:r>
      <w:r>
        <w:rPr>
          <w:rFonts w:asciiTheme="minorHAnsi" w:hAnsiTheme="minorHAnsi" w:cstheme="minorHAnsi"/>
        </w:rPr>
        <w:t xml:space="preserve"> a</w:t>
      </w:r>
      <w:r w:rsidRPr="00073E64">
        <w:rPr>
          <w:rFonts w:asciiTheme="minorHAnsi" w:hAnsiTheme="minorHAnsi" w:cstheme="minorHAnsi"/>
        </w:rPr>
        <w:t xml:space="preserve"> department, </w:t>
      </w:r>
      <w:r>
        <w:rPr>
          <w:rFonts w:asciiTheme="minorHAnsi" w:hAnsiTheme="minorHAnsi" w:cstheme="minorHAnsi"/>
        </w:rPr>
        <w:t xml:space="preserve">an </w:t>
      </w:r>
      <w:r w:rsidRPr="00073E64">
        <w:rPr>
          <w:rFonts w:asciiTheme="minorHAnsi" w:hAnsiTheme="minorHAnsi" w:cstheme="minorHAnsi"/>
        </w:rPr>
        <w:t>Administrative</w:t>
      </w:r>
      <w:r>
        <w:rPr>
          <w:rFonts w:asciiTheme="minorHAnsi" w:hAnsiTheme="minorHAnsi" w:cstheme="minorHAnsi"/>
        </w:rPr>
        <w:t xml:space="preserve"> </w:t>
      </w:r>
      <w:r w:rsidRPr="00073E64">
        <w:rPr>
          <w:rFonts w:asciiTheme="minorHAnsi" w:hAnsiTheme="minorHAnsi" w:cstheme="minorHAnsi"/>
        </w:rPr>
        <w:t xml:space="preserve">Office </w:t>
      </w:r>
      <w:r>
        <w:rPr>
          <w:rFonts w:asciiTheme="minorHAnsi" w:hAnsiTheme="minorHAnsi" w:cstheme="minorHAnsi"/>
        </w:rPr>
        <w:t>or</w:t>
      </w:r>
      <w:r w:rsidRPr="00073E64">
        <w:rPr>
          <w:rFonts w:asciiTheme="minorHAnsi" w:hAnsiTheme="minorHAnsi" w:cstheme="minorHAnsi"/>
        </w:rPr>
        <w:t xml:space="preserve"> the Victorian Public Sector Commission.</w:t>
      </w:r>
    </w:p>
  </w:footnote>
  <w:footnote w:id="3">
    <w:p w14:paraId="725D4BDB" w14:textId="426B15AF" w:rsidR="00073E64" w:rsidRDefault="00073E64">
      <w:pPr>
        <w:pStyle w:val="FootnoteText"/>
      </w:pPr>
      <w:r>
        <w:rPr>
          <w:rStyle w:val="FootnoteReference"/>
        </w:rPr>
        <w:footnoteRef/>
      </w:r>
      <w:r>
        <w:t xml:space="preserve"> </w:t>
      </w:r>
      <w:r w:rsidR="00141EC6">
        <w:tab/>
      </w:r>
      <w:r>
        <w:t>VIRTIPS Act, s. 22.</w:t>
      </w:r>
    </w:p>
  </w:footnote>
  <w:footnote w:id="4">
    <w:p w14:paraId="31224588" w14:textId="3F340956" w:rsidR="00073E64" w:rsidRPr="00073E64" w:rsidRDefault="00073E64">
      <w:pPr>
        <w:pStyle w:val="FootnoteText"/>
        <w:rPr>
          <w:i/>
          <w:iCs/>
        </w:rPr>
      </w:pPr>
      <w:r>
        <w:rPr>
          <w:rStyle w:val="FootnoteReference"/>
        </w:rPr>
        <w:footnoteRef/>
      </w:r>
      <w:r>
        <w:t xml:space="preserve"> </w:t>
      </w:r>
      <w:r w:rsidR="00141EC6">
        <w:tab/>
      </w:r>
      <w:r>
        <w:t xml:space="preserve">Victorian Independent Remuneration Tribunal </w:t>
      </w:r>
      <w:r w:rsidRPr="000C2A36">
        <w:t>(2024).</w:t>
      </w:r>
    </w:p>
  </w:footnote>
  <w:footnote w:id="5">
    <w:p w14:paraId="14F80A62" w14:textId="4A56FA70" w:rsidR="00073E64" w:rsidRDefault="00073E64">
      <w:pPr>
        <w:pStyle w:val="FootnoteText"/>
      </w:pPr>
      <w:r>
        <w:rPr>
          <w:rStyle w:val="FootnoteReference"/>
        </w:rPr>
        <w:footnoteRef/>
      </w:r>
      <w:r w:rsidR="00693992">
        <w:t xml:space="preserve"> </w:t>
      </w:r>
      <w:r w:rsidR="00141EC6">
        <w:tab/>
      </w:r>
      <w:r>
        <w:t xml:space="preserve">VIRTIPS Act, s. </w:t>
      </w:r>
      <w:r w:rsidR="00450E2F">
        <w:t>24(3).</w:t>
      </w:r>
    </w:p>
  </w:footnote>
  <w:footnote w:id="6">
    <w:p w14:paraId="565D7C3C" w14:textId="05D27E7F" w:rsidR="006B620F" w:rsidRDefault="006B620F">
      <w:pPr>
        <w:pStyle w:val="FootnoteText"/>
      </w:pPr>
      <w:r>
        <w:rPr>
          <w:rStyle w:val="FootnoteReference"/>
        </w:rPr>
        <w:footnoteRef/>
      </w:r>
      <w:r>
        <w:t xml:space="preserve"> </w:t>
      </w:r>
      <w:r w:rsidR="00141EC6">
        <w:tab/>
      </w:r>
      <w:r>
        <w:t xml:space="preserve">VIRTIPS Act, </w:t>
      </w:r>
      <w:r w:rsidR="008B71F3">
        <w:t>s. 25(5).</w:t>
      </w:r>
    </w:p>
  </w:footnote>
  <w:footnote w:id="7">
    <w:p w14:paraId="306FBE25" w14:textId="774B7F83" w:rsidR="00E80EE6" w:rsidRDefault="00E80EE6" w:rsidP="00E80EE6">
      <w:pPr>
        <w:pStyle w:val="FootnoteText"/>
      </w:pPr>
      <w:r>
        <w:rPr>
          <w:rStyle w:val="FootnoteReference"/>
        </w:rPr>
        <w:footnoteRef/>
      </w:r>
      <w:r>
        <w:t xml:space="preserve"> </w:t>
      </w:r>
      <w:r w:rsidR="00141EC6">
        <w:tab/>
      </w:r>
      <w:r>
        <w:t>VIRTIPS Act, s.</w:t>
      </w:r>
      <w:r w:rsidR="00E237E9">
        <w:t xml:space="preserve"> </w:t>
      </w:r>
      <w:r>
        <w:t>24(2).</w:t>
      </w:r>
    </w:p>
  </w:footnote>
  <w:footnote w:id="8">
    <w:p w14:paraId="3ADCC96B" w14:textId="2667B954" w:rsidR="00091467" w:rsidRDefault="00091467" w:rsidP="00091467">
      <w:pPr>
        <w:pStyle w:val="FootnoteText"/>
      </w:pPr>
      <w:r w:rsidRPr="00A71E98">
        <w:rPr>
          <w:rStyle w:val="FootnoteReference"/>
          <w:rFonts w:cs="Calibri Light"/>
        </w:rPr>
        <w:footnoteRef/>
      </w:r>
      <w:r w:rsidRPr="00A71E98">
        <w:rPr>
          <w:rFonts w:cs="Calibri Light"/>
        </w:rPr>
        <w:t xml:space="preserve"> </w:t>
      </w:r>
      <w:r w:rsidR="00141EC6">
        <w:rPr>
          <w:rFonts w:cs="Calibri Light"/>
        </w:rPr>
        <w:tab/>
      </w:r>
      <w:r w:rsidR="00D45B66">
        <w:rPr>
          <w:rFonts w:cs="Calibri Light"/>
        </w:rPr>
        <w:t>I</w:t>
      </w:r>
      <w:r w:rsidR="008633D6">
        <w:rPr>
          <w:rFonts w:cs="Calibri Light"/>
        </w:rPr>
        <w:t>ndustrial Relation</w:t>
      </w:r>
      <w:r w:rsidR="00664DF0">
        <w:rPr>
          <w:rFonts w:cs="Calibri Light"/>
        </w:rPr>
        <w:t>s</w:t>
      </w:r>
      <w:r w:rsidR="008633D6">
        <w:rPr>
          <w:rFonts w:cs="Calibri Light"/>
        </w:rPr>
        <w:t xml:space="preserve"> </w:t>
      </w:r>
      <w:r w:rsidR="00D45B66">
        <w:rPr>
          <w:rFonts w:cs="Calibri Light"/>
        </w:rPr>
        <w:t>V</w:t>
      </w:r>
      <w:r w:rsidR="008633D6">
        <w:rPr>
          <w:rFonts w:cs="Calibri Light"/>
        </w:rPr>
        <w:t>ictoria</w:t>
      </w:r>
      <w:r w:rsidR="00D45B66">
        <w:rPr>
          <w:rFonts w:cs="Calibri Light"/>
        </w:rPr>
        <w:t xml:space="preserve"> </w:t>
      </w:r>
      <w:r w:rsidR="008633D6">
        <w:rPr>
          <w:rFonts w:cs="Calibri Light"/>
        </w:rPr>
        <w:t xml:space="preserve">(IRV) </w:t>
      </w:r>
      <w:r w:rsidR="00D45B66">
        <w:rPr>
          <w:rFonts w:cs="Calibri Light"/>
        </w:rPr>
        <w:t>(2023).</w:t>
      </w:r>
    </w:p>
  </w:footnote>
  <w:footnote w:id="9">
    <w:p w14:paraId="017CB82A" w14:textId="77777777" w:rsidR="00CF30A4" w:rsidRDefault="00CF30A4" w:rsidP="00CF30A4">
      <w:pPr>
        <w:pStyle w:val="FootnoteText"/>
      </w:pPr>
      <w:r>
        <w:rPr>
          <w:rStyle w:val="FootnoteReference"/>
        </w:rPr>
        <w:footnoteRef/>
      </w:r>
      <w:r>
        <w:t xml:space="preserve"> </w:t>
      </w:r>
      <w:r>
        <w:tab/>
      </w:r>
      <w:r w:rsidRPr="00AF27C2">
        <w:t>F</w:t>
      </w:r>
      <w:r>
        <w:t xml:space="preserve">air </w:t>
      </w:r>
      <w:r w:rsidRPr="00AF27C2">
        <w:t>W</w:t>
      </w:r>
      <w:r>
        <w:t xml:space="preserve">ork </w:t>
      </w:r>
      <w:r w:rsidRPr="00AF27C2">
        <w:t>C</w:t>
      </w:r>
      <w:r>
        <w:t>ommission (FWC)</w:t>
      </w:r>
      <w:r w:rsidRPr="00AF27C2">
        <w:t xml:space="preserve"> (202</w:t>
      </w:r>
      <w:r>
        <w:t>4</w:t>
      </w:r>
      <w:r w:rsidRPr="00AF27C2">
        <w:t>).</w:t>
      </w:r>
    </w:p>
  </w:footnote>
  <w:footnote w:id="10">
    <w:p w14:paraId="1CDE8F65" w14:textId="7BFD65BA" w:rsidR="00C83038" w:rsidRPr="004F023D" w:rsidRDefault="00C83038">
      <w:pPr>
        <w:pStyle w:val="FootnoteText"/>
        <w:rPr>
          <w:rFonts w:cs="Calibri Light"/>
        </w:rPr>
      </w:pPr>
      <w:r w:rsidRPr="004F023D">
        <w:rPr>
          <w:rStyle w:val="FootnoteReference"/>
          <w:rFonts w:cs="Calibri Light"/>
        </w:rPr>
        <w:footnoteRef/>
      </w:r>
      <w:r w:rsidRPr="004F023D">
        <w:rPr>
          <w:rFonts w:cs="Calibri Light"/>
        </w:rPr>
        <w:t xml:space="preserve"> </w:t>
      </w:r>
      <w:r w:rsidR="00141EC6">
        <w:rPr>
          <w:rFonts w:cs="Calibri Light"/>
        </w:rPr>
        <w:tab/>
      </w:r>
      <w:r w:rsidR="007C15A6">
        <w:t>Victorian Public S</w:t>
      </w:r>
      <w:r w:rsidR="0085124A">
        <w:t>e</w:t>
      </w:r>
      <w:r w:rsidR="00EC587C">
        <w:t>ctor</w:t>
      </w:r>
      <w:r w:rsidR="007C15A6">
        <w:t xml:space="preserve"> Commission</w:t>
      </w:r>
      <w:r w:rsidR="007C15A6" w:rsidRPr="004F023D">
        <w:rPr>
          <w:rFonts w:cs="Calibri Light"/>
        </w:rPr>
        <w:t xml:space="preserve"> </w:t>
      </w:r>
      <w:r w:rsidR="007C15A6">
        <w:rPr>
          <w:rFonts w:cs="Calibri Light"/>
        </w:rPr>
        <w:t>(</w:t>
      </w:r>
      <w:r w:rsidRPr="004F023D">
        <w:rPr>
          <w:rFonts w:cs="Calibri Light"/>
        </w:rPr>
        <w:t>VPSC</w:t>
      </w:r>
      <w:r w:rsidR="007C15A6">
        <w:rPr>
          <w:rFonts w:cs="Calibri Light"/>
        </w:rPr>
        <w:t>)</w:t>
      </w:r>
      <w:r w:rsidRPr="004F023D">
        <w:rPr>
          <w:rFonts w:cs="Calibri Light"/>
        </w:rPr>
        <w:t xml:space="preserve"> </w:t>
      </w:r>
      <w:r w:rsidR="004616F9" w:rsidRPr="004F023D">
        <w:rPr>
          <w:rFonts w:cs="Calibri Light"/>
        </w:rPr>
        <w:t>(</w:t>
      </w:r>
      <w:r w:rsidRPr="004F023D">
        <w:rPr>
          <w:rFonts w:cs="Calibri Light"/>
        </w:rPr>
        <w:t>2022</w:t>
      </w:r>
      <w:r w:rsidR="004616F9" w:rsidRPr="004F023D">
        <w:rPr>
          <w:rFonts w:cs="Calibri Light"/>
        </w:rPr>
        <w:t>)</w:t>
      </w:r>
      <w:r w:rsidRPr="004F023D">
        <w:rPr>
          <w:rFonts w:cs="Calibri Light"/>
        </w:rPr>
        <w:t>, p. 2</w:t>
      </w:r>
      <w:r w:rsidR="005B177C" w:rsidRPr="004F023D">
        <w:rPr>
          <w:rFonts w:cs="Calibri Light"/>
        </w:rPr>
        <w:t>0</w:t>
      </w:r>
      <w:r w:rsidRPr="004F023D">
        <w:rPr>
          <w:rFonts w:cs="Calibri Light"/>
        </w:rPr>
        <w:t>.</w:t>
      </w:r>
    </w:p>
  </w:footnote>
  <w:footnote w:id="11">
    <w:p w14:paraId="2D1ABED0" w14:textId="43349079" w:rsidR="00435810" w:rsidRPr="004F023D" w:rsidRDefault="00435810" w:rsidP="00435810">
      <w:pPr>
        <w:pStyle w:val="FootnoteText"/>
        <w:rPr>
          <w:rFonts w:cs="Calibri Light"/>
        </w:rPr>
      </w:pPr>
      <w:r w:rsidRPr="004F023D">
        <w:rPr>
          <w:rStyle w:val="FootnoteReference"/>
          <w:rFonts w:cs="Calibri Light"/>
        </w:rPr>
        <w:footnoteRef/>
      </w:r>
      <w:r w:rsidRPr="004F023D">
        <w:rPr>
          <w:rFonts w:cs="Calibri Light"/>
        </w:rPr>
        <w:t xml:space="preserve"> </w:t>
      </w:r>
      <w:r w:rsidR="00141EC6">
        <w:rPr>
          <w:rFonts w:cs="Calibri Light"/>
        </w:rPr>
        <w:tab/>
      </w:r>
      <w:r w:rsidRPr="004F023D">
        <w:rPr>
          <w:rFonts w:cs="Calibri Light"/>
        </w:rPr>
        <w:t>VPSC (2022), p. 25.</w:t>
      </w:r>
    </w:p>
  </w:footnote>
  <w:footnote w:id="12">
    <w:p w14:paraId="10202C38" w14:textId="52974E31" w:rsidR="00606241" w:rsidRDefault="00606241">
      <w:pPr>
        <w:pStyle w:val="FootnoteText"/>
      </w:pPr>
      <w:r>
        <w:rPr>
          <w:rStyle w:val="FootnoteReference"/>
        </w:rPr>
        <w:footnoteRef/>
      </w:r>
      <w:r>
        <w:t xml:space="preserve"> </w:t>
      </w:r>
      <w:r w:rsidR="00141EC6">
        <w:tab/>
      </w:r>
      <w:r w:rsidRPr="003E7D6C">
        <w:t>VPSC (2022)</w:t>
      </w:r>
      <w:r w:rsidR="003E7D6C" w:rsidRPr="003E7D6C">
        <w:t>.</w:t>
      </w:r>
    </w:p>
  </w:footnote>
  <w:footnote w:id="13">
    <w:p w14:paraId="5A87E144" w14:textId="1EC8CCD3" w:rsidR="00A9665D" w:rsidRPr="004F023D" w:rsidRDefault="00A9665D" w:rsidP="00A9665D">
      <w:pPr>
        <w:pStyle w:val="FootnoteText"/>
        <w:rPr>
          <w:rFonts w:cs="Calibri Light"/>
        </w:rPr>
      </w:pPr>
      <w:r w:rsidRPr="004F023D">
        <w:rPr>
          <w:rStyle w:val="FootnoteReference"/>
          <w:rFonts w:cs="Calibri Light"/>
        </w:rPr>
        <w:footnoteRef/>
      </w:r>
      <w:r w:rsidRPr="004F023D">
        <w:rPr>
          <w:rFonts w:cs="Calibri Light"/>
        </w:rPr>
        <w:t xml:space="preserve"> </w:t>
      </w:r>
      <w:r w:rsidR="00D4447D">
        <w:rPr>
          <w:rFonts w:cs="Calibri Light"/>
        </w:rPr>
        <w:tab/>
      </w:r>
      <w:r w:rsidRPr="004F023D">
        <w:rPr>
          <w:rFonts w:cs="Calibri Light"/>
        </w:rPr>
        <w:t xml:space="preserve">VPSC (2022), p. </w:t>
      </w:r>
      <w:r w:rsidR="00F94F16">
        <w:rPr>
          <w:rFonts w:cs="Calibri Light"/>
        </w:rPr>
        <w:t>29</w:t>
      </w:r>
      <w:r w:rsidRPr="004F023D">
        <w:rPr>
          <w:rFonts w:cs="Calibri Light"/>
        </w:rPr>
        <w:t>.</w:t>
      </w:r>
    </w:p>
  </w:footnote>
  <w:footnote w:id="14">
    <w:p w14:paraId="6815A30E" w14:textId="186680A3" w:rsidR="00AC428C" w:rsidRDefault="00AC428C">
      <w:pPr>
        <w:pStyle w:val="FootnoteText"/>
      </w:pPr>
      <w:r w:rsidRPr="00A85869">
        <w:rPr>
          <w:rStyle w:val="FootnoteReference"/>
          <w:rFonts w:cs="Calibri Light"/>
        </w:rPr>
        <w:footnoteRef/>
      </w:r>
      <w:r w:rsidRPr="00A85869">
        <w:rPr>
          <w:rFonts w:cs="Calibri Light"/>
        </w:rPr>
        <w:t xml:space="preserve"> </w:t>
      </w:r>
      <w:r w:rsidR="00D4447D">
        <w:rPr>
          <w:rFonts w:cs="Calibri Light"/>
        </w:rPr>
        <w:tab/>
      </w:r>
      <w:r w:rsidRPr="00A85869">
        <w:rPr>
          <w:rFonts w:cs="Calibri Light"/>
          <w:i/>
        </w:rPr>
        <w:t>Superannuation Guarantee (Administration) Act 1992</w:t>
      </w:r>
      <w:r w:rsidRPr="00A85869">
        <w:rPr>
          <w:rFonts w:cs="Calibri Light"/>
        </w:rPr>
        <w:t xml:space="preserve"> (Cth), s. 6(1).</w:t>
      </w:r>
    </w:p>
  </w:footnote>
  <w:footnote w:id="15">
    <w:p w14:paraId="6EB9E0FF" w14:textId="2F61B9B8" w:rsidR="00CB1AFB" w:rsidRPr="00E12FC1" w:rsidRDefault="00CB1AFB">
      <w:pPr>
        <w:pStyle w:val="FootnoteText"/>
      </w:pPr>
      <w:r w:rsidRPr="00E12FC1">
        <w:rPr>
          <w:rStyle w:val="FootnoteReference"/>
        </w:rPr>
        <w:footnoteRef/>
      </w:r>
      <w:r w:rsidR="007B21D1">
        <w:t xml:space="preserve"> </w:t>
      </w:r>
      <w:r w:rsidR="00D4447D">
        <w:tab/>
      </w:r>
      <w:r w:rsidR="000176B8" w:rsidRPr="00E12FC1">
        <w:t>Australian Taxation Office</w:t>
      </w:r>
      <w:r w:rsidR="00EC25C0" w:rsidRPr="00E12FC1">
        <w:t xml:space="preserve"> (2025)</w:t>
      </w:r>
      <w:r w:rsidR="00063BF9" w:rsidRPr="00E12FC1">
        <w:t>.</w:t>
      </w:r>
    </w:p>
  </w:footnote>
  <w:footnote w:id="16">
    <w:p w14:paraId="26C6E8BA" w14:textId="531E8CC7" w:rsidR="00CB1AFB" w:rsidRDefault="00CB1AFB">
      <w:pPr>
        <w:pStyle w:val="FootnoteText"/>
      </w:pPr>
      <w:r w:rsidRPr="00E12FC1">
        <w:rPr>
          <w:rStyle w:val="FootnoteReference"/>
        </w:rPr>
        <w:footnoteRef/>
      </w:r>
      <w:r w:rsidR="007B21D1">
        <w:t xml:space="preserve"> </w:t>
      </w:r>
      <w:r w:rsidR="00D4447D">
        <w:tab/>
      </w:r>
      <w:r w:rsidR="00EC25C0" w:rsidRPr="00E12FC1">
        <w:t>Australian Taxation Office (2025)</w:t>
      </w:r>
      <w:r w:rsidR="00063BF9" w:rsidRPr="00E12FC1">
        <w:t>.</w:t>
      </w:r>
    </w:p>
  </w:footnote>
  <w:footnote w:id="17">
    <w:p w14:paraId="077D8807" w14:textId="560B8C54" w:rsidR="00CB1AFB" w:rsidRDefault="00CB1AFB">
      <w:pPr>
        <w:pStyle w:val="FootnoteText"/>
      </w:pPr>
      <w:r>
        <w:rPr>
          <w:rStyle w:val="FootnoteReference"/>
        </w:rPr>
        <w:footnoteRef/>
      </w:r>
      <w:r w:rsidR="001D5790" w:rsidRPr="001029B1">
        <w:t xml:space="preserve"> </w:t>
      </w:r>
      <w:r w:rsidR="00D4447D">
        <w:tab/>
      </w:r>
      <w:r w:rsidRPr="001029B1">
        <w:t>VPSC (2022), pp. 5</w:t>
      </w:r>
      <w:r w:rsidR="00E461E4" w:rsidRPr="001029B1">
        <w:t>2</w:t>
      </w:r>
      <w:r w:rsidRPr="001029B1">
        <w:t>-5</w:t>
      </w:r>
      <w:r w:rsidR="00E461E4" w:rsidRPr="001029B1">
        <w:t>3</w:t>
      </w:r>
      <w:r w:rsidRPr="001029B1">
        <w:t>.</w:t>
      </w:r>
    </w:p>
  </w:footnote>
  <w:footnote w:id="18">
    <w:p w14:paraId="1201A4CA" w14:textId="14134AC9" w:rsidR="00CB1AFB" w:rsidRDefault="00CB1AFB" w:rsidP="006806D4">
      <w:pPr>
        <w:pStyle w:val="FootnoteText"/>
      </w:pPr>
      <w:r>
        <w:rPr>
          <w:rStyle w:val="FootnoteReference"/>
        </w:rPr>
        <w:footnoteRef/>
      </w:r>
      <w:r>
        <w:t xml:space="preserve"> </w:t>
      </w:r>
      <w:r w:rsidR="00D4447D">
        <w:tab/>
      </w:r>
      <w:r w:rsidRPr="00CB1AFB">
        <w:t>State Government of Victoria (202</w:t>
      </w:r>
      <w:r w:rsidR="002B4676">
        <w:t>4</w:t>
      </w:r>
      <w:r w:rsidRPr="00CB1AFB">
        <w:t>).</w:t>
      </w:r>
    </w:p>
  </w:footnote>
  <w:footnote w:id="19">
    <w:p w14:paraId="7D7D4424" w14:textId="4328B372" w:rsidR="006806D4" w:rsidRDefault="006806D4" w:rsidP="006806D4">
      <w:pPr>
        <w:pStyle w:val="FootnoteText"/>
      </w:pPr>
      <w:r>
        <w:rPr>
          <w:rStyle w:val="FootnoteReference"/>
        </w:rPr>
        <w:footnoteRef/>
      </w:r>
      <w:r>
        <w:t xml:space="preserve"> </w:t>
      </w:r>
      <w:r w:rsidR="00D4447D">
        <w:tab/>
      </w:r>
      <w:r>
        <w:t>D</w:t>
      </w:r>
      <w:r w:rsidR="00A07CB2">
        <w:t xml:space="preserve">epartment of </w:t>
      </w:r>
      <w:r>
        <w:t>T</w:t>
      </w:r>
      <w:r w:rsidR="00A07CB2">
        <w:t xml:space="preserve">reasury and </w:t>
      </w:r>
      <w:r>
        <w:t>F</w:t>
      </w:r>
      <w:r w:rsidR="00A07CB2">
        <w:t>inance (DTF)</w:t>
      </w:r>
      <w:r>
        <w:t xml:space="preserve"> (2025</w:t>
      </w:r>
      <w:r w:rsidR="003D0AA0">
        <w:t>a</w:t>
      </w:r>
      <w:r>
        <w:t>), p</w:t>
      </w:r>
      <w:r w:rsidR="003A5469">
        <w:t>p</w:t>
      </w:r>
      <w:r>
        <w:t>. 42</w:t>
      </w:r>
      <w:r w:rsidR="003A5469">
        <w:t>-43</w:t>
      </w:r>
      <w:r>
        <w:t>.</w:t>
      </w:r>
    </w:p>
  </w:footnote>
  <w:footnote w:id="20">
    <w:p w14:paraId="7C333987" w14:textId="0B78FF9F" w:rsidR="00655579" w:rsidRDefault="00655579">
      <w:pPr>
        <w:pStyle w:val="FootnoteText"/>
      </w:pPr>
      <w:r>
        <w:rPr>
          <w:rStyle w:val="FootnoteReference"/>
        </w:rPr>
        <w:footnoteRef/>
      </w:r>
      <w:r>
        <w:t xml:space="preserve"> </w:t>
      </w:r>
      <w:r w:rsidR="00D4447D">
        <w:tab/>
      </w:r>
      <w:r>
        <w:t>DTF (2025</w:t>
      </w:r>
      <w:r w:rsidR="003D0AA0">
        <w:t>a</w:t>
      </w:r>
      <w:r>
        <w:t>), p. 42.</w:t>
      </w:r>
    </w:p>
  </w:footnote>
  <w:footnote w:id="21">
    <w:p w14:paraId="7E92C532" w14:textId="3BF33D1F" w:rsidR="00D4592B" w:rsidRDefault="00D4592B" w:rsidP="00D4592B">
      <w:pPr>
        <w:pStyle w:val="FootnoteText"/>
      </w:pPr>
      <w:r>
        <w:rPr>
          <w:rStyle w:val="FootnoteReference"/>
        </w:rPr>
        <w:footnoteRef/>
      </w:r>
      <w:r>
        <w:t xml:space="preserve"> </w:t>
      </w:r>
      <w:r w:rsidR="00D4447D">
        <w:tab/>
      </w:r>
      <w:r>
        <w:t>DTF (2025</w:t>
      </w:r>
      <w:r w:rsidR="003D0AA0">
        <w:t>a</w:t>
      </w:r>
      <w:r>
        <w:t>), p. 42.</w:t>
      </w:r>
    </w:p>
  </w:footnote>
  <w:footnote w:id="22">
    <w:p w14:paraId="1BC3DB10" w14:textId="7D7C973D" w:rsidR="002C49FE" w:rsidRDefault="002C49FE">
      <w:pPr>
        <w:pStyle w:val="FootnoteText"/>
      </w:pPr>
      <w:r>
        <w:rPr>
          <w:rStyle w:val="FootnoteReference"/>
        </w:rPr>
        <w:footnoteRef/>
      </w:r>
      <w:r>
        <w:t xml:space="preserve"> </w:t>
      </w:r>
      <w:r w:rsidR="00D4447D">
        <w:tab/>
      </w:r>
      <w:r>
        <w:t>DTF (2025</w:t>
      </w:r>
      <w:r w:rsidR="003D0AA0">
        <w:t>a</w:t>
      </w:r>
      <w:r>
        <w:t>), p. 4</w:t>
      </w:r>
      <w:r w:rsidR="0080206B">
        <w:t>3</w:t>
      </w:r>
      <w:r>
        <w:t>.</w:t>
      </w:r>
    </w:p>
  </w:footnote>
  <w:footnote w:id="23">
    <w:p w14:paraId="7BE23A3D" w14:textId="2FC2FC37" w:rsidR="006C5AE4" w:rsidRDefault="006C5AE4">
      <w:pPr>
        <w:pStyle w:val="FootnoteText"/>
      </w:pPr>
      <w:r>
        <w:rPr>
          <w:rStyle w:val="FootnoteReference"/>
        </w:rPr>
        <w:footnoteRef/>
      </w:r>
      <w:r>
        <w:t xml:space="preserve"> </w:t>
      </w:r>
      <w:r w:rsidR="00D4447D">
        <w:tab/>
      </w:r>
      <w:r w:rsidR="00E9448F" w:rsidRPr="00DB25ED">
        <w:t>DTF (2025</w:t>
      </w:r>
      <w:r w:rsidR="009D1533">
        <w:t>b</w:t>
      </w:r>
      <w:r w:rsidR="00E9448F" w:rsidRPr="00DB25ED">
        <w:t>), p. 13</w:t>
      </w:r>
      <w:r w:rsidRPr="00DB25ED">
        <w:t>.</w:t>
      </w:r>
    </w:p>
  </w:footnote>
  <w:footnote w:id="24">
    <w:p w14:paraId="4D99F242" w14:textId="6652A9F6" w:rsidR="00DB25ED" w:rsidRDefault="00DB25ED">
      <w:pPr>
        <w:pStyle w:val="FootnoteText"/>
      </w:pPr>
      <w:r>
        <w:rPr>
          <w:rStyle w:val="FootnoteReference"/>
        </w:rPr>
        <w:footnoteRef/>
      </w:r>
      <w:r>
        <w:t xml:space="preserve"> </w:t>
      </w:r>
      <w:r w:rsidR="00D4447D">
        <w:tab/>
      </w:r>
      <w:r w:rsidRPr="00DB25ED">
        <w:t>DTF (2025</w:t>
      </w:r>
      <w:r w:rsidR="009D1533">
        <w:t>b</w:t>
      </w:r>
      <w:r w:rsidRPr="00DB25ED">
        <w:t>), p. 13.</w:t>
      </w:r>
    </w:p>
  </w:footnote>
  <w:footnote w:id="25">
    <w:p w14:paraId="22A8F1C6" w14:textId="0C4F365C" w:rsidR="00F3139E" w:rsidRDefault="00F3139E">
      <w:pPr>
        <w:pStyle w:val="FootnoteText"/>
      </w:pPr>
      <w:r>
        <w:rPr>
          <w:rStyle w:val="FootnoteReference"/>
        </w:rPr>
        <w:footnoteRef/>
      </w:r>
      <w:r>
        <w:t xml:space="preserve"> </w:t>
      </w:r>
      <w:r w:rsidR="00D4447D">
        <w:tab/>
      </w:r>
      <w:r w:rsidR="000C3763">
        <w:t>A</w:t>
      </w:r>
      <w:r w:rsidR="00BD51D6">
        <w:t xml:space="preserve">ustralian </w:t>
      </w:r>
      <w:r w:rsidR="000C3763">
        <w:t>B</w:t>
      </w:r>
      <w:r w:rsidR="00BD51D6">
        <w:t xml:space="preserve">ureau of </w:t>
      </w:r>
      <w:r w:rsidR="000C3763" w:rsidRPr="004F4523">
        <w:t>S</w:t>
      </w:r>
      <w:r w:rsidR="00BD51D6">
        <w:t>tatistics (ABS)</w:t>
      </w:r>
      <w:r w:rsidR="000C3763" w:rsidRPr="004F4523">
        <w:t xml:space="preserve"> (2025</w:t>
      </w:r>
      <w:r w:rsidR="006C6328" w:rsidRPr="004F4523">
        <w:t>a</w:t>
      </w:r>
      <w:r w:rsidR="000C3763" w:rsidRPr="004F4523">
        <w:t>).</w:t>
      </w:r>
    </w:p>
  </w:footnote>
  <w:footnote w:id="26">
    <w:p w14:paraId="459C522B" w14:textId="55E521CA" w:rsidR="00272C67" w:rsidRDefault="00272C67" w:rsidP="00272C67">
      <w:pPr>
        <w:pStyle w:val="FootnoteText"/>
      </w:pPr>
      <w:r w:rsidRPr="00482F22">
        <w:rPr>
          <w:rStyle w:val="FootnoteReference"/>
        </w:rPr>
        <w:footnoteRef/>
      </w:r>
      <w:r w:rsidRPr="00482F22">
        <w:t xml:space="preserve"> </w:t>
      </w:r>
      <w:r w:rsidR="00D4447D">
        <w:tab/>
      </w:r>
      <w:r w:rsidRPr="00482F22">
        <w:t xml:space="preserve">RBA (2025), p. </w:t>
      </w:r>
      <w:r w:rsidR="009C14A8">
        <w:t>5</w:t>
      </w:r>
      <w:r w:rsidRPr="00482F22">
        <w:t>2.</w:t>
      </w:r>
    </w:p>
  </w:footnote>
  <w:footnote w:id="27">
    <w:p w14:paraId="0D22E7F2" w14:textId="524E2F54" w:rsidR="00EE26D5" w:rsidRPr="00482F22" w:rsidRDefault="00EE26D5">
      <w:pPr>
        <w:pStyle w:val="FootnoteText"/>
      </w:pPr>
      <w:r>
        <w:rPr>
          <w:rStyle w:val="FootnoteReference"/>
        </w:rPr>
        <w:footnoteRef/>
      </w:r>
      <w:r>
        <w:t xml:space="preserve"> </w:t>
      </w:r>
      <w:r w:rsidR="00D4447D">
        <w:tab/>
      </w:r>
      <w:r w:rsidR="00327AAB" w:rsidRPr="00482F22">
        <w:t xml:space="preserve">RBA (2025), p. </w:t>
      </w:r>
      <w:r w:rsidR="008A38DC" w:rsidRPr="00482F22">
        <w:t>2</w:t>
      </w:r>
      <w:r w:rsidR="00482F22" w:rsidRPr="00482F22">
        <w:t>.</w:t>
      </w:r>
    </w:p>
  </w:footnote>
  <w:footnote w:id="28">
    <w:p w14:paraId="398F49D9" w14:textId="1C7A8767" w:rsidR="00482F22" w:rsidRDefault="00482F22">
      <w:pPr>
        <w:pStyle w:val="FootnoteText"/>
      </w:pPr>
      <w:r>
        <w:rPr>
          <w:rStyle w:val="FootnoteReference"/>
        </w:rPr>
        <w:footnoteRef/>
      </w:r>
      <w:r>
        <w:t xml:space="preserve"> </w:t>
      </w:r>
      <w:r w:rsidR="00D4447D">
        <w:tab/>
      </w:r>
      <w:r>
        <w:t>RBA (2025), p. 4.</w:t>
      </w:r>
    </w:p>
  </w:footnote>
  <w:footnote w:id="29">
    <w:p w14:paraId="26DD97D5" w14:textId="23A944C0" w:rsidR="00530FAD" w:rsidRDefault="00530FAD">
      <w:pPr>
        <w:pStyle w:val="FootnoteText"/>
      </w:pPr>
      <w:r>
        <w:rPr>
          <w:rStyle w:val="FootnoteReference"/>
        </w:rPr>
        <w:footnoteRef/>
      </w:r>
      <w:r>
        <w:t xml:space="preserve"> </w:t>
      </w:r>
      <w:r w:rsidR="00D4447D">
        <w:tab/>
      </w:r>
      <w:r>
        <w:t>DTF (2025</w:t>
      </w:r>
      <w:r w:rsidR="009D1533">
        <w:t>a</w:t>
      </w:r>
      <w:r>
        <w:t>), p. 17.</w:t>
      </w:r>
    </w:p>
  </w:footnote>
  <w:footnote w:id="30">
    <w:p w14:paraId="0B3DE427" w14:textId="2FBF346C" w:rsidR="003F21C4" w:rsidRDefault="003F21C4">
      <w:pPr>
        <w:pStyle w:val="FootnoteText"/>
      </w:pPr>
      <w:r>
        <w:rPr>
          <w:rStyle w:val="FootnoteReference"/>
        </w:rPr>
        <w:footnoteRef/>
      </w:r>
      <w:r>
        <w:t xml:space="preserve"> </w:t>
      </w:r>
      <w:r w:rsidR="00D4447D">
        <w:tab/>
      </w:r>
      <w:r>
        <w:t>DTF (2025</w:t>
      </w:r>
      <w:r w:rsidR="009D1533">
        <w:t>a</w:t>
      </w:r>
      <w:r>
        <w:t xml:space="preserve">), p. </w:t>
      </w:r>
      <w:r w:rsidR="004037E2">
        <w:t>18</w:t>
      </w:r>
      <w:r>
        <w:t>.</w:t>
      </w:r>
    </w:p>
  </w:footnote>
  <w:footnote w:id="31">
    <w:p w14:paraId="74A0178E" w14:textId="3ABC87A3" w:rsidR="00B91502" w:rsidRDefault="00B91502">
      <w:pPr>
        <w:pStyle w:val="FootnoteText"/>
      </w:pPr>
      <w:r>
        <w:rPr>
          <w:rStyle w:val="FootnoteReference"/>
        </w:rPr>
        <w:footnoteRef/>
      </w:r>
      <w:r>
        <w:t xml:space="preserve"> </w:t>
      </w:r>
      <w:r w:rsidR="00D4447D">
        <w:tab/>
      </w:r>
      <w:r>
        <w:t>ABS (2025b).</w:t>
      </w:r>
    </w:p>
  </w:footnote>
  <w:footnote w:id="32">
    <w:p w14:paraId="295B7475" w14:textId="6DAC4636" w:rsidR="009913BF" w:rsidRDefault="009913BF">
      <w:pPr>
        <w:pStyle w:val="FootnoteText"/>
      </w:pPr>
      <w:r>
        <w:rPr>
          <w:rStyle w:val="FootnoteReference"/>
        </w:rPr>
        <w:footnoteRef/>
      </w:r>
      <w:r>
        <w:t xml:space="preserve"> </w:t>
      </w:r>
      <w:r w:rsidR="00D4447D">
        <w:tab/>
      </w:r>
      <w:r w:rsidR="0074207A">
        <w:t>RBA</w:t>
      </w:r>
      <w:r>
        <w:t xml:space="preserve"> (2025)</w:t>
      </w:r>
      <w:r w:rsidR="0074207A">
        <w:t>, p. 3</w:t>
      </w:r>
      <w:r>
        <w:t>.</w:t>
      </w:r>
    </w:p>
  </w:footnote>
  <w:footnote w:id="33">
    <w:p w14:paraId="3590C07D" w14:textId="1906CEEC" w:rsidR="0086292E" w:rsidRDefault="0086292E">
      <w:pPr>
        <w:pStyle w:val="FootnoteText"/>
      </w:pPr>
      <w:r>
        <w:rPr>
          <w:rStyle w:val="FootnoteReference"/>
        </w:rPr>
        <w:footnoteRef/>
      </w:r>
      <w:r>
        <w:t xml:space="preserve"> </w:t>
      </w:r>
      <w:r w:rsidR="00DC6F10">
        <w:tab/>
      </w:r>
      <w:r w:rsidR="0074207A">
        <w:t>ABS (2025b).</w:t>
      </w:r>
    </w:p>
  </w:footnote>
  <w:footnote w:id="34">
    <w:p w14:paraId="749FDAF3" w14:textId="353CF898" w:rsidR="002F1A5E" w:rsidRDefault="002F1A5E">
      <w:pPr>
        <w:pStyle w:val="FootnoteText"/>
      </w:pPr>
      <w:r>
        <w:rPr>
          <w:rStyle w:val="FootnoteReference"/>
        </w:rPr>
        <w:footnoteRef/>
      </w:r>
      <w:r>
        <w:t xml:space="preserve"> </w:t>
      </w:r>
      <w:r w:rsidR="00DC6F10">
        <w:tab/>
      </w:r>
      <w:r>
        <w:t>DTF (2025</w:t>
      </w:r>
      <w:r w:rsidR="00B4090C">
        <w:t>a</w:t>
      </w:r>
      <w:r>
        <w:t>), p.</w:t>
      </w:r>
      <w:r w:rsidR="00CD6E9E">
        <w:t xml:space="preserve"> 18.</w:t>
      </w:r>
    </w:p>
  </w:footnote>
  <w:footnote w:id="35">
    <w:p w14:paraId="5FB1A4A2" w14:textId="7F19B648" w:rsidR="00C22C7C" w:rsidRDefault="00C22C7C">
      <w:pPr>
        <w:pStyle w:val="FootnoteText"/>
      </w:pPr>
      <w:r w:rsidRPr="002950E6">
        <w:rPr>
          <w:rStyle w:val="FootnoteReference"/>
        </w:rPr>
        <w:footnoteRef/>
      </w:r>
      <w:r w:rsidRPr="002950E6">
        <w:t xml:space="preserve"> </w:t>
      </w:r>
      <w:r w:rsidR="00DC6F10">
        <w:tab/>
      </w:r>
      <w:r w:rsidRPr="002950E6">
        <w:t>ABS (2025</w:t>
      </w:r>
      <w:r w:rsidR="002950E6" w:rsidRPr="002950E6">
        <w:t>c</w:t>
      </w:r>
      <w:r w:rsidRPr="002950E6">
        <w:t>).</w:t>
      </w:r>
    </w:p>
  </w:footnote>
  <w:footnote w:id="36">
    <w:p w14:paraId="1795A748" w14:textId="1872EAE9" w:rsidR="00163E06" w:rsidRDefault="00163E06">
      <w:pPr>
        <w:pStyle w:val="FootnoteText"/>
      </w:pPr>
      <w:r>
        <w:rPr>
          <w:rStyle w:val="FootnoteReference"/>
        </w:rPr>
        <w:footnoteRef/>
      </w:r>
      <w:r>
        <w:t xml:space="preserve"> </w:t>
      </w:r>
      <w:r w:rsidR="00DC6F10">
        <w:tab/>
      </w:r>
      <w:r>
        <w:t xml:space="preserve">RBA (2025), p. </w:t>
      </w:r>
      <w:r w:rsidR="002F47AE">
        <w:t>53.</w:t>
      </w:r>
    </w:p>
  </w:footnote>
  <w:footnote w:id="37">
    <w:p w14:paraId="43076633" w14:textId="0BAA9EC6" w:rsidR="006D4315" w:rsidRDefault="006D4315">
      <w:pPr>
        <w:pStyle w:val="FootnoteText"/>
      </w:pPr>
      <w:r>
        <w:rPr>
          <w:rStyle w:val="FootnoteReference"/>
        </w:rPr>
        <w:footnoteRef/>
      </w:r>
      <w:r>
        <w:t xml:space="preserve"> </w:t>
      </w:r>
      <w:r w:rsidR="00DC6F10">
        <w:tab/>
      </w:r>
      <w:r>
        <w:t>DTF (2025</w:t>
      </w:r>
      <w:r w:rsidR="00B4090C">
        <w:t>a</w:t>
      </w:r>
      <w:r>
        <w:t xml:space="preserve">), p. 27. </w:t>
      </w:r>
    </w:p>
  </w:footnote>
  <w:footnote w:id="38">
    <w:p w14:paraId="0B68D1E9" w14:textId="2B99D943" w:rsidR="00AF0821" w:rsidRDefault="00AF0821">
      <w:pPr>
        <w:pStyle w:val="FootnoteText"/>
      </w:pPr>
      <w:r>
        <w:rPr>
          <w:rStyle w:val="FootnoteReference"/>
        </w:rPr>
        <w:footnoteRef/>
      </w:r>
      <w:r>
        <w:t xml:space="preserve"> </w:t>
      </w:r>
      <w:r w:rsidR="00DC6F10">
        <w:tab/>
      </w:r>
      <w:r>
        <w:t>ABS (2025</w:t>
      </w:r>
      <w:r w:rsidR="002950E6">
        <w:t>d</w:t>
      </w:r>
      <w:r>
        <w:t>).</w:t>
      </w:r>
    </w:p>
  </w:footnote>
  <w:footnote w:id="39">
    <w:p w14:paraId="0667C0F9" w14:textId="4830B62E" w:rsidR="002012F2" w:rsidRDefault="002012F2">
      <w:pPr>
        <w:pStyle w:val="FootnoteText"/>
      </w:pPr>
      <w:r>
        <w:rPr>
          <w:rStyle w:val="FootnoteReference"/>
        </w:rPr>
        <w:footnoteRef/>
      </w:r>
      <w:r>
        <w:t xml:space="preserve"> </w:t>
      </w:r>
      <w:r w:rsidR="00DC6F10">
        <w:tab/>
      </w:r>
      <w:r w:rsidR="00C2129D">
        <w:t xml:space="preserve">RBA (2025), p. </w:t>
      </w:r>
      <w:r w:rsidR="00FD147B">
        <w:t>54</w:t>
      </w:r>
      <w:r w:rsidR="00B328C9">
        <w:t>.</w:t>
      </w:r>
    </w:p>
  </w:footnote>
  <w:footnote w:id="40">
    <w:p w14:paraId="3284B05B" w14:textId="0FC9F08F" w:rsidR="004A14F2" w:rsidRDefault="004A14F2">
      <w:pPr>
        <w:pStyle w:val="FootnoteText"/>
      </w:pPr>
      <w:r>
        <w:rPr>
          <w:rStyle w:val="FootnoteReference"/>
        </w:rPr>
        <w:footnoteRef/>
      </w:r>
      <w:r>
        <w:t xml:space="preserve"> </w:t>
      </w:r>
      <w:r w:rsidR="00DC6F10">
        <w:tab/>
      </w:r>
      <w:r>
        <w:t>ABS (2025</w:t>
      </w:r>
      <w:r w:rsidR="002950E6">
        <w:t>d</w:t>
      </w:r>
      <w:r>
        <w:t>).</w:t>
      </w:r>
    </w:p>
  </w:footnote>
  <w:footnote w:id="41">
    <w:p w14:paraId="180CD2B2" w14:textId="511E5C5D" w:rsidR="00D7174E" w:rsidRDefault="00D7174E">
      <w:pPr>
        <w:pStyle w:val="FootnoteText"/>
      </w:pPr>
      <w:r>
        <w:rPr>
          <w:rStyle w:val="FootnoteReference"/>
        </w:rPr>
        <w:footnoteRef/>
      </w:r>
      <w:r>
        <w:t xml:space="preserve"> </w:t>
      </w:r>
      <w:r w:rsidR="00DC6F10">
        <w:tab/>
      </w:r>
      <w:r>
        <w:t>DTF (2025</w:t>
      </w:r>
      <w:r w:rsidR="00B4090C">
        <w:t>a</w:t>
      </w:r>
      <w:r>
        <w:t>), p. 30.</w:t>
      </w:r>
    </w:p>
  </w:footnote>
  <w:footnote w:id="42">
    <w:p w14:paraId="5B316D37" w14:textId="14CA4164" w:rsidR="007C37CE" w:rsidRDefault="007C37CE" w:rsidP="007C37CE">
      <w:pPr>
        <w:pStyle w:val="FootnoteText"/>
      </w:pPr>
      <w:r>
        <w:rPr>
          <w:rStyle w:val="FootnoteReference"/>
        </w:rPr>
        <w:footnoteRef/>
      </w:r>
      <w:r>
        <w:t xml:space="preserve"> </w:t>
      </w:r>
      <w:r w:rsidR="00DC6F10">
        <w:tab/>
      </w:r>
      <w:r>
        <w:t>DTF (2025</w:t>
      </w:r>
      <w:r w:rsidR="00B4090C">
        <w:t>a</w:t>
      </w:r>
      <w:r>
        <w:t>), p</w:t>
      </w:r>
      <w:r w:rsidR="00F646DB">
        <w:t>p</w:t>
      </w:r>
      <w:r>
        <w:t xml:space="preserve">. </w:t>
      </w:r>
      <w:r w:rsidR="00F646DB">
        <w:t>18,</w:t>
      </w:r>
      <w:r>
        <w:t xml:space="preserve"> 30.</w:t>
      </w:r>
    </w:p>
  </w:footnote>
  <w:footnote w:id="43">
    <w:p w14:paraId="479F7E0F" w14:textId="085DEA72" w:rsidR="003B455D" w:rsidRDefault="003B455D">
      <w:pPr>
        <w:pStyle w:val="FootnoteText"/>
      </w:pPr>
      <w:r>
        <w:rPr>
          <w:rStyle w:val="FootnoteReference"/>
        </w:rPr>
        <w:footnoteRef/>
      </w:r>
      <w:r>
        <w:t xml:space="preserve"> </w:t>
      </w:r>
      <w:r w:rsidR="00DC6F10">
        <w:tab/>
      </w:r>
      <w:r w:rsidR="002C1710">
        <w:t>Remuneration Tribunal</w:t>
      </w:r>
      <w:r w:rsidR="00982ACA">
        <w:t xml:space="preserve"> (2025)</w:t>
      </w:r>
      <w:r w:rsidR="00C61CC5">
        <w:t xml:space="preserve">, </w:t>
      </w:r>
      <w:r w:rsidR="00B93853">
        <w:t>p. 1</w:t>
      </w:r>
      <w:r w:rsidR="00982ACA">
        <w:t>.</w:t>
      </w:r>
    </w:p>
  </w:footnote>
  <w:footnote w:id="44">
    <w:p w14:paraId="42580F4F" w14:textId="15F7BF6E" w:rsidR="00DC0E18" w:rsidRDefault="00DC0E18">
      <w:pPr>
        <w:pStyle w:val="FootnoteText"/>
      </w:pPr>
      <w:r>
        <w:rPr>
          <w:rStyle w:val="FootnoteReference"/>
        </w:rPr>
        <w:footnoteRef/>
      </w:r>
      <w:r>
        <w:t xml:space="preserve"> </w:t>
      </w:r>
      <w:r w:rsidR="00DC6F10">
        <w:tab/>
      </w:r>
      <w:r w:rsidR="00486E18">
        <w:t>A</w:t>
      </w:r>
      <w:r w:rsidR="004445D2">
        <w:t>ustralian Public Service Commission (APSC) (202</w:t>
      </w:r>
      <w:r w:rsidR="00A6599A">
        <w:t>2</w:t>
      </w:r>
      <w:r w:rsidR="004445D2">
        <w:t>)</w:t>
      </w:r>
      <w:r w:rsidR="004A554E">
        <w:t>, p. 3</w:t>
      </w:r>
      <w:r w:rsidR="00EA6259">
        <w:t>.</w:t>
      </w:r>
    </w:p>
  </w:footnote>
  <w:footnote w:id="45">
    <w:p w14:paraId="5D80A1F8" w14:textId="5C779249" w:rsidR="008808F2" w:rsidRDefault="008808F2">
      <w:pPr>
        <w:pStyle w:val="FootnoteText"/>
      </w:pPr>
      <w:r>
        <w:rPr>
          <w:rStyle w:val="FootnoteReference"/>
        </w:rPr>
        <w:footnoteRef/>
      </w:r>
      <w:r>
        <w:t xml:space="preserve"> </w:t>
      </w:r>
      <w:r w:rsidR="00DC6F10">
        <w:tab/>
      </w:r>
      <w:r w:rsidR="00E96CCD">
        <w:t>APSC (202</w:t>
      </w:r>
      <w:r w:rsidR="000C61A5">
        <w:t>2</w:t>
      </w:r>
      <w:r w:rsidR="00E96CCD">
        <w:t>).</w:t>
      </w:r>
    </w:p>
  </w:footnote>
  <w:footnote w:id="46">
    <w:p w14:paraId="56EADF33" w14:textId="7233E49E" w:rsidR="0067239B" w:rsidRDefault="0067239B">
      <w:pPr>
        <w:pStyle w:val="FootnoteText"/>
      </w:pPr>
      <w:r>
        <w:rPr>
          <w:rStyle w:val="FootnoteReference"/>
        </w:rPr>
        <w:footnoteRef/>
      </w:r>
      <w:r>
        <w:t xml:space="preserve"> </w:t>
      </w:r>
      <w:r w:rsidR="00DC6F10">
        <w:tab/>
      </w:r>
      <w:r w:rsidR="00C61CC5" w:rsidRPr="00C61CC5">
        <w:t>Statutory and Other Offices Remuneration Tribunal (NSW) (2025).</w:t>
      </w:r>
    </w:p>
  </w:footnote>
  <w:footnote w:id="47">
    <w:p w14:paraId="01941E21" w14:textId="4BD66308" w:rsidR="00344FB7" w:rsidRDefault="00344FB7">
      <w:pPr>
        <w:pStyle w:val="FootnoteText"/>
      </w:pPr>
      <w:r>
        <w:rPr>
          <w:rStyle w:val="FootnoteReference"/>
        </w:rPr>
        <w:footnoteRef/>
      </w:r>
      <w:r>
        <w:t xml:space="preserve"> </w:t>
      </w:r>
      <w:r w:rsidR="00DC6F10">
        <w:tab/>
      </w:r>
      <w:r w:rsidR="00D8064B">
        <w:t>Queensland Public Sector Commission</w:t>
      </w:r>
      <w:r w:rsidR="00130A8B">
        <w:t xml:space="preserve"> </w:t>
      </w:r>
      <w:r w:rsidR="00D8064B">
        <w:t>(2023).</w:t>
      </w:r>
    </w:p>
  </w:footnote>
  <w:footnote w:id="48">
    <w:p w14:paraId="2DD07463" w14:textId="7AA1F774" w:rsidR="003A4ECF" w:rsidRDefault="003A4ECF" w:rsidP="003A4ECF">
      <w:pPr>
        <w:pStyle w:val="FootnoteText"/>
      </w:pPr>
      <w:r>
        <w:rPr>
          <w:rStyle w:val="FootnoteReference"/>
        </w:rPr>
        <w:footnoteRef/>
      </w:r>
      <w:r>
        <w:t xml:space="preserve"> </w:t>
      </w:r>
      <w:r w:rsidR="00DC6F10">
        <w:tab/>
      </w:r>
      <w:r>
        <w:t>FWC (202</w:t>
      </w:r>
      <w:r w:rsidR="0063067A">
        <w:t>4</w:t>
      </w:r>
      <w:r>
        <w:t>)</w:t>
      </w:r>
      <w:r w:rsidR="00C128D8">
        <w:t>,</w:t>
      </w:r>
      <w:r>
        <w:t xml:space="preserve"> p. 2</w:t>
      </w:r>
      <w:r w:rsidRPr="00061AA5">
        <w:t>.</w:t>
      </w:r>
    </w:p>
  </w:footnote>
  <w:footnote w:id="49">
    <w:p w14:paraId="2CFCD4FF" w14:textId="0A376CC1" w:rsidR="00230738" w:rsidRPr="00230738" w:rsidRDefault="00230738" w:rsidP="00230738">
      <w:pPr>
        <w:pStyle w:val="Footnotes"/>
      </w:pPr>
      <w:r>
        <w:rPr>
          <w:rStyle w:val="FootnoteReference"/>
        </w:rPr>
        <w:footnoteRef/>
      </w:r>
      <w:r>
        <w:t xml:space="preserve"> </w:t>
      </w:r>
      <w:r w:rsidRPr="00A92673">
        <w:t>P</w:t>
      </w:r>
      <w:r w:rsidR="002E7DB5" w:rsidRPr="00A92673">
        <w:t>AA</w:t>
      </w:r>
      <w:r w:rsidRPr="00DF158B">
        <w:t>, s. 25(4)(a).</w:t>
      </w:r>
    </w:p>
    <w:p w14:paraId="48B4AF5A" w14:textId="7A83F6A7" w:rsidR="00230738" w:rsidRDefault="0023073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5BB6" w14:textId="77777777" w:rsidR="004753FE" w:rsidRDefault="00000000">
    <w:pPr>
      <w:pStyle w:val="Header"/>
    </w:pPr>
    <w:r>
      <w:rPr>
        <w:noProof/>
      </w:rPr>
      <w:pict w14:anchorId="2F260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0" type="#_x0000_t136" style="position:absolute;margin-left:0;margin-top:0;width:304pt;height:121.55pt;rotation:315;z-index:-251658234;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02C471C">
        <v:shape id="_x0000_s1101" type="#_x0000_t136" style="position:absolute;margin-left:0;margin-top:0;width:304pt;height:121.55pt;rotation:315;z-index:-251658236;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1DB0F3F0">
        <v:shape id="_x0000_s1102" type="#_x0000_t136" style="position:absolute;margin-left:0;margin-top:0;width:266pt;height:159.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15AA" w14:textId="77777777" w:rsidR="004753FE" w:rsidRDefault="00000000">
    <w:pPr>
      <w:pStyle w:val="Header"/>
    </w:pPr>
    <w:r>
      <w:rPr>
        <w:noProof/>
      </w:rPr>
      <w:pict w14:anchorId="288AE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4" type="#_x0000_t136" style="position:absolute;margin-left:0;margin-top:0;width:304pt;height:121.55pt;rotation:315;z-index:-251658235;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74D33F06">
        <v:shape id="_x0000_s1105" type="#_x0000_t136" style="position:absolute;margin-left:0;margin-top:0;width:304pt;height:121.55pt;rotation:315;z-index:-251658237;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725B4ED">
        <v:shape id="_x0000_s1106" type="#_x0000_t136" style="position:absolute;margin-left:0;margin-top:0;width:266pt;height:159.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96D0" w14:textId="77777777" w:rsidR="005E0471" w:rsidRDefault="005E0471">
    <w:pPr>
      <w:pStyle w:val="Header"/>
    </w:pPr>
    <w:r>
      <w:rPr>
        <w:noProof/>
      </w:rPr>
      <mc:AlternateContent>
        <mc:Choice Requires="wps">
          <w:drawing>
            <wp:anchor distT="0" distB="0" distL="114300" distR="114300" simplePos="0" relativeHeight="251658248" behindDoc="1" locked="0" layoutInCell="0" allowOverlap="1" wp14:anchorId="2C9AC9BB" wp14:editId="4939D869">
              <wp:simplePos x="0" y="0"/>
              <wp:positionH relativeFrom="margin">
                <wp:align>center</wp:align>
              </wp:positionH>
              <wp:positionV relativeFrom="margin">
                <wp:align>center</wp:align>
              </wp:positionV>
              <wp:extent cx="3860800" cy="1543685"/>
              <wp:effectExtent l="0" t="1047750" r="0" b="847090"/>
              <wp:wrapNone/>
              <wp:docPr id="591259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B70233"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9AC9BB" id="_x0000_t202" coordsize="21600,21600" o:spt="202" path="m,l,21600r21600,l21600,xe">
              <v:stroke joinstyle="miter"/>
              <v:path gradientshapeok="t" o:connecttype="rect"/>
            </v:shapetype>
            <v:shape id="Text Box 3" o:spid="_x0000_s1027" type="#_x0000_t202" style="position:absolute;margin-left:0;margin-top:0;width:304pt;height:121.5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Qw8wEAAMUDAAAOAAAAZHJzL2Uyb0RvYy54bWysU8GO0zAQvSPxD5bvNMkurU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" o:allowincell="f" filled="f" stroked="f">
              <v:stroke joinstyle="round"/>
              <o:lock v:ext="edit" shapetype="t"/>
              <v:textbox style="mso-fit-shape-to-text:t">
                <w:txbxContent>
                  <w:p w14:paraId="11B70233"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7" behindDoc="1" locked="0" layoutInCell="0" allowOverlap="1" wp14:anchorId="4B3006F1" wp14:editId="0C871A61">
              <wp:simplePos x="0" y="0"/>
              <wp:positionH relativeFrom="margin">
                <wp:align>center</wp:align>
              </wp:positionH>
              <wp:positionV relativeFrom="margin">
                <wp:align>center</wp:align>
              </wp:positionV>
              <wp:extent cx="3860800" cy="1543685"/>
              <wp:effectExtent l="0" t="1047750" r="0" b="847090"/>
              <wp:wrapNone/>
              <wp:docPr id="321575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A56B45"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3006F1" id="Text Box 2" o:spid="_x0000_s1028" type="#_x0000_t202" style="position:absolute;margin-left:0;margin-top:0;width:304pt;height:121.5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19gEAAMwDAAAOAAAAZHJzL2Uyb0RvYy54bWysU8GO0zAQvSPxD5bvNMkurU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" o:allowincell="f" filled="f" stroked="f">
              <v:stroke joinstyle="round"/>
              <o:lock v:ext="edit" shapetype="t"/>
              <v:textbox style="mso-fit-shape-to-text:t">
                <w:txbxContent>
                  <w:p w14:paraId="7BA56B45"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360BB203" wp14:editId="79B8EE75">
              <wp:simplePos x="0" y="0"/>
              <wp:positionH relativeFrom="margin">
                <wp:align>center</wp:align>
              </wp:positionH>
              <wp:positionV relativeFrom="margin">
                <wp:align>center</wp:align>
              </wp:positionV>
              <wp:extent cx="3378200" cy="2026920"/>
              <wp:effectExtent l="0" t="742950" r="0" b="421005"/>
              <wp:wrapNone/>
              <wp:docPr id="9910391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378200" cy="2026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D48161" w14:textId="77777777" w:rsidR="005E0471" w:rsidRDefault="005E0471" w:rsidP="001D7AC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0BB203" id="Text Box 1" o:spid="_x0000_s1029" type="#_x0000_t202" style="position:absolute;margin-left:0;margin-top:0;width:266pt;height:159.6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" o:allowincell="f" filled="f" stroked="f">
              <v:stroke joinstyle="round"/>
              <o:lock v:ext="edit" shapetype="t"/>
              <v:textbox style="mso-fit-shape-to-text:t">
                <w:txbxContent>
                  <w:p w14:paraId="73D48161" w14:textId="77777777" w:rsidR="005E0471" w:rsidRDefault="005E0471" w:rsidP="001D7AC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21F8" w14:textId="77777777" w:rsidR="005E0471" w:rsidRDefault="005E0471">
    <w:pPr>
      <w:pStyle w:val="Header"/>
      <w:rPr>
        <w:noProof/>
      </w:rPr>
    </w:pPr>
  </w:p>
  <w:p w14:paraId="3959177D" w14:textId="77777777" w:rsidR="005E0471" w:rsidRDefault="005E0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F300" w14:textId="77777777" w:rsidR="00B87273" w:rsidRDefault="00B87273">
    <w:pPr>
      <w:pStyle w:val="Header"/>
    </w:pPr>
    <w:r>
      <w:rPr>
        <w:noProof/>
      </w:rPr>
      <mc:AlternateContent>
        <mc:Choice Requires="wps">
          <w:drawing>
            <wp:anchor distT="0" distB="0" distL="114300" distR="114300" simplePos="0" relativeHeight="251658251" behindDoc="1" locked="0" layoutInCell="0" allowOverlap="1" wp14:anchorId="04F3ABBB" wp14:editId="130FCA2D">
              <wp:simplePos x="0" y="0"/>
              <wp:positionH relativeFrom="margin">
                <wp:align>center</wp:align>
              </wp:positionH>
              <wp:positionV relativeFrom="margin">
                <wp:align>center</wp:align>
              </wp:positionV>
              <wp:extent cx="3860800" cy="1543685"/>
              <wp:effectExtent l="0" t="1047750" r="0" b="847090"/>
              <wp:wrapNone/>
              <wp:docPr id="3350922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17DE28" w14:textId="77777777" w:rsidR="00B87273" w:rsidRDefault="00B87273"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F3ABBB" id="_x0000_t202" coordsize="21600,21600" o:spt="202" path="m,l,21600r21600,l21600,xe">
              <v:stroke joinstyle="miter"/>
              <v:path gradientshapeok="t" o:connecttype="rect"/>
            </v:shapetype>
            <v:shape id="_x0000_s1030" type="#_x0000_t202" style="position:absolute;margin-left:0;margin-top:0;width:304pt;height:121.55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kK9wEAAMwDAAAOAAAAZHJzL2Uyb0RvYy54bWysU8GO0zAQvSPxD5bvNMkurU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" o:allowincell="f" filled="f" stroked="f">
              <v:stroke joinstyle="round"/>
              <o:lock v:ext="edit" shapetype="t"/>
              <v:textbox style="mso-fit-shape-to-text:t">
                <w:txbxContent>
                  <w:p w14:paraId="4117DE28" w14:textId="77777777" w:rsidR="00B87273" w:rsidRDefault="00B87273"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50" behindDoc="1" locked="0" layoutInCell="0" allowOverlap="1" wp14:anchorId="5FCBDE63" wp14:editId="2B1F6517">
              <wp:simplePos x="0" y="0"/>
              <wp:positionH relativeFrom="margin">
                <wp:align>center</wp:align>
              </wp:positionH>
              <wp:positionV relativeFrom="margin">
                <wp:align>center</wp:align>
              </wp:positionV>
              <wp:extent cx="3860800" cy="1543685"/>
              <wp:effectExtent l="0" t="1047750" r="0" b="847090"/>
              <wp:wrapNone/>
              <wp:docPr id="665523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B26AD0" w14:textId="77777777" w:rsidR="00B87273" w:rsidRDefault="00B87273"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CBDE63" id="_x0000_s1031" type="#_x0000_t202" style="position:absolute;margin-left:0;margin-top:0;width:304pt;height:121.55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" o:allowincell="f" filled="f" stroked="f">
              <v:stroke joinstyle="round"/>
              <o:lock v:ext="edit" shapetype="t"/>
              <v:textbox style="mso-fit-shape-to-text:t">
                <w:txbxContent>
                  <w:p w14:paraId="4BB26AD0" w14:textId="77777777" w:rsidR="00B87273" w:rsidRDefault="00B87273"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9" behindDoc="1" locked="0" layoutInCell="0" allowOverlap="1" wp14:anchorId="6E75F71F" wp14:editId="3E966350">
              <wp:simplePos x="0" y="0"/>
              <wp:positionH relativeFrom="margin">
                <wp:align>center</wp:align>
              </wp:positionH>
              <wp:positionV relativeFrom="margin">
                <wp:align>center</wp:align>
              </wp:positionV>
              <wp:extent cx="3378200" cy="2026920"/>
              <wp:effectExtent l="0" t="742950" r="0" b="421005"/>
              <wp:wrapNone/>
              <wp:docPr id="10927056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378200" cy="2026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B895F1" w14:textId="77777777" w:rsidR="00B87273" w:rsidRDefault="00B87273" w:rsidP="001D7AC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75F71F" id="_x0000_s1032" type="#_x0000_t202" style="position:absolute;margin-left:0;margin-top:0;width:266pt;height:159.6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" o:allowincell="f" filled="f" stroked="f">
              <v:stroke joinstyle="round"/>
              <o:lock v:ext="edit" shapetype="t"/>
              <v:textbox style="mso-fit-shape-to-text:t">
                <w:txbxContent>
                  <w:p w14:paraId="16B895F1" w14:textId="77777777" w:rsidR="00B87273" w:rsidRDefault="00B87273" w:rsidP="001D7AC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0792" w14:textId="77777777" w:rsidR="00B87273" w:rsidRDefault="00B87273">
    <w:pPr>
      <w:pStyle w:val="Header"/>
      <w:rPr>
        <w:noProof/>
      </w:rPr>
    </w:pPr>
  </w:p>
  <w:p w14:paraId="7BAE1984" w14:textId="77777777" w:rsidR="00B87273" w:rsidRDefault="00B872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74E4" w14:textId="77777777" w:rsidR="009C1981" w:rsidRDefault="009C1981">
    <w:pPr>
      <w:pStyle w:val="Header"/>
    </w:pPr>
  </w:p>
  <w:p w14:paraId="4320011B" w14:textId="77777777" w:rsidR="00700AEB" w:rsidRDefault="00700AEB"/>
  <w:p w14:paraId="3DD73E14" w14:textId="77777777" w:rsidR="00CA359B" w:rsidRDefault="00CA359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33E2" w14:textId="77777777" w:rsidR="00CA359B" w:rsidRPr="00561BE1" w:rsidRDefault="00CA359B" w:rsidP="00561BE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DD39" w14:textId="77777777" w:rsidR="009C1981" w:rsidRDefault="009C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styleLink w:val="ZZNumbersdigit1"/>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024C525B"/>
    <w:multiLevelType w:val="hybridMultilevel"/>
    <w:tmpl w:val="8A8C7DC6"/>
    <w:lvl w:ilvl="0" w:tplc="78223E34">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1" w15:restartNumberingAfterBreak="0">
    <w:nsid w:val="04781A4D"/>
    <w:multiLevelType w:val="hybridMultilevel"/>
    <w:tmpl w:val="60621F06"/>
    <w:lvl w:ilvl="0" w:tplc="AA9CD4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A10E7F"/>
    <w:multiLevelType w:val="hybridMultilevel"/>
    <w:tmpl w:val="7234CB04"/>
    <w:lvl w:ilvl="0" w:tplc="DADE37C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81028E"/>
    <w:multiLevelType w:val="hybridMultilevel"/>
    <w:tmpl w:val="476AFA1A"/>
    <w:lvl w:ilvl="0" w:tplc="51AE1132">
      <w:start w:val="1"/>
      <w:numFmt w:val="bullet"/>
      <w:lvlText w:val=""/>
      <w:lvlJc w:val="left"/>
      <w:pPr>
        <w:ind w:left="720" w:hanging="360"/>
      </w:pPr>
      <w:rPr>
        <w:rFonts w:ascii="Symbol" w:hAnsi="Symbol" w:hint="default"/>
      </w:rPr>
    </w:lvl>
    <w:lvl w:ilvl="1" w:tplc="E9DAF2EE">
      <w:start w:val="1"/>
      <w:numFmt w:val="bullet"/>
      <w:lvlText w:val="o"/>
      <w:lvlJc w:val="left"/>
      <w:pPr>
        <w:ind w:left="1440" w:hanging="360"/>
      </w:pPr>
      <w:rPr>
        <w:rFonts w:ascii="Courier New" w:hAnsi="Courier New" w:hint="default"/>
      </w:rPr>
    </w:lvl>
    <w:lvl w:ilvl="2" w:tplc="37E6CA4E">
      <w:start w:val="1"/>
      <w:numFmt w:val="bullet"/>
      <w:lvlText w:val=""/>
      <w:lvlJc w:val="left"/>
      <w:pPr>
        <w:ind w:left="2160" w:hanging="360"/>
      </w:pPr>
      <w:rPr>
        <w:rFonts w:ascii="Wingdings" w:hAnsi="Wingdings" w:hint="default"/>
      </w:rPr>
    </w:lvl>
    <w:lvl w:ilvl="3" w:tplc="AC4C4F9A">
      <w:start w:val="1"/>
      <w:numFmt w:val="bullet"/>
      <w:lvlText w:val=""/>
      <w:lvlJc w:val="left"/>
      <w:pPr>
        <w:ind w:left="2880" w:hanging="360"/>
      </w:pPr>
      <w:rPr>
        <w:rFonts w:ascii="Symbol" w:hAnsi="Symbol" w:hint="default"/>
      </w:rPr>
    </w:lvl>
    <w:lvl w:ilvl="4" w:tplc="246E1A92">
      <w:start w:val="1"/>
      <w:numFmt w:val="bullet"/>
      <w:lvlText w:val="o"/>
      <w:lvlJc w:val="left"/>
      <w:pPr>
        <w:ind w:left="3600" w:hanging="360"/>
      </w:pPr>
      <w:rPr>
        <w:rFonts w:ascii="Courier New" w:hAnsi="Courier New" w:hint="default"/>
      </w:rPr>
    </w:lvl>
    <w:lvl w:ilvl="5" w:tplc="B6BCDFF8">
      <w:start w:val="1"/>
      <w:numFmt w:val="bullet"/>
      <w:lvlText w:val=""/>
      <w:lvlJc w:val="left"/>
      <w:pPr>
        <w:ind w:left="4320" w:hanging="360"/>
      </w:pPr>
      <w:rPr>
        <w:rFonts w:ascii="Wingdings" w:hAnsi="Wingdings" w:hint="default"/>
      </w:rPr>
    </w:lvl>
    <w:lvl w:ilvl="6" w:tplc="AA7AAC7A">
      <w:start w:val="1"/>
      <w:numFmt w:val="bullet"/>
      <w:lvlText w:val=""/>
      <w:lvlJc w:val="left"/>
      <w:pPr>
        <w:ind w:left="5040" w:hanging="360"/>
      </w:pPr>
      <w:rPr>
        <w:rFonts w:ascii="Symbol" w:hAnsi="Symbol" w:hint="default"/>
      </w:rPr>
    </w:lvl>
    <w:lvl w:ilvl="7" w:tplc="602C0126">
      <w:start w:val="1"/>
      <w:numFmt w:val="bullet"/>
      <w:lvlText w:val="o"/>
      <w:lvlJc w:val="left"/>
      <w:pPr>
        <w:ind w:left="5760" w:hanging="360"/>
      </w:pPr>
      <w:rPr>
        <w:rFonts w:ascii="Courier New" w:hAnsi="Courier New" w:hint="default"/>
      </w:rPr>
    </w:lvl>
    <w:lvl w:ilvl="8" w:tplc="45646F22">
      <w:start w:val="1"/>
      <w:numFmt w:val="bullet"/>
      <w:lvlText w:val=""/>
      <w:lvlJc w:val="left"/>
      <w:pPr>
        <w:ind w:left="6480" w:hanging="360"/>
      </w:pPr>
      <w:rPr>
        <w:rFonts w:ascii="Wingdings" w:hAnsi="Wingdings" w:hint="default"/>
      </w:rPr>
    </w:lvl>
  </w:abstractNum>
  <w:abstractNum w:abstractNumId="14" w15:restartNumberingAfterBreak="0">
    <w:nsid w:val="3235549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5" w15:restartNumberingAfterBreak="0">
    <w:nsid w:val="32940319"/>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6"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94D0252"/>
    <w:multiLevelType w:val="multilevel"/>
    <w:tmpl w:val="C36217C6"/>
    <w:lvl w:ilvl="0">
      <w:start w:val="1"/>
      <w:numFmt w:val="upperLetter"/>
      <w:pStyle w:val="14Annualadjustmentinstrumentclause"/>
      <w:lvlText w:val="%1."/>
      <w:lvlJc w:val="left"/>
      <w:pPr>
        <w:ind w:left="432" w:hanging="432"/>
      </w:pPr>
      <w:rPr>
        <w:rFonts w:hint="default"/>
      </w:rPr>
    </w:lvl>
    <w:lvl w:ilvl="1">
      <w:start w:val="1"/>
      <w:numFmt w:val="decimal"/>
      <w:lvlText w:val="%1.%2"/>
      <w:lvlJc w:val="left"/>
      <w:pPr>
        <w:ind w:left="936" w:hanging="504"/>
      </w:pPr>
      <w:rPr>
        <w:rFonts w:hint="default"/>
      </w:rPr>
    </w:lvl>
    <w:lvl w:ilvl="2">
      <w:start w:val="1"/>
      <w:numFmt w:val="bullet"/>
      <w:lvlText w:val="­"/>
      <w:lvlJc w:val="left"/>
      <w:pPr>
        <w:ind w:left="1134" w:hanging="198"/>
      </w:pPr>
      <w:rPr>
        <w:rFonts w:ascii="Courier New" w:hAnsi="Courier New" w:hint="default"/>
      </w:rPr>
    </w:lvl>
    <w:lvl w:ilvl="3">
      <w:start w:val="1"/>
      <w:numFmt w:val="none"/>
      <w:lvlText w:val=""/>
      <w:lvlJc w:val="left"/>
      <w:pPr>
        <w:ind w:left="7200" w:hanging="360"/>
      </w:pPr>
      <w:rPr>
        <w:rFonts w:hint="default"/>
      </w:rPr>
    </w:lvl>
    <w:lvl w:ilvl="4">
      <w:start w:val="1"/>
      <w:numFmt w:val="none"/>
      <w:lvlText w:val=""/>
      <w:lvlJc w:val="left"/>
      <w:pPr>
        <w:ind w:left="7920" w:hanging="360"/>
      </w:pPr>
      <w:rPr>
        <w:rFonts w:hint="default"/>
      </w:rPr>
    </w:lvl>
    <w:lvl w:ilvl="5">
      <w:start w:val="1"/>
      <w:numFmt w:val="none"/>
      <w:lvlText w:val=""/>
      <w:lvlJc w:val="right"/>
      <w:pPr>
        <w:ind w:left="8640" w:hanging="180"/>
      </w:pPr>
      <w:rPr>
        <w:rFonts w:hint="default"/>
      </w:rPr>
    </w:lvl>
    <w:lvl w:ilvl="6">
      <w:start w:val="1"/>
      <w:numFmt w:val="none"/>
      <w:lvlText w:val=""/>
      <w:lvlJc w:val="left"/>
      <w:pPr>
        <w:ind w:left="9360" w:hanging="360"/>
      </w:pPr>
      <w:rPr>
        <w:rFonts w:hint="default"/>
      </w:rPr>
    </w:lvl>
    <w:lvl w:ilvl="7">
      <w:start w:val="1"/>
      <w:numFmt w:val="none"/>
      <w:lvlText w:val=""/>
      <w:lvlJc w:val="left"/>
      <w:pPr>
        <w:ind w:left="10080" w:hanging="360"/>
      </w:pPr>
      <w:rPr>
        <w:rFonts w:hint="default"/>
      </w:rPr>
    </w:lvl>
    <w:lvl w:ilvl="8">
      <w:start w:val="1"/>
      <w:numFmt w:val="none"/>
      <w:lvlText w:val=""/>
      <w:lvlJc w:val="right"/>
      <w:pPr>
        <w:ind w:left="10800" w:hanging="180"/>
      </w:pPr>
      <w:rPr>
        <w:rFonts w:hint="default"/>
      </w:rPr>
    </w:lvl>
  </w:abstractNum>
  <w:abstractNum w:abstractNumId="18" w15:restartNumberingAfterBreak="0">
    <w:nsid w:val="3DF472CF"/>
    <w:multiLevelType w:val="hybridMultilevel"/>
    <w:tmpl w:val="3F16C370"/>
    <w:lvl w:ilvl="0" w:tplc="25766EFC">
      <w:start w:val="1"/>
      <w:numFmt w:val="bullet"/>
      <w:pStyle w:val="06VIRTBulletpoints"/>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9" w15:restartNumberingAfterBreak="0">
    <w:nsid w:val="3E812B19"/>
    <w:multiLevelType w:val="multilevel"/>
    <w:tmpl w:val="2CC037A6"/>
    <w:lvl w:ilvl="0">
      <w:start w:val="7"/>
      <w:numFmt w:val="decimal"/>
      <w:lvlText w:val="%1."/>
      <w:lvlJc w:val="left"/>
      <w:pPr>
        <w:ind w:left="1418" w:hanging="567"/>
      </w:pPr>
      <w:rPr>
        <w:rFonts w:hint="default"/>
      </w:rPr>
    </w:lvl>
    <w:lvl w:ilvl="1">
      <w:start w:val="1"/>
      <w:numFmt w:val="decimal"/>
      <w:lvlText w:val="%1.%2"/>
      <w:lvlJc w:val="left"/>
      <w:pPr>
        <w:ind w:left="1702" w:hanging="567"/>
      </w:pPr>
      <w:rPr>
        <w:rFonts w:hint="default"/>
      </w:rPr>
    </w:lvl>
    <w:lvl w:ilvl="2">
      <w:start w:val="1"/>
      <w:numFmt w:val="bullet"/>
      <w:lvlText w:val="­"/>
      <w:lvlJc w:val="left"/>
      <w:pPr>
        <w:ind w:left="1985" w:hanging="510"/>
      </w:pPr>
      <w:rPr>
        <w:rFonts w:ascii="Courier New" w:hAnsi="Courier New" w:hint="default"/>
      </w:rPr>
    </w:lvl>
    <w:lvl w:ilvl="3">
      <w:start w:val="1"/>
      <w:numFmt w:val="none"/>
      <w:lvlText w:val=""/>
      <w:lvlJc w:val="left"/>
      <w:pPr>
        <w:ind w:left="8051" w:hanging="360"/>
      </w:pPr>
      <w:rPr>
        <w:rFonts w:hint="default"/>
      </w:rPr>
    </w:lvl>
    <w:lvl w:ilvl="4">
      <w:start w:val="1"/>
      <w:numFmt w:val="none"/>
      <w:lvlText w:val=""/>
      <w:lvlJc w:val="left"/>
      <w:pPr>
        <w:ind w:left="8771" w:hanging="360"/>
      </w:pPr>
      <w:rPr>
        <w:rFonts w:hint="default"/>
      </w:rPr>
    </w:lvl>
    <w:lvl w:ilvl="5">
      <w:start w:val="1"/>
      <w:numFmt w:val="none"/>
      <w:lvlText w:val=""/>
      <w:lvlJc w:val="right"/>
      <w:pPr>
        <w:ind w:left="9491" w:hanging="180"/>
      </w:pPr>
      <w:rPr>
        <w:rFonts w:hint="default"/>
      </w:rPr>
    </w:lvl>
    <w:lvl w:ilvl="6">
      <w:start w:val="1"/>
      <w:numFmt w:val="none"/>
      <w:lvlText w:val=""/>
      <w:lvlJc w:val="left"/>
      <w:pPr>
        <w:ind w:left="10211" w:hanging="360"/>
      </w:pPr>
      <w:rPr>
        <w:rFonts w:hint="default"/>
      </w:rPr>
    </w:lvl>
    <w:lvl w:ilvl="7">
      <w:start w:val="1"/>
      <w:numFmt w:val="none"/>
      <w:lvlText w:val=""/>
      <w:lvlJc w:val="left"/>
      <w:pPr>
        <w:ind w:left="10931" w:hanging="360"/>
      </w:pPr>
      <w:rPr>
        <w:rFonts w:hint="default"/>
      </w:rPr>
    </w:lvl>
    <w:lvl w:ilvl="8">
      <w:start w:val="1"/>
      <w:numFmt w:val="none"/>
      <w:lvlText w:val=""/>
      <w:lvlJc w:val="right"/>
      <w:pPr>
        <w:ind w:left="11651" w:hanging="180"/>
      </w:pPr>
      <w:rPr>
        <w:rFonts w:hint="default"/>
      </w:rPr>
    </w:lvl>
  </w:abstractNum>
  <w:abstractNum w:abstractNumId="20" w15:restartNumberingAfterBreak="0">
    <w:nsid w:val="42492328"/>
    <w:multiLevelType w:val="hybridMultilevel"/>
    <w:tmpl w:val="F91C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76889"/>
    <w:multiLevelType w:val="hybridMultilevel"/>
    <w:tmpl w:val="21E485FE"/>
    <w:lvl w:ilvl="0" w:tplc="DA4ADB50">
      <w:start w:val="1"/>
      <w:numFmt w:val="decimal"/>
      <w:lvlText w:val="%1."/>
      <w:lvlJc w:val="left"/>
      <w:pPr>
        <w:ind w:left="720" w:hanging="360"/>
      </w:pPr>
    </w:lvl>
    <w:lvl w:ilvl="1" w:tplc="0FB879C4">
      <w:start w:val="1"/>
      <w:numFmt w:val="lowerLetter"/>
      <w:lvlText w:val="%2."/>
      <w:lvlJc w:val="left"/>
      <w:pPr>
        <w:ind w:left="1440" w:hanging="360"/>
      </w:pPr>
    </w:lvl>
    <w:lvl w:ilvl="2" w:tplc="B1F493DA">
      <w:start w:val="1"/>
      <w:numFmt w:val="lowerRoman"/>
      <w:lvlText w:val="%3."/>
      <w:lvlJc w:val="right"/>
      <w:pPr>
        <w:ind w:left="2160" w:hanging="180"/>
      </w:pPr>
    </w:lvl>
    <w:lvl w:ilvl="3" w:tplc="7C705CC6">
      <w:start w:val="1"/>
      <w:numFmt w:val="decimal"/>
      <w:lvlText w:val="%4."/>
      <w:lvlJc w:val="left"/>
      <w:pPr>
        <w:ind w:left="2880" w:hanging="360"/>
      </w:pPr>
    </w:lvl>
    <w:lvl w:ilvl="4" w:tplc="7C1E1F74">
      <w:start w:val="1"/>
      <w:numFmt w:val="lowerLetter"/>
      <w:lvlText w:val="%5."/>
      <w:lvlJc w:val="left"/>
      <w:pPr>
        <w:ind w:left="3600" w:hanging="360"/>
      </w:pPr>
    </w:lvl>
    <w:lvl w:ilvl="5" w:tplc="123A7846">
      <w:start w:val="1"/>
      <w:numFmt w:val="lowerRoman"/>
      <w:lvlText w:val="%6."/>
      <w:lvlJc w:val="right"/>
      <w:pPr>
        <w:ind w:left="4320" w:hanging="180"/>
      </w:pPr>
    </w:lvl>
    <w:lvl w:ilvl="6" w:tplc="73A852D4">
      <w:start w:val="1"/>
      <w:numFmt w:val="decimal"/>
      <w:lvlText w:val="%7."/>
      <w:lvlJc w:val="left"/>
      <w:pPr>
        <w:ind w:left="5040" w:hanging="360"/>
      </w:pPr>
    </w:lvl>
    <w:lvl w:ilvl="7" w:tplc="E0C2313C">
      <w:start w:val="1"/>
      <w:numFmt w:val="lowerLetter"/>
      <w:lvlText w:val="%8."/>
      <w:lvlJc w:val="left"/>
      <w:pPr>
        <w:ind w:left="5760" w:hanging="360"/>
      </w:pPr>
    </w:lvl>
    <w:lvl w:ilvl="8" w:tplc="54B05CA4">
      <w:start w:val="1"/>
      <w:numFmt w:val="lowerRoman"/>
      <w:lvlText w:val="%9."/>
      <w:lvlJc w:val="right"/>
      <w:pPr>
        <w:ind w:left="6480" w:hanging="180"/>
      </w:pPr>
    </w:lvl>
  </w:abstractNum>
  <w:abstractNum w:abstractNumId="22" w15:restartNumberingAfterBreak="0">
    <w:nsid w:val="4585332C"/>
    <w:multiLevelType w:val="hybridMultilevel"/>
    <w:tmpl w:val="CC42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E6CF0"/>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4" w15:restartNumberingAfterBreak="0">
    <w:nsid w:val="46F309B1"/>
    <w:multiLevelType w:val="hybridMultilevel"/>
    <w:tmpl w:val="EC04D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CA29EA"/>
    <w:multiLevelType w:val="hybridMultilevel"/>
    <w:tmpl w:val="71704A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111E82"/>
    <w:multiLevelType w:val="hybridMultilevel"/>
    <w:tmpl w:val="75FCD906"/>
    <w:lvl w:ilvl="0" w:tplc="42701EE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A147C1"/>
    <w:multiLevelType w:val="hybridMultilevel"/>
    <w:tmpl w:val="DB0E4E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50980DA5"/>
    <w:multiLevelType w:val="hybridMultilevel"/>
    <w:tmpl w:val="5B568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40B7803"/>
    <w:multiLevelType w:val="hybridMultilevel"/>
    <w:tmpl w:val="646CE2B0"/>
    <w:lvl w:ilvl="0" w:tplc="0588824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16040C"/>
    <w:multiLevelType w:val="hybridMultilevel"/>
    <w:tmpl w:val="EE48CC4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1" w15:restartNumberingAfterBreak="0">
    <w:nsid w:val="6B17222A"/>
    <w:multiLevelType w:val="multilevel"/>
    <w:tmpl w:val="6D06F15A"/>
    <w:lvl w:ilvl="0">
      <w:start w:val="1"/>
      <w:numFmt w:val="decimal"/>
      <w:lvlText w:val="%1."/>
      <w:lvlJc w:val="left"/>
      <w:pPr>
        <w:ind w:left="360" w:hanging="360"/>
      </w:pPr>
      <w:rPr>
        <w:rFonts w:hint="default"/>
        <w:b/>
        <w:bCs/>
        <w:i w:val="0"/>
        <w:iCs/>
      </w:rPr>
    </w:lvl>
    <w:lvl w:ilvl="1">
      <w:start w:val="1"/>
      <w:numFmt w:val="decimal"/>
      <w:lvlText w:val="%1.%2"/>
      <w:lvlJc w:val="left"/>
      <w:pPr>
        <w:ind w:left="907" w:hanging="547"/>
      </w:pPr>
      <w:rPr>
        <w:b w:val="0"/>
        <w:bCs w:val="0"/>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2" w15:restartNumberingAfterBreak="0">
    <w:nsid w:val="6C4442C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3" w15:restartNumberingAfterBreak="0">
    <w:nsid w:val="749423DA"/>
    <w:multiLevelType w:val="hybridMultilevel"/>
    <w:tmpl w:val="306C070E"/>
    <w:styleLink w:val="ZZNumbersdigit"/>
    <w:lvl w:ilvl="0" w:tplc="E362E804">
      <w:start w:val="1"/>
      <w:numFmt w:val="decimal"/>
      <w:pStyle w:val="DPCnumberdigit"/>
      <w:lvlText w:val="%1."/>
      <w:lvlJc w:val="left"/>
      <w:pPr>
        <w:tabs>
          <w:tab w:val="num" w:pos="397"/>
        </w:tabs>
        <w:ind w:left="397" w:hanging="397"/>
      </w:pPr>
      <w:rPr>
        <w:rFonts w:hint="default"/>
      </w:rPr>
    </w:lvl>
    <w:lvl w:ilvl="1" w:tplc="796C9A9A">
      <w:start w:val="1"/>
      <w:numFmt w:val="decimal"/>
      <w:lvlText w:val="%2."/>
      <w:lvlJc w:val="left"/>
      <w:pPr>
        <w:tabs>
          <w:tab w:val="num" w:pos="794"/>
        </w:tabs>
        <w:ind w:left="794" w:hanging="397"/>
      </w:pPr>
      <w:rPr>
        <w:rFonts w:hint="default"/>
      </w:rPr>
    </w:lvl>
    <w:lvl w:ilvl="2" w:tplc="92483B02">
      <w:start w:val="1"/>
      <w:numFmt w:val="bullet"/>
      <w:lvlRestart w:val="0"/>
      <w:lvlText w:val="▪"/>
      <w:lvlJc w:val="left"/>
      <w:pPr>
        <w:ind w:left="794" w:hanging="397"/>
      </w:pPr>
      <w:rPr>
        <w:rFonts w:hint="default"/>
      </w:rPr>
    </w:lvl>
    <w:lvl w:ilvl="3" w:tplc="203ADC30">
      <w:start w:val="1"/>
      <w:numFmt w:val="bullet"/>
      <w:lvlRestart w:val="0"/>
      <w:lvlText w:val="–"/>
      <w:lvlJc w:val="left"/>
      <w:pPr>
        <w:ind w:left="1191" w:hanging="397"/>
      </w:pPr>
      <w:rPr>
        <w:rFonts w:hint="default"/>
        <w:color w:val="auto"/>
      </w:rPr>
    </w:lvl>
    <w:lvl w:ilvl="4" w:tplc="BE1A8F9A">
      <w:start w:val="1"/>
      <w:numFmt w:val="none"/>
      <w:lvlRestart w:val="0"/>
      <w:lvlText w:val=""/>
      <w:lvlJc w:val="left"/>
      <w:pPr>
        <w:ind w:left="0" w:firstLine="0"/>
      </w:pPr>
      <w:rPr>
        <w:rFonts w:hint="default"/>
      </w:rPr>
    </w:lvl>
    <w:lvl w:ilvl="5" w:tplc="71B6EF68">
      <w:start w:val="1"/>
      <w:numFmt w:val="none"/>
      <w:lvlRestart w:val="0"/>
      <w:lvlText w:val=""/>
      <w:lvlJc w:val="left"/>
      <w:pPr>
        <w:ind w:left="0" w:firstLine="0"/>
      </w:pPr>
      <w:rPr>
        <w:rFonts w:hint="default"/>
      </w:rPr>
    </w:lvl>
    <w:lvl w:ilvl="6" w:tplc="EBF25490">
      <w:start w:val="1"/>
      <w:numFmt w:val="none"/>
      <w:lvlRestart w:val="0"/>
      <w:lvlText w:val=""/>
      <w:lvlJc w:val="left"/>
      <w:pPr>
        <w:ind w:left="0" w:firstLine="0"/>
      </w:pPr>
      <w:rPr>
        <w:rFonts w:hint="default"/>
      </w:rPr>
    </w:lvl>
    <w:lvl w:ilvl="7" w:tplc="9A6A7EB8">
      <w:start w:val="1"/>
      <w:numFmt w:val="none"/>
      <w:lvlRestart w:val="0"/>
      <w:lvlText w:val=""/>
      <w:lvlJc w:val="left"/>
      <w:pPr>
        <w:ind w:left="0" w:firstLine="0"/>
      </w:pPr>
      <w:rPr>
        <w:rFonts w:hint="default"/>
      </w:rPr>
    </w:lvl>
    <w:lvl w:ilvl="8" w:tplc="B6B61508">
      <w:start w:val="1"/>
      <w:numFmt w:val="none"/>
      <w:lvlRestart w:val="0"/>
      <w:lvlText w:val=""/>
      <w:lvlJc w:val="left"/>
      <w:pPr>
        <w:ind w:left="0" w:firstLine="0"/>
      </w:pPr>
      <w:rPr>
        <w:rFonts w:hint="default"/>
      </w:rPr>
    </w:lvl>
  </w:abstractNum>
  <w:abstractNum w:abstractNumId="34" w15:restartNumberingAfterBreak="0">
    <w:nsid w:val="751333E7"/>
    <w:multiLevelType w:val="hybridMultilevel"/>
    <w:tmpl w:val="A64AD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911643"/>
    <w:multiLevelType w:val="hybridMultilevel"/>
    <w:tmpl w:val="6938EB6A"/>
    <w:lvl w:ilvl="0" w:tplc="FE1289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806DA"/>
    <w:multiLevelType w:val="multilevel"/>
    <w:tmpl w:val="240AEE66"/>
    <w:lvl w:ilvl="0">
      <w:start w:val="1"/>
      <w:numFmt w:val="decimal"/>
      <w:lvlText w:val="%1"/>
      <w:lvlJc w:val="left"/>
      <w:pPr>
        <w:ind w:left="1080" w:hanging="720"/>
      </w:pPr>
      <w:rPr>
        <w:rFonts w:hint="default"/>
      </w:rPr>
    </w:lvl>
    <w:lvl w:ilvl="1">
      <w:start w:val="1"/>
      <w:numFmt w:val="decimal"/>
      <w:isLgl/>
      <w:lvlText w:val="%1.%2"/>
      <w:lvlJc w:val="left"/>
      <w:pPr>
        <w:ind w:left="1350" w:hanging="99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37" w15:restartNumberingAfterBreak="0">
    <w:nsid w:val="78F352CF"/>
    <w:multiLevelType w:val="hybridMultilevel"/>
    <w:tmpl w:val="4C8061EA"/>
    <w:lvl w:ilvl="0" w:tplc="E43C50FE">
      <w:start w:val="1"/>
      <w:numFmt w:val="bullet"/>
      <w:pStyle w:val="13Boxbullets"/>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8"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F341A"/>
    <w:multiLevelType w:val="hybridMultilevel"/>
    <w:tmpl w:val="E02E09C0"/>
    <w:lvl w:ilvl="0" w:tplc="83B680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18120399">
    <w:abstractNumId w:val="39"/>
  </w:num>
  <w:num w:numId="2" w16cid:durableId="1934975254">
    <w:abstractNumId w:val="29"/>
  </w:num>
  <w:num w:numId="3" w16cid:durableId="1404598139">
    <w:abstractNumId w:val="9"/>
  </w:num>
  <w:num w:numId="4" w16cid:durableId="1105151226">
    <w:abstractNumId w:val="7"/>
  </w:num>
  <w:num w:numId="5" w16cid:durableId="386073348">
    <w:abstractNumId w:val="6"/>
  </w:num>
  <w:num w:numId="6" w16cid:durableId="116611378">
    <w:abstractNumId w:val="5"/>
  </w:num>
  <w:num w:numId="7" w16cid:durableId="246963019">
    <w:abstractNumId w:val="4"/>
  </w:num>
  <w:num w:numId="8" w16cid:durableId="13725694">
    <w:abstractNumId w:val="8"/>
  </w:num>
  <w:num w:numId="9" w16cid:durableId="1156609986">
    <w:abstractNumId w:val="3"/>
  </w:num>
  <w:num w:numId="10" w16cid:durableId="373967501">
    <w:abstractNumId w:val="2"/>
  </w:num>
  <w:num w:numId="11" w16cid:durableId="1465195892">
    <w:abstractNumId w:val="1"/>
  </w:num>
  <w:num w:numId="12" w16cid:durableId="1070158135">
    <w:abstractNumId w:val="0"/>
  </w:num>
  <w:num w:numId="13" w16cid:durableId="112553351">
    <w:abstractNumId w:val="14"/>
  </w:num>
  <w:num w:numId="14" w16cid:durableId="100757907">
    <w:abstractNumId w:val="32"/>
  </w:num>
  <w:num w:numId="15" w16cid:durableId="1176309861">
    <w:abstractNumId w:val="15"/>
  </w:num>
  <w:num w:numId="16" w16cid:durableId="655718712">
    <w:abstractNumId w:val="23"/>
  </w:num>
  <w:num w:numId="17" w16cid:durableId="1561819112">
    <w:abstractNumId w:val="12"/>
  </w:num>
  <w:num w:numId="18" w16cid:durableId="1141656481">
    <w:abstractNumId w:val="31"/>
  </w:num>
  <w:num w:numId="19" w16cid:durableId="1112556880">
    <w:abstractNumId w:val="34"/>
  </w:num>
  <w:num w:numId="20" w16cid:durableId="1110275153">
    <w:abstractNumId w:val="16"/>
  </w:num>
  <w:num w:numId="21" w16cid:durableId="1683774381">
    <w:abstractNumId w:val="33"/>
  </w:num>
  <w:num w:numId="22" w16cid:durableId="732705320">
    <w:abstractNumId w:val="28"/>
  </w:num>
  <w:num w:numId="23" w16cid:durableId="2127506182">
    <w:abstractNumId w:val="30"/>
  </w:num>
  <w:num w:numId="24" w16cid:durableId="605309693">
    <w:abstractNumId w:val="10"/>
  </w:num>
  <w:num w:numId="25" w16cid:durableId="221527676">
    <w:abstractNumId w:val="38"/>
  </w:num>
  <w:num w:numId="26" w16cid:durableId="1424690001">
    <w:abstractNumId w:val="22"/>
  </w:num>
  <w:num w:numId="27" w16cid:durableId="1266576075">
    <w:abstractNumId w:val="20"/>
  </w:num>
  <w:num w:numId="28" w16cid:durableId="1689788983">
    <w:abstractNumId w:val="35"/>
  </w:num>
  <w:num w:numId="29" w16cid:durableId="2125540652">
    <w:abstractNumId w:val="24"/>
  </w:num>
  <w:num w:numId="30" w16cid:durableId="2077775131">
    <w:abstractNumId w:val="11"/>
  </w:num>
  <w:num w:numId="31" w16cid:durableId="1437213473">
    <w:abstractNumId w:val="17"/>
  </w:num>
  <w:num w:numId="32" w16cid:durableId="329254003">
    <w:abstractNumId w:val="21"/>
  </w:num>
  <w:num w:numId="33" w16cid:durableId="265969149">
    <w:abstractNumId w:val="13"/>
  </w:num>
  <w:num w:numId="34" w16cid:durableId="690375072">
    <w:abstractNumId w:val="25"/>
  </w:num>
  <w:num w:numId="35" w16cid:durableId="2121951933">
    <w:abstractNumId w:val="39"/>
  </w:num>
  <w:num w:numId="36" w16cid:durableId="1688560375">
    <w:abstractNumId w:val="39"/>
  </w:num>
  <w:num w:numId="37" w16cid:durableId="1471436198">
    <w:abstractNumId w:val="39"/>
  </w:num>
  <w:num w:numId="38" w16cid:durableId="1668316370">
    <w:abstractNumId w:val="18"/>
  </w:num>
  <w:num w:numId="39" w16cid:durableId="1644697558">
    <w:abstractNumId w:val="39"/>
  </w:num>
  <w:num w:numId="40" w16cid:durableId="1500581778">
    <w:abstractNumId w:val="37"/>
  </w:num>
  <w:num w:numId="41" w16cid:durableId="349140270">
    <w:abstractNumId w:val="19"/>
  </w:num>
  <w:num w:numId="42" w16cid:durableId="422262065">
    <w:abstractNumId w:val="36"/>
  </w:num>
  <w:num w:numId="43" w16cid:durableId="5257552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1247563">
    <w:abstractNumId w:val="18"/>
  </w:num>
  <w:num w:numId="45" w16cid:durableId="1959723266">
    <w:abstractNumId w:val="27"/>
  </w:num>
  <w:num w:numId="46" w16cid:durableId="1198196639">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Formatting/>
  <w:documentProtection w:formatting="1" w:enforcement="0"/>
  <w:defaultTabStop w:val="288"/>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0B4"/>
    <w:rsid w:val="00000132"/>
    <w:rsid w:val="00000354"/>
    <w:rsid w:val="00000378"/>
    <w:rsid w:val="0000050A"/>
    <w:rsid w:val="0000051C"/>
    <w:rsid w:val="00000724"/>
    <w:rsid w:val="0000076B"/>
    <w:rsid w:val="00000870"/>
    <w:rsid w:val="00000892"/>
    <w:rsid w:val="000008AA"/>
    <w:rsid w:val="000008B2"/>
    <w:rsid w:val="0000090E"/>
    <w:rsid w:val="00000A16"/>
    <w:rsid w:val="00000AE4"/>
    <w:rsid w:val="00000B61"/>
    <w:rsid w:val="00000C1F"/>
    <w:rsid w:val="00000E9F"/>
    <w:rsid w:val="00000F98"/>
    <w:rsid w:val="00000FD1"/>
    <w:rsid w:val="00001014"/>
    <w:rsid w:val="000010C9"/>
    <w:rsid w:val="00001245"/>
    <w:rsid w:val="000013F4"/>
    <w:rsid w:val="00001481"/>
    <w:rsid w:val="000015E7"/>
    <w:rsid w:val="00001716"/>
    <w:rsid w:val="0000171C"/>
    <w:rsid w:val="000017D2"/>
    <w:rsid w:val="00001913"/>
    <w:rsid w:val="00001A68"/>
    <w:rsid w:val="00001AF0"/>
    <w:rsid w:val="00001B43"/>
    <w:rsid w:val="00001BC7"/>
    <w:rsid w:val="00001C07"/>
    <w:rsid w:val="00001D6D"/>
    <w:rsid w:val="00001E28"/>
    <w:rsid w:val="00001EE1"/>
    <w:rsid w:val="00001F08"/>
    <w:rsid w:val="00001F21"/>
    <w:rsid w:val="00001F9F"/>
    <w:rsid w:val="00001FCD"/>
    <w:rsid w:val="00002114"/>
    <w:rsid w:val="00002344"/>
    <w:rsid w:val="0000256C"/>
    <w:rsid w:val="00002605"/>
    <w:rsid w:val="0000261B"/>
    <w:rsid w:val="0000273D"/>
    <w:rsid w:val="000027A7"/>
    <w:rsid w:val="0000293F"/>
    <w:rsid w:val="00002A77"/>
    <w:rsid w:val="00002B79"/>
    <w:rsid w:val="00002CDC"/>
    <w:rsid w:val="00002D24"/>
    <w:rsid w:val="00002E5D"/>
    <w:rsid w:val="00002FA5"/>
    <w:rsid w:val="000030FB"/>
    <w:rsid w:val="0000312C"/>
    <w:rsid w:val="0000345A"/>
    <w:rsid w:val="00003597"/>
    <w:rsid w:val="00003617"/>
    <w:rsid w:val="00003649"/>
    <w:rsid w:val="000036ED"/>
    <w:rsid w:val="00003726"/>
    <w:rsid w:val="00003759"/>
    <w:rsid w:val="000037E9"/>
    <w:rsid w:val="0000388F"/>
    <w:rsid w:val="00003914"/>
    <w:rsid w:val="00003AA0"/>
    <w:rsid w:val="00003D77"/>
    <w:rsid w:val="00003DD7"/>
    <w:rsid w:val="00003E65"/>
    <w:rsid w:val="000040F1"/>
    <w:rsid w:val="00004177"/>
    <w:rsid w:val="000041FF"/>
    <w:rsid w:val="00004220"/>
    <w:rsid w:val="000042B5"/>
    <w:rsid w:val="00004397"/>
    <w:rsid w:val="0000453D"/>
    <w:rsid w:val="0000457B"/>
    <w:rsid w:val="00004682"/>
    <w:rsid w:val="000049B4"/>
    <w:rsid w:val="000049C3"/>
    <w:rsid w:val="00004A51"/>
    <w:rsid w:val="00004AF0"/>
    <w:rsid w:val="00004AFF"/>
    <w:rsid w:val="00004B87"/>
    <w:rsid w:val="00004C19"/>
    <w:rsid w:val="00004EF4"/>
    <w:rsid w:val="00004F53"/>
    <w:rsid w:val="00005058"/>
    <w:rsid w:val="000050AC"/>
    <w:rsid w:val="00005146"/>
    <w:rsid w:val="0000514C"/>
    <w:rsid w:val="0000516A"/>
    <w:rsid w:val="000051AA"/>
    <w:rsid w:val="00005275"/>
    <w:rsid w:val="000052D7"/>
    <w:rsid w:val="00005323"/>
    <w:rsid w:val="000053DE"/>
    <w:rsid w:val="00005422"/>
    <w:rsid w:val="00005732"/>
    <w:rsid w:val="0000585E"/>
    <w:rsid w:val="00005919"/>
    <w:rsid w:val="0000596F"/>
    <w:rsid w:val="00005990"/>
    <w:rsid w:val="00005B92"/>
    <w:rsid w:val="00005B9A"/>
    <w:rsid w:val="00005C89"/>
    <w:rsid w:val="00005D9C"/>
    <w:rsid w:val="00006054"/>
    <w:rsid w:val="00006253"/>
    <w:rsid w:val="00006294"/>
    <w:rsid w:val="000062D5"/>
    <w:rsid w:val="000062DB"/>
    <w:rsid w:val="00006324"/>
    <w:rsid w:val="000063AD"/>
    <w:rsid w:val="0000646F"/>
    <w:rsid w:val="00006530"/>
    <w:rsid w:val="00006553"/>
    <w:rsid w:val="0000655F"/>
    <w:rsid w:val="000065F6"/>
    <w:rsid w:val="00006699"/>
    <w:rsid w:val="000068C8"/>
    <w:rsid w:val="0000692D"/>
    <w:rsid w:val="00006C15"/>
    <w:rsid w:val="00006D6E"/>
    <w:rsid w:val="00006F45"/>
    <w:rsid w:val="00006F88"/>
    <w:rsid w:val="0000734C"/>
    <w:rsid w:val="000073D2"/>
    <w:rsid w:val="00007578"/>
    <w:rsid w:val="0000779E"/>
    <w:rsid w:val="00007873"/>
    <w:rsid w:val="00007979"/>
    <w:rsid w:val="000079FD"/>
    <w:rsid w:val="00007A9E"/>
    <w:rsid w:val="00007B58"/>
    <w:rsid w:val="00007B9C"/>
    <w:rsid w:val="00007BEE"/>
    <w:rsid w:val="00007D99"/>
    <w:rsid w:val="00007DFA"/>
    <w:rsid w:val="00007E59"/>
    <w:rsid w:val="000100E5"/>
    <w:rsid w:val="00010120"/>
    <w:rsid w:val="00010335"/>
    <w:rsid w:val="0001036F"/>
    <w:rsid w:val="0001058B"/>
    <w:rsid w:val="00010675"/>
    <w:rsid w:val="000106EF"/>
    <w:rsid w:val="00010808"/>
    <w:rsid w:val="000109C8"/>
    <w:rsid w:val="00010AEA"/>
    <w:rsid w:val="00010B6A"/>
    <w:rsid w:val="00010CFC"/>
    <w:rsid w:val="00010D43"/>
    <w:rsid w:val="00010E3D"/>
    <w:rsid w:val="00010EFB"/>
    <w:rsid w:val="00010F28"/>
    <w:rsid w:val="00010FBF"/>
    <w:rsid w:val="000110B9"/>
    <w:rsid w:val="000115DF"/>
    <w:rsid w:val="000118D0"/>
    <w:rsid w:val="0001194E"/>
    <w:rsid w:val="00011CCC"/>
    <w:rsid w:val="00011D64"/>
    <w:rsid w:val="00011F49"/>
    <w:rsid w:val="00012188"/>
    <w:rsid w:val="000121F8"/>
    <w:rsid w:val="00012257"/>
    <w:rsid w:val="000122A5"/>
    <w:rsid w:val="000122E6"/>
    <w:rsid w:val="000122EA"/>
    <w:rsid w:val="00012378"/>
    <w:rsid w:val="000123D7"/>
    <w:rsid w:val="00012494"/>
    <w:rsid w:val="0001253B"/>
    <w:rsid w:val="000126E5"/>
    <w:rsid w:val="00012864"/>
    <w:rsid w:val="00012BAB"/>
    <w:rsid w:val="00012EE8"/>
    <w:rsid w:val="00012EF3"/>
    <w:rsid w:val="00012FCF"/>
    <w:rsid w:val="000130EF"/>
    <w:rsid w:val="00013281"/>
    <w:rsid w:val="00013397"/>
    <w:rsid w:val="000133AF"/>
    <w:rsid w:val="0001372A"/>
    <w:rsid w:val="00013912"/>
    <w:rsid w:val="00013B13"/>
    <w:rsid w:val="00013BAA"/>
    <w:rsid w:val="00013BEF"/>
    <w:rsid w:val="00013C32"/>
    <w:rsid w:val="00013D7D"/>
    <w:rsid w:val="0001406F"/>
    <w:rsid w:val="000140FF"/>
    <w:rsid w:val="0001416F"/>
    <w:rsid w:val="000143DB"/>
    <w:rsid w:val="000143FC"/>
    <w:rsid w:val="00014691"/>
    <w:rsid w:val="000147A0"/>
    <w:rsid w:val="000148AC"/>
    <w:rsid w:val="000148E9"/>
    <w:rsid w:val="0001499F"/>
    <w:rsid w:val="00014DA1"/>
    <w:rsid w:val="00014DEF"/>
    <w:rsid w:val="00014E4F"/>
    <w:rsid w:val="00014FB5"/>
    <w:rsid w:val="00015377"/>
    <w:rsid w:val="00015475"/>
    <w:rsid w:val="000154F2"/>
    <w:rsid w:val="00015680"/>
    <w:rsid w:val="00015739"/>
    <w:rsid w:val="000157BD"/>
    <w:rsid w:val="00015815"/>
    <w:rsid w:val="00015A39"/>
    <w:rsid w:val="00015BD6"/>
    <w:rsid w:val="00015C12"/>
    <w:rsid w:val="00015CD3"/>
    <w:rsid w:val="00015D28"/>
    <w:rsid w:val="00015D82"/>
    <w:rsid w:val="00015FCB"/>
    <w:rsid w:val="0001600A"/>
    <w:rsid w:val="0001608A"/>
    <w:rsid w:val="0001611F"/>
    <w:rsid w:val="000162EE"/>
    <w:rsid w:val="00016507"/>
    <w:rsid w:val="0001655B"/>
    <w:rsid w:val="000166FC"/>
    <w:rsid w:val="0001670D"/>
    <w:rsid w:val="00016749"/>
    <w:rsid w:val="00016C13"/>
    <w:rsid w:val="000170A1"/>
    <w:rsid w:val="000170F2"/>
    <w:rsid w:val="0001713F"/>
    <w:rsid w:val="000172EC"/>
    <w:rsid w:val="0001731C"/>
    <w:rsid w:val="000174BC"/>
    <w:rsid w:val="000176B8"/>
    <w:rsid w:val="00017803"/>
    <w:rsid w:val="0001786E"/>
    <w:rsid w:val="00017A6E"/>
    <w:rsid w:val="00017AC4"/>
    <w:rsid w:val="00017CB6"/>
    <w:rsid w:val="00017E6F"/>
    <w:rsid w:val="00017EAD"/>
    <w:rsid w:val="00017EB6"/>
    <w:rsid w:val="00020179"/>
    <w:rsid w:val="00020206"/>
    <w:rsid w:val="00020266"/>
    <w:rsid w:val="000202A0"/>
    <w:rsid w:val="0002035F"/>
    <w:rsid w:val="00020397"/>
    <w:rsid w:val="000204D4"/>
    <w:rsid w:val="0002051F"/>
    <w:rsid w:val="0002052F"/>
    <w:rsid w:val="000205D1"/>
    <w:rsid w:val="000205FD"/>
    <w:rsid w:val="00020614"/>
    <w:rsid w:val="00020AB8"/>
    <w:rsid w:val="00020B83"/>
    <w:rsid w:val="00020BBA"/>
    <w:rsid w:val="00020BC0"/>
    <w:rsid w:val="00020BC6"/>
    <w:rsid w:val="00020D1C"/>
    <w:rsid w:val="00020D20"/>
    <w:rsid w:val="00020D24"/>
    <w:rsid w:val="00020D7F"/>
    <w:rsid w:val="00020DD4"/>
    <w:rsid w:val="00020E2F"/>
    <w:rsid w:val="00020F31"/>
    <w:rsid w:val="00020F43"/>
    <w:rsid w:val="00021102"/>
    <w:rsid w:val="0002113C"/>
    <w:rsid w:val="000212F6"/>
    <w:rsid w:val="0002140D"/>
    <w:rsid w:val="0002149B"/>
    <w:rsid w:val="0002157C"/>
    <w:rsid w:val="00021636"/>
    <w:rsid w:val="0002171B"/>
    <w:rsid w:val="0002180C"/>
    <w:rsid w:val="00021A28"/>
    <w:rsid w:val="00021A62"/>
    <w:rsid w:val="00021B46"/>
    <w:rsid w:val="00021D76"/>
    <w:rsid w:val="00021D9D"/>
    <w:rsid w:val="00021DC3"/>
    <w:rsid w:val="0002204C"/>
    <w:rsid w:val="00022325"/>
    <w:rsid w:val="00022467"/>
    <w:rsid w:val="000226F9"/>
    <w:rsid w:val="000227FB"/>
    <w:rsid w:val="00022818"/>
    <w:rsid w:val="00022B70"/>
    <w:rsid w:val="00022CB0"/>
    <w:rsid w:val="00022DE5"/>
    <w:rsid w:val="00022EDA"/>
    <w:rsid w:val="00022EFB"/>
    <w:rsid w:val="00023034"/>
    <w:rsid w:val="0002310F"/>
    <w:rsid w:val="00023146"/>
    <w:rsid w:val="000231BC"/>
    <w:rsid w:val="000231CF"/>
    <w:rsid w:val="0002328B"/>
    <w:rsid w:val="000232D5"/>
    <w:rsid w:val="00023365"/>
    <w:rsid w:val="000233D7"/>
    <w:rsid w:val="00023574"/>
    <w:rsid w:val="000235C3"/>
    <w:rsid w:val="00023773"/>
    <w:rsid w:val="000237D0"/>
    <w:rsid w:val="000238F4"/>
    <w:rsid w:val="00023A55"/>
    <w:rsid w:val="00023B9D"/>
    <w:rsid w:val="00023C4B"/>
    <w:rsid w:val="00023DFB"/>
    <w:rsid w:val="00023FB4"/>
    <w:rsid w:val="00024447"/>
    <w:rsid w:val="0002457F"/>
    <w:rsid w:val="000245FE"/>
    <w:rsid w:val="00024698"/>
    <w:rsid w:val="000246DD"/>
    <w:rsid w:val="000246F7"/>
    <w:rsid w:val="000248AD"/>
    <w:rsid w:val="00024A45"/>
    <w:rsid w:val="00024B96"/>
    <w:rsid w:val="00024C72"/>
    <w:rsid w:val="00024DCD"/>
    <w:rsid w:val="00024E70"/>
    <w:rsid w:val="00024EA8"/>
    <w:rsid w:val="00024F18"/>
    <w:rsid w:val="00024FA4"/>
    <w:rsid w:val="00024FDF"/>
    <w:rsid w:val="000250C2"/>
    <w:rsid w:val="00025281"/>
    <w:rsid w:val="0002534A"/>
    <w:rsid w:val="000255FE"/>
    <w:rsid w:val="0002584F"/>
    <w:rsid w:val="00025AE8"/>
    <w:rsid w:val="00025B23"/>
    <w:rsid w:val="00025BD7"/>
    <w:rsid w:val="00025D64"/>
    <w:rsid w:val="00025DA7"/>
    <w:rsid w:val="00025E22"/>
    <w:rsid w:val="00025E7A"/>
    <w:rsid w:val="00025ED1"/>
    <w:rsid w:val="00025FA9"/>
    <w:rsid w:val="0002628F"/>
    <w:rsid w:val="000263BA"/>
    <w:rsid w:val="000263CA"/>
    <w:rsid w:val="0002644C"/>
    <w:rsid w:val="000265CF"/>
    <w:rsid w:val="00026704"/>
    <w:rsid w:val="00026775"/>
    <w:rsid w:val="0002690E"/>
    <w:rsid w:val="0002690F"/>
    <w:rsid w:val="00026BA0"/>
    <w:rsid w:val="00026BA7"/>
    <w:rsid w:val="00026EB0"/>
    <w:rsid w:val="00026FC0"/>
    <w:rsid w:val="000270A6"/>
    <w:rsid w:val="000271BB"/>
    <w:rsid w:val="00027463"/>
    <w:rsid w:val="000274FF"/>
    <w:rsid w:val="000275DE"/>
    <w:rsid w:val="000277AD"/>
    <w:rsid w:val="000277C6"/>
    <w:rsid w:val="00027867"/>
    <w:rsid w:val="00027B19"/>
    <w:rsid w:val="00027E30"/>
    <w:rsid w:val="00027F74"/>
    <w:rsid w:val="00027FE9"/>
    <w:rsid w:val="0003001D"/>
    <w:rsid w:val="000301FC"/>
    <w:rsid w:val="00030285"/>
    <w:rsid w:val="00030316"/>
    <w:rsid w:val="00030332"/>
    <w:rsid w:val="000303D6"/>
    <w:rsid w:val="0003058D"/>
    <w:rsid w:val="0003071E"/>
    <w:rsid w:val="000308B7"/>
    <w:rsid w:val="00030926"/>
    <w:rsid w:val="00030AB3"/>
    <w:rsid w:val="00030B9A"/>
    <w:rsid w:val="00030F3C"/>
    <w:rsid w:val="00030F86"/>
    <w:rsid w:val="00030FA5"/>
    <w:rsid w:val="000311AE"/>
    <w:rsid w:val="0003124F"/>
    <w:rsid w:val="00031309"/>
    <w:rsid w:val="0003135A"/>
    <w:rsid w:val="00031437"/>
    <w:rsid w:val="000314CB"/>
    <w:rsid w:val="000315FA"/>
    <w:rsid w:val="000316DF"/>
    <w:rsid w:val="00031856"/>
    <w:rsid w:val="000318C1"/>
    <w:rsid w:val="00031BCB"/>
    <w:rsid w:val="00031C39"/>
    <w:rsid w:val="00031E28"/>
    <w:rsid w:val="00031E89"/>
    <w:rsid w:val="00031EEB"/>
    <w:rsid w:val="00032068"/>
    <w:rsid w:val="000320C9"/>
    <w:rsid w:val="000320F3"/>
    <w:rsid w:val="00032268"/>
    <w:rsid w:val="000322B6"/>
    <w:rsid w:val="000323F5"/>
    <w:rsid w:val="00032652"/>
    <w:rsid w:val="00032D5B"/>
    <w:rsid w:val="00032E89"/>
    <w:rsid w:val="00032EC5"/>
    <w:rsid w:val="00032FD8"/>
    <w:rsid w:val="00033015"/>
    <w:rsid w:val="00033039"/>
    <w:rsid w:val="000330E0"/>
    <w:rsid w:val="00033159"/>
    <w:rsid w:val="00033198"/>
    <w:rsid w:val="000331E4"/>
    <w:rsid w:val="000332A0"/>
    <w:rsid w:val="000332F3"/>
    <w:rsid w:val="000333A1"/>
    <w:rsid w:val="00033453"/>
    <w:rsid w:val="000334B2"/>
    <w:rsid w:val="00033556"/>
    <w:rsid w:val="000335AC"/>
    <w:rsid w:val="000335EA"/>
    <w:rsid w:val="0003367E"/>
    <w:rsid w:val="00033713"/>
    <w:rsid w:val="00033923"/>
    <w:rsid w:val="000339D8"/>
    <w:rsid w:val="00033AB7"/>
    <w:rsid w:val="00033E26"/>
    <w:rsid w:val="00033F0F"/>
    <w:rsid w:val="00033F9A"/>
    <w:rsid w:val="00033FE6"/>
    <w:rsid w:val="00034022"/>
    <w:rsid w:val="00034054"/>
    <w:rsid w:val="000340D0"/>
    <w:rsid w:val="00034127"/>
    <w:rsid w:val="00034156"/>
    <w:rsid w:val="000343D1"/>
    <w:rsid w:val="000345A5"/>
    <w:rsid w:val="000345BE"/>
    <w:rsid w:val="000345FF"/>
    <w:rsid w:val="000346E6"/>
    <w:rsid w:val="00034703"/>
    <w:rsid w:val="0003471D"/>
    <w:rsid w:val="00034829"/>
    <w:rsid w:val="000348FC"/>
    <w:rsid w:val="00034DD7"/>
    <w:rsid w:val="00034F08"/>
    <w:rsid w:val="000350AE"/>
    <w:rsid w:val="00035182"/>
    <w:rsid w:val="0003520A"/>
    <w:rsid w:val="0003535A"/>
    <w:rsid w:val="00035375"/>
    <w:rsid w:val="000353BD"/>
    <w:rsid w:val="00035661"/>
    <w:rsid w:val="000356E4"/>
    <w:rsid w:val="000357BB"/>
    <w:rsid w:val="00035991"/>
    <w:rsid w:val="000359A3"/>
    <w:rsid w:val="000359C8"/>
    <w:rsid w:val="00035A6E"/>
    <w:rsid w:val="00035B86"/>
    <w:rsid w:val="00035E59"/>
    <w:rsid w:val="00036027"/>
    <w:rsid w:val="0003607F"/>
    <w:rsid w:val="0003619F"/>
    <w:rsid w:val="00036227"/>
    <w:rsid w:val="00036298"/>
    <w:rsid w:val="0003643D"/>
    <w:rsid w:val="000364FF"/>
    <w:rsid w:val="000366FD"/>
    <w:rsid w:val="0003672D"/>
    <w:rsid w:val="0003677B"/>
    <w:rsid w:val="0003681B"/>
    <w:rsid w:val="0003692B"/>
    <w:rsid w:val="00036A79"/>
    <w:rsid w:val="00036A7D"/>
    <w:rsid w:val="00036C0B"/>
    <w:rsid w:val="00036DF8"/>
    <w:rsid w:val="00036E34"/>
    <w:rsid w:val="00036FB0"/>
    <w:rsid w:val="00036FBA"/>
    <w:rsid w:val="00037151"/>
    <w:rsid w:val="00037276"/>
    <w:rsid w:val="000375D4"/>
    <w:rsid w:val="00037671"/>
    <w:rsid w:val="0003768D"/>
    <w:rsid w:val="00037F93"/>
    <w:rsid w:val="000401BB"/>
    <w:rsid w:val="0004026B"/>
    <w:rsid w:val="00040288"/>
    <w:rsid w:val="000402E0"/>
    <w:rsid w:val="0004046A"/>
    <w:rsid w:val="00040651"/>
    <w:rsid w:val="00040660"/>
    <w:rsid w:val="0004075F"/>
    <w:rsid w:val="000407A2"/>
    <w:rsid w:val="000409A4"/>
    <w:rsid w:val="00040A07"/>
    <w:rsid w:val="00040B0C"/>
    <w:rsid w:val="00040BBC"/>
    <w:rsid w:val="00040BE6"/>
    <w:rsid w:val="00040F72"/>
    <w:rsid w:val="00040F9A"/>
    <w:rsid w:val="000410EE"/>
    <w:rsid w:val="0004112A"/>
    <w:rsid w:val="000411AA"/>
    <w:rsid w:val="000412AD"/>
    <w:rsid w:val="00041398"/>
    <w:rsid w:val="0004142C"/>
    <w:rsid w:val="000414BE"/>
    <w:rsid w:val="0004164B"/>
    <w:rsid w:val="000416D7"/>
    <w:rsid w:val="000416EB"/>
    <w:rsid w:val="0004171E"/>
    <w:rsid w:val="0004198F"/>
    <w:rsid w:val="00041A8C"/>
    <w:rsid w:val="00041E7C"/>
    <w:rsid w:val="00041FC0"/>
    <w:rsid w:val="000420BA"/>
    <w:rsid w:val="000420E8"/>
    <w:rsid w:val="00042261"/>
    <w:rsid w:val="000422D4"/>
    <w:rsid w:val="00042323"/>
    <w:rsid w:val="0004238C"/>
    <w:rsid w:val="00042434"/>
    <w:rsid w:val="0004268F"/>
    <w:rsid w:val="000426F4"/>
    <w:rsid w:val="00042752"/>
    <w:rsid w:val="000427D3"/>
    <w:rsid w:val="00042A1C"/>
    <w:rsid w:val="00042C47"/>
    <w:rsid w:val="00042C57"/>
    <w:rsid w:val="00042CAB"/>
    <w:rsid w:val="00042D79"/>
    <w:rsid w:val="00042E12"/>
    <w:rsid w:val="00042E27"/>
    <w:rsid w:val="00043166"/>
    <w:rsid w:val="0004327B"/>
    <w:rsid w:val="000433C6"/>
    <w:rsid w:val="0004343D"/>
    <w:rsid w:val="00043465"/>
    <w:rsid w:val="00043763"/>
    <w:rsid w:val="000437F9"/>
    <w:rsid w:val="0004393B"/>
    <w:rsid w:val="0004394F"/>
    <w:rsid w:val="00043A2F"/>
    <w:rsid w:val="00043AA7"/>
    <w:rsid w:val="00043AE7"/>
    <w:rsid w:val="00043B1D"/>
    <w:rsid w:val="00043C0E"/>
    <w:rsid w:val="00043D14"/>
    <w:rsid w:val="00043DB0"/>
    <w:rsid w:val="00043DE4"/>
    <w:rsid w:val="00043E53"/>
    <w:rsid w:val="00043E99"/>
    <w:rsid w:val="00043EFF"/>
    <w:rsid w:val="00043F4C"/>
    <w:rsid w:val="000440DD"/>
    <w:rsid w:val="00044229"/>
    <w:rsid w:val="000442D9"/>
    <w:rsid w:val="000445E8"/>
    <w:rsid w:val="000445F3"/>
    <w:rsid w:val="00044970"/>
    <w:rsid w:val="000449A1"/>
    <w:rsid w:val="00044B43"/>
    <w:rsid w:val="00044E5C"/>
    <w:rsid w:val="000450ED"/>
    <w:rsid w:val="0004530B"/>
    <w:rsid w:val="000453A4"/>
    <w:rsid w:val="000453BD"/>
    <w:rsid w:val="00045673"/>
    <w:rsid w:val="0004568B"/>
    <w:rsid w:val="0004569A"/>
    <w:rsid w:val="000456B4"/>
    <w:rsid w:val="0004576E"/>
    <w:rsid w:val="00045834"/>
    <w:rsid w:val="00045A36"/>
    <w:rsid w:val="00045A98"/>
    <w:rsid w:val="00045CEF"/>
    <w:rsid w:val="00045E11"/>
    <w:rsid w:val="000463A0"/>
    <w:rsid w:val="000463CE"/>
    <w:rsid w:val="00046429"/>
    <w:rsid w:val="00046633"/>
    <w:rsid w:val="0004680D"/>
    <w:rsid w:val="000469EE"/>
    <w:rsid w:val="00046B2D"/>
    <w:rsid w:val="00046B49"/>
    <w:rsid w:val="00046C6C"/>
    <w:rsid w:val="00046FE8"/>
    <w:rsid w:val="00047177"/>
    <w:rsid w:val="000475DF"/>
    <w:rsid w:val="00047775"/>
    <w:rsid w:val="000477B3"/>
    <w:rsid w:val="00047C76"/>
    <w:rsid w:val="00047DEA"/>
    <w:rsid w:val="00047E03"/>
    <w:rsid w:val="00047F2A"/>
    <w:rsid w:val="00050164"/>
    <w:rsid w:val="00050473"/>
    <w:rsid w:val="0005051C"/>
    <w:rsid w:val="0005080C"/>
    <w:rsid w:val="00050B66"/>
    <w:rsid w:val="00050BFD"/>
    <w:rsid w:val="00050C6B"/>
    <w:rsid w:val="00050C6C"/>
    <w:rsid w:val="00050F4F"/>
    <w:rsid w:val="00050F54"/>
    <w:rsid w:val="000510E5"/>
    <w:rsid w:val="00051267"/>
    <w:rsid w:val="00051414"/>
    <w:rsid w:val="00051627"/>
    <w:rsid w:val="00051737"/>
    <w:rsid w:val="000518AF"/>
    <w:rsid w:val="000518E6"/>
    <w:rsid w:val="0005198E"/>
    <w:rsid w:val="00051A70"/>
    <w:rsid w:val="00051C8F"/>
    <w:rsid w:val="00051CDC"/>
    <w:rsid w:val="00051FBF"/>
    <w:rsid w:val="000522CB"/>
    <w:rsid w:val="00052406"/>
    <w:rsid w:val="000524BF"/>
    <w:rsid w:val="00052577"/>
    <w:rsid w:val="0005259A"/>
    <w:rsid w:val="00052625"/>
    <w:rsid w:val="000528D3"/>
    <w:rsid w:val="00052927"/>
    <w:rsid w:val="000529C7"/>
    <w:rsid w:val="00052A87"/>
    <w:rsid w:val="00052AF8"/>
    <w:rsid w:val="00052BDA"/>
    <w:rsid w:val="00052CBE"/>
    <w:rsid w:val="00052CD6"/>
    <w:rsid w:val="00052E3A"/>
    <w:rsid w:val="00052E92"/>
    <w:rsid w:val="00053139"/>
    <w:rsid w:val="00053145"/>
    <w:rsid w:val="00053199"/>
    <w:rsid w:val="000531AF"/>
    <w:rsid w:val="00053284"/>
    <w:rsid w:val="00053293"/>
    <w:rsid w:val="000532D2"/>
    <w:rsid w:val="00053459"/>
    <w:rsid w:val="00053505"/>
    <w:rsid w:val="0005371B"/>
    <w:rsid w:val="00053886"/>
    <w:rsid w:val="00053B1A"/>
    <w:rsid w:val="00053B28"/>
    <w:rsid w:val="00053B3E"/>
    <w:rsid w:val="00053D62"/>
    <w:rsid w:val="00053E3A"/>
    <w:rsid w:val="0005403F"/>
    <w:rsid w:val="0005427F"/>
    <w:rsid w:val="00054380"/>
    <w:rsid w:val="0005447B"/>
    <w:rsid w:val="000544E4"/>
    <w:rsid w:val="0005468F"/>
    <w:rsid w:val="000549D9"/>
    <w:rsid w:val="00054B85"/>
    <w:rsid w:val="00054B9C"/>
    <w:rsid w:val="00054BF8"/>
    <w:rsid w:val="00054DC5"/>
    <w:rsid w:val="00054F15"/>
    <w:rsid w:val="00055072"/>
    <w:rsid w:val="000550AA"/>
    <w:rsid w:val="000552E9"/>
    <w:rsid w:val="000555AA"/>
    <w:rsid w:val="0005565E"/>
    <w:rsid w:val="000556AD"/>
    <w:rsid w:val="00055711"/>
    <w:rsid w:val="00055753"/>
    <w:rsid w:val="000557AA"/>
    <w:rsid w:val="00055837"/>
    <w:rsid w:val="00055978"/>
    <w:rsid w:val="00055A7C"/>
    <w:rsid w:val="00055B13"/>
    <w:rsid w:val="00055C2F"/>
    <w:rsid w:val="00055CA8"/>
    <w:rsid w:val="00055F5E"/>
    <w:rsid w:val="00056111"/>
    <w:rsid w:val="000561D8"/>
    <w:rsid w:val="00056488"/>
    <w:rsid w:val="000564BD"/>
    <w:rsid w:val="00056602"/>
    <w:rsid w:val="0005668E"/>
    <w:rsid w:val="00056798"/>
    <w:rsid w:val="0005684C"/>
    <w:rsid w:val="0005686B"/>
    <w:rsid w:val="00056A35"/>
    <w:rsid w:val="00056C93"/>
    <w:rsid w:val="00056DD0"/>
    <w:rsid w:val="00056E56"/>
    <w:rsid w:val="00056F1D"/>
    <w:rsid w:val="00056FBC"/>
    <w:rsid w:val="00057059"/>
    <w:rsid w:val="00057101"/>
    <w:rsid w:val="00057176"/>
    <w:rsid w:val="000573B2"/>
    <w:rsid w:val="000577D1"/>
    <w:rsid w:val="000578FF"/>
    <w:rsid w:val="00057946"/>
    <w:rsid w:val="00057C90"/>
    <w:rsid w:val="00057CAC"/>
    <w:rsid w:val="00057CFA"/>
    <w:rsid w:val="00057E86"/>
    <w:rsid w:val="00057EE4"/>
    <w:rsid w:val="000600CE"/>
    <w:rsid w:val="00060360"/>
    <w:rsid w:val="000603E8"/>
    <w:rsid w:val="00060488"/>
    <w:rsid w:val="0006061F"/>
    <w:rsid w:val="00060891"/>
    <w:rsid w:val="000608AD"/>
    <w:rsid w:val="0006099E"/>
    <w:rsid w:val="00060A35"/>
    <w:rsid w:val="00060AFF"/>
    <w:rsid w:val="00060BCA"/>
    <w:rsid w:val="00060D04"/>
    <w:rsid w:val="00060EEB"/>
    <w:rsid w:val="00060F24"/>
    <w:rsid w:val="00061168"/>
    <w:rsid w:val="000611B5"/>
    <w:rsid w:val="00061213"/>
    <w:rsid w:val="000612E6"/>
    <w:rsid w:val="0006144C"/>
    <w:rsid w:val="000614A6"/>
    <w:rsid w:val="0006165D"/>
    <w:rsid w:val="000617A4"/>
    <w:rsid w:val="000617D6"/>
    <w:rsid w:val="00061A1C"/>
    <w:rsid w:val="00061AAD"/>
    <w:rsid w:val="00061AD5"/>
    <w:rsid w:val="00061B9A"/>
    <w:rsid w:val="00061C13"/>
    <w:rsid w:val="00061D9E"/>
    <w:rsid w:val="00062066"/>
    <w:rsid w:val="00062080"/>
    <w:rsid w:val="00062117"/>
    <w:rsid w:val="00062182"/>
    <w:rsid w:val="0006226C"/>
    <w:rsid w:val="0006228C"/>
    <w:rsid w:val="0006231B"/>
    <w:rsid w:val="000624DB"/>
    <w:rsid w:val="00062518"/>
    <w:rsid w:val="000626AB"/>
    <w:rsid w:val="000626BD"/>
    <w:rsid w:val="00062741"/>
    <w:rsid w:val="0006285D"/>
    <w:rsid w:val="0006295A"/>
    <w:rsid w:val="000629D4"/>
    <w:rsid w:val="000629D9"/>
    <w:rsid w:val="00062ACC"/>
    <w:rsid w:val="00062B7F"/>
    <w:rsid w:val="00062BDD"/>
    <w:rsid w:val="00062C00"/>
    <w:rsid w:val="00062D07"/>
    <w:rsid w:val="00062D70"/>
    <w:rsid w:val="00062EEF"/>
    <w:rsid w:val="00063026"/>
    <w:rsid w:val="0006309E"/>
    <w:rsid w:val="000630C6"/>
    <w:rsid w:val="0006318D"/>
    <w:rsid w:val="00063338"/>
    <w:rsid w:val="00063339"/>
    <w:rsid w:val="000633AF"/>
    <w:rsid w:val="0006348B"/>
    <w:rsid w:val="000634D3"/>
    <w:rsid w:val="0006360D"/>
    <w:rsid w:val="00063734"/>
    <w:rsid w:val="00063776"/>
    <w:rsid w:val="000637FA"/>
    <w:rsid w:val="000639DC"/>
    <w:rsid w:val="00063B08"/>
    <w:rsid w:val="00063BF9"/>
    <w:rsid w:val="00063C6B"/>
    <w:rsid w:val="00063DC0"/>
    <w:rsid w:val="00064106"/>
    <w:rsid w:val="000641BD"/>
    <w:rsid w:val="000645AD"/>
    <w:rsid w:val="00064600"/>
    <w:rsid w:val="00064648"/>
    <w:rsid w:val="000646BC"/>
    <w:rsid w:val="000647D9"/>
    <w:rsid w:val="00064968"/>
    <w:rsid w:val="000649C6"/>
    <w:rsid w:val="000649E0"/>
    <w:rsid w:val="00064A12"/>
    <w:rsid w:val="00064B28"/>
    <w:rsid w:val="00064C68"/>
    <w:rsid w:val="00064E16"/>
    <w:rsid w:val="00064F8E"/>
    <w:rsid w:val="0006510D"/>
    <w:rsid w:val="00065136"/>
    <w:rsid w:val="0006529B"/>
    <w:rsid w:val="000652AD"/>
    <w:rsid w:val="0006541A"/>
    <w:rsid w:val="000655F5"/>
    <w:rsid w:val="000656D2"/>
    <w:rsid w:val="00065A13"/>
    <w:rsid w:val="00065AA7"/>
    <w:rsid w:val="00065B92"/>
    <w:rsid w:val="00065C45"/>
    <w:rsid w:val="00065CFB"/>
    <w:rsid w:val="00065FE0"/>
    <w:rsid w:val="0006605F"/>
    <w:rsid w:val="000660DF"/>
    <w:rsid w:val="000661FB"/>
    <w:rsid w:val="0006621A"/>
    <w:rsid w:val="000662F1"/>
    <w:rsid w:val="00066376"/>
    <w:rsid w:val="0006637D"/>
    <w:rsid w:val="000663DC"/>
    <w:rsid w:val="00066404"/>
    <w:rsid w:val="0006640C"/>
    <w:rsid w:val="000664C8"/>
    <w:rsid w:val="00066514"/>
    <w:rsid w:val="00066540"/>
    <w:rsid w:val="000666C9"/>
    <w:rsid w:val="0006685A"/>
    <w:rsid w:val="000668CC"/>
    <w:rsid w:val="000668E9"/>
    <w:rsid w:val="0006698B"/>
    <w:rsid w:val="00066BBE"/>
    <w:rsid w:val="00066BFF"/>
    <w:rsid w:val="00066CE5"/>
    <w:rsid w:val="00066CE9"/>
    <w:rsid w:val="00066FD2"/>
    <w:rsid w:val="0006728A"/>
    <w:rsid w:val="000674BE"/>
    <w:rsid w:val="000675BC"/>
    <w:rsid w:val="000675D9"/>
    <w:rsid w:val="000675F5"/>
    <w:rsid w:val="0006770B"/>
    <w:rsid w:val="00067712"/>
    <w:rsid w:val="000677D5"/>
    <w:rsid w:val="000679B1"/>
    <w:rsid w:val="00067B9E"/>
    <w:rsid w:val="00067BDC"/>
    <w:rsid w:val="00067D28"/>
    <w:rsid w:val="00067D59"/>
    <w:rsid w:val="00067D60"/>
    <w:rsid w:val="0007005A"/>
    <w:rsid w:val="000701C7"/>
    <w:rsid w:val="000701CC"/>
    <w:rsid w:val="000701F6"/>
    <w:rsid w:val="000702AD"/>
    <w:rsid w:val="00070418"/>
    <w:rsid w:val="0007043E"/>
    <w:rsid w:val="000704E6"/>
    <w:rsid w:val="000704E7"/>
    <w:rsid w:val="000705C5"/>
    <w:rsid w:val="00070738"/>
    <w:rsid w:val="000708B9"/>
    <w:rsid w:val="00070AD7"/>
    <w:rsid w:val="00070AE6"/>
    <w:rsid w:val="00070BE0"/>
    <w:rsid w:val="00070D3E"/>
    <w:rsid w:val="00070F90"/>
    <w:rsid w:val="000711B1"/>
    <w:rsid w:val="00071296"/>
    <w:rsid w:val="00071345"/>
    <w:rsid w:val="00071569"/>
    <w:rsid w:val="00071672"/>
    <w:rsid w:val="000716B0"/>
    <w:rsid w:val="000717DC"/>
    <w:rsid w:val="000718F6"/>
    <w:rsid w:val="00071901"/>
    <w:rsid w:val="00071BEC"/>
    <w:rsid w:val="00071D75"/>
    <w:rsid w:val="00071DB7"/>
    <w:rsid w:val="00071E88"/>
    <w:rsid w:val="00071E95"/>
    <w:rsid w:val="00071F3A"/>
    <w:rsid w:val="00072149"/>
    <w:rsid w:val="000722DA"/>
    <w:rsid w:val="0007232D"/>
    <w:rsid w:val="0007232F"/>
    <w:rsid w:val="00072528"/>
    <w:rsid w:val="0007256F"/>
    <w:rsid w:val="0007269C"/>
    <w:rsid w:val="000726D1"/>
    <w:rsid w:val="00072873"/>
    <w:rsid w:val="00072A75"/>
    <w:rsid w:val="00072B21"/>
    <w:rsid w:val="00072EA1"/>
    <w:rsid w:val="00072F94"/>
    <w:rsid w:val="00072FC3"/>
    <w:rsid w:val="00073013"/>
    <w:rsid w:val="00073020"/>
    <w:rsid w:val="00073096"/>
    <w:rsid w:val="000730EC"/>
    <w:rsid w:val="00073127"/>
    <w:rsid w:val="000732A6"/>
    <w:rsid w:val="000732E4"/>
    <w:rsid w:val="0007330B"/>
    <w:rsid w:val="00073397"/>
    <w:rsid w:val="0007339A"/>
    <w:rsid w:val="000734A5"/>
    <w:rsid w:val="0007356B"/>
    <w:rsid w:val="000735BC"/>
    <w:rsid w:val="000735FD"/>
    <w:rsid w:val="00073776"/>
    <w:rsid w:val="000738C2"/>
    <w:rsid w:val="00073903"/>
    <w:rsid w:val="00073949"/>
    <w:rsid w:val="0007396F"/>
    <w:rsid w:val="00073ADC"/>
    <w:rsid w:val="00073AF9"/>
    <w:rsid w:val="00073C53"/>
    <w:rsid w:val="00073D1B"/>
    <w:rsid w:val="00073D4C"/>
    <w:rsid w:val="00073D5A"/>
    <w:rsid w:val="00073E64"/>
    <w:rsid w:val="00073F66"/>
    <w:rsid w:val="00074063"/>
    <w:rsid w:val="00074100"/>
    <w:rsid w:val="00074147"/>
    <w:rsid w:val="000741E6"/>
    <w:rsid w:val="0007424A"/>
    <w:rsid w:val="000742A3"/>
    <w:rsid w:val="0007459C"/>
    <w:rsid w:val="00074690"/>
    <w:rsid w:val="000746A1"/>
    <w:rsid w:val="000746EF"/>
    <w:rsid w:val="000746FC"/>
    <w:rsid w:val="00074AE7"/>
    <w:rsid w:val="00074BA3"/>
    <w:rsid w:val="00074C4F"/>
    <w:rsid w:val="00074D11"/>
    <w:rsid w:val="00074D64"/>
    <w:rsid w:val="00074D9A"/>
    <w:rsid w:val="00074E84"/>
    <w:rsid w:val="00074EEE"/>
    <w:rsid w:val="00074F2B"/>
    <w:rsid w:val="00075007"/>
    <w:rsid w:val="000753E1"/>
    <w:rsid w:val="00075568"/>
    <w:rsid w:val="00075570"/>
    <w:rsid w:val="000755B0"/>
    <w:rsid w:val="000755ED"/>
    <w:rsid w:val="000756E1"/>
    <w:rsid w:val="000758A5"/>
    <w:rsid w:val="00075E62"/>
    <w:rsid w:val="00076172"/>
    <w:rsid w:val="000761C1"/>
    <w:rsid w:val="000762FF"/>
    <w:rsid w:val="00076557"/>
    <w:rsid w:val="000765D2"/>
    <w:rsid w:val="00076731"/>
    <w:rsid w:val="0007682B"/>
    <w:rsid w:val="000768FC"/>
    <w:rsid w:val="000769B1"/>
    <w:rsid w:val="00076A09"/>
    <w:rsid w:val="00076B09"/>
    <w:rsid w:val="00076BD2"/>
    <w:rsid w:val="00076D5C"/>
    <w:rsid w:val="00076F8A"/>
    <w:rsid w:val="00077200"/>
    <w:rsid w:val="00077359"/>
    <w:rsid w:val="00077421"/>
    <w:rsid w:val="00077424"/>
    <w:rsid w:val="00077464"/>
    <w:rsid w:val="0007749C"/>
    <w:rsid w:val="00077535"/>
    <w:rsid w:val="000775EC"/>
    <w:rsid w:val="0007761D"/>
    <w:rsid w:val="0007766E"/>
    <w:rsid w:val="000777C5"/>
    <w:rsid w:val="00077827"/>
    <w:rsid w:val="00077893"/>
    <w:rsid w:val="00077A41"/>
    <w:rsid w:val="00077BA0"/>
    <w:rsid w:val="00077BDA"/>
    <w:rsid w:val="00077C4E"/>
    <w:rsid w:val="00077D24"/>
    <w:rsid w:val="00077D25"/>
    <w:rsid w:val="00077E12"/>
    <w:rsid w:val="00077F0B"/>
    <w:rsid w:val="00077F4A"/>
    <w:rsid w:val="00077F94"/>
    <w:rsid w:val="00077FB7"/>
    <w:rsid w:val="00077FE0"/>
    <w:rsid w:val="00077FF0"/>
    <w:rsid w:val="0008012B"/>
    <w:rsid w:val="0008014C"/>
    <w:rsid w:val="00080199"/>
    <w:rsid w:val="000802AB"/>
    <w:rsid w:val="000802AC"/>
    <w:rsid w:val="00080345"/>
    <w:rsid w:val="00080369"/>
    <w:rsid w:val="0008039E"/>
    <w:rsid w:val="000806A9"/>
    <w:rsid w:val="00080C0B"/>
    <w:rsid w:val="00080CAD"/>
    <w:rsid w:val="00080D35"/>
    <w:rsid w:val="00080E6D"/>
    <w:rsid w:val="00080ECB"/>
    <w:rsid w:val="00080F7E"/>
    <w:rsid w:val="00080FAB"/>
    <w:rsid w:val="00080FE1"/>
    <w:rsid w:val="0008108B"/>
    <w:rsid w:val="0008114E"/>
    <w:rsid w:val="000811F5"/>
    <w:rsid w:val="0008121F"/>
    <w:rsid w:val="000812C0"/>
    <w:rsid w:val="0008130E"/>
    <w:rsid w:val="000813FC"/>
    <w:rsid w:val="000814C5"/>
    <w:rsid w:val="000815AD"/>
    <w:rsid w:val="0008163F"/>
    <w:rsid w:val="00081834"/>
    <w:rsid w:val="00081B06"/>
    <w:rsid w:val="00081B89"/>
    <w:rsid w:val="00081BA4"/>
    <w:rsid w:val="00081CE2"/>
    <w:rsid w:val="00081D45"/>
    <w:rsid w:val="00081D7D"/>
    <w:rsid w:val="00081D8B"/>
    <w:rsid w:val="000820AF"/>
    <w:rsid w:val="000821AA"/>
    <w:rsid w:val="000822B5"/>
    <w:rsid w:val="0008261C"/>
    <w:rsid w:val="0008275C"/>
    <w:rsid w:val="00082837"/>
    <w:rsid w:val="00082A31"/>
    <w:rsid w:val="00082A66"/>
    <w:rsid w:val="00082A72"/>
    <w:rsid w:val="00082B61"/>
    <w:rsid w:val="00082B7D"/>
    <w:rsid w:val="00082EE8"/>
    <w:rsid w:val="00082F29"/>
    <w:rsid w:val="0008301A"/>
    <w:rsid w:val="0008304C"/>
    <w:rsid w:val="000832D6"/>
    <w:rsid w:val="00083316"/>
    <w:rsid w:val="00083426"/>
    <w:rsid w:val="0008344C"/>
    <w:rsid w:val="00083614"/>
    <w:rsid w:val="00083673"/>
    <w:rsid w:val="00083723"/>
    <w:rsid w:val="0008399A"/>
    <w:rsid w:val="000839E6"/>
    <w:rsid w:val="00083A36"/>
    <w:rsid w:val="00083DFF"/>
    <w:rsid w:val="00083EB0"/>
    <w:rsid w:val="00083F08"/>
    <w:rsid w:val="000840DA"/>
    <w:rsid w:val="0008417E"/>
    <w:rsid w:val="0008430A"/>
    <w:rsid w:val="0008436B"/>
    <w:rsid w:val="00084493"/>
    <w:rsid w:val="00084645"/>
    <w:rsid w:val="000848CE"/>
    <w:rsid w:val="00084988"/>
    <w:rsid w:val="00084AD7"/>
    <w:rsid w:val="00084B22"/>
    <w:rsid w:val="00084B94"/>
    <w:rsid w:val="00084C21"/>
    <w:rsid w:val="00084D40"/>
    <w:rsid w:val="00084D69"/>
    <w:rsid w:val="00084FC2"/>
    <w:rsid w:val="000850C9"/>
    <w:rsid w:val="00085102"/>
    <w:rsid w:val="0008511D"/>
    <w:rsid w:val="00085181"/>
    <w:rsid w:val="00085290"/>
    <w:rsid w:val="000856A4"/>
    <w:rsid w:val="00085714"/>
    <w:rsid w:val="0008581A"/>
    <w:rsid w:val="00085864"/>
    <w:rsid w:val="00085878"/>
    <w:rsid w:val="0008590E"/>
    <w:rsid w:val="000859BB"/>
    <w:rsid w:val="00085A14"/>
    <w:rsid w:val="00085A72"/>
    <w:rsid w:val="00085AC2"/>
    <w:rsid w:val="00085C13"/>
    <w:rsid w:val="00085CBB"/>
    <w:rsid w:val="00085CC7"/>
    <w:rsid w:val="0008600F"/>
    <w:rsid w:val="0008609D"/>
    <w:rsid w:val="000862A6"/>
    <w:rsid w:val="000862FC"/>
    <w:rsid w:val="0008638D"/>
    <w:rsid w:val="000864C2"/>
    <w:rsid w:val="00086532"/>
    <w:rsid w:val="00086906"/>
    <w:rsid w:val="00086ABD"/>
    <w:rsid w:val="00086BAD"/>
    <w:rsid w:val="00086C80"/>
    <w:rsid w:val="00086E20"/>
    <w:rsid w:val="00086FFF"/>
    <w:rsid w:val="00087046"/>
    <w:rsid w:val="00087112"/>
    <w:rsid w:val="00087250"/>
    <w:rsid w:val="0008731F"/>
    <w:rsid w:val="0008739B"/>
    <w:rsid w:val="000873B4"/>
    <w:rsid w:val="000873CA"/>
    <w:rsid w:val="00087622"/>
    <w:rsid w:val="00087635"/>
    <w:rsid w:val="00087ACC"/>
    <w:rsid w:val="00087C30"/>
    <w:rsid w:val="00087CAC"/>
    <w:rsid w:val="00087D91"/>
    <w:rsid w:val="00087E36"/>
    <w:rsid w:val="00087E3C"/>
    <w:rsid w:val="00087F07"/>
    <w:rsid w:val="00087F67"/>
    <w:rsid w:val="0009009C"/>
    <w:rsid w:val="0009017F"/>
    <w:rsid w:val="000902D9"/>
    <w:rsid w:val="00090333"/>
    <w:rsid w:val="000905F7"/>
    <w:rsid w:val="00090775"/>
    <w:rsid w:val="000908D8"/>
    <w:rsid w:val="00090B08"/>
    <w:rsid w:val="00090B27"/>
    <w:rsid w:val="00090BA0"/>
    <w:rsid w:val="00090C17"/>
    <w:rsid w:val="00090DB5"/>
    <w:rsid w:val="00090F83"/>
    <w:rsid w:val="00091099"/>
    <w:rsid w:val="00091161"/>
    <w:rsid w:val="000912AE"/>
    <w:rsid w:val="000913B4"/>
    <w:rsid w:val="000913F0"/>
    <w:rsid w:val="0009140E"/>
    <w:rsid w:val="00091467"/>
    <w:rsid w:val="00091493"/>
    <w:rsid w:val="0009154A"/>
    <w:rsid w:val="000915B3"/>
    <w:rsid w:val="000915D4"/>
    <w:rsid w:val="00091A30"/>
    <w:rsid w:val="00091A9E"/>
    <w:rsid w:val="00091DDC"/>
    <w:rsid w:val="00091E3A"/>
    <w:rsid w:val="00092108"/>
    <w:rsid w:val="00092207"/>
    <w:rsid w:val="000924A3"/>
    <w:rsid w:val="00092777"/>
    <w:rsid w:val="00092A1B"/>
    <w:rsid w:val="00092BE8"/>
    <w:rsid w:val="00092C27"/>
    <w:rsid w:val="00092C81"/>
    <w:rsid w:val="00092D74"/>
    <w:rsid w:val="000930FF"/>
    <w:rsid w:val="00093539"/>
    <w:rsid w:val="00093662"/>
    <w:rsid w:val="000938AF"/>
    <w:rsid w:val="00093AB6"/>
    <w:rsid w:val="00093BCA"/>
    <w:rsid w:val="00093C0E"/>
    <w:rsid w:val="00093CAB"/>
    <w:rsid w:val="00093D5E"/>
    <w:rsid w:val="000940C4"/>
    <w:rsid w:val="000944F4"/>
    <w:rsid w:val="00094661"/>
    <w:rsid w:val="000946E5"/>
    <w:rsid w:val="000949A3"/>
    <w:rsid w:val="00094A5C"/>
    <w:rsid w:val="00094CC6"/>
    <w:rsid w:val="00094D92"/>
    <w:rsid w:val="00094DE5"/>
    <w:rsid w:val="00094EBF"/>
    <w:rsid w:val="00094F72"/>
    <w:rsid w:val="00095117"/>
    <w:rsid w:val="0009518C"/>
    <w:rsid w:val="00095265"/>
    <w:rsid w:val="00095309"/>
    <w:rsid w:val="0009532C"/>
    <w:rsid w:val="00095363"/>
    <w:rsid w:val="000953BE"/>
    <w:rsid w:val="000954D8"/>
    <w:rsid w:val="00095598"/>
    <w:rsid w:val="0009566D"/>
    <w:rsid w:val="0009582C"/>
    <w:rsid w:val="0009582E"/>
    <w:rsid w:val="00095899"/>
    <w:rsid w:val="000958D7"/>
    <w:rsid w:val="00095B56"/>
    <w:rsid w:val="00095DE2"/>
    <w:rsid w:val="00095DF8"/>
    <w:rsid w:val="00095ECF"/>
    <w:rsid w:val="00095F16"/>
    <w:rsid w:val="00095FB7"/>
    <w:rsid w:val="0009602E"/>
    <w:rsid w:val="0009610C"/>
    <w:rsid w:val="00096121"/>
    <w:rsid w:val="00096272"/>
    <w:rsid w:val="00096356"/>
    <w:rsid w:val="0009637A"/>
    <w:rsid w:val="000963F4"/>
    <w:rsid w:val="0009646C"/>
    <w:rsid w:val="000964C8"/>
    <w:rsid w:val="00096699"/>
    <w:rsid w:val="0009684C"/>
    <w:rsid w:val="000969CF"/>
    <w:rsid w:val="00096A26"/>
    <w:rsid w:val="00096A76"/>
    <w:rsid w:val="00096A78"/>
    <w:rsid w:val="00096B28"/>
    <w:rsid w:val="00096D95"/>
    <w:rsid w:val="00096DED"/>
    <w:rsid w:val="00096E3A"/>
    <w:rsid w:val="00096ECD"/>
    <w:rsid w:val="00096F39"/>
    <w:rsid w:val="00096FB8"/>
    <w:rsid w:val="0009703A"/>
    <w:rsid w:val="00097061"/>
    <w:rsid w:val="000971D5"/>
    <w:rsid w:val="000972E2"/>
    <w:rsid w:val="00097443"/>
    <w:rsid w:val="000974E2"/>
    <w:rsid w:val="00097534"/>
    <w:rsid w:val="000975DE"/>
    <w:rsid w:val="0009760D"/>
    <w:rsid w:val="000976D9"/>
    <w:rsid w:val="000977CB"/>
    <w:rsid w:val="00097867"/>
    <w:rsid w:val="000979B4"/>
    <w:rsid w:val="00097ACC"/>
    <w:rsid w:val="00097AD8"/>
    <w:rsid w:val="00097B57"/>
    <w:rsid w:val="00097B61"/>
    <w:rsid w:val="00097BA9"/>
    <w:rsid w:val="00097BF4"/>
    <w:rsid w:val="00097C1E"/>
    <w:rsid w:val="00097C2A"/>
    <w:rsid w:val="00097C68"/>
    <w:rsid w:val="00097DAB"/>
    <w:rsid w:val="00097EDF"/>
    <w:rsid w:val="000A007E"/>
    <w:rsid w:val="000A0267"/>
    <w:rsid w:val="000A026C"/>
    <w:rsid w:val="000A02E6"/>
    <w:rsid w:val="000A04B5"/>
    <w:rsid w:val="000A05AF"/>
    <w:rsid w:val="000A0617"/>
    <w:rsid w:val="000A0700"/>
    <w:rsid w:val="000A0776"/>
    <w:rsid w:val="000A08C0"/>
    <w:rsid w:val="000A091C"/>
    <w:rsid w:val="000A0936"/>
    <w:rsid w:val="000A096C"/>
    <w:rsid w:val="000A0A83"/>
    <w:rsid w:val="000A0B84"/>
    <w:rsid w:val="000A0C5E"/>
    <w:rsid w:val="000A0CE6"/>
    <w:rsid w:val="000A0CF4"/>
    <w:rsid w:val="000A0E0D"/>
    <w:rsid w:val="000A0F34"/>
    <w:rsid w:val="000A1064"/>
    <w:rsid w:val="000A126C"/>
    <w:rsid w:val="000A12F4"/>
    <w:rsid w:val="000A12FD"/>
    <w:rsid w:val="000A1397"/>
    <w:rsid w:val="000A160D"/>
    <w:rsid w:val="000A1771"/>
    <w:rsid w:val="000A17C3"/>
    <w:rsid w:val="000A17F2"/>
    <w:rsid w:val="000A17F9"/>
    <w:rsid w:val="000A1A8A"/>
    <w:rsid w:val="000A1C6F"/>
    <w:rsid w:val="000A1DA4"/>
    <w:rsid w:val="000A20EE"/>
    <w:rsid w:val="000A2187"/>
    <w:rsid w:val="000A227C"/>
    <w:rsid w:val="000A22F4"/>
    <w:rsid w:val="000A253F"/>
    <w:rsid w:val="000A2578"/>
    <w:rsid w:val="000A25D2"/>
    <w:rsid w:val="000A2787"/>
    <w:rsid w:val="000A2927"/>
    <w:rsid w:val="000A29CB"/>
    <w:rsid w:val="000A2B12"/>
    <w:rsid w:val="000A2C07"/>
    <w:rsid w:val="000A2D66"/>
    <w:rsid w:val="000A2E4F"/>
    <w:rsid w:val="000A2F27"/>
    <w:rsid w:val="000A3344"/>
    <w:rsid w:val="000A33FC"/>
    <w:rsid w:val="000A3429"/>
    <w:rsid w:val="000A3846"/>
    <w:rsid w:val="000A38C9"/>
    <w:rsid w:val="000A3C48"/>
    <w:rsid w:val="000A3D43"/>
    <w:rsid w:val="000A3D71"/>
    <w:rsid w:val="000A4374"/>
    <w:rsid w:val="000A4414"/>
    <w:rsid w:val="000A45E6"/>
    <w:rsid w:val="000A46F3"/>
    <w:rsid w:val="000A47BD"/>
    <w:rsid w:val="000A484E"/>
    <w:rsid w:val="000A4923"/>
    <w:rsid w:val="000A49B9"/>
    <w:rsid w:val="000A49C4"/>
    <w:rsid w:val="000A4AAB"/>
    <w:rsid w:val="000A4B46"/>
    <w:rsid w:val="000A4DA1"/>
    <w:rsid w:val="000A4EBC"/>
    <w:rsid w:val="000A4EFD"/>
    <w:rsid w:val="000A5061"/>
    <w:rsid w:val="000A5282"/>
    <w:rsid w:val="000A5373"/>
    <w:rsid w:val="000A567A"/>
    <w:rsid w:val="000A576F"/>
    <w:rsid w:val="000A57AD"/>
    <w:rsid w:val="000A5896"/>
    <w:rsid w:val="000A58C2"/>
    <w:rsid w:val="000A59E0"/>
    <w:rsid w:val="000A5B41"/>
    <w:rsid w:val="000A5B4E"/>
    <w:rsid w:val="000A5B55"/>
    <w:rsid w:val="000A5C27"/>
    <w:rsid w:val="000A5E39"/>
    <w:rsid w:val="000A5E51"/>
    <w:rsid w:val="000A5F09"/>
    <w:rsid w:val="000A5F46"/>
    <w:rsid w:val="000A6038"/>
    <w:rsid w:val="000A604A"/>
    <w:rsid w:val="000A605E"/>
    <w:rsid w:val="000A60F5"/>
    <w:rsid w:val="000A6227"/>
    <w:rsid w:val="000A6494"/>
    <w:rsid w:val="000A666A"/>
    <w:rsid w:val="000A672D"/>
    <w:rsid w:val="000A6886"/>
    <w:rsid w:val="000A6949"/>
    <w:rsid w:val="000A696D"/>
    <w:rsid w:val="000A697F"/>
    <w:rsid w:val="000A6BA5"/>
    <w:rsid w:val="000A6BDF"/>
    <w:rsid w:val="000A6DA5"/>
    <w:rsid w:val="000A6DF4"/>
    <w:rsid w:val="000A6FE7"/>
    <w:rsid w:val="000A6FEB"/>
    <w:rsid w:val="000A70E3"/>
    <w:rsid w:val="000A73F7"/>
    <w:rsid w:val="000A74DD"/>
    <w:rsid w:val="000A7662"/>
    <w:rsid w:val="000A76AD"/>
    <w:rsid w:val="000A78D2"/>
    <w:rsid w:val="000A799D"/>
    <w:rsid w:val="000A7B82"/>
    <w:rsid w:val="000A7C09"/>
    <w:rsid w:val="000A7C6A"/>
    <w:rsid w:val="000A7D21"/>
    <w:rsid w:val="000A7DDF"/>
    <w:rsid w:val="000A7E65"/>
    <w:rsid w:val="000B00AE"/>
    <w:rsid w:val="000B017E"/>
    <w:rsid w:val="000B023B"/>
    <w:rsid w:val="000B053D"/>
    <w:rsid w:val="000B067F"/>
    <w:rsid w:val="000B09CA"/>
    <w:rsid w:val="000B0AF1"/>
    <w:rsid w:val="000B0CBC"/>
    <w:rsid w:val="000B0FD4"/>
    <w:rsid w:val="000B1196"/>
    <w:rsid w:val="000B132C"/>
    <w:rsid w:val="000B153A"/>
    <w:rsid w:val="000B17A1"/>
    <w:rsid w:val="000B1A52"/>
    <w:rsid w:val="000B1ADD"/>
    <w:rsid w:val="000B1B2B"/>
    <w:rsid w:val="000B1C9A"/>
    <w:rsid w:val="000B1EB9"/>
    <w:rsid w:val="000B1F55"/>
    <w:rsid w:val="000B1F68"/>
    <w:rsid w:val="000B20E7"/>
    <w:rsid w:val="000B2649"/>
    <w:rsid w:val="000B26B9"/>
    <w:rsid w:val="000B284E"/>
    <w:rsid w:val="000B289B"/>
    <w:rsid w:val="000B28C6"/>
    <w:rsid w:val="000B2CCF"/>
    <w:rsid w:val="000B2DF6"/>
    <w:rsid w:val="000B2E2B"/>
    <w:rsid w:val="000B2E47"/>
    <w:rsid w:val="000B2EAF"/>
    <w:rsid w:val="000B30AE"/>
    <w:rsid w:val="000B3490"/>
    <w:rsid w:val="000B3497"/>
    <w:rsid w:val="000B3530"/>
    <w:rsid w:val="000B382A"/>
    <w:rsid w:val="000B382E"/>
    <w:rsid w:val="000B39F4"/>
    <w:rsid w:val="000B3A76"/>
    <w:rsid w:val="000B3AAD"/>
    <w:rsid w:val="000B3AB0"/>
    <w:rsid w:val="000B3BB7"/>
    <w:rsid w:val="000B3CD4"/>
    <w:rsid w:val="000B3E68"/>
    <w:rsid w:val="000B3F5F"/>
    <w:rsid w:val="000B3FDA"/>
    <w:rsid w:val="000B417E"/>
    <w:rsid w:val="000B4321"/>
    <w:rsid w:val="000B4403"/>
    <w:rsid w:val="000B442C"/>
    <w:rsid w:val="000B46FC"/>
    <w:rsid w:val="000B47A6"/>
    <w:rsid w:val="000B47B8"/>
    <w:rsid w:val="000B484D"/>
    <w:rsid w:val="000B48E6"/>
    <w:rsid w:val="000B490F"/>
    <w:rsid w:val="000B4C65"/>
    <w:rsid w:val="000B4DDA"/>
    <w:rsid w:val="000B4E42"/>
    <w:rsid w:val="000B502D"/>
    <w:rsid w:val="000B50E6"/>
    <w:rsid w:val="000B5140"/>
    <w:rsid w:val="000B546D"/>
    <w:rsid w:val="000B54DF"/>
    <w:rsid w:val="000B5522"/>
    <w:rsid w:val="000B5563"/>
    <w:rsid w:val="000B56AE"/>
    <w:rsid w:val="000B5705"/>
    <w:rsid w:val="000B57FE"/>
    <w:rsid w:val="000B5933"/>
    <w:rsid w:val="000B5B2B"/>
    <w:rsid w:val="000B5BAF"/>
    <w:rsid w:val="000B5C94"/>
    <w:rsid w:val="000B5E11"/>
    <w:rsid w:val="000B5F2B"/>
    <w:rsid w:val="000B6110"/>
    <w:rsid w:val="000B6200"/>
    <w:rsid w:val="000B6510"/>
    <w:rsid w:val="000B675A"/>
    <w:rsid w:val="000B67A6"/>
    <w:rsid w:val="000B67BB"/>
    <w:rsid w:val="000B6829"/>
    <w:rsid w:val="000B6A00"/>
    <w:rsid w:val="000B6A3C"/>
    <w:rsid w:val="000B6A60"/>
    <w:rsid w:val="000B6F86"/>
    <w:rsid w:val="000B709B"/>
    <w:rsid w:val="000B7318"/>
    <w:rsid w:val="000B733F"/>
    <w:rsid w:val="000B739A"/>
    <w:rsid w:val="000B74D6"/>
    <w:rsid w:val="000B75B8"/>
    <w:rsid w:val="000B76BD"/>
    <w:rsid w:val="000B76C1"/>
    <w:rsid w:val="000B76EF"/>
    <w:rsid w:val="000B7BF0"/>
    <w:rsid w:val="000B7C5A"/>
    <w:rsid w:val="000B7D08"/>
    <w:rsid w:val="000B7F68"/>
    <w:rsid w:val="000C024C"/>
    <w:rsid w:val="000C0331"/>
    <w:rsid w:val="000C0357"/>
    <w:rsid w:val="000C03FA"/>
    <w:rsid w:val="000C043E"/>
    <w:rsid w:val="000C04F4"/>
    <w:rsid w:val="000C0A6A"/>
    <w:rsid w:val="000C0A7E"/>
    <w:rsid w:val="000C123D"/>
    <w:rsid w:val="000C12EC"/>
    <w:rsid w:val="000C14A3"/>
    <w:rsid w:val="000C1583"/>
    <w:rsid w:val="000C196C"/>
    <w:rsid w:val="000C199D"/>
    <w:rsid w:val="000C19A3"/>
    <w:rsid w:val="000C1AA6"/>
    <w:rsid w:val="000C1CB4"/>
    <w:rsid w:val="000C1D0E"/>
    <w:rsid w:val="000C2053"/>
    <w:rsid w:val="000C230B"/>
    <w:rsid w:val="000C23A4"/>
    <w:rsid w:val="000C23DF"/>
    <w:rsid w:val="000C244F"/>
    <w:rsid w:val="000C24B9"/>
    <w:rsid w:val="000C24DF"/>
    <w:rsid w:val="000C2935"/>
    <w:rsid w:val="000C29B7"/>
    <w:rsid w:val="000C2A36"/>
    <w:rsid w:val="000C2A79"/>
    <w:rsid w:val="000C2C9F"/>
    <w:rsid w:val="000C2CF8"/>
    <w:rsid w:val="000C2E2E"/>
    <w:rsid w:val="000C2F5C"/>
    <w:rsid w:val="000C304E"/>
    <w:rsid w:val="000C3117"/>
    <w:rsid w:val="000C352B"/>
    <w:rsid w:val="000C36AE"/>
    <w:rsid w:val="000C3763"/>
    <w:rsid w:val="000C3780"/>
    <w:rsid w:val="000C3792"/>
    <w:rsid w:val="000C3798"/>
    <w:rsid w:val="000C39F1"/>
    <w:rsid w:val="000C3A08"/>
    <w:rsid w:val="000C3BD1"/>
    <w:rsid w:val="000C3D5F"/>
    <w:rsid w:val="000C3F74"/>
    <w:rsid w:val="000C413D"/>
    <w:rsid w:val="000C41A0"/>
    <w:rsid w:val="000C41D6"/>
    <w:rsid w:val="000C4265"/>
    <w:rsid w:val="000C4387"/>
    <w:rsid w:val="000C44FB"/>
    <w:rsid w:val="000C45AF"/>
    <w:rsid w:val="000C45D5"/>
    <w:rsid w:val="000C45E9"/>
    <w:rsid w:val="000C4711"/>
    <w:rsid w:val="000C4BC4"/>
    <w:rsid w:val="000C4EDA"/>
    <w:rsid w:val="000C5089"/>
    <w:rsid w:val="000C50E5"/>
    <w:rsid w:val="000C5128"/>
    <w:rsid w:val="000C512A"/>
    <w:rsid w:val="000C516D"/>
    <w:rsid w:val="000C52C1"/>
    <w:rsid w:val="000C5563"/>
    <w:rsid w:val="000C5A4D"/>
    <w:rsid w:val="000C5B55"/>
    <w:rsid w:val="000C5E37"/>
    <w:rsid w:val="000C5F6F"/>
    <w:rsid w:val="000C6009"/>
    <w:rsid w:val="000C61A5"/>
    <w:rsid w:val="000C66AD"/>
    <w:rsid w:val="000C6731"/>
    <w:rsid w:val="000C6944"/>
    <w:rsid w:val="000C698A"/>
    <w:rsid w:val="000C6A4B"/>
    <w:rsid w:val="000C6A7B"/>
    <w:rsid w:val="000C6B6C"/>
    <w:rsid w:val="000C6BF0"/>
    <w:rsid w:val="000C6C6C"/>
    <w:rsid w:val="000C6E18"/>
    <w:rsid w:val="000C6E57"/>
    <w:rsid w:val="000C6FC0"/>
    <w:rsid w:val="000C70B5"/>
    <w:rsid w:val="000C718A"/>
    <w:rsid w:val="000C7516"/>
    <w:rsid w:val="000C7731"/>
    <w:rsid w:val="000C7781"/>
    <w:rsid w:val="000C779D"/>
    <w:rsid w:val="000C788C"/>
    <w:rsid w:val="000C789C"/>
    <w:rsid w:val="000C7E06"/>
    <w:rsid w:val="000C7F38"/>
    <w:rsid w:val="000D0035"/>
    <w:rsid w:val="000D00B1"/>
    <w:rsid w:val="000D0120"/>
    <w:rsid w:val="000D027B"/>
    <w:rsid w:val="000D033B"/>
    <w:rsid w:val="000D0393"/>
    <w:rsid w:val="000D04D2"/>
    <w:rsid w:val="000D05D6"/>
    <w:rsid w:val="000D0799"/>
    <w:rsid w:val="000D07D3"/>
    <w:rsid w:val="000D0905"/>
    <w:rsid w:val="000D09BC"/>
    <w:rsid w:val="000D0AF0"/>
    <w:rsid w:val="000D0D2F"/>
    <w:rsid w:val="000D0E96"/>
    <w:rsid w:val="000D0EF5"/>
    <w:rsid w:val="000D0F25"/>
    <w:rsid w:val="000D0F71"/>
    <w:rsid w:val="000D117B"/>
    <w:rsid w:val="000D11A4"/>
    <w:rsid w:val="000D1399"/>
    <w:rsid w:val="000D1537"/>
    <w:rsid w:val="000D16BA"/>
    <w:rsid w:val="000D16DF"/>
    <w:rsid w:val="000D1706"/>
    <w:rsid w:val="000D1736"/>
    <w:rsid w:val="000D1856"/>
    <w:rsid w:val="000D1BB5"/>
    <w:rsid w:val="000D1E24"/>
    <w:rsid w:val="000D1E81"/>
    <w:rsid w:val="000D1E97"/>
    <w:rsid w:val="000D22C7"/>
    <w:rsid w:val="000D23D9"/>
    <w:rsid w:val="000D2417"/>
    <w:rsid w:val="000D25A6"/>
    <w:rsid w:val="000D279A"/>
    <w:rsid w:val="000D2945"/>
    <w:rsid w:val="000D29A9"/>
    <w:rsid w:val="000D2A04"/>
    <w:rsid w:val="000D2B73"/>
    <w:rsid w:val="000D2C21"/>
    <w:rsid w:val="000D2C95"/>
    <w:rsid w:val="000D2CA6"/>
    <w:rsid w:val="000D2E36"/>
    <w:rsid w:val="000D2EA9"/>
    <w:rsid w:val="000D2F45"/>
    <w:rsid w:val="000D307B"/>
    <w:rsid w:val="000D30F5"/>
    <w:rsid w:val="000D344D"/>
    <w:rsid w:val="000D35D2"/>
    <w:rsid w:val="000D368E"/>
    <w:rsid w:val="000D3767"/>
    <w:rsid w:val="000D3843"/>
    <w:rsid w:val="000D3A1E"/>
    <w:rsid w:val="000D3A4B"/>
    <w:rsid w:val="000D3A97"/>
    <w:rsid w:val="000D3CF2"/>
    <w:rsid w:val="000D3D6D"/>
    <w:rsid w:val="000D3E0B"/>
    <w:rsid w:val="000D3E1D"/>
    <w:rsid w:val="000D3E25"/>
    <w:rsid w:val="000D3E64"/>
    <w:rsid w:val="000D3EA0"/>
    <w:rsid w:val="000D40F6"/>
    <w:rsid w:val="000D411C"/>
    <w:rsid w:val="000D411D"/>
    <w:rsid w:val="000D41A9"/>
    <w:rsid w:val="000D436B"/>
    <w:rsid w:val="000D440A"/>
    <w:rsid w:val="000D4497"/>
    <w:rsid w:val="000D47C1"/>
    <w:rsid w:val="000D4C58"/>
    <w:rsid w:val="000D4C9D"/>
    <w:rsid w:val="000D4E41"/>
    <w:rsid w:val="000D4FAB"/>
    <w:rsid w:val="000D52B8"/>
    <w:rsid w:val="000D530F"/>
    <w:rsid w:val="000D559E"/>
    <w:rsid w:val="000D5612"/>
    <w:rsid w:val="000D5652"/>
    <w:rsid w:val="000D5927"/>
    <w:rsid w:val="000D5BA6"/>
    <w:rsid w:val="000D5EBB"/>
    <w:rsid w:val="000D5F28"/>
    <w:rsid w:val="000D5FC7"/>
    <w:rsid w:val="000D60FD"/>
    <w:rsid w:val="000D623A"/>
    <w:rsid w:val="000D6270"/>
    <w:rsid w:val="000D646C"/>
    <w:rsid w:val="000D65CC"/>
    <w:rsid w:val="000D67CE"/>
    <w:rsid w:val="000D67DC"/>
    <w:rsid w:val="000D6BF4"/>
    <w:rsid w:val="000D6C23"/>
    <w:rsid w:val="000D6C70"/>
    <w:rsid w:val="000D6D8A"/>
    <w:rsid w:val="000D6E5B"/>
    <w:rsid w:val="000D6F79"/>
    <w:rsid w:val="000D70B9"/>
    <w:rsid w:val="000D725D"/>
    <w:rsid w:val="000D7280"/>
    <w:rsid w:val="000D72BC"/>
    <w:rsid w:val="000D7361"/>
    <w:rsid w:val="000D7405"/>
    <w:rsid w:val="000D7501"/>
    <w:rsid w:val="000D7764"/>
    <w:rsid w:val="000D77A2"/>
    <w:rsid w:val="000D77BC"/>
    <w:rsid w:val="000D7823"/>
    <w:rsid w:val="000D79E2"/>
    <w:rsid w:val="000D7A23"/>
    <w:rsid w:val="000D7A43"/>
    <w:rsid w:val="000D7A79"/>
    <w:rsid w:val="000D7AA7"/>
    <w:rsid w:val="000D7C23"/>
    <w:rsid w:val="000D7E03"/>
    <w:rsid w:val="000D7E7E"/>
    <w:rsid w:val="000D7FC5"/>
    <w:rsid w:val="000E0300"/>
    <w:rsid w:val="000E0303"/>
    <w:rsid w:val="000E06B3"/>
    <w:rsid w:val="000E0706"/>
    <w:rsid w:val="000E0755"/>
    <w:rsid w:val="000E08A0"/>
    <w:rsid w:val="000E08D8"/>
    <w:rsid w:val="000E0AC2"/>
    <w:rsid w:val="000E0B53"/>
    <w:rsid w:val="000E0B69"/>
    <w:rsid w:val="000E0D0B"/>
    <w:rsid w:val="000E0F6C"/>
    <w:rsid w:val="000E0FA7"/>
    <w:rsid w:val="000E100A"/>
    <w:rsid w:val="000E1202"/>
    <w:rsid w:val="000E131D"/>
    <w:rsid w:val="000E1480"/>
    <w:rsid w:val="000E1656"/>
    <w:rsid w:val="000E18D5"/>
    <w:rsid w:val="000E18D9"/>
    <w:rsid w:val="000E1A47"/>
    <w:rsid w:val="000E1CD4"/>
    <w:rsid w:val="000E1D45"/>
    <w:rsid w:val="000E1DBF"/>
    <w:rsid w:val="000E1E37"/>
    <w:rsid w:val="000E1F01"/>
    <w:rsid w:val="000E1FAC"/>
    <w:rsid w:val="000E2117"/>
    <w:rsid w:val="000E21B7"/>
    <w:rsid w:val="000E2350"/>
    <w:rsid w:val="000E23DE"/>
    <w:rsid w:val="000E2565"/>
    <w:rsid w:val="000E2589"/>
    <w:rsid w:val="000E2620"/>
    <w:rsid w:val="000E2671"/>
    <w:rsid w:val="000E2746"/>
    <w:rsid w:val="000E2BA4"/>
    <w:rsid w:val="000E2BA5"/>
    <w:rsid w:val="000E2BC0"/>
    <w:rsid w:val="000E2BEA"/>
    <w:rsid w:val="000E2C08"/>
    <w:rsid w:val="000E2C16"/>
    <w:rsid w:val="000E2E44"/>
    <w:rsid w:val="000E2E70"/>
    <w:rsid w:val="000E2E72"/>
    <w:rsid w:val="000E2F07"/>
    <w:rsid w:val="000E3065"/>
    <w:rsid w:val="000E30F2"/>
    <w:rsid w:val="000E317D"/>
    <w:rsid w:val="000E32E0"/>
    <w:rsid w:val="000E332C"/>
    <w:rsid w:val="000E3330"/>
    <w:rsid w:val="000E3551"/>
    <w:rsid w:val="000E3759"/>
    <w:rsid w:val="000E3795"/>
    <w:rsid w:val="000E37F6"/>
    <w:rsid w:val="000E38CD"/>
    <w:rsid w:val="000E391A"/>
    <w:rsid w:val="000E394B"/>
    <w:rsid w:val="000E397B"/>
    <w:rsid w:val="000E3AEB"/>
    <w:rsid w:val="000E3EEB"/>
    <w:rsid w:val="000E3F57"/>
    <w:rsid w:val="000E41F5"/>
    <w:rsid w:val="000E4316"/>
    <w:rsid w:val="000E43CC"/>
    <w:rsid w:val="000E4454"/>
    <w:rsid w:val="000E450D"/>
    <w:rsid w:val="000E4611"/>
    <w:rsid w:val="000E47B0"/>
    <w:rsid w:val="000E47D8"/>
    <w:rsid w:val="000E47DC"/>
    <w:rsid w:val="000E4971"/>
    <w:rsid w:val="000E498A"/>
    <w:rsid w:val="000E49FE"/>
    <w:rsid w:val="000E4CCA"/>
    <w:rsid w:val="000E4D47"/>
    <w:rsid w:val="000E4DF3"/>
    <w:rsid w:val="000E4F1F"/>
    <w:rsid w:val="000E4FF6"/>
    <w:rsid w:val="000E5084"/>
    <w:rsid w:val="000E51BE"/>
    <w:rsid w:val="000E5433"/>
    <w:rsid w:val="000E5487"/>
    <w:rsid w:val="000E5789"/>
    <w:rsid w:val="000E57F2"/>
    <w:rsid w:val="000E57FA"/>
    <w:rsid w:val="000E5806"/>
    <w:rsid w:val="000E588E"/>
    <w:rsid w:val="000E58A7"/>
    <w:rsid w:val="000E5A07"/>
    <w:rsid w:val="000E5B89"/>
    <w:rsid w:val="000E5BD2"/>
    <w:rsid w:val="000E5C1D"/>
    <w:rsid w:val="000E5C60"/>
    <w:rsid w:val="000E5CE0"/>
    <w:rsid w:val="000E5D62"/>
    <w:rsid w:val="000E5E03"/>
    <w:rsid w:val="000E5ED1"/>
    <w:rsid w:val="000E5F84"/>
    <w:rsid w:val="000E6163"/>
    <w:rsid w:val="000E61B5"/>
    <w:rsid w:val="000E63C8"/>
    <w:rsid w:val="000E6404"/>
    <w:rsid w:val="000E64AF"/>
    <w:rsid w:val="000E685F"/>
    <w:rsid w:val="000E6A2E"/>
    <w:rsid w:val="000E6A7C"/>
    <w:rsid w:val="000E6C98"/>
    <w:rsid w:val="000E6CFA"/>
    <w:rsid w:val="000E6D6E"/>
    <w:rsid w:val="000E6DF8"/>
    <w:rsid w:val="000E704C"/>
    <w:rsid w:val="000E70A0"/>
    <w:rsid w:val="000E715D"/>
    <w:rsid w:val="000E71E6"/>
    <w:rsid w:val="000E7408"/>
    <w:rsid w:val="000E7614"/>
    <w:rsid w:val="000E763C"/>
    <w:rsid w:val="000E7CEA"/>
    <w:rsid w:val="000E7E29"/>
    <w:rsid w:val="000E7EE0"/>
    <w:rsid w:val="000E7F52"/>
    <w:rsid w:val="000E7FAD"/>
    <w:rsid w:val="000F002D"/>
    <w:rsid w:val="000F032B"/>
    <w:rsid w:val="000F0336"/>
    <w:rsid w:val="000F055C"/>
    <w:rsid w:val="000F0632"/>
    <w:rsid w:val="000F0755"/>
    <w:rsid w:val="000F07E1"/>
    <w:rsid w:val="000F085A"/>
    <w:rsid w:val="000F0910"/>
    <w:rsid w:val="000F096F"/>
    <w:rsid w:val="000F0A6D"/>
    <w:rsid w:val="000F0A82"/>
    <w:rsid w:val="000F0D3F"/>
    <w:rsid w:val="000F0DFA"/>
    <w:rsid w:val="000F0E4F"/>
    <w:rsid w:val="000F0E68"/>
    <w:rsid w:val="000F0EA8"/>
    <w:rsid w:val="000F0EC4"/>
    <w:rsid w:val="000F0F00"/>
    <w:rsid w:val="000F131E"/>
    <w:rsid w:val="000F13CB"/>
    <w:rsid w:val="000F1515"/>
    <w:rsid w:val="000F195F"/>
    <w:rsid w:val="000F19A7"/>
    <w:rsid w:val="000F19B4"/>
    <w:rsid w:val="000F1CD1"/>
    <w:rsid w:val="000F1D24"/>
    <w:rsid w:val="000F1D26"/>
    <w:rsid w:val="000F1D77"/>
    <w:rsid w:val="000F1F42"/>
    <w:rsid w:val="000F2011"/>
    <w:rsid w:val="000F202A"/>
    <w:rsid w:val="000F21B1"/>
    <w:rsid w:val="000F229F"/>
    <w:rsid w:val="000F2323"/>
    <w:rsid w:val="000F23A6"/>
    <w:rsid w:val="000F23D4"/>
    <w:rsid w:val="000F2502"/>
    <w:rsid w:val="000F2706"/>
    <w:rsid w:val="000F2814"/>
    <w:rsid w:val="000F2912"/>
    <w:rsid w:val="000F2A5B"/>
    <w:rsid w:val="000F2B8B"/>
    <w:rsid w:val="000F2D68"/>
    <w:rsid w:val="000F2D90"/>
    <w:rsid w:val="000F2DAE"/>
    <w:rsid w:val="000F3060"/>
    <w:rsid w:val="000F3080"/>
    <w:rsid w:val="000F309A"/>
    <w:rsid w:val="000F31BA"/>
    <w:rsid w:val="000F32D3"/>
    <w:rsid w:val="000F35FA"/>
    <w:rsid w:val="000F3635"/>
    <w:rsid w:val="000F363C"/>
    <w:rsid w:val="000F3819"/>
    <w:rsid w:val="000F3893"/>
    <w:rsid w:val="000F3896"/>
    <w:rsid w:val="000F3A1A"/>
    <w:rsid w:val="000F3CC3"/>
    <w:rsid w:val="000F401D"/>
    <w:rsid w:val="000F42FE"/>
    <w:rsid w:val="000F4324"/>
    <w:rsid w:val="000F43F9"/>
    <w:rsid w:val="000F46DD"/>
    <w:rsid w:val="000F479A"/>
    <w:rsid w:val="000F4A11"/>
    <w:rsid w:val="000F4B89"/>
    <w:rsid w:val="000F4FDF"/>
    <w:rsid w:val="000F5077"/>
    <w:rsid w:val="000F50B4"/>
    <w:rsid w:val="000F5230"/>
    <w:rsid w:val="000F52BE"/>
    <w:rsid w:val="000F530F"/>
    <w:rsid w:val="000F551A"/>
    <w:rsid w:val="000F5566"/>
    <w:rsid w:val="000F5794"/>
    <w:rsid w:val="000F57C5"/>
    <w:rsid w:val="000F57E2"/>
    <w:rsid w:val="000F58D8"/>
    <w:rsid w:val="000F5A1C"/>
    <w:rsid w:val="000F5A9E"/>
    <w:rsid w:val="000F5C69"/>
    <w:rsid w:val="000F5CA6"/>
    <w:rsid w:val="000F5CAB"/>
    <w:rsid w:val="000F5D96"/>
    <w:rsid w:val="000F5DF9"/>
    <w:rsid w:val="000F5E2B"/>
    <w:rsid w:val="000F5F16"/>
    <w:rsid w:val="000F5F8B"/>
    <w:rsid w:val="000F601C"/>
    <w:rsid w:val="000F6026"/>
    <w:rsid w:val="000F604A"/>
    <w:rsid w:val="000F606F"/>
    <w:rsid w:val="000F60D1"/>
    <w:rsid w:val="000F62C2"/>
    <w:rsid w:val="000F6423"/>
    <w:rsid w:val="000F648C"/>
    <w:rsid w:val="000F65E4"/>
    <w:rsid w:val="000F667F"/>
    <w:rsid w:val="000F66A4"/>
    <w:rsid w:val="000F6722"/>
    <w:rsid w:val="000F682D"/>
    <w:rsid w:val="000F6917"/>
    <w:rsid w:val="000F716F"/>
    <w:rsid w:val="000F7ACD"/>
    <w:rsid w:val="000F7C75"/>
    <w:rsid w:val="000F7D34"/>
    <w:rsid w:val="000F7F87"/>
    <w:rsid w:val="001001B5"/>
    <w:rsid w:val="00100240"/>
    <w:rsid w:val="001003DA"/>
    <w:rsid w:val="0010040D"/>
    <w:rsid w:val="00100797"/>
    <w:rsid w:val="001008A1"/>
    <w:rsid w:val="0010090D"/>
    <w:rsid w:val="00100B7B"/>
    <w:rsid w:val="00100C46"/>
    <w:rsid w:val="00100C48"/>
    <w:rsid w:val="00100C88"/>
    <w:rsid w:val="00100CAA"/>
    <w:rsid w:val="00100E1A"/>
    <w:rsid w:val="00100E23"/>
    <w:rsid w:val="0010115C"/>
    <w:rsid w:val="00101422"/>
    <w:rsid w:val="0010146E"/>
    <w:rsid w:val="001014E4"/>
    <w:rsid w:val="001015C9"/>
    <w:rsid w:val="001016C5"/>
    <w:rsid w:val="001016D4"/>
    <w:rsid w:val="001016E0"/>
    <w:rsid w:val="00101782"/>
    <w:rsid w:val="00101874"/>
    <w:rsid w:val="00101A1F"/>
    <w:rsid w:val="00101AD5"/>
    <w:rsid w:val="00101B6F"/>
    <w:rsid w:val="00101BDD"/>
    <w:rsid w:val="00101D73"/>
    <w:rsid w:val="00101D80"/>
    <w:rsid w:val="00101DD0"/>
    <w:rsid w:val="00101E69"/>
    <w:rsid w:val="00101F49"/>
    <w:rsid w:val="0010209E"/>
    <w:rsid w:val="00102276"/>
    <w:rsid w:val="0010252F"/>
    <w:rsid w:val="001026A4"/>
    <w:rsid w:val="00102846"/>
    <w:rsid w:val="001028A8"/>
    <w:rsid w:val="0010296E"/>
    <w:rsid w:val="001029B1"/>
    <w:rsid w:val="001029B4"/>
    <w:rsid w:val="00102C86"/>
    <w:rsid w:val="00102CF7"/>
    <w:rsid w:val="00102D26"/>
    <w:rsid w:val="00102D6C"/>
    <w:rsid w:val="00102EAD"/>
    <w:rsid w:val="00102FC6"/>
    <w:rsid w:val="00102FE6"/>
    <w:rsid w:val="0010311B"/>
    <w:rsid w:val="00103145"/>
    <w:rsid w:val="0010316C"/>
    <w:rsid w:val="00103252"/>
    <w:rsid w:val="001032E5"/>
    <w:rsid w:val="00103363"/>
    <w:rsid w:val="001033B1"/>
    <w:rsid w:val="001033FF"/>
    <w:rsid w:val="0010353A"/>
    <w:rsid w:val="00103954"/>
    <w:rsid w:val="00103968"/>
    <w:rsid w:val="0010397E"/>
    <w:rsid w:val="00103AE9"/>
    <w:rsid w:val="00103B6C"/>
    <w:rsid w:val="00103BFD"/>
    <w:rsid w:val="00103C4E"/>
    <w:rsid w:val="00103D87"/>
    <w:rsid w:val="00103E11"/>
    <w:rsid w:val="00104011"/>
    <w:rsid w:val="00104017"/>
    <w:rsid w:val="0010419F"/>
    <w:rsid w:val="0010437D"/>
    <w:rsid w:val="001045A6"/>
    <w:rsid w:val="001048BB"/>
    <w:rsid w:val="00104B76"/>
    <w:rsid w:val="00104C63"/>
    <w:rsid w:val="00104D0E"/>
    <w:rsid w:val="00104EC9"/>
    <w:rsid w:val="00104F16"/>
    <w:rsid w:val="0010501C"/>
    <w:rsid w:val="00105112"/>
    <w:rsid w:val="001051EA"/>
    <w:rsid w:val="0010533C"/>
    <w:rsid w:val="00105341"/>
    <w:rsid w:val="001053F5"/>
    <w:rsid w:val="001056C0"/>
    <w:rsid w:val="00105A83"/>
    <w:rsid w:val="00105CFF"/>
    <w:rsid w:val="00105E2E"/>
    <w:rsid w:val="001061BA"/>
    <w:rsid w:val="001061F8"/>
    <w:rsid w:val="00106514"/>
    <w:rsid w:val="00106517"/>
    <w:rsid w:val="00106599"/>
    <w:rsid w:val="0010675D"/>
    <w:rsid w:val="00106916"/>
    <w:rsid w:val="00106931"/>
    <w:rsid w:val="001069C7"/>
    <w:rsid w:val="001069DF"/>
    <w:rsid w:val="00106AEE"/>
    <w:rsid w:val="00106B55"/>
    <w:rsid w:val="00106DE7"/>
    <w:rsid w:val="001071B0"/>
    <w:rsid w:val="001071C7"/>
    <w:rsid w:val="00107228"/>
    <w:rsid w:val="001072C2"/>
    <w:rsid w:val="001074C4"/>
    <w:rsid w:val="001075E0"/>
    <w:rsid w:val="001076D8"/>
    <w:rsid w:val="0010770A"/>
    <w:rsid w:val="00107736"/>
    <w:rsid w:val="00107AFF"/>
    <w:rsid w:val="00107CBA"/>
    <w:rsid w:val="00107ECE"/>
    <w:rsid w:val="00107F4B"/>
    <w:rsid w:val="00107FA7"/>
    <w:rsid w:val="001100A3"/>
    <w:rsid w:val="001101FA"/>
    <w:rsid w:val="00110290"/>
    <w:rsid w:val="0011051E"/>
    <w:rsid w:val="00110525"/>
    <w:rsid w:val="00110771"/>
    <w:rsid w:val="001107C5"/>
    <w:rsid w:val="00110908"/>
    <w:rsid w:val="00110966"/>
    <w:rsid w:val="00110AAA"/>
    <w:rsid w:val="00110C8B"/>
    <w:rsid w:val="00110F89"/>
    <w:rsid w:val="00110FBF"/>
    <w:rsid w:val="00111088"/>
    <w:rsid w:val="00111286"/>
    <w:rsid w:val="001112E3"/>
    <w:rsid w:val="001112F5"/>
    <w:rsid w:val="00111354"/>
    <w:rsid w:val="001113A2"/>
    <w:rsid w:val="0011161E"/>
    <w:rsid w:val="00111759"/>
    <w:rsid w:val="001118DD"/>
    <w:rsid w:val="001119D0"/>
    <w:rsid w:val="001119E1"/>
    <w:rsid w:val="00111A40"/>
    <w:rsid w:val="00111D6E"/>
    <w:rsid w:val="00112085"/>
    <w:rsid w:val="001122DD"/>
    <w:rsid w:val="00112358"/>
    <w:rsid w:val="00112753"/>
    <w:rsid w:val="001127ED"/>
    <w:rsid w:val="00112C35"/>
    <w:rsid w:val="00112C9B"/>
    <w:rsid w:val="00112CC3"/>
    <w:rsid w:val="00112E93"/>
    <w:rsid w:val="00113023"/>
    <w:rsid w:val="001130E1"/>
    <w:rsid w:val="001130E3"/>
    <w:rsid w:val="00113199"/>
    <w:rsid w:val="001132A8"/>
    <w:rsid w:val="0011337D"/>
    <w:rsid w:val="001134C5"/>
    <w:rsid w:val="00113672"/>
    <w:rsid w:val="001137CE"/>
    <w:rsid w:val="001138E8"/>
    <w:rsid w:val="00113A11"/>
    <w:rsid w:val="00113D1F"/>
    <w:rsid w:val="00113D76"/>
    <w:rsid w:val="00113D8A"/>
    <w:rsid w:val="00113E1B"/>
    <w:rsid w:val="00113F01"/>
    <w:rsid w:val="00114185"/>
    <w:rsid w:val="0011418A"/>
    <w:rsid w:val="00114213"/>
    <w:rsid w:val="0011427A"/>
    <w:rsid w:val="001142CB"/>
    <w:rsid w:val="00114506"/>
    <w:rsid w:val="0011450D"/>
    <w:rsid w:val="001145EF"/>
    <w:rsid w:val="0011462D"/>
    <w:rsid w:val="0011482B"/>
    <w:rsid w:val="00114862"/>
    <w:rsid w:val="001148D1"/>
    <w:rsid w:val="00114962"/>
    <w:rsid w:val="001149CD"/>
    <w:rsid w:val="001149E7"/>
    <w:rsid w:val="00114A84"/>
    <w:rsid w:val="00114A91"/>
    <w:rsid w:val="00114B24"/>
    <w:rsid w:val="00114BB9"/>
    <w:rsid w:val="00114D1D"/>
    <w:rsid w:val="00114E44"/>
    <w:rsid w:val="00114EB6"/>
    <w:rsid w:val="00115131"/>
    <w:rsid w:val="0011517B"/>
    <w:rsid w:val="00115326"/>
    <w:rsid w:val="0011534D"/>
    <w:rsid w:val="001153C3"/>
    <w:rsid w:val="00115723"/>
    <w:rsid w:val="0011573C"/>
    <w:rsid w:val="00115810"/>
    <w:rsid w:val="00115863"/>
    <w:rsid w:val="00115941"/>
    <w:rsid w:val="0011598E"/>
    <w:rsid w:val="00115A3E"/>
    <w:rsid w:val="00115C06"/>
    <w:rsid w:val="00115C2F"/>
    <w:rsid w:val="0011600D"/>
    <w:rsid w:val="00116077"/>
    <w:rsid w:val="00116773"/>
    <w:rsid w:val="0011679C"/>
    <w:rsid w:val="0011684F"/>
    <w:rsid w:val="001168A1"/>
    <w:rsid w:val="001169A3"/>
    <w:rsid w:val="00116A78"/>
    <w:rsid w:val="00116C0D"/>
    <w:rsid w:val="00116E53"/>
    <w:rsid w:val="00116EBE"/>
    <w:rsid w:val="00116FB1"/>
    <w:rsid w:val="00116FC2"/>
    <w:rsid w:val="001171F6"/>
    <w:rsid w:val="00117273"/>
    <w:rsid w:val="001172CF"/>
    <w:rsid w:val="0011735B"/>
    <w:rsid w:val="00117384"/>
    <w:rsid w:val="0011747B"/>
    <w:rsid w:val="0011749E"/>
    <w:rsid w:val="00117576"/>
    <w:rsid w:val="0011758F"/>
    <w:rsid w:val="001175AB"/>
    <w:rsid w:val="001177E2"/>
    <w:rsid w:val="001178BB"/>
    <w:rsid w:val="00117A0E"/>
    <w:rsid w:val="00117A49"/>
    <w:rsid w:val="00117AF6"/>
    <w:rsid w:val="00117B07"/>
    <w:rsid w:val="00117B92"/>
    <w:rsid w:val="00117C31"/>
    <w:rsid w:val="00117C84"/>
    <w:rsid w:val="00117DC8"/>
    <w:rsid w:val="00117DCF"/>
    <w:rsid w:val="00117E63"/>
    <w:rsid w:val="001201F5"/>
    <w:rsid w:val="001203DF"/>
    <w:rsid w:val="0012075C"/>
    <w:rsid w:val="00120947"/>
    <w:rsid w:val="00120A59"/>
    <w:rsid w:val="00120AB8"/>
    <w:rsid w:val="00120D08"/>
    <w:rsid w:val="00120D8E"/>
    <w:rsid w:val="00120F49"/>
    <w:rsid w:val="00120FC6"/>
    <w:rsid w:val="0012101B"/>
    <w:rsid w:val="0012105E"/>
    <w:rsid w:val="001210E6"/>
    <w:rsid w:val="001211C8"/>
    <w:rsid w:val="00121215"/>
    <w:rsid w:val="00121216"/>
    <w:rsid w:val="001215F9"/>
    <w:rsid w:val="001216F9"/>
    <w:rsid w:val="00121799"/>
    <w:rsid w:val="0012194B"/>
    <w:rsid w:val="00121ACD"/>
    <w:rsid w:val="00121C2F"/>
    <w:rsid w:val="00121CDE"/>
    <w:rsid w:val="00121D31"/>
    <w:rsid w:val="00121DBD"/>
    <w:rsid w:val="00122085"/>
    <w:rsid w:val="001220A2"/>
    <w:rsid w:val="00122135"/>
    <w:rsid w:val="00122396"/>
    <w:rsid w:val="001223C4"/>
    <w:rsid w:val="00122411"/>
    <w:rsid w:val="00122585"/>
    <w:rsid w:val="00122647"/>
    <w:rsid w:val="0012270E"/>
    <w:rsid w:val="001227B9"/>
    <w:rsid w:val="00122930"/>
    <w:rsid w:val="00122C7A"/>
    <w:rsid w:val="00122E17"/>
    <w:rsid w:val="00122ECE"/>
    <w:rsid w:val="00122FD4"/>
    <w:rsid w:val="001230CF"/>
    <w:rsid w:val="001232CD"/>
    <w:rsid w:val="00123344"/>
    <w:rsid w:val="001233F2"/>
    <w:rsid w:val="0012352B"/>
    <w:rsid w:val="00123625"/>
    <w:rsid w:val="00123650"/>
    <w:rsid w:val="001236B7"/>
    <w:rsid w:val="001236FB"/>
    <w:rsid w:val="00123744"/>
    <w:rsid w:val="00123949"/>
    <w:rsid w:val="00123E32"/>
    <w:rsid w:val="001241DD"/>
    <w:rsid w:val="001241E1"/>
    <w:rsid w:val="00124270"/>
    <w:rsid w:val="0012444A"/>
    <w:rsid w:val="00124515"/>
    <w:rsid w:val="00124582"/>
    <w:rsid w:val="00124676"/>
    <w:rsid w:val="0012481E"/>
    <w:rsid w:val="0012487F"/>
    <w:rsid w:val="00124D30"/>
    <w:rsid w:val="0012506A"/>
    <w:rsid w:val="00125194"/>
    <w:rsid w:val="001251E7"/>
    <w:rsid w:val="001254B6"/>
    <w:rsid w:val="0012573F"/>
    <w:rsid w:val="001258CA"/>
    <w:rsid w:val="001258D6"/>
    <w:rsid w:val="001259D7"/>
    <w:rsid w:val="00125D57"/>
    <w:rsid w:val="00125EDC"/>
    <w:rsid w:val="00125EE0"/>
    <w:rsid w:val="00125F51"/>
    <w:rsid w:val="00125FC5"/>
    <w:rsid w:val="001260AA"/>
    <w:rsid w:val="00126298"/>
    <w:rsid w:val="00126317"/>
    <w:rsid w:val="001265AF"/>
    <w:rsid w:val="0012672B"/>
    <w:rsid w:val="00126759"/>
    <w:rsid w:val="001267E9"/>
    <w:rsid w:val="001267F4"/>
    <w:rsid w:val="001268B9"/>
    <w:rsid w:val="00126919"/>
    <w:rsid w:val="00126B38"/>
    <w:rsid w:val="00126BB2"/>
    <w:rsid w:val="00126DC3"/>
    <w:rsid w:val="00126E2C"/>
    <w:rsid w:val="00126E2F"/>
    <w:rsid w:val="00126E86"/>
    <w:rsid w:val="0012703A"/>
    <w:rsid w:val="001270D4"/>
    <w:rsid w:val="001273BC"/>
    <w:rsid w:val="001273CE"/>
    <w:rsid w:val="00127402"/>
    <w:rsid w:val="00127519"/>
    <w:rsid w:val="00127529"/>
    <w:rsid w:val="00127832"/>
    <w:rsid w:val="00127AED"/>
    <w:rsid w:val="00127AFD"/>
    <w:rsid w:val="00127B14"/>
    <w:rsid w:val="00127CA2"/>
    <w:rsid w:val="00130089"/>
    <w:rsid w:val="001300DE"/>
    <w:rsid w:val="001301BF"/>
    <w:rsid w:val="00130223"/>
    <w:rsid w:val="00130793"/>
    <w:rsid w:val="001307A8"/>
    <w:rsid w:val="001308AC"/>
    <w:rsid w:val="001309EC"/>
    <w:rsid w:val="00130A4A"/>
    <w:rsid w:val="00130A8B"/>
    <w:rsid w:val="00130B50"/>
    <w:rsid w:val="00130B85"/>
    <w:rsid w:val="00130D24"/>
    <w:rsid w:val="00130D2C"/>
    <w:rsid w:val="00130D6A"/>
    <w:rsid w:val="00131332"/>
    <w:rsid w:val="001313B6"/>
    <w:rsid w:val="00131442"/>
    <w:rsid w:val="001314F2"/>
    <w:rsid w:val="001315A5"/>
    <w:rsid w:val="001315AA"/>
    <w:rsid w:val="00131877"/>
    <w:rsid w:val="0013197F"/>
    <w:rsid w:val="00131A36"/>
    <w:rsid w:val="00131A83"/>
    <w:rsid w:val="00131ACB"/>
    <w:rsid w:val="00131B02"/>
    <w:rsid w:val="00131BDC"/>
    <w:rsid w:val="00131E70"/>
    <w:rsid w:val="001320FB"/>
    <w:rsid w:val="00132316"/>
    <w:rsid w:val="00132546"/>
    <w:rsid w:val="0013255B"/>
    <w:rsid w:val="001326BE"/>
    <w:rsid w:val="00132757"/>
    <w:rsid w:val="00132763"/>
    <w:rsid w:val="00132767"/>
    <w:rsid w:val="001328CC"/>
    <w:rsid w:val="001329A1"/>
    <w:rsid w:val="001329B9"/>
    <w:rsid w:val="00132B44"/>
    <w:rsid w:val="00132CD5"/>
    <w:rsid w:val="00132D2C"/>
    <w:rsid w:val="00132E16"/>
    <w:rsid w:val="00132F75"/>
    <w:rsid w:val="001330F1"/>
    <w:rsid w:val="0013332B"/>
    <w:rsid w:val="001333D9"/>
    <w:rsid w:val="001334A7"/>
    <w:rsid w:val="001334DA"/>
    <w:rsid w:val="00133558"/>
    <w:rsid w:val="001336D3"/>
    <w:rsid w:val="001336F5"/>
    <w:rsid w:val="00133769"/>
    <w:rsid w:val="00133921"/>
    <w:rsid w:val="00133960"/>
    <w:rsid w:val="00133AF9"/>
    <w:rsid w:val="00133DF9"/>
    <w:rsid w:val="00133DFC"/>
    <w:rsid w:val="001340CC"/>
    <w:rsid w:val="001340CF"/>
    <w:rsid w:val="0013424A"/>
    <w:rsid w:val="00134436"/>
    <w:rsid w:val="001344DF"/>
    <w:rsid w:val="00134A6C"/>
    <w:rsid w:val="00134BE2"/>
    <w:rsid w:val="00134C06"/>
    <w:rsid w:val="00134CF9"/>
    <w:rsid w:val="00134D7F"/>
    <w:rsid w:val="00134E3B"/>
    <w:rsid w:val="00134EC5"/>
    <w:rsid w:val="00134FDA"/>
    <w:rsid w:val="0013500C"/>
    <w:rsid w:val="00135142"/>
    <w:rsid w:val="001351B3"/>
    <w:rsid w:val="0013521B"/>
    <w:rsid w:val="001352BC"/>
    <w:rsid w:val="0013553E"/>
    <w:rsid w:val="0013577E"/>
    <w:rsid w:val="00135A13"/>
    <w:rsid w:val="00135A59"/>
    <w:rsid w:val="00135B6E"/>
    <w:rsid w:val="00135DA8"/>
    <w:rsid w:val="00135E45"/>
    <w:rsid w:val="00135E77"/>
    <w:rsid w:val="00135EEA"/>
    <w:rsid w:val="00135F9F"/>
    <w:rsid w:val="00135FE9"/>
    <w:rsid w:val="001361D9"/>
    <w:rsid w:val="00136253"/>
    <w:rsid w:val="00136297"/>
    <w:rsid w:val="001363C0"/>
    <w:rsid w:val="0013670E"/>
    <w:rsid w:val="00136795"/>
    <w:rsid w:val="00136867"/>
    <w:rsid w:val="00136878"/>
    <w:rsid w:val="001368D9"/>
    <w:rsid w:val="00136A90"/>
    <w:rsid w:val="00136A9A"/>
    <w:rsid w:val="00136BC9"/>
    <w:rsid w:val="00136C3B"/>
    <w:rsid w:val="001370A8"/>
    <w:rsid w:val="00137249"/>
    <w:rsid w:val="001372A2"/>
    <w:rsid w:val="00137389"/>
    <w:rsid w:val="0013739D"/>
    <w:rsid w:val="00137500"/>
    <w:rsid w:val="0013765E"/>
    <w:rsid w:val="00137676"/>
    <w:rsid w:val="00137910"/>
    <w:rsid w:val="001379BC"/>
    <w:rsid w:val="00137AB2"/>
    <w:rsid w:val="00137D8B"/>
    <w:rsid w:val="00140177"/>
    <w:rsid w:val="001401F6"/>
    <w:rsid w:val="001402E8"/>
    <w:rsid w:val="0014037B"/>
    <w:rsid w:val="0014042B"/>
    <w:rsid w:val="0014052F"/>
    <w:rsid w:val="0014063E"/>
    <w:rsid w:val="00140758"/>
    <w:rsid w:val="001407DE"/>
    <w:rsid w:val="00140C24"/>
    <w:rsid w:val="00140CD4"/>
    <w:rsid w:val="00140D05"/>
    <w:rsid w:val="00140E37"/>
    <w:rsid w:val="00140FA4"/>
    <w:rsid w:val="00140FDC"/>
    <w:rsid w:val="00140FE8"/>
    <w:rsid w:val="001411D0"/>
    <w:rsid w:val="0014125E"/>
    <w:rsid w:val="00141623"/>
    <w:rsid w:val="001416B6"/>
    <w:rsid w:val="0014179B"/>
    <w:rsid w:val="001419CC"/>
    <w:rsid w:val="00141AC1"/>
    <w:rsid w:val="00141AEC"/>
    <w:rsid w:val="00141BFA"/>
    <w:rsid w:val="00141C55"/>
    <w:rsid w:val="00141D5F"/>
    <w:rsid w:val="00141E18"/>
    <w:rsid w:val="00141EC6"/>
    <w:rsid w:val="00141F30"/>
    <w:rsid w:val="00142283"/>
    <w:rsid w:val="00142503"/>
    <w:rsid w:val="00142593"/>
    <w:rsid w:val="001427B7"/>
    <w:rsid w:val="0014289C"/>
    <w:rsid w:val="00142AA0"/>
    <w:rsid w:val="00142BE3"/>
    <w:rsid w:val="00143096"/>
    <w:rsid w:val="00143098"/>
    <w:rsid w:val="001430C7"/>
    <w:rsid w:val="00143438"/>
    <w:rsid w:val="00143464"/>
    <w:rsid w:val="0014349B"/>
    <w:rsid w:val="001434B6"/>
    <w:rsid w:val="001434C4"/>
    <w:rsid w:val="00143627"/>
    <w:rsid w:val="001436A0"/>
    <w:rsid w:val="001436C1"/>
    <w:rsid w:val="001436F7"/>
    <w:rsid w:val="0014373D"/>
    <w:rsid w:val="0014388F"/>
    <w:rsid w:val="00143926"/>
    <w:rsid w:val="00143AAA"/>
    <w:rsid w:val="00143AC9"/>
    <w:rsid w:val="00143B3F"/>
    <w:rsid w:val="00143D68"/>
    <w:rsid w:val="00143DC2"/>
    <w:rsid w:val="00144029"/>
    <w:rsid w:val="00144062"/>
    <w:rsid w:val="00144289"/>
    <w:rsid w:val="0014447E"/>
    <w:rsid w:val="001444BE"/>
    <w:rsid w:val="001444D6"/>
    <w:rsid w:val="00144ADC"/>
    <w:rsid w:val="00144AE8"/>
    <w:rsid w:val="00144B82"/>
    <w:rsid w:val="00144BB2"/>
    <w:rsid w:val="00144BC7"/>
    <w:rsid w:val="00144CA8"/>
    <w:rsid w:val="00144D21"/>
    <w:rsid w:val="00144EAC"/>
    <w:rsid w:val="00144F10"/>
    <w:rsid w:val="00145124"/>
    <w:rsid w:val="0014537B"/>
    <w:rsid w:val="0014542A"/>
    <w:rsid w:val="00145491"/>
    <w:rsid w:val="001454B9"/>
    <w:rsid w:val="001455DF"/>
    <w:rsid w:val="001456AE"/>
    <w:rsid w:val="0014585F"/>
    <w:rsid w:val="001458F8"/>
    <w:rsid w:val="00145985"/>
    <w:rsid w:val="00145B82"/>
    <w:rsid w:val="00145C9A"/>
    <w:rsid w:val="00145DA7"/>
    <w:rsid w:val="00145E89"/>
    <w:rsid w:val="00145EF3"/>
    <w:rsid w:val="00146223"/>
    <w:rsid w:val="0014629B"/>
    <w:rsid w:val="001463F0"/>
    <w:rsid w:val="0014660E"/>
    <w:rsid w:val="00146B8D"/>
    <w:rsid w:val="00146C99"/>
    <w:rsid w:val="00146CDC"/>
    <w:rsid w:val="00146E05"/>
    <w:rsid w:val="00146F3C"/>
    <w:rsid w:val="0014700E"/>
    <w:rsid w:val="0014727E"/>
    <w:rsid w:val="0014744B"/>
    <w:rsid w:val="00147487"/>
    <w:rsid w:val="00147510"/>
    <w:rsid w:val="001475CB"/>
    <w:rsid w:val="001475D8"/>
    <w:rsid w:val="001477C1"/>
    <w:rsid w:val="0014785E"/>
    <w:rsid w:val="00147A12"/>
    <w:rsid w:val="00147AED"/>
    <w:rsid w:val="00147BB8"/>
    <w:rsid w:val="00147BD2"/>
    <w:rsid w:val="00147C9C"/>
    <w:rsid w:val="00147CD7"/>
    <w:rsid w:val="00147D1C"/>
    <w:rsid w:val="00147D2F"/>
    <w:rsid w:val="00147DC2"/>
    <w:rsid w:val="0015007D"/>
    <w:rsid w:val="00150217"/>
    <w:rsid w:val="0015031B"/>
    <w:rsid w:val="001503DF"/>
    <w:rsid w:val="00150420"/>
    <w:rsid w:val="001504A5"/>
    <w:rsid w:val="001504F9"/>
    <w:rsid w:val="00150501"/>
    <w:rsid w:val="001506E9"/>
    <w:rsid w:val="001509EB"/>
    <w:rsid w:val="00150C6E"/>
    <w:rsid w:val="00150CD7"/>
    <w:rsid w:val="00150EB3"/>
    <w:rsid w:val="00150F37"/>
    <w:rsid w:val="00150FF3"/>
    <w:rsid w:val="00151193"/>
    <w:rsid w:val="001511C4"/>
    <w:rsid w:val="001511CF"/>
    <w:rsid w:val="00151397"/>
    <w:rsid w:val="00151440"/>
    <w:rsid w:val="001514AE"/>
    <w:rsid w:val="001514C7"/>
    <w:rsid w:val="00151555"/>
    <w:rsid w:val="001517A9"/>
    <w:rsid w:val="001517FB"/>
    <w:rsid w:val="00151848"/>
    <w:rsid w:val="001519B2"/>
    <w:rsid w:val="001519E7"/>
    <w:rsid w:val="00151AD3"/>
    <w:rsid w:val="00151B17"/>
    <w:rsid w:val="00151DFD"/>
    <w:rsid w:val="001520DD"/>
    <w:rsid w:val="00152244"/>
    <w:rsid w:val="00152292"/>
    <w:rsid w:val="001522B1"/>
    <w:rsid w:val="001522E6"/>
    <w:rsid w:val="001523E0"/>
    <w:rsid w:val="0015242C"/>
    <w:rsid w:val="001524B6"/>
    <w:rsid w:val="00152518"/>
    <w:rsid w:val="001527B6"/>
    <w:rsid w:val="001528E3"/>
    <w:rsid w:val="00152941"/>
    <w:rsid w:val="00152A23"/>
    <w:rsid w:val="00152B23"/>
    <w:rsid w:val="00152BF2"/>
    <w:rsid w:val="00152CD9"/>
    <w:rsid w:val="00152E67"/>
    <w:rsid w:val="00152FB1"/>
    <w:rsid w:val="001531A8"/>
    <w:rsid w:val="0015324B"/>
    <w:rsid w:val="00153266"/>
    <w:rsid w:val="001533FD"/>
    <w:rsid w:val="0015351A"/>
    <w:rsid w:val="00153618"/>
    <w:rsid w:val="00153A9B"/>
    <w:rsid w:val="00153D6C"/>
    <w:rsid w:val="00153DE5"/>
    <w:rsid w:val="00153FD3"/>
    <w:rsid w:val="00154035"/>
    <w:rsid w:val="001540CF"/>
    <w:rsid w:val="001540FA"/>
    <w:rsid w:val="0015411B"/>
    <w:rsid w:val="00154186"/>
    <w:rsid w:val="00154220"/>
    <w:rsid w:val="001542EE"/>
    <w:rsid w:val="00154361"/>
    <w:rsid w:val="0015438E"/>
    <w:rsid w:val="001543DD"/>
    <w:rsid w:val="001543F6"/>
    <w:rsid w:val="00154462"/>
    <w:rsid w:val="00154484"/>
    <w:rsid w:val="00154860"/>
    <w:rsid w:val="001548FE"/>
    <w:rsid w:val="001549A1"/>
    <w:rsid w:val="00154B98"/>
    <w:rsid w:val="00154C0B"/>
    <w:rsid w:val="00154CB9"/>
    <w:rsid w:val="00154DD7"/>
    <w:rsid w:val="00154E65"/>
    <w:rsid w:val="00154F7B"/>
    <w:rsid w:val="0015501B"/>
    <w:rsid w:val="0015515B"/>
    <w:rsid w:val="0015523F"/>
    <w:rsid w:val="00155380"/>
    <w:rsid w:val="00155398"/>
    <w:rsid w:val="00155516"/>
    <w:rsid w:val="00155601"/>
    <w:rsid w:val="001556C7"/>
    <w:rsid w:val="001558DB"/>
    <w:rsid w:val="00155935"/>
    <w:rsid w:val="001559FB"/>
    <w:rsid w:val="00155A6B"/>
    <w:rsid w:val="001564B2"/>
    <w:rsid w:val="00156528"/>
    <w:rsid w:val="00156569"/>
    <w:rsid w:val="0015663B"/>
    <w:rsid w:val="00156661"/>
    <w:rsid w:val="001567B3"/>
    <w:rsid w:val="0015685A"/>
    <w:rsid w:val="00156878"/>
    <w:rsid w:val="001568B7"/>
    <w:rsid w:val="00156AA8"/>
    <w:rsid w:val="00156ACB"/>
    <w:rsid w:val="00156ADE"/>
    <w:rsid w:val="00156BC5"/>
    <w:rsid w:val="00156CEA"/>
    <w:rsid w:val="00156E14"/>
    <w:rsid w:val="00156E28"/>
    <w:rsid w:val="00156F10"/>
    <w:rsid w:val="00156FDC"/>
    <w:rsid w:val="00156FF5"/>
    <w:rsid w:val="00157182"/>
    <w:rsid w:val="001571B7"/>
    <w:rsid w:val="00157244"/>
    <w:rsid w:val="00157489"/>
    <w:rsid w:val="00157852"/>
    <w:rsid w:val="001578F2"/>
    <w:rsid w:val="001578F5"/>
    <w:rsid w:val="0015794C"/>
    <w:rsid w:val="00157958"/>
    <w:rsid w:val="00157AFD"/>
    <w:rsid w:val="00157B01"/>
    <w:rsid w:val="00157C78"/>
    <w:rsid w:val="00157D00"/>
    <w:rsid w:val="00157DF5"/>
    <w:rsid w:val="00157E75"/>
    <w:rsid w:val="00157EC7"/>
    <w:rsid w:val="0016006D"/>
    <w:rsid w:val="00160260"/>
    <w:rsid w:val="00160304"/>
    <w:rsid w:val="0016047A"/>
    <w:rsid w:val="0016051A"/>
    <w:rsid w:val="001605C4"/>
    <w:rsid w:val="0016062B"/>
    <w:rsid w:val="00160773"/>
    <w:rsid w:val="00160839"/>
    <w:rsid w:val="00160A68"/>
    <w:rsid w:val="00160D82"/>
    <w:rsid w:val="00160DC6"/>
    <w:rsid w:val="00160E50"/>
    <w:rsid w:val="00160FC9"/>
    <w:rsid w:val="001611FB"/>
    <w:rsid w:val="0016137E"/>
    <w:rsid w:val="00161430"/>
    <w:rsid w:val="0016143C"/>
    <w:rsid w:val="001615AC"/>
    <w:rsid w:val="0016163E"/>
    <w:rsid w:val="0016175E"/>
    <w:rsid w:val="00161978"/>
    <w:rsid w:val="001619F2"/>
    <w:rsid w:val="00161C49"/>
    <w:rsid w:val="00161D22"/>
    <w:rsid w:val="00161E39"/>
    <w:rsid w:val="00161E3D"/>
    <w:rsid w:val="00161E6C"/>
    <w:rsid w:val="00161F10"/>
    <w:rsid w:val="00161F65"/>
    <w:rsid w:val="0016239D"/>
    <w:rsid w:val="00162681"/>
    <w:rsid w:val="001626ED"/>
    <w:rsid w:val="001626FE"/>
    <w:rsid w:val="001628BA"/>
    <w:rsid w:val="00162987"/>
    <w:rsid w:val="00162A39"/>
    <w:rsid w:val="00162D91"/>
    <w:rsid w:val="00162DA5"/>
    <w:rsid w:val="00162F96"/>
    <w:rsid w:val="00163052"/>
    <w:rsid w:val="001632D4"/>
    <w:rsid w:val="0016337C"/>
    <w:rsid w:val="0016343C"/>
    <w:rsid w:val="00163459"/>
    <w:rsid w:val="00163497"/>
    <w:rsid w:val="001635FF"/>
    <w:rsid w:val="00163732"/>
    <w:rsid w:val="00163760"/>
    <w:rsid w:val="00163A2A"/>
    <w:rsid w:val="00163A73"/>
    <w:rsid w:val="00163A9B"/>
    <w:rsid w:val="00163AFE"/>
    <w:rsid w:val="00163C83"/>
    <w:rsid w:val="00163CB7"/>
    <w:rsid w:val="00163E06"/>
    <w:rsid w:val="00163F40"/>
    <w:rsid w:val="00164085"/>
    <w:rsid w:val="00164318"/>
    <w:rsid w:val="00164429"/>
    <w:rsid w:val="0016446F"/>
    <w:rsid w:val="00164613"/>
    <w:rsid w:val="0016471D"/>
    <w:rsid w:val="001647E3"/>
    <w:rsid w:val="00164988"/>
    <w:rsid w:val="00164E22"/>
    <w:rsid w:val="0016525E"/>
    <w:rsid w:val="001653AF"/>
    <w:rsid w:val="00165479"/>
    <w:rsid w:val="00165495"/>
    <w:rsid w:val="001657B7"/>
    <w:rsid w:val="00165CF3"/>
    <w:rsid w:val="00165D55"/>
    <w:rsid w:val="00165D95"/>
    <w:rsid w:val="001660C7"/>
    <w:rsid w:val="00166137"/>
    <w:rsid w:val="00166284"/>
    <w:rsid w:val="00166293"/>
    <w:rsid w:val="001662F5"/>
    <w:rsid w:val="001665D0"/>
    <w:rsid w:val="00166678"/>
    <w:rsid w:val="00166802"/>
    <w:rsid w:val="001669C2"/>
    <w:rsid w:val="001669E8"/>
    <w:rsid w:val="00166DFE"/>
    <w:rsid w:val="00166E69"/>
    <w:rsid w:val="00166ECF"/>
    <w:rsid w:val="00167365"/>
    <w:rsid w:val="001674BC"/>
    <w:rsid w:val="001674F1"/>
    <w:rsid w:val="00167507"/>
    <w:rsid w:val="00167918"/>
    <w:rsid w:val="00167A00"/>
    <w:rsid w:val="00167C50"/>
    <w:rsid w:val="00167C73"/>
    <w:rsid w:val="00167D3F"/>
    <w:rsid w:val="00167F26"/>
    <w:rsid w:val="00167F34"/>
    <w:rsid w:val="00167FEF"/>
    <w:rsid w:val="00170089"/>
    <w:rsid w:val="001700A4"/>
    <w:rsid w:val="001700D1"/>
    <w:rsid w:val="00170126"/>
    <w:rsid w:val="001701D3"/>
    <w:rsid w:val="001702AB"/>
    <w:rsid w:val="00170408"/>
    <w:rsid w:val="001704AE"/>
    <w:rsid w:val="0017068D"/>
    <w:rsid w:val="001706F1"/>
    <w:rsid w:val="00170886"/>
    <w:rsid w:val="00170927"/>
    <w:rsid w:val="0017097E"/>
    <w:rsid w:val="00170B2A"/>
    <w:rsid w:val="00170C09"/>
    <w:rsid w:val="00170CE7"/>
    <w:rsid w:val="00170D66"/>
    <w:rsid w:val="0017108C"/>
    <w:rsid w:val="001710B8"/>
    <w:rsid w:val="0017117A"/>
    <w:rsid w:val="001711C5"/>
    <w:rsid w:val="00171207"/>
    <w:rsid w:val="00171296"/>
    <w:rsid w:val="001712AE"/>
    <w:rsid w:val="0017136A"/>
    <w:rsid w:val="0017170F"/>
    <w:rsid w:val="001718B7"/>
    <w:rsid w:val="001719D4"/>
    <w:rsid w:val="00171A5A"/>
    <w:rsid w:val="00171A8A"/>
    <w:rsid w:val="00171AB7"/>
    <w:rsid w:val="00171BD9"/>
    <w:rsid w:val="00171C5D"/>
    <w:rsid w:val="00171D8F"/>
    <w:rsid w:val="00171EAA"/>
    <w:rsid w:val="00171FE5"/>
    <w:rsid w:val="00172088"/>
    <w:rsid w:val="001720DB"/>
    <w:rsid w:val="0017211C"/>
    <w:rsid w:val="0017237B"/>
    <w:rsid w:val="0017240E"/>
    <w:rsid w:val="001724F0"/>
    <w:rsid w:val="001724F5"/>
    <w:rsid w:val="0017265F"/>
    <w:rsid w:val="00172764"/>
    <w:rsid w:val="0017277D"/>
    <w:rsid w:val="00172967"/>
    <w:rsid w:val="00172BD6"/>
    <w:rsid w:val="00172BDE"/>
    <w:rsid w:val="00172CC8"/>
    <w:rsid w:val="00172E35"/>
    <w:rsid w:val="00172E9F"/>
    <w:rsid w:val="00173033"/>
    <w:rsid w:val="00173074"/>
    <w:rsid w:val="00173101"/>
    <w:rsid w:val="001732F3"/>
    <w:rsid w:val="00173307"/>
    <w:rsid w:val="00173314"/>
    <w:rsid w:val="0017370E"/>
    <w:rsid w:val="001738A6"/>
    <w:rsid w:val="00173A6A"/>
    <w:rsid w:val="00173B87"/>
    <w:rsid w:val="00173D34"/>
    <w:rsid w:val="00173E2C"/>
    <w:rsid w:val="00173F5A"/>
    <w:rsid w:val="001740A1"/>
    <w:rsid w:val="00174128"/>
    <w:rsid w:val="0017445E"/>
    <w:rsid w:val="001744B7"/>
    <w:rsid w:val="001746E7"/>
    <w:rsid w:val="001748A3"/>
    <w:rsid w:val="00174926"/>
    <w:rsid w:val="00174988"/>
    <w:rsid w:val="00174A67"/>
    <w:rsid w:val="00174C12"/>
    <w:rsid w:val="00174C78"/>
    <w:rsid w:val="00174D1C"/>
    <w:rsid w:val="00174F06"/>
    <w:rsid w:val="00174FEB"/>
    <w:rsid w:val="001752A1"/>
    <w:rsid w:val="0017534D"/>
    <w:rsid w:val="00175596"/>
    <w:rsid w:val="00175636"/>
    <w:rsid w:val="0017579A"/>
    <w:rsid w:val="00175874"/>
    <w:rsid w:val="001758D1"/>
    <w:rsid w:val="0017595F"/>
    <w:rsid w:val="00175984"/>
    <w:rsid w:val="00175A68"/>
    <w:rsid w:val="00175AF6"/>
    <w:rsid w:val="00175B75"/>
    <w:rsid w:val="00175D98"/>
    <w:rsid w:val="00175EFE"/>
    <w:rsid w:val="00175FEE"/>
    <w:rsid w:val="00176005"/>
    <w:rsid w:val="001760CF"/>
    <w:rsid w:val="001760F9"/>
    <w:rsid w:val="001763A1"/>
    <w:rsid w:val="001764A0"/>
    <w:rsid w:val="0017674D"/>
    <w:rsid w:val="00176846"/>
    <w:rsid w:val="00176876"/>
    <w:rsid w:val="00176972"/>
    <w:rsid w:val="00176977"/>
    <w:rsid w:val="00176A24"/>
    <w:rsid w:val="00176B73"/>
    <w:rsid w:val="00176CC7"/>
    <w:rsid w:val="001770A4"/>
    <w:rsid w:val="00177146"/>
    <w:rsid w:val="001773A4"/>
    <w:rsid w:val="001775B3"/>
    <w:rsid w:val="001775FA"/>
    <w:rsid w:val="0017764F"/>
    <w:rsid w:val="001776BB"/>
    <w:rsid w:val="00177B4F"/>
    <w:rsid w:val="00177B9C"/>
    <w:rsid w:val="00177C5B"/>
    <w:rsid w:val="00177EE6"/>
    <w:rsid w:val="00180163"/>
    <w:rsid w:val="001801DB"/>
    <w:rsid w:val="001801FB"/>
    <w:rsid w:val="001802A7"/>
    <w:rsid w:val="0018038E"/>
    <w:rsid w:val="00180488"/>
    <w:rsid w:val="0018083E"/>
    <w:rsid w:val="00180934"/>
    <w:rsid w:val="00180A25"/>
    <w:rsid w:val="00180A87"/>
    <w:rsid w:val="00180C97"/>
    <w:rsid w:val="00180EB7"/>
    <w:rsid w:val="001810B8"/>
    <w:rsid w:val="001810EA"/>
    <w:rsid w:val="001814B2"/>
    <w:rsid w:val="001815CD"/>
    <w:rsid w:val="001816C8"/>
    <w:rsid w:val="0018184D"/>
    <w:rsid w:val="0018196C"/>
    <w:rsid w:val="00181B35"/>
    <w:rsid w:val="00181D47"/>
    <w:rsid w:val="00181D7D"/>
    <w:rsid w:val="00181EB6"/>
    <w:rsid w:val="00181EC0"/>
    <w:rsid w:val="00181FBC"/>
    <w:rsid w:val="001821BF"/>
    <w:rsid w:val="00182264"/>
    <w:rsid w:val="00182371"/>
    <w:rsid w:val="00182545"/>
    <w:rsid w:val="0018255D"/>
    <w:rsid w:val="00182575"/>
    <w:rsid w:val="001825CE"/>
    <w:rsid w:val="001825DE"/>
    <w:rsid w:val="00182610"/>
    <w:rsid w:val="00182758"/>
    <w:rsid w:val="00182796"/>
    <w:rsid w:val="0018288A"/>
    <w:rsid w:val="001828D2"/>
    <w:rsid w:val="00182A2D"/>
    <w:rsid w:val="00182B84"/>
    <w:rsid w:val="00182BA0"/>
    <w:rsid w:val="00182BEE"/>
    <w:rsid w:val="00182C37"/>
    <w:rsid w:val="00182C5F"/>
    <w:rsid w:val="00182F4B"/>
    <w:rsid w:val="001830F4"/>
    <w:rsid w:val="0018313A"/>
    <w:rsid w:val="001831C0"/>
    <w:rsid w:val="0018340D"/>
    <w:rsid w:val="0018346B"/>
    <w:rsid w:val="001834C3"/>
    <w:rsid w:val="0018355E"/>
    <w:rsid w:val="00183A07"/>
    <w:rsid w:val="00183A47"/>
    <w:rsid w:val="00183A95"/>
    <w:rsid w:val="00183E5A"/>
    <w:rsid w:val="00183F3B"/>
    <w:rsid w:val="00184016"/>
    <w:rsid w:val="001841EA"/>
    <w:rsid w:val="00184204"/>
    <w:rsid w:val="001842E6"/>
    <w:rsid w:val="0018438E"/>
    <w:rsid w:val="00184433"/>
    <w:rsid w:val="00184524"/>
    <w:rsid w:val="001845DB"/>
    <w:rsid w:val="00184605"/>
    <w:rsid w:val="0018469A"/>
    <w:rsid w:val="0018478B"/>
    <w:rsid w:val="00184AEA"/>
    <w:rsid w:val="00184B00"/>
    <w:rsid w:val="00184BFB"/>
    <w:rsid w:val="00184C12"/>
    <w:rsid w:val="00184FD6"/>
    <w:rsid w:val="00185184"/>
    <w:rsid w:val="0018541B"/>
    <w:rsid w:val="0018545E"/>
    <w:rsid w:val="00185472"/>
    <w:rsid w:val="001854C9"/>
    <w:rsid w:val="001855BB"/>
    <w:rsid w:val="00185ABC"/>
    <w:rsid w:val="00185B70"/>
    <w:rsid w:val="00185CBC"/>
    <w:rsid w:val="00185E58"/>
    <w:rsid w:val="00185E59"/>
    <w:rsid w:val="00185EED"/>
    <w:rsid w:val="00185EF4"/>
    <w:rsid w:val="00185EF8"/>
    <w:rsid w:val="00185FA3"/>
    <w:rsid w:val="00185FC3"/>
    <w:rsid w:val="0018616B"/>
    <w:rsid w:val="00186405"/>
    <w:rsid w:val="0018640A"/>
    <w:rsid w:val="00186455"/>
    <w:rsid w:val="0018656E"/>
    <w:rsid w:val="0018660E"/>
    <w:rsid w:val="00186705"/>
    <w:rsid w:val="0018681D"/>
    <w:rsid w:val="001869F7"/>
    <w:rsid w:val="00186A31"/>
    <w:rsid w:val="00186B3D"/>
    <w:rsid w:val="00186C5D"/>
    <w:rsid w:val="00186D2F"/>
    <w:rsid w:val="00186E7F"/>
    <w:rsid w:val="001870C6"/>
    <w:rsid w:val="00187125"/>
    <w:rsid w:val="001871FE"/>
    <w:rsid w:val="001872AF"/>
    <w:rsid w:val="0018730B"/>
    <w:rsid w:val="001876CA"/>
    <w:rsid w:val="00187770"/>
    <w:rsid w:val="00187776"/>
    <w:rsid w:val="001877A9"/>
    <w:rsid w:val="00187828"/>
    <w:rsid w:val="00187876"/>
    <w:rsid w:val="00187A73"/>
    <w:rsid w:val="00187C99"/>
    <w:rsid w:val="00187E2D"/>
    <w:rsid w:val="00187E97"/>
    <w:rsid w:val="00187F5E"/>
    <w:rsid w:val="00187FEE"/>
    <w:rsid w:val="00190000"/>
    <w:rsid w:val="0019027C"/>
    <w:rsid w:val="001902BD"/>
    <w:rsid w:val="001904C7"/>
    <w:rsid w:val="001904F2"/>
    <w:rsid w:val="00190643"/>
    <w:rsid w:val="0019065E"/>
    <w:rsid w:val="00190747"/>
    <w:rsid w:val="001907A6"/>
    <w:rsid w:val="001907C6"/>
    <w:rsid w:val="00190864"/>
    <w:rsid w:val="00190DE6"/>
    <w:rsid w:val="00190DEB"/>
    <w:rsid w:val="00190EB8"/>
    <w:rsid w:val="00191207"/>
    <w:rsid w:val="001912A5"/>
    <w:rsid w:val="001912C1"/>
    <w:rsid w:val="001914DE"/>
    <w:rsid w:val="00191659"/>
    <w:rsid w:val="00191667"/>
    <w:rsid w:val="001916AD"/>
    <w:rsid w:val="00191718"/>
    <w:rsid w:val="001917B6"/>
    <w:rsid w:val="0019180D"/>
    <w:rsid w:val="00191969"/>
    <w:rsid w:val="00191975"/>
    <w:rsid w:val="00191AE5"/>
    <w:rsid w:val="00191BD8"/>
    <w:rsid w:val="00191C95"/>
    <w:rsid w:val="00191E4F"/>
    <w:rsid w:val="00192102"/>
    <w:rsid w:val="00192136"/>
    <w:rsid w:val="00192195"/>
    <w:rsid w:val="00192281"/>
    <w:rsid w:val="00192319"/>
    <w:rsid w:val="00192347"/>
    <w:rsid w:val="0019236D"/>
    <w:rsid w:val="001923F6"/>
    <w:rsid w:val="001924D2"/>
    <w:rsid w:val="001924FE"/>
    <w:rsid w:val="00192530"/>
    <w:rsid w:val="0019297C"/>
    <w:rsid w:val="00192A08"/>
    <w:rsid w:val="00192B17"/>
    <w:rsid w:val="00192B58"/>
    <w:rsid w:val="00192C55"/>
    <w:rsid w:val="00192E44"/>
    <w:rsid w:val="00192EA1"/>
    <w:rsid w:val="00192EEC"/>
    <w:rsid w:val="00193073"/>
    <w:rsid w:val="00193166"/>
    <w:rsid w:val="001933C9"/>
    <w:rsid w:val="001935C1"/>
    <w:rsid w:val="001935D0"/>
    <w:rsid w:val="00193683"/>
    <w:rsid w:val="001936CC"/>
    <w:rsid w:val="001937EE"/>
    <w:rsid w:val="0019387E"/>
    <w:rsid w:val="00193885"/>
    <w:rsid w:val="00193D75"/>
    <w:rsid w:val="00193EC9"/>
    <w:rsid w:val="001940A3"/>
    <w:rsid w:val="001940B8"/>
    <w:rsid w:val="001940DA"/>
    <w:rsid w:val="001940F9"/>
    <w:rsid w:val="001941D6"/>
    <w:rsid w:val="001941E5"/>
    <w:rsid w:val="00194210"/>
    <w:rsid w:val="00194433"/>
    <w:rsid w:val="00194509"/>
    <w:rsid w:val="001945A4"/>
    <w:rsid w:val="00194717"/>
    <w:rsid w:val="00194798"/>
    <w:rsid w:val="00194832"/>
    <w:rsid w:val="001948D2"/>
    <w:rsid w:val="00194A82"/>
    <w:rsid w:val="00194C06"/>
    <w:rsid w:val="00194DE6"/>
    <w:rsid w:val="00195022"/>
    <w:rsid w:val="0019506B"/>
    <w:rsid w:val="001950D7"/>
    <w:rsid w:val="0019514B"/>
    <w:rsid w:val="0019517C"/>
    <w:rsid w:val="001954CB"/>
    <w:rsid w:val="001956FC"/>
    <w:rsid w:val="001957D2"/>
    <w:rsid w:val="00195973"/>
    <w:rsid w:val="00195B45"/>
    <w:rsid w:val="00195B5D"/>
    <w:rsid w:val="00195CE2"/>
    <w:rsid w:val="00195D9A"/>
    <w:rsid w:val="00195E4D"/>
    <w:rsid w:val="0019602E"/>
    <w:rsid w:val="0019612E"/>
    <w:rsid w:val="00196144"/>
    <w:rsid w:val="001962C2"/>
    <w:rsid w:val="0019633E"/>
    <w:rsid w:val="001963E9"/>
    <w:rsid w:val="00196509"/>
    <w:rsid w:val="0019696D"/>
    <w:rsid w:val="001969BE"/>
    <w:rsid w:val="001969FF"/>
    <w:rsid w:val="00196BAC"/>
    <w:rsid w:val="00196BAD"/>
    <w:rsid w:val="00196BFC"/>
    <w:rsid w:val="00196DB4"/>
    <w:rsid w:val="00196E10"/>
    <w:rsid w:val="00196E65"/>
    <w:rsid w:val="0019704D"/>
    <w:rsid w:val="001972DB"/>
    <w:rsid w:val="00197383"/>
    <w:rsid w:val="00197615"/>
    <w:rsid w:val="0019770E"/>
    <w:rsid w:val="00197758"/>
    <w:rsid w:val="00197846"/>
    <w:rsid w:val="00197A24"/>
    <w:rsid w:val="00197A9F"/>
    <w:rsid w:val="00197B00"/>
    <w:rsid w:val="00197CFF"/>
    <w:rsid w:val="00197D55"/>
    <w:rsid w:val="00197DF8"/>
    <w:rsid w:val="00197DFB"/>
    <w:rsid w:val="00197F97"/>
    <w:rsid w:val="00197FCC"/>
    <w:rsid w:val="001A00A4"/>
    <w:rsid w:val="001A0134"/>
    <w:rsid w:val="001A0219"/>
    <w:rsid w:val="001A023F"/>
    <w:rsid w:val="001A0314"/>
    <w:rsid w:val="001A0770"/>
    <w:rsid w:val="001A0814"/>
    <w:rsid w:val="001A09CD"/>
    <w:rsid w:val="001A0B5F"/>
    <w:rsid w:val="001A0B7D"/>
    <w:rsid w:val="001A0BD1"/>
    <w:rsid w:val="001A0C9B"/>
    <w:rsid w:val="001A0D0E"/>
    <w:rsid w:val="001A0E00"/>
    <w:rsid w:val="001A10FC"/>
    <w:rsid w:val="001A12C7"/>
    <w:rsid w:val="001A1355"/>
    <w:rsid w:val="001A1469"/>
    <w:rsid w:val="001A14A0"/>
    <w:rsid w:val="001A1747"/>
    <w:rsid w:val="001A1765"/>
    <w:rsid w:val="001A1779"/>
    <w:rsid w:val="001A1884"/>
    <w:rsid w:val="001A194A"/>
    <w:rsid w:val="001A1989"/>
    <w:rsid w:val="001A19B2"/>
    <w:rsid w:val="001A1BDB"/>
    <w:rsid w:val="001A1C95"/>
    <w:rsid w:val="001A1EB2"/>
    <w:rsid w:val="001A1FA0"/>
    <w:rsid w:val="001A1FB8"/>
    <w:rsid w:val="001A205B"/>
    <w:rsid w:val="001A210C"/>
    <w:rsid w:val="001A21AE"/>
    <w:rsid w:val="001A223D"/>
    <w:rsid w:val="001A2342"/>
    <w:rsid w:val="001A241B"/>
    <w:rsid w:val="001A241E"/>
    <w:rsid w:val="001A2463"/>
    <w:rsid w:val="001A248F"/>
    <w:rsid w:val="001A251B"/>
    <w:rsid w:val="001A25E6"/>
    <w:rsid w:val="001A2836"/>
    <w:rsid w:val="001A29E5"/>
    <w:rsid w:val="001A2B4B"/>
    <w:rsid w:val="001A2B6C"/>
    <w:rsid w:val="001A2C9A"/>
    <w:rsid w:val="001A2E92"/>
    <w:rsid w:val="001A2EDA"/>
    <w:rsid w:val="001A30C6"/>
    <w:rsid w:val="001A3178"/>
    <w:rsid w:val="001A329C"/>
    <w:rsid w:val="001A33CA"/>
    <w:rsid w:val="001A34BC"/>
    <w:rsid w:val="001A3521"/>
    <w:rsid w:val="001A3611"/>
    <w:rsid w:val="001A36F0"/>
    <w:rsid w:val="001A373E"/>
    <w:rsid w:val="001A378C"/>
    <w:rsid w:val="001A39EA"/>
    <w:rsid w:val="001A3A44"/>
    <w:rsid w:val="001A3AA6"/>
    <w:rsid w:val="001A3B86"/>
    <w:rsid w:val="001A3CF4"/>
    <w:rsid w:val="001A3F01"/>
    <w:rsid w:val="001A3F0B"/>
    <w:rsid w:val="001A3F27"/>
    <w:rsid w:val="001A3F93"/>
    <w:rsid w:val="001A4078"/>
    <w:rsid w:val="001A4103"/>
    <w:rsid w:val="001A440D"/>
    <w:rsid w:val="001A4494"/>
    <w:rsid w:val="001A4585"/>
    <w:rsid w:val="001A4611"/>
    <w:rsid w:val="001A4682"/>
    <w:rsid w:val="001A46EB"/>
    <w:rsid w:val="001A496A"/>
    <w:rsid w:val="001A4A85"/>
    <w:rsid w:val="001A4B54"/>
    <w:rsid w:val="001A4EBC"/>
    <w:rsid w:val="001A4F20"/>
    <w:rsid w:val="001A4FDC"/>
    <w:rsid w:val="001A4FE0"/>
    <w:rsid w:val="001A5167"/>
    <w:rsid w:val="001A5226"/>
    <w:rsid w:val="001A5252"/>
    <w:rsid w:val="001A52DC"/>
    <w:rsid w:val="001A52F1"/>
    <w:rsid w:val="001A5330"/>
    <w:rsid w:val="001A53CE"/>
    <w:rsid w:val="001A5447"/>
    <w:rsid w:val="001A5502"/>
    <w:rsid w:val="001A56E2"/>
    <w:rsid w:val="001A5799"/>
    <w:rsid w:val="001A5A09"/>
    <w:rsid w:val="001A5B99"/>
    <w:rsid w:val="001A5BB5"/>
    <w:rsid w:val="001A5BC5"/>
    <w:rsid w:val="001A5E27"/>
    <w:rsid w:val="001A5E9D"/>
    <w:rsid w:val="001A5F0A"/>
    <w:rsid w:val="001A6086"/>
    <w:rsid w:val="001A611C"/>
    <w:rsid w:val="001A61ED"/>
    <w:rsid w:val="001A623C"/>
    <w:rsid w:val="001A631C"/>
    <w:rsid w:val="001A63A0"/>
    <w:rsid w:val="001A640B"/>
    <w:rsid w:val="001A64AB"/>
    <w:rsid w:val="001A674C"/>
    <w:rsid w:val="001A6802"/>
    <w:rsid w:val="001A6904"/>
    <w:rsid w:val="001A69F3"/>
    <w:rsid w:val="001A6D2F"/>
    <w:rsid w:val="001A6D50"/>
    <w:rsid w:val="001A6EEF"/>
    <w:rsid w:val="001A6EF3"/>
    <w:rsid w:val="001A6F8F"/>
    <w:rsid w:val="001A714C"/>
    <w:rsid w:val="001A716E"/>
    <w:rsid w:val="001A767F"/>
    <w:rsid w:val="001A794A"/>
    <w:rsid w:val="001A7D04"/>
    <w:rsid w:val="001A7DE5"/>
    <w:rsid w:val="001B016A"/>
    <w:rsid w:val="001B0273"/>
    <w:rsid w:val="001B02BA"/>
    <w:rsid w:val="001B036F"/>
    <w:rsid w:val="001B03C7"/>
    <w:rsid w:val="001B03F7"/>
    <w:rsid w:val="001B048C"/>
    <w:rsid w:val="001B0491"/>
    <w:rsid w:val="001B0530"/>
    <w:rsid w:val="001B05DB"/>
    <w:rsid w:val="001B0630"/>
    <w:rsid w:val="001B0808"/>
    <w:rsid w:val="001B0830"/>
    <w:rsid w:val="001B09FE"/>
    <w:rsid w:val="001B0AD9"/>
    <w:rsid w:val="001B0BFD"/>
    <w:rsid w:val="001B0CBF"/>
    <w:rsid w:val="001B0D21"/>
    <w:rsid w:val="001B0E1B"/>
    <w:rsid w:val="001B0F0B"/>
    <w:rsid w:val="001B119C"/>
    <w:rsid w:val="001B11E9"/>
    <w:rsid w:val="001B1379"/>
    <w:rsid w:val="001B13EF"/>
    <w:rsid w:val="001B1416"/>
    <w:rsid w:val="001B1557"/>
    <w:rsid w:val="001B15E4"/>
    <w:rsid w:val="001B15F2"/>
    <w:rsid w:val="001B16C6"/>
    <w:rsid w:val="001B182A"/>
    <w:rsid w:val="001B1889"/>
    <w:rsid w:val="001B1905"/>
    <w:rsid w:val="001B1952"/>
    <w:rsid w:val="001B1981"/>
    <w:rsid w:val="001B1D77"/>
    <w:rsid w:val="001B1EF3"/>
    <w:rsid w:val="001B1F9A"/>
    <w:rsid w:val="001B234E"/>
    <w:rsid w:val="001B23AD"/>
    <w:rsid w:val="001B23EB"/>
    <w:rsid w:val="001B2464"/>
    <w:rsid w:val="001B2649"/>
    <w:rsid w:val="001B279F"/>
    <w:rsid w:val="001B2888"/>
    <w:rsid w:val="001B296B"/>
    <w:rsid w:val="001B2D14"/>
    <w:rsid w:val="001B2E1C"/>
    <w:rsid w:val="001B3051"/>
    <w:rsid w:val="001B315F"/>
    <w:rsid w:val="001B31DE"/>
    <w:rsid w:val="001B3256"/>
    <w:rsid w:val="001B32CE"/>
    <w:rsid w:val="001B32D0"/>
    <w:rsid w:val="001B32E4"/>
    <w:rsid w:val="001B32ED"/>
    <w:rsid w:val="001B34DB"/>
    <w:rsid w:val="001B354D"/>
    <w:rsid w:val="001B358F"/>
    <w:rsid w:val="001B3599"/>
    <w:rsid w:val="001B37C3"/>
    <w:rsid w:val="001B385C"/>
    <w:rsid w:val="001B3863"/>
    <w:rsid w:val="001B3960"/>
    <w:rsid w:val="001B3D18"/>
    <w:rsid w:val="001B3D5D"/>
    <w:rsid w:val="001B4017"/>
    <w:rsid w:val="001B402A"/>
    <w:rsid w:val="001B40D3"/>
    <w:rsid w:val="001B42F2"/>
    <w:rsid w:val="001B45F6"/>
    <w:rsid w:val="001B4631"/>
    <w:rsid w:val="001B46BA"/>
    <w:rsid w:val="001B46FF"/>
    <w:rsid w:val="001B471A"/>
    <w:rsid w:val="001B479A"/>
    <w:rsid w:val="001B47B3"/>
    <w:rsid w:val="001B485B"/>
    <w:rsid w:val="001B4A9E"/>
    <w:rsid w:val="001B4AAC"/>
    <w:rsid w:val="001B4D4B"/>
    <w:rsid w:val="001B4EFB"/>
    <w:rsid w:val="001B504D"/>
    <w:rsid w:val="001B5067"/>
    <w:rsid w:val="001B517A"/>
    <w:rsid w:val="001B51B2"/>
    <w:rsid w:val="001B520C"/>
    <w:rsid w:val="001B52E8"/>
    <w:rsid w:val="001B5373"/>
    <w:rsid w:val="001B53AF"/>
    <w:rsid w:val="001B54B1"/>
    <w:rsid w:val="001B565B"/>
    <w:rsid w:val="001B56D1"/>
    <w:rsid w:val="001B579C"/>
    <w:rsid w:val="001B59CF"/>
    <w:rsid w:val="001B5A6D"/>
    <w:rsid w:val="001B5AA3"/>
    <w:rsid w:val="001B5AC4"/>
    <w:rsid w:val="001B5B09"/>
    <w:rsid w:val="001B5BE4"/>
    <w:rsid w:val="001B5D7D"/>
    <w:rsid w:val="001B61B0"/>
    <w:rsid w:val="001B640D"/>
    <w:rsid w:val="001B645D"/>
    <w:rsid w:val="001B6705"/>
    <w:rsid w:val="001B671D"/>
    <w:rsid w:val="001B6A32"/>
    <w:rsid w:val="001B6B3F"/>
    <w:rsid w:val="001B6BFE"/>
    <w:rsid w:val="001B6C6E"/>
    <w:rsid w:val="001B6DDD"/>
    <w:rsid w:val="001B6E3F"/>
    <w:rsid w:val="001B6F6D"/>
    <w:rsid w:val="001B7023"/>
    <w:rsid w:val="001B70C1"/>
    <w:rsid w:val="001B7129"/>
    <w:rsid w:val="001B7182"/>
    <w:rsid w:val="001B7471"/>
    <w:rsid w:val="001B74DE"/>
    <w:rsid w:val="001B75F5"/>
    <w:rsid w:val="001B765A"/>
    <w:rsid w:val="001B7676"/>
    <w:rsid w:val="001B7846"/>
    <w:rsid w:val="001B7954"/>
    <w:rsid w:val="001B7ACB"/>
    <w:rsid w:val="001B7BC8"/>
    <w:rsid w:val="001B7BDA"/>
    <w:rsid w:val="001B7F67"/>
    <w:rsid w:val="001C0064"/>
    <w:rsid w:val="001C00FC"/>
    <w:rsid w:val="001C07BD"/>
    <w:rsid w:val="001C089F"/>
    <w:rsid w:val="001C0A82"/>
    <w:rsid w:val="001C0A89"/>
    <w:rsid w:val="001C0AFB"/>
    <w:rsid w:val="001C0B54"/>
    <w:rsid w:val="001C0CC6"/>
    <w:rsid w:val="001C0EBA"/>
    <w:rsid w:val="001C0EDD"/>
    <w:rsid w:val="001C0F60"/>
    <w:rsid w:val="001C100F"/>
    <w:rsid w:val="001C1483"/>
    <w:rsid w:val="001C1687"/>
    <w:rsid w:val="001C173B"/>
    <w:rsid w:val="001C1863"/>
    <w:rsid w:val="001C188C"/>
    <w:rsid w:val="001C2071"/>
    <w:rsid w:val="001C2181"/>
    <w:rsid w:val="001C2182"/>
    <w:rsid w:val="001C22FA"/>
    <w:rsid w:val="001C24F2"/>
    <w:rsid w:val="001C2944"/>
    <w:rsid w:val="001C2A5B"/>
    <w:rsid w:val="001C2D46"/>
    <w:rsid w:val="001C2D6B"/>
    <w:rsid w:val="001C2D6F"/>
    <w:rsid w:val="001C2EC5"/>
    <w:rsid w:val="001C30F9"/>
    <w:rsid w:val="001C319B"/>
    <w:rsid w:val="001C3346"/>
    <w:rsid w:val="001C344E"/>
    <w:rsid w:val="001C350D"/>
    <w:rsid w:val="001C354F"/>
    <w:rsid w:val="001C3561"/>
    <w:rsid w:val="001C36C4"/>
    <w:rsid w:val="001C3769"/>
    <w:rsid w:val="001C384C"/>
    <w:rsid w:val="001C39A2"/>
    <w:rsid w:val="001C3A78"/>
    <w:rsid w:val="001C3BA3"/>
    <w:rsid w:val="001C3BC3"/>
    <w:rsid w:val="001C3D9A"/>
    <w:rsid w:val="001C3EDE"/>
    <w:rsid w:val="001C3F68"/>
    <w:rsid w:val="001C40AF"/>
    <w:rsid w:val="001C4462"/>
    <w:rsid w:val="001C44BD"/>
    <w:rsid w:val="001C495A"/>
    <w:rsid w:val="001C4965"/>
    <w:rsid w:val="001C49A9"/>
    <w:rsid w:val="001C4BD4"/>
    <w:rsid w:val="001C4D36"/>
    <w:rsid w:val="001C4D99"/>
    <w:rsid w:val="001C4E0C"/>
    <w:rsid w:val="001C4E44"/>
    <w:rsid w:val="001C4FCC"/>
    <w:rsid w:val="001C5638"/>
    <w:rsid w:val="001C56F2"/>
    <w:rsid w:val="001C5782"/>
    <w:rsid w:val="001C599A"/>
    <w:rsid w:val="001C5DD1"/>
    <w:rsid w:val="001C6168"/>
    <w:rsid w:val="001C62B1"/>
    <w:rsid w:val="001C63C9"/>
    <w:rsid w:val="001C67CF"/>
    <w:rsid w:val="001C697F"/>
    <w:rsid w:val="001C6A25"/>
    <w:rsid w:val="001C6B0E"/>
    <w:rsid w:val="001C6C22"/>
    <w:rsid w:val="001C6D7C"/>
    <w:rsid w:val="001C6DC4"/>
    <w:rsid w:val="001C6F4F"/>
    <w:rsid w:val="001C700F"/>
    <w:rsid w:val="001C70A9"/>
    <w:rsid w:val="001C719C"/>
    <w:rsid w:val="001C73B7"/>
    <w:rsid w:val="001C73CE"/>
    <w:rsid w:val="001C73E7"/>
    <w:rsid w:val="001C73E8"/>
    <w:rsid w:val="001C769D"/>
    <w:rsid w:val="001C76D1"/>
    <w:rsid w:val="001C780A"/>
    <w:rsid w:val="001C7936"/>
    <w:rsid w:val="001C7957"/>
    <w:rsid w:val="001C79CF"/>
    <w:rsid w:val="001C7B79"/>
    <w:rsid w:val="001C7E31"/>
    <w:rsid w:val="001C7F70"/>
    <w:rsid w:val="001D0171"/>
    <w:rsid w:val="001D036A"/>
    <w:rsid w:val="001D04BD"/>
    <w:rsid w:val="001D055A"/>
    <w:rsid w:val="001D05DE"/>
    <w:rsid w:val="001D063B"/>
    <w:rsid w:val="001D06AD"/>
    <w:rsid w:val="001D08A7"/>
    <w:rsid w:val="001D08A9"/>
    <w:rsid w:val="001D08B3"/>
    <w:rsid w:val="001D091C"/>
    <w:rsid w:val="001D09EF"/>
    <w:rsid w:val="001D0AF1"/>
    <w:rsid w:val="001D0FFE"/>
    <w:rsid w:val="001D1050"/>
    <w:rsid w:val="001D109C"/>
    <w:rsid w:val="001D111B"/>
    <w:rsid w:val="001D116F"/>
    <w:rsid w:val="001D11AE"/>
    <w:rsid w:val="001D1263"/>
    <w:rsid w:val="001D1304"/>
    <w:rsid w:val="001D135A"/>
    <w:rsid w:val="001D1369"/>
    <w:rsid w:val="001D139C"/>
    <w:rsid w:val="001D14FA"/>
    <w:rsid w:val="001D1662"/>
    <w:rsid w:val="001D16DF"/>
    <w:rsid w:val="001D1ADF"/>
    <w:rsid w:val="001D1B12"/>
    <w:rsid w:val="001D1D17"/>
    <w:rsid w:val="001D1F3D"/>
    <w:rsid w:val="001D1F9C"/>
    <w:rsid w:val="001D2041"/>
    <w:rsid w:val="001D2199"/>
    <w:rsid w:val="001D23C3"/>
    <w:rsid w:val="001D2440"/>
    <w:rsid w:val="001D25D8"/>
    <w:rsid w:val="001D260F"/>
    <w:rsid w:val="001D2888"/>
    <w:rsid w:val="001D2972"/>
    <w:rsid w:val="001D29AA"/>
    <w:rsid w:val="001D2A49"/>
    <w:rsid w:val="001D2ACA"/>
    <w:rsid w:val="001D2ADB"/>
    <w:rsid w:val="001D2B03"/>
    <w:rsid w:val="001D2C02"/>
    <w:rsid w:val="001D2CC9"/>
    <w:rsid w:val="001D2DCA"/>
    <w:rsid w:val="001D2DD4"/>
    <w:rsid w:val="001D2E24"/>
    <w:rsid w:val="001D2E3D"/>
    <w:rsid w:val="001D30C4"/>
    <w:rsid w:val="001D310C"/>
    <w:rsid w:val="001D310D"/>
    <w:rsid w:val="001D3356"/>
    <w:rsid w:val="001D3424"/>
    <w:rsid w:val="001D366D"/>
    <w:rsid w:val="001D3788"/>
    <w:rsid w:val="001D3843"/>
    <w:rsid w:val="001D387D"/>
    <w:rsid w:val="001D39AF"/>
    <w:rsid w:val="001D3AE5"/>
    <w:rsid w:val="001D3B88"/>
    <w:rsid w:val="001D3CC1"/>
    <w:rsid w:val="001D404B"/>
    <w:rsid w:val="001D4086"/>
    <w:rsid w:val="001D4091"/>
    <w:rsid w:val="001D40EF"/>
    <w:rsid w:val="001D41E4"/>
    <w:rsid w:val="001D42C3"/>
    <w:rsid w:val="001D4334"/>
    <w:rsid w:val="001D44B1"/>
    <w:rsid w:val="001D4603"/>
    <w:rsid w:val="001D46D8"/>
    <w:rsid w:val="001D489E"/>
    <w:rsid w:val="001D493F"/>
    <w:rsid w:val="001D4CDA"/>
    <w:rsid w:val="001D4D22"/>
    <w:rsid w:val="001D4EF0"/>
    <w:rsid w:val="001D4F13"/>
    <w:rsid w:val="001D4FA0"/>
    <w:rsid w:val="001D5049"/>
    <w:rsid w:val="001D514E"/>
    <w:rsid w:val="001D53C6"/>
    <w:rsid w:val="001D557D"/>
    <w:rsid w:val="001D56AB"/>
    <w:rsid w:val="001D5721"/>
    <w:rsid w:val="001D5743"/>
    <w:rsid w:val="001D5790"/>
    <w:rsid w:val="001D5A94"/>
    <w:rsid w:val="001D5AFA"/>
    <w:rsid w:val="001D5B48"/>
    <w:rsid w:val="001D5BF1"/>
    <w:rsid w:val="001D5C75"/>
    <w:rsid w:val="001D5D77"/>
    <w:rsid w:val="001D5D9B"/>
    <w:rsid w:val="001D5F43"/>
    <w:rsid w:val="001D610A"/>
    <w:rsid w:val="001D6337"/>
    <w:rsid w:val="001D64F0"/>
    <w:rsid w:val="001D65EC"/>
    <w:rsid w:val="001D6614"/>
    <w:rsid w:val="001D671E"/>
    <w:rsid w:val="001D67DC"/>
    <w:rsid w:val="001D6D61"/>
    <w:rsid w:val="001D6D97"/>
    <w:rsid w:val="001D6DBB"/>
    <w:rsid w:val="001D6DD4"/>
    <w:rsid w:val="001D6EAF"/>
    <w:rsid w:val="001D7121"/>
    <w:rsid w:val="001D7170"/>
    <w:rsid w:val="001D72DF"/>
    <w:rsid w:val="001D7530"/>
    <w:rsid w:val="001D7559"/>
    <w:rsid w:val="001D75D4"/>
    <w:rsid w:val="001D7623"/>
    <w:rsid w:val="001D7656"/>
    <w:rsid w:val="001D7775"/>
    <w:rsid w:val="001D7828"/>
    <w:rsid w:val="001D783F"/>
    <w:rsid w:val="001D7930"/>
    <w:rsid w:val="001D7ACC"/>
    <w:rsid w:val="001D7AF1"/>
    <w:rsid w:val="001D7C81"/>
    <w:rsid w:val="001D7CE6"/>
    <w:rsid w:val="001D7DAC"/>
    <w:rsid w:val="001D7DD2"/>
    <w:rsid w:val="001D7E37"/>
    <w:rsid w:val="001D7E5C"/>
    <w:rsid w:val="001D7EA9"/>
    <w:rsid w:val="001E0065"/>
    <w:rsid w:val="001E0239"/>
    <w:rsid w:val="001E03FB"/>
    <w:rsid w:val="001E046D"/>
    <w:rsid w:val="001E04A1"/>
    <w:rsid w:val="001E050A"/>
    <w:rsid w:val="001E0613"/>
    <w:rsid w:val="001E064C"/>
    <w:rsid w:val="001E06D5"/>
    <w:rsid w:val="001E0738"/>
    <w:rsid w:val="001E078F"/>
    <w:rsid w:val="001E08F1"/>
    <w:rsid w:val="001E08F6"/>
    <w:rsid w:val="001E0915"/>
    <w:rsid w:val="001E0916"/>
    <w:rsid w:val="001E099C"/>
    <w:rsid w:val="001E0A1C"/>
    <w:rsid w:val="001E0B21"/>
    <w:rsid w:val="001E0BDE"/>
    <w:rsid w:val="001E0CF0"/>
    <w:rsid w:val="001E0DA0"/>
    <w:rsid w:val="001E0DD7"/>
    <w:rsid w:val="001E0DEF"/>
    <w:rsid w:val="001E0E29"/>
    <w:rsid w:val="001E0EFA"/>
    <w:rsid w:val="001E105B"/>
    <w:rsid w:val="001E1096"/>
    <w:rsid w:val="001E10B7"/>
    <w:rsid w:val="001E10DE"/>
    <w:rsid w:val="001E12B7"/>
    <w:rsid w:val="001E12D5"/>
    <w:rsid w:val="001E1412"/>
    <w:rsid w:val="001E1555"/>
    <w:rsid w:val="001E1829"/>
    <w:rsid w:val="001E182E"/>
    <w:rsid w:val="001E1A95"/>
    <w:rsid w:val="001E1B99"/>
    <w:rsid w:val="001E1C30"/>
    <w:rsid w:val="001E1CF7"/>
    <w:rsid w:val="001E1D3D"/>
    <w:rsid w:val="001E219D"/>
    <w:rsid w:val="001E2579"/>
    <w:rsid w:val="001E2719"/>
    <w:rsid w:val="001E2722"/>
    <w:rsid w:val="001E2760"/>
    <w:rsid w:val="001E280B"/>
    <w:rsid w:val="001E286E"/>
    <w:rsid w:val="001E2945"/>
    <w:rsid w:val="001E2AA6"/>
    <w:rsid w:val="001E2B72"/>
    <w:rsid w:val="001E2BDD"/>
    <w:rsid w:val="001E2C7B"/>
    <w:rsid w:val="001E2E48"/>
    <w:rsid w:val="001E3089"/>
    <w:rsid w:val="001E31A2"/>
    <w:rsid w:val="001E31F7"/>
    <w:rsid w:val="001E3232"/>
    <w:rsid w:val="001E330C"/>
    <w:rsid w:val="001E3339"/>
    <w:rsid w:val="001E3353"/>
    <w:rsid w:val="001E34F4"/>
    <w:rsid w:val="001E352D"/>
    <w:rsid w:val="001E352E"/>
    <w:rsid w:val="001E360A"/>
    <w:rsid w:val="001E3656"/>
    <w:rsid w:val="001E38C3"/>
    <w:rsid w:val="001E392E"/>
    <w:rsid w:val="001E3AA6"/>
    <w:rsid w:val="001E3AC2"/>
    <w:rsid w:val="001E3B39"/>
    <w:rsid w:val="001E3B59"/>
    <w:rsid w:val="001E3D55"/>
    <w:rsid w:val="001E3F9D"/>
    <w:rsid w:val="001E42CA"/>
    <w:rsid w:val="001E462C"/>
    <w:rsid w:val="001E46D9"/>
    <w:rsid w:val="001E48BF"/>
    <w:rsid w:val="001E490B"/>
    <w:rsid w:val="001E49B9"/>
    <w:rsid w:val="001E4C7E"/>
    <w:rsid w:val="001E4CD0"/>
    <w:rsid w:val="001E4CD9"/>
    <w:rsid w:val="001E503F"/>
    <w:rsid w:val="001E507B"/>
    <w:rsid w:val="001E5216"/>
    <w:rsid w:val="001E5226"/>
    <w:rsid w:val="001E5287"/>
    <w:rsid w:val="001E532F"/>
    <w:rsid w:val="001E543F"/>
    <w:rsid w:val="001E54F3"/>
    <w:rsid w:val="001E5601"/>
    <w:rsid w:val="001E5781"/>
    <w:rsid w:val="001E584D"/>
    <w:rsid w:val="001E58BC"/>
    <w:rsid w:val="001E58D7"/>
    <w:rsid w:val="001E59B1"/>
    <w:rsid w:val="001E5ACA"/>
    <w:rsid w:val="001E5C0C"/>
    <w:rsid w:val="001E5CB5"/>
    <w:rsid w:val="001E5D43"/>
    <w:rsid w:val="001E5DD7"/>
    <w:rsid w:val="001E5E9E"/>
    <w:rsid w:val="001E5EA4"/>
    <w:rsid w:val="001E5F05"/>
    <w:rsid w:val="001E62F8"/>
    <w:rsid w:val="001E6409"/>
    <w:rsid w:val="001E64C9"/>
    <w:rsid w:val="001E654A"/>
    <w:rsid w:val="001E6555"/>
    <w:rsid w:val="001E6558"/>
    <w:rsid w:val="001E65D4"/>
    <w:rsid w:val="001E65EA"/>
    <w:rsid w:val="001E66C7"/>
    <w:rsid w:val="001E6741"/>
    <w:rsid w:val="001E685C"/>
    <w:rsid w:val="001E6928"/>
    <w:rsid w:val="001E6A7A"/>
    <w:rsid w:val="001E6B15"/>
    <w:rsid w:val="001E6B19"/>
    <w:rsid w:val="001E6C58"/>
    <w:rsid w:val="001E6D13"/>
    <w:rsid w:val="001E6D5B"/>
    <w:rsid w:val="001E6DD0"/>
    <w:rsid w:val="001E6FD8"/>
    <w:rsid w:val="001E71B5"/>
    <w:rsid w:val="001E7302"/>
    <w:rsid w:val="001E73F6"/>
    <w:rsid w:val="001E7501"/>
    <w:rsid w:val="001E7704"/>
    <w:rsid w:val="001E785F"/>
    <w:rsid w:val="001E7960"/>
    <w:rsid w:val="001E7B06"/>
    <w:rsid w:val="001E7C02"/>
    <w:rsid w:val="001E7D25"/>
    <w:rsid w:val="001F015F"/>
    <w:rsid w:val="001F03E8"/>
    <w:rsid w:val="001F04B2"/>
    <w:rsid w:val="001F05FF"/>
    <w:rsid w:val="001F062A"/>
    <w:rsid w:val="001F06FC"/>
    <w:rsid w:val="001F0973"/>
    <w:rsid w:val="001F09A9"/>
    <w:rsid w:val="001F0C08"/>
    <w:rsid w:val="001F0C7E"/>
    <w:rsid w:val="001F0CF5"/>
    <w:rsid w:val="001F0E62"/>
    <w:rsid w:val="001F0F01"/>
    <w:rsid w:val="001F0F35"/>
    <w:rsid w:val="001F0F7B"/>
    <w:rsid w:val="001F10E2"/>
    <w:rsid w:val="001F114B"/>
    <w:rsid w:val="001F114D"/>
    <w:rsid w:val="001F124E"/>
    <w:rsid w:val="001F136A"/>
    <w:rsid w:val="001F1431"/>
    <w:rsid w:val="001F15E0"/>
    <w:rsid w:val="001F16E1"/>
    <w:rsid w:val="001F1799"/>
    <w:rsid w:val="001F18AF"/>
    <w:rsid w:val="001F19E6"/>
    <w:rsid w:val="001F1A1B"/>
    <w:rsid w:val="001F1A88"/>
    <w:rsid w:val="001F1AE2"/>
    <w:rsid w:val="001F1AF1"/>
    <w:rsid w:val="001F1C62"/>
    <w:rsid w:val="001F1D32"/>
    <w:rsid w:val="001F1EBE"/>
    <w:rsid w:val="001F20C0"/>
    <w:rsid w:val="001F20CD"/>
    <w:rsid w:val="001F20F6"/>
    <w:rsid w:val="001F211D"/>
    <w:rsid w:val="001F2311"/>
    <w:rsid w:val="001F2380"/>
    <w:rsid w:val="001F240E"/>
    <w:rsid w:val="001F250B"/>
    <w:rsid w:val="001F256C"/>
    <w:rsid w:val="001F26C5"/>
    <w:rsid w:val="001F26CF"/>
    <w:rsid w:val="001F273C"/>
    <w:rsid w:val="001F27B8"/>
    <w:rsid w:val="001F2815"/>
    <w:rsid w:val="001F2847"/>
    <w:rsid w:val="001F28F8"/>
    <w:rsid w:val="001F296A"/>
    <w:rsid w:val="001F298E"/>
    <w:rsid w:val="001F2C66"/>
    <w:rsid w:val="001F2CF3"/>
    <w:rsid w:val="001F2D4B"/>
    <w:rsid w:val="001F2FCF"/>
    <w:rsid w:val="001F3073"/>
    <w:rsid w:val="001F30F1"/>
    <w:rsid w:val="001F312A"/>
    <w:rsid w:val="001F3210"/>
    <w:rsid w:val="001F328C"/>
    <w:rsid w:val="001F329C"/>
    <w:rsid w:val="001F33CB"/>
    <w:rsid w:val="001F33E6"/>
    <w:rsid w:val="001F342A"/>
    <w:rsid w:val="001F3473"/>
    <w:rsid w:val="001F349F"/>
    <w:rsid w:val="001F3557"/>
    <w:rsid w:val="001F3649"/>
    <w:rsid w:val="001F372E"/>
    <w:rsid w:val="001F3760"/>
    <w:rsid w:val="001F37CE"/>
    <w:rsid w:val="001F3ABF"/>
    <w:rsid w:val="001F3D1B"/>
    <w:rsid w:val="001F3DB0"/>
    <w:rsid w:val="001F4019"/>
    <w:rsid w:val="001F405F"/>
    <w:rsid w:val="001F4246"/>
    <w:rsid w:val="001F4366"/>
    <w:rsid w:val="001F44FB"/>
    <w:rsid w:val="001F4543"/>
    <w:rsid w:val="001F462B"/>
    <w:rsid w:val="001F49EC"/>
    <w:rsid w:val="001F4A77"/>
    <w:rsid w:val="001F4B13"/>
    <w:rsid w:val="001F4DC4"/>
    <w:rsid w:val="001F4E13"/>
    <w:rsid w:val="001F4F1C"/>
    <w:rsid w:val="001F5025"/>
    <w:rsid w:val="001F503E"/>
    <w:rsid w:val="001F515C"/>
    <w:rsid w:val="001F517C"/>
    <w:rsid w:val="001F5184"/>
    <w:rsid w:val="001F5309"/>
    <w:rsid w:val="001F533A"/>
    <w:rsid w:val="001F5409"/>
    <w:rsid w:val="001F5557"/>
    <w:rsid w:val="001F573D"/>
    <w:rsid w:val="001F59B8"/>
    <w:rsid w:val="001F5A4A"/>
    <w:rsid w:val="001F5ADA"/>
    <w:rsid w:val="001F5AE4"/>
    <w:rsid w:val="001F5E14"/>
    <w:rsid w:val="001F606F"/>
    <w:rsid w:val="001F611B"/>
    <w:rsid w:val="001F617C"/>
    <w:rsid w:val="001F61E6"/>
    <w:rsid w:val="001F6355"/>
    <w:rsid w:val="001F6402"/>
    <w:rsid w:val="001F6406"/>
    <w:rsid w:val="001F644C"/>
    <w:rsid w:val="001F646E"/>
    <w:rsid w:val="001F64FF"/>
    <w:rsid w:val="001F6539"/>
    <w:rsid w:val="001F6556"/>
    <w:rsid w:val="001F663D"/>
    <w:rsid w:val="001F67D4"/>
    <w:rsid w:val="001F6829"/>
    <w:rsid w:val="001F68C6"/>
    <w:rsid w:val="001F694D"/>
    <w:rsid w:val="001F6C06"/>
    <w:rsid w:val="001F6FBB"/>
    <w:rsid w:val="001F6FEF"/>
    <w:rsid w:val="001F71A0"/>
    <w:rsid w:val="001F72AD"/>
    <w:rsid w:val="001F731F"/>
    <w:rsid w:val="001F74AC"/>
    <w:rsid w:val="001F74AD"/>
    <w:rsid w:val="001F763E"/>
    <w:rsid w:val="001F76A6"/>
    <w:rsid w:val="001F76C0"/>
    <w:rsid w:val="001F7898"/>
    <w:rsid w:val="001F7911"/>
    <w:rsid w:val="001F7915"/>
    <w:rsid w:val="001F79B7"/>
    <w:rsid w:val="001F7A2A"/>
    <w:rsid w:val="001F7A72"/>
    <w:rsid w:val="001F7B00"/>
    <w:rsid w:val="001F7CED"/>
    <w:rsid w:val="001F7E79"/>
    <w:rsid w:val="001F7FB5"/>
    <w:rsid w:val="001F7FE5"/>
    <w:rsid w:val="002001FF"/>
    <w:rsid w:val="00200656"/>
    <w:rsid w:val="002006D4"/>
    <w:rsid w:val="00200783"/>
    <w:rsid w:val="002007C5"/>
    <w:rsid w:val="002009BB"/>
    <w:rsid w:val="00200C22"/>
    <w:rsid w:val="00200C78"/>
    <w:rsid w:val="00200CB9"/>
    <w:rsid w:val="00200D4D"/>
    <w:rsid w:val="00200DE2"/>
    <w:rsid w:val="00200EA4"/>
    <w:rsid w:val="00200F7F"/>
    <w:rsid w:val="00201002"/>
    <w:rsid w:val="00201092"/>
    <w:rsid w:val="00201100"/>
    <w:rsid w:val="002012F2"/>
    <w:rsid w:val="002015C1"/>
    <w:rsid w:val="00201716"/>
    <w:rsid w:val="00201E67"/>
    <w:rsid w:val="00201FBE"/>
    <w:rsid w:val="0020202C"/>
    <w:rsid w:val="002022B5"/>
    <w:rsid w:val="002022D8"/>
    <w:rsid w:val="0020230C"/>
    <w:rsid w:val="00202484"/>
    <w:rsid w:val="00202722"/>
    <w:rsid w:val="00202744"/>
    <w:rsid w:val="002028D8"/>
    <w:rsid w:val="002029CB"/>
    <w:rsid w:val="00202A7F"/>
    <w:rsid w:val="00202B4F"/>
    <w:rsid w:val="00202C26"/>
    <w:rsid w:val="00202CC8"/>
    <w:rsid w:val="00202D6A"/>
    <w:rsid w:val="00202E80"/>
    <w:rsid w:val="00202F2A"/>
    <w:rsid w:val="00202F64"/>
    <w:rsid w:val="00203080"/>
    <w:rsid w:val="00203215"/>
    <w:rsid w:val="00203290"/>
    <w:rsid w:val="002035D6"/>
    <w:rsid w:val="0020362E"/>
    <w:rsid w:val="00203A56"/>
    <w:rsid w:val="00203B2D"/>
    <w:rsid w:val="00203B5B"/>
    <w:rsid w:val="00203C1C"/>
    <w:rsid w:val="00203C79"/>
    <w:rsid w:val="00203DD8"/>
    <w:rsid w:val="00203DE5"/>
    <w:rsid w:val="00203E39"/>
    <w:rsid w:val="00203F71"/>
    <w:rsid w:val="002043C4"/>
    <w:rsid w:val="002046AE"/>
    <w:rsid w:val="0020483C"/>
    <w:rsid w:val="002048D6"/>
    <w:rsid w:val="00204957"/>
    <w:rsid w:val="00204ABE"/>
    <w:rsid w:val="00204BB9"/>
    <w:rsid w:val="00204CCB"/>
    <w:rsid w:val="00204DFC"/>
    <w:rsid w:val="00204F8E"/>
    <w:rsid w:val="002050BC"/>
    <w:rsid w:val="00205122"/>
    <w:rsid w:val="002051AC"/>
    <w:rsid w:val="002052A1"/>
    <w:rsid w:val="002052A6"/>
    <w:rsid w:val="002054BE"/>
    <w:rsid w:val="002055A7"/>
    <w:rsid w:val="002056F0"/>
    <w:rsid w:val="00205923"/>
    <w:rsid w:val="00205B35"/>
    <w:rsid w:val="00205B75"/>
    <w:rsid w:val="00205B93"/>
    <w:rsid w:val="00205C00"/>
    <w:rsid w:val="00205C54"/>
    <w:rsid w:val="00205F37"/>
    <w:rsid w:val="00205F89"/>
    <w:rsid w:val="00205FE3"/>
    <w:rsid w:val="00206095"/>
    <w:rsid w:val="0020616A"/>
    <w:rsid w:val="0020616C"/>
    <w:rsid w:val="002062F2"/>
    <w:rsid w:val="002062F3"/>
    <w:rsid w:val="00206351"/>
    <w:rsid w:val="00206472"/>
    <w:rsid w:val="002064F3"/>
    <w:rsid w:val="00206610"/>
    <w:rsid w:val="00206621"/>
    <w:rsid w:val="00206785"/>
    <w:rsid w:val="002067FE"/>
    <w:rsid w:val="0020689B"/>
    <w:rsid w:val="0020692D"/>
    <w:rsid w:val="00206B78"/>
    <w:rsid w:val="00207019"/>
    <w:rsid w:val="0020701C"/>
    <w:rsid w:val="00207179"/>
    <w:rsid w:val="00207308"/>
    <w:rsid w:val="0020739F"/>
    <w:rsid w:val="002073CC"/>
    <w:rsid w:val="0020745E"/>
    <w:rsid w:val="002074CA"/>
    <w:rsid w:val="00207737"/>
    <w:rsid w:val="00207A9A"/>
    <w:rsid w:val="00207AE5"/>
    <w:rsid w:val="00207CEE"/>
    <w:rsid w:val="00207D25"/>
    <w:rsid w:val="00207D6C"/>
    <w:rsid w:val="00207F32"/>
    <w:rsid w:val="00210135"/>
    <w:rsid w:val="002101DA"/>
    <w:rsid w:val="00210252"/>
    <w:rsid w:val="002102D9"/>
    <w:rsid w:val="002103C3"/>
    <w:rsid w:val="00210482"/>
    <w:rsid w:val="00210519"/>
    <w:rsid w:val="0021070A"/>
    <w:rsid w:val="002107FF"/>
    <w:rsid w:val="002109F1"/>
    <w:rsid w:val="00210DE3"/>
    <w:rsid w:val="00211501"/>
    <w:rsid w:val="0021152D"/>
    <w:rsid w:val="0021164B"/>
    <w:rsid w:val="002116CA"/>
    <w:rsid w:val="0021175C"/>
    <w:rsid w:val="00211770"/>
    <w:rsid w:val="00211942"/>
    <w:rsid w:val="002119A9"/>
    <w:rsid w:val="00211CEA"/>
    <w:rsid w:val="00211DE0"/>
    <w:rsid w:val="00211E1F"/>
    <w:rsid w:val="00211F1C"/>
    <w:rsid w:val="0021201C"/>
    <w:rsid w:val="002121A9"/>
    <w:rsid w:val="002123DB"/>
    <w:rsid w:val="0021245A"/>
    <w:rsid w:val="00212468"/>
    <w:rsid w:val="00212593"/>
    <w:rsid w:val="00212610"/>
    <w:rsid w:val="00212689"/>
    <w:rsid w:val="002126B0"/>
    <w:rsid w:val="002126E3"/>
    <w:rsid w:val="00212700"/>
    <w:rsid w:val="00212761"/>
    <w:rsid w:val="002127FB"/>
    <w:rsid w:val="00212DA2"/>
    <w:rsid w:val="00212DB0"/>
    <w:rsid w:val="00212E39"/>
    <w:rsid w:val="00212F1A"/>
    <w:rsid w:val="00212F32"/>
    <w:rsid w:val="00212FA3"/>
    <w:rsid w:val="00212FE2"/>
    <w:rsid w:val="00213120"/>
    <w:rsid w:val="002133B6"/>
    <w:rsid w:val="002133DB"/>
    <w:rsid w:val="002135AA"/>
    <w:rsid w:val="00213631"/>
    <w:rsid w:val="002136D3"/>
    <w:rsid w:val="00213796"/>
    <w:rsid w:val="002138CF"/>
    <w:rsid w:val="00213AD3"/>
    <w:rsid w:val="00213B66"/>
    <w:rsid w:val="00213B71"/>
    <w:rsid w:val="00213CB0"/>
    <w:rsid w:val="00213DD2"/>
    <w:rsid w:val="00213F7D"/>
    <w:rsid w:val="00213F8F"/>
    <w:rsid w:val="002140FF"/>
    <w:rsid w:val="0021410A"/>
    <w:rsid w:val="00214120"/>
    <w:rsid w:val="002141D9"/>
    <w:rsid w:val="00214224"/>
    <w:rsid w:val="002146F2"/>
    <w:rsid w:val="0021478B"/>
    <w:rsid w:val="00214960"/>
    <w:rsid w:val="002149B0"/>
    <w:rsid w:val="00214A14"/>
    <w:rsid w:val="00214AA4"/>
    <w:rsid w:val="00214C08"/>
    <w:rsid w:val="00214CB1"/>
    <w:rsid w:val="00214D91"/>
    <w:rsid w:val="00214ECC"/>
    <w:rsid w:val="00214F33"/>
    <w:rsid w:val="00214FB9"/>
    <w:rsid w:val="00215133"/>
    <w:rsid w:val="00215182"/>
    <w:rsid w:val="00215202"/>
    <w:rsid w:val="0021524A"/>
    <w:rsid w:val="00215301"/>
    <w:rsid w:val="00215423"/>
    <w:rsid w:val="002154D2"/>
    <w:rsid w:val="002157FD"/>
    <w:rsid w:val="0021587C"/>
    <w:rsid w:val="0021589F"/>
    <w:rsid w:val="00215A28"/>
    <w:rsid w:val="00215A5F"/>
    <w:rsid w:val="00215AF9"/>
    <w:rsid w:val="00215C40"/>
    <w:rsid w:val="00215D21"/>
    <w:rsid w:val="00215E75"/>
    <w:rsid w:val="00215F62"/>
    <w:rsid w:val="00215F70"/>
    <w:rsid w:val="00215F95"/>
    <w:rsid w:val="002160F3"/>
    <w:rsid w:val="002160FA"/>
    <w:rsid w:val="00216266"/>
    <w:rsid w:val="00216363"/>
    <w:rsid w:val="0021637A"/>
    <w:rsid w:val="002163B2"/>
    <w:rsid w:val="002163E4"/>
    <w:rsid w:val="002165DB"/>
    <w:rsid w:val="00216765"/>
    <w:rsid w:val="002168E6"/>
    <w:rsid w:val="002169E4"/>
    <w:rsid w:val="00216A90"/>
    <w:rsid w:val="00216B1C"/>
    <w:rsid w:val="00216C03"/>
    <w:rsid w:val="00216C44"/>
    <w:rsid w:val="00216CBF"/>
    <w:rsid w:val="00216D99"/>
    <w:rsid w:val="00216E3B"/>
    <w:rsid w:val="00216E9E"/>
    <w:rsid w:val="00216FCE"/>
    <w:rsid w:val="00216FF5"/>
    <w:rsid w:val="0021700E"/>
    <w:rsid w:val="002170D3"/>
    <w:rsid w:val="0021741B"/>
    <w:rsid w:val="00217692"/>
    <w:rsid w:val="002176B9"/>
    <w:rsid w:val="002177D9"/>
    <w:rsid w:val="002177E5"/>
    <w:rsid w:val="0021797A"/>
    <w:rsid w:val="00217AC0"/>
    <w:rsid w:val="00217B97"/>
    <w:rsid w:val="00217EB6"/>
    <w:rsid w:val="0022038B"/>
    <w:rsid w:val="002204FD"/>
    <w:rsid w:val="00220557"/>
    <w:rsid w:val="002207CB"/>
    <w:rsid w:val="00220807"/>
    <w:rsid w:val="00220870"/>
    <w:rsid w:val="0022092A"/>
    <w:rsid w:val="00220A21"/>
    <w:rsid w:val="00220ACA"/>
    <w:rsid w:val="00220B03"/>
    <w:rsid w:val="00220D74"/>
    <w:rsid w:val="00220E09"/>
    <w:rsid w:val="00220E44"/>
    <w:rsid w:val="00221061"/>
    <w:rsid w:val="0022108C"/>
    <w:rsid w:val="002211ED"/>
    <w:rsid w:val="00221208"/>
    <w:rsid w:val="00221229"/>
    <w:rsid w:val="002212F6"/>
    <w:rsid w:val="0022136A"/>
    <w:rsid w:val="002213B2"/>
    <w:rsid w:val="00221593"/>
    <w:rsid w:val="002215BF"/>
    <w:rsid w:val="002215C2"/>
    <w:rsid w:val="00221668"/>
    <w:rsid w:val="002216C2"/>
    <w:rsid w:val="00221789"/>
    <w:rsid w:val="002217AE"/>
    <w:rsid w:val="00221822"/>
    <w:rsid w:val="00221872"/>
    <w:rsid w:val="0022187C"/>
    <w:rsid w:val="00221A16"/>
    <w:rsid w:val="00221D1E"/>
    <w:rsid w:val="00221D20"/>
    <w:rsid w:val="00221EF2"/>
    <w:rsid w:val="00221F70"/>
    <w:rsid w:val="0022210F"/>
    <w:rsid w:val="00222115"/>
    <w:rsid w:val="002221C3"/>
    <w:rsid w:val="00222526"/>
    <w:rsid w:val="0022260F"/>
    <w:rsid w:val="00222A17"/>
    <w:rsid w:val="00222B57"/>
    <w:rsid w:val="00222C1C"/>
    <w:rsid w:val="00222C6F"/>
    <w:rsid w:val="00222DC1"/>
    <w:rsid w:val="00222FE7"/>
    <w:rsid w:val="0022304A"/>
    <w:rsid w:val="0022305F"/>
    <w:rsid w:val="0022309D"/>
    <w:rsid w:val="002230D7"/>
    <w:rsid w:val="00223296"/>
    <w:rsid w:val="0022338F"/>
    <w:rsid w:val="002235A4"/>
    <w:rsid w:val="00223611"/>
    <w:rsid w:val="00223627"/>
    <w:rsid w:val="002238D0"/>
    <w:rsid w:val="002239DC"/>
    <w:rsid w:val="00223B93"/>
    <w:rsid w:val="00223CD4"/>
    <w:rsid w:val="00223E4C"/>
    <w:rsid w:val="00224305"/>
    <w:rsid w:val="00224313"/>
    <w:rsid w:val="002244E7"/>
    <w:rsid w:val="0022460C"/>
    <w:rsid w:val="00224791"/>
    <w:rsid w:val="00224864"/>
    <w:rsid w:val="00224963"/>
    <w:rsid w:val="002249D7"/>
    <w:rsid w:val="00224ACB"/>
    <w:rsid w:val="00224AE6"/>
    <w:rsid w:val="00224AEA"/>
    <w:rsid w:val="00224D43"/>
    <w:rsid w:val="00224E25"/>
    <w:rsid w:val="00224E36"/>
    <w:rsid w:val="0022539F"/>
    <w:rsid w:val="002254E6"/>
    <w:rsid w:val="00225605"/>
    <w:rsid w:val="0022588A"/>
    <w:rsid w:val="002258F5"/>
    <w:rsid w:val="002258F6"/>
    <w:rsid w:val="00225926"/>
    <w:rsid w:val="00225A5C"/>
    <w:rsid w:val="00225AF3"/>
    <w:rsid w:val="00225B5D"/>
    <w:rsid w:val="00225C22"/>
    <w:rsid w:val="00225E3A"/>
    <w:rsid w:val="002262E9"/>
    <w:rsid w:val="0022645D"/>
    <w:rsid w:val="002267F3"/>
    <w:rsid w:val="00226919"/>
    <w:rsid w:val="00226A09"/>
    <w:rsid w:val="00226BF3"/>
    <w:rsid w:val="00226D74"/>
    <w:rsid w:val="00226EA7"/>
    <w:rsid w:val="00226F5E"/>
    <w:rsid w:val="00226F76"/>
    <w:rsid w:val="002270AC"/>
    <w:rsid w:val="0022714F"/>
    <w:rsid w:val="002272E1"/>
    <w:rsid w:val="00227880"/>
    <w:rsid w:val="002278C1"/>
    <w:rsid w:val="0022799B"/>
    <w:rsid w:val="00227D5B"/>
    <w:rsid w:val="00227E83"/>
    <w:rsid w:val="00227E99"/>
    <w:rsid w:val="002300D5"/>
    <w:rsid w:val="002301FA"/>
    <w:rsid w:val="002304A0"/>
    <w:rsid w:val="00230738"/>
    <w:rsid w:val="00230874"/>
    <w:rsid w:val="0023096C"/>
    <w:rsid w:val="002309F5"/>
    <w:rsid w:val="00230B98"/>
    <w:rsid w:val="00230C0B"/>
    <w:rsid w:val="00230CEA"/>
    <w:rsid w:val="00230E5E"/>
    <w:rsid w:val="00230EA7"/>
    <w:rsid w:val="00230F70"/>
    <w:rsid w:val="0023116E"/>
    <w:rsid w:val="0023135C"/>
    <w:rsid w:val="002314CB"/>
    <w:rsid w:val="002314EF"/>
    <w:rsid w:val="00231562"/>
    <w:rsid w:val="00231580"/>
    <w:rsid w:val="002316A5"/>
    <w:rsid w:val="00231794"/>
    <w:rsid w:val="002317A2"/>
    <w:rsid w:val="00231880"/>
    <w:rsid w:val="00231918"/>
    <w:rsid w:val="002319DE"/>
    <w:rsid w:val="00231A20"/>
    <w:rsid w:val="00231A56"/>
    <w:rsid w:val="00231A5C"/>
    <w:rsid w:val="00231B40"/>
    <w:rsid w:val="00231CBB"/>
    <w:rsid w:val="00231EE9"/>
    <w:rsid w:val="00231F27"/>
    <w:rsid w:val="00231FDA"/>
    <w:rsid w:val="002320E1"/>
    <w:rsid w:val="0023218A"/>
    <w:rsid w:val="002321BC"/>
    <w:rsid w:val="00232310"/>
    <w:rsid w:val="00232315"/>
    <w:rsid w:val="002323E4"/>
    <w:rsid w:val="00232625"/>
    <w:rsid w:val="00232661"/>
    <w:rsid w:val="00232702"/>
    <w:rsid w:val="00232898"/>
    <w:rsid w:val="00232AB6"/>
    <w:rsid w:val="00232AFD"/>
    <w:rsid w:val="00232C11"/>
    <w:rsid w:val="00232C25"/>
    <w:rsid w:val="00232D6B"/>
    <w:rsid w:val="00232EFF"/>
    <w:rsid w:val="002330CC"/>
    <w:rsid w:val="0023318D"/>
    <w:rsid w:val="0023324E"/>
    <w:rsid w:val="002332C8"/>
    <w:rsid w:val="002332F6"/>
    <w:rsid w:val="00233303"/>
    <w:rsid w:val="0023355F"/>
    <w:rsid w:val="002335F3"/>
    <w:rsid w:val="002337A0"/>
    <w:rsid w:val="002337AA"/>
    <w:rsid w:val="002338AE"/>
    <w:rsid w:val="0023392B"/>
    <w:rsid w:val="00233A7E"/>
    <w:rsid w:val="00233ADD"/>
    <w:rsid w:val="00233C8E"/>
    <w:rsid w:val="00233DD5"/>
    <w:rsid w:val="00233DF7"/>
    <w:rsid w:val="00233FAA"/>
    <w:rsid w:val="00234048"/>
    <w:rsid w:val="002341E6"/>
    <w:rsid w:val="0023421A"/>
    <w:rsid w:val="00234245"/>
    <w:rsid w:val="002344E4"/>
    <w:rsid w:val="002345C4"/>
    <w:rsid w:val="002348BA"/>
    <w:rsid w:val="00234DB4"/>
    <w:rsid w:val="00234FE2"/>
    <w:rsid w:val="0023537B"/>
    <w:rsid w:val="002353AB"/>
    <w:rsid w:val="0023545E"/>
    <w:rsid w:val="002358B9"/>
    <w:rsid w:val="002359CA"/>
    <w:rsid w:val="00235A4E"/>
    <w:rsid w:val="00235A53"/>
    <w:rsid w:val="00235EAB"/>
    <w:rsid w:val="00235F2B"/>
    <w:rsid w:val="00235F9B"/>
    <w:rsid w:val="00236218"/>
    <w:rsid w:val="0023633F"/>
    <w:rsid w:val="002363F5"/>
    <w:rsid w:val="00236505"/>
    <w:rsid w:val="0023663A"/>
    <w:rsid w:val="00236844"/>
    <w:rsid w:val="00236944"/>
    <w:rsid w:val="002369EE"/>
    <w:rsid w:val="00236B03"/>
    <w:rsid w:val="00236D3E"/>
    <w:rsid w:val="00236EAB"/>
    <w:rsid w:val="002371E5"/>
    <w:rsid w:val="00237249"/>
    <w:rsid w:val="0023743B"/>
    <w:rsid w:val="00237472"/>
    <w:rsid w:val="002378E6"/>
    <w:rsid w:val="00237938"/>
    <w:rsid w:val="00237988"/>
    <w:rsid w:val="00237BA9"/>
    <w:rsid w:val="00237C05"/>
    <w:rsid w:val="00237E81"/>
    <w:rsid w:val="00237F1C"/>
    <w:rsid w:val="00240451"/>
    <w:rsid w:val="00240719"/>
    <w:rsid w:val="00240855"/>
    <w:rsid w:val="0024085A"/>
    <w:rsid w:val="002408A5"/>
    <w:rsid w:val="00240AFD"/>
    <w:rsid w:val="00240BB1"/>
    <w:rsid w:val="00240C65"/>
    <w:rsid w:val="00240F03"/>
    <w:rsid w:val="0024102A"/>
    <w:rsid w:val="00241115"/>
    <w:rsid w:val="00241127"/>
    <w:rsid w:val="0024122A"/>
    <w:rsid w:val="002414E5"/>
    <w:rsid w:val="00241743"/>
    <w:rsid w:val="00241825"/>
    <w:rsid w:val="00241914"/>
    <w:rsid w:val="00241B76"/>
    <w:rsid w:val="002420B4"/>
    <w:rsid w:val="00242153"/>
    <w:rsid w:val="002423A8"/>
    <w:rsid w:val="002424D2"/>
    <w:rsid w:val="002425C2"/>
    <w:rsid w:val="0024278A"/>
    <w:rsid w:val="00242857"/>
    <w:rsid w:val="00242A39"/>
    <w:rsid w:val="00242A58"/>
    <w:rsid w:val="00242A93"/>
    <w:rsid w:val="00242C4D"/>
    <w:rsid w:val="00242C66"/>
    <w:rsid w:val="00242DF3"/>
    <w:rsid w:val="00242E72"/>
    <w:rsid w:val="00242EA4"/>
    <w:rsid w:val="00243024"/>
    <w:rsid w:val="0024309C"/>
    <w:rsid w:val="002430B5"/>
    <w:rsid w:val="002432F0"/>
    <w:rsid w:val="00243460"/>
    <w:rsid w:val="0024371F"/>
    <w:rsid w:val="00243772"/>
    <w:rsid w:val="002437F2"/>
    <w:rsid w:val="0024380A"/>
    <w:rsid w:val="0024387A"/>
    <w:rsid w:val="002438A2"/>
    <w:rsid w:val="002439AF"/>
    <w:rsid w:val="00243A68"/>
    <w:rsid w:val="00243A9C"/>
    <w:rsid w:val="00243B11"/>
    <w:rsid w:val="00243B6A"/>
    <w:rsid w:val="00243F6C"/>
    <w:rsid w:val="00243F9F"/>
    <w:rsid w:val="0024401F"/>
    <w:rsid w:val="0024410B"/>
    <w:rsid w:val="0024419B"/>
    <w:rsid w:val="002442C0"/>
    <w:rsid w:val="002442CD"/>
    <w:rsid w:val="0024433A"/>
    <w:rsid w:val="0024447D"/>
    <w:rsid w:val="002445FF"/>
    <w:rsid w:val="002447BB"/>
    <w:rsid w:val="002447DC"/>
    <w:rsid w:val="002447F4"/>
    <w:rsid w:val="0024496C"/>
    <w:rsid w:val="00244AD3"/>
    <w:rsid w:val="00244B8E"/>
    <w:rsid w:val="00244E5B"/>
    <w:rsid w:val="0024522A"/>
    <w:rsid w:val="002453FE"/>
    <w:rsid w:val="0024564C"/>
    <w:rsid w:val="00245664"/>
    <w:rsid w:val="00245887"/>
    <w:rsid w:val="00245977"/>
    <w:rsid w:val="0024597C"/>
    <w:rsid w:val="00245992"/>
    <w:rsid w:val="002459A0"/>
    <w:rsid w:val="002459A5"/>
    <w:rsid w:val="002459EA"/>
    <w:rsid w:val="00245ABB"/>
    <w:rsid w:val="00245C37"/>
    <w:rsid w:val="00245CC8"/>
    <w:rsid w:val="00245CD1"/>
    <w:rsid w:val="00245D77"/>
    <w:rsid w:val="00245DBC"/>
    <w:rsid w:val="00245DFB"/>
    <w:rsid w:val="00245E51"/>
    <w:rsid w:val="00245FA4"/>
    <w:rsid w:val="0024620B"/>
    <w:rsid w:val="002463FE"/>
    <w:rsid w:val="0024642C"/>
    <w:rsid w:val="0024659A"/>
    <w:rsid w:val="002465B4"/>
    <w:rsid w:val="002466DC"/>
    <w:rsid w:val="002468D3"/>
    <w:rsid w:val="002468D7"/>
    <w:rsid w:val="00246908"/>
    <w:rsid w:val="0024699A"/>
    <w:rsid w:val="00246ACE"/>
    <w:rsid w:val="00246C8E"/>
    <w:rsid w:val="00246C9D"/>
    <w:rsid w:val="00246F4E"/>
    <w:rsid w:val="00247089"/>
    <w:rsid w:val="00247171"/>
    <w:rsid w:val="00247206"/>
    <w:rsid w:val="00247249"/>
    <w:rsid w:val="002474B3"/>
    <w:rsid w:val="002476EF"/>
    <w:rsid w:val="00247980"/>
    <w:rsid w:val="00247990"/>
    <w:rsid w:val="00247B4B"/>
    <w:rsid w:val="00247CB2"/>
    <w:rsid w:val="00247D77"/>
    <w:rsid w:val="00247D9D"/>
    <w:rsid w:val="00247E25"/>
    <w:rsid w:val="002500E1"/>
    <w:rsid w:val="002502B8"/>
    <w:rsid w:val="002502B9"/>
    <w:rsid w:val="002504EA"/>
    <w:rsid w:val="002505F8"/>
    <w:rsid w:val="00250695"/>
    <w:rsid w:val="0025089E"/>
    <w:rsid w:val="002508BA"/>
    <w:rsid w:val="002509F5"/>
    <w:rsid w:val="002509F9"/>
    <w:rsid w:val="00250D06"/>
    <w:rsid w:val="00250DF1"/>
    <w:rsid w:val="00250EE4"/>
    <w:rsid w:val="00250F11"/>
    <w:rsid w:val="00250F8D"/>
    <w:rsid w:val="00251015"/>
    <w:rsid w:val="0025118B"/>
    <w:rsid w:val="002511CA"/>
    <w:rsid w:val="002511E7"/>
    <w:rsid w:val="00251227"/>
    <w:rsid w:val="00251264"/>
    <w:rsid w:val="002513FF"/>
    <w:rsid w:val="0025157B"/>
    <w:rsid w:val="002515F3"/>
    <w:rsid w:val="00251A36"/>
    <w:rsid w:val="00251B3E"/>
    <w:rsid w:val="00251C6B"/>
    <w:rsid w:val="00251D22"/>
    <w:rsid w:val="00251E27"/>
    <w:rsid w:val="00251ECD"/>
    <w:rsid w:val="0025201F"/>
    <w:rsid w:val="002520E8"/>
    <w:rsid w:val="00252123"/>
    <w:rsid w:val="00252195"/>
    <w:rsid w:val="0025221A"/>
    <w:rsid w:val="00252325"/>
    <w:rsid w:val="00252537"/>
    <w:rsid w:val="002525FD"/>
    <w:rsid w:val="00252649"/>
    <w:rsid w:val="0025278E"/>
    <w:rsid w:val="002527D1"/>
    <w:rsid w:val="002527F8"/>
    <w:rsid w:val="0025285C"/>
    <w:rsid w:val="002529A4"/>
    <w:rsid w:val="00252B61"/>
    <w:rsid w:val="00252C4A"/>
    <w:rsid w:val="00252EAE"/>
    <w:rsid w:val="0025306C"/>
    <w:rsid w:val="002531CA"/>
    <w:rsid w:val="002531F2"/>
    <w:rsid w:val="002532D1"/>
    <w:rsid w:val="00253489"/>
    <w:rsid w:val="0025348F"/>
    <w:rsid w:val="002534B7"/>
    <w:rsid w:val="002534EF"/>
    <w:rsid w:val="0025350A"/>
    <w:rsid w:val="00253638"/>
    <w:rsid w:val="002537C4"/>
    <w:rsid w:val="0025398F"/>
    <w:rsid w:val="00253C90"/>
    <w:rsid w:val="00253CD6"/>
    <w:rsid w:val="00253D1B"/>
    <w:rsid w:val="00253D3E"/>
    <w:rsid w:val="00253D68"/>
    <w:rsid w:val="00253DE8"/>
    <w:rsid w:val="00253F6D"/>
    <w:rsid w:val="0025404F"/>
    <w:rsid w:val="002540AC"/>
    <w:rsid w:val="00254307"/>
    <w:rsid w:val="002543DB"/>
    <w:rsid w:val="0025443F"/>
    <w:rsid w:val="00254474"/>
    <w:rsid w:val="002544F6"/>
    <w:rsid w:val="00254675"/>
    <w:rsid w:val="002547DE"/>
    <w:rsid w:val="002548CD"/>
    <w:rsid w:val="00254D8D"/>
    <w:rsid w:val="00254E6A"/>
    <w:rsid w:val="00254E89"/>
    <w:rsid w:val="00254FA9"/>
    <w:rsid w:val="00254FD4"/>
    <w:rsid w:val="00255033"/>
    <w:rsid w:val="0025508A"/>
    <w:rsid w:val="00255239"/>
    <w:rsid w:val="002552A8"/>
    <w:rsid w:val="002552D8"/>
    <w:rsid w:val="0025534A"/>
    <w:rsid w:val="00255519"/>
    <w:rsid w:val="00255571"/>
    <w:rsid w:val="002555B6"/>
    <w:rsid w:val="0025561B"/>
    <w:rsid w:val="0025563D"/>
    <w:rsid w:val="002557D0"/>
    <w:rsid w:val="002558EE"/>
    <w:rsid w:val="0025595A"/>
    <w:rsid w:val="002559D5"/>
    <w:rsid w:val="00255A06"/>
    <w:rsid w:val="00255C39"/>
    <w:rsid w:val="00255D4A"/>
    <w:rsid w:val="00255E32"/>
    <w:rsid w:val="002562FC"/>
    <w:rsid w:val="002562FF"/>
    <w:rsid w:val="00256346"/>
    <w:rsid w:val="002563E0"/>
    <w:rsid w:val="002568CC"/>
    <w:rsid w:val="002568F0"/>
    <w:rsid w:val="00256990"/>
    <w:rsid w:val="00256F66"/>
    <w:rsid w:val="002570DA"/>
    <w:rsid w:val="0025723E"/>
    <w:rsid w:val="00257406"/>
    <w:rsid w:val="002574B9"/>
    <w:rsid w:val="002574C3"/>
    <w:rsid w:val="002576AB"/>
    <w:rsid w:val="002576B2"/>
    <w:rsid w:val="002576F2"/>
    <w:rsid w:val="00257716"/>
    <w:rsid w:val="00257731"/>
    <w:rsid w:val="00257763"/>
    <w:rsid w:val="002577CF"/>
    <w:rsid w:val="002577F1"/>
    <w:rsid w:val="00257A10"/>
    <w:rsid w:val="00257A1F"/>
    <w:rsid w:val="00257A32"/>
    <w:rsid w:val="00257BAE"/>
    <w:rsid w:val="00257CBE"/>
    <w:rsid w:val="00257EA6"/>
    <w:rsid w:val="00257F26"/>
    <w:rsid w:val="00257F38"/>
    <w:rsid w:val="00257FF7"/>
    <w:rsid w:val="002600CB"/>
    <w:rsid w:val="002602FF"/>
    <w:rsid w:val="00260434"/>
    <w:rsid w:val="00260479"/>
    <w:rsid w:val="00260544"/>
    <w:rsid w:val="00260632"/>
    <w:rsid w:val="002607CD"/>
    <w:rsid w:val="00260821"/>
    <w:rsid w:val="00260857"/>
    <w:rsid w:val="00260860"/>
    <w:rsid w:val="002608C7"/>
    <w:rsid w:val="00260ADE"/>
    <w:rsid w:val="00260B36"/>
    <w:rsid w:val="00260C4D"/>
    <w:rsid w:val="00261018"/>
    <w:rsid w:val="0026106F"/>
    <w:rsid w:val="002610F4"/>
    <w:rsid w:val="00261189"/>
    <w:rsid w:val="00261245"/>
    <w:rsid w:val="002612A4"/>
    <w:rsid w:val="00261316"/>
    <w:rsid w:val="0026143A"/>
    <w:rsid w:val="002614A6"/>
    <w:rsid w:val="002614D8"/>
    <w:rsid w:val="00261610"/>
    <w:rsid w:val="00261895"/>
    <w:rsid w:val="00261897"/>
    <w:rsid w:val="002619A7"/>
    <w:rsid w:val="00261E2B"/>
    <w:rsid w:val="00261E7A"/>
    <w:rsid w:val="00261E94"/>
    <w:rsid w:val="00261EBD"/>
    <w:rsid w:val="00261F21"/>
    <w:rsid w:val="00261FA5"/>
    <w:rsid w:val="002620F6"/>
    <w:rsid w:val="002621BD"/>
    <w:rsid w:val="00262319"/>
    <w:rsid w:val="0026238E"/>
    <w:rsid w:val="00262417"/>
    <w:rsid w:val="0026254D"/>
    <w:rsid w:val="00262635"/>
    <w:rsid w:val="0026263E"/>
    <w:rsid w:val="002627B2"/>
    <w:rsid w:val="00262919"/>
    <w:rsid w:val="00262AF8"/>
    <w:rsid w:val="00262BE5"/>
    <w:rsid w:val="00262D18"/>
    <w:rsid w:val="00262D3F"/>
    <w:rsid w:val="00262E35"/>
    <w:rsid w:val="002630C9"/>
    <w:rsid w:val="00263200"/>
    <w:rsid w:val="00263415"/>
    <w:rsid w:val="002634D8"/>
    <w:rsid w:val="00263543"/>
    <w:rsid w:val="002636C6"/>
    <w:rsid w:val="00263786"/>
    <w:rsid w:val="002638D1"/>
    <w:rsid w:val="00263C25"/>
    <w:rsid w:val="00263D2A"/>
    <w:rsid w:val="00263D94"/>
    <w:rsid w:val="00263E2A"/>
    <w:rsid w:val="00263EA4"/>
    <w:rsid w:val="00263EAF"/>
    <w:rsid w:val="00264330"/>
    <w:rsid w:val="0026453A"/>
    <w:rsid w:val="002647EC"/>
    <w:rsid w:val="00264819"/>
    <w:rsid w:val="00264AA1"/>
    <w:rsid w:val="00264AF0"/>
    <w:rsid w:val="00264C5D"/>
    <w:rsid w:val="00264CC6"/>
    <w:rsid w:val="00264D00"/>
    <w:rsid w:val="00265069"/>
    <w:rsid w:val="00265207"/>
    <w:rsid w:val="002652A4"/>
    <w:rsid w:val="00265357"/>
    <w:rsid w:val="002654C0"/>
    <w:rsid w:val="002655F9"/>
    <w:rsid w:val="00265638"/>
    <w:rsid w:val="0026568E"/>
    <w:rsid w:val="002656FD"/>
    <w:rsid w:val="0026574C"/>
    <w:rsid w:val="00265785"/>
    <w:rsid w:val="002657FE"/>
    <w:rsid w:val="00265925"/>
    <w:rsid w:val="00265946"/>
    <w:rsid w:val="0026596D"/>
    <w:rsid w:val="00265A01"/>
    <w:rsid w:val="00265A0A"/>
    <w:rsid w:val="00265A53"/>
    <w:rsid w:val="00265AAC"/>
    <w:rsid w:val="00265DAE"/>
    <w:rsid w:val="00265F80"/>
    <w:rsid w:val="00265FA4"/>
    <w:rsid w:val="00266001"/>
    <w:rsid w:val="002664C7"/>
    <w:rsid w:val="0026677D"/>
    <w:rsid w:val="002667BD"/>
    <w:rsid w:val="00266846"/>
    <w:rsid w:val="002669F6"/>
    <w:rsid w:val="00266A43"/>
    <w:rsid w:val="00266E03"/>
    <w:rsid w:val="00266FF8"/>
    <w:rsid w:val="00267268"/>
    <w:rsid w:val="0026726D"/>
    <w:rsid w:val="00267325"/>
    <w:rsid w:val="0026732C"/>
    <w:rsid w:val="00267480"/>
    <w:rsid w:val="00267589"/>
    <w:rsid w:val="00267601"/>
    <w:rsid w:val="002676AB"/>
    <w:rsid w:val="00267703"/>
    <w:rsid w:val="002678E5"/>
    <w:rsid w:val="0026792A"/>
    <w:rsid w:val="00267CEB"/>
    <w:rsid w:val="00267D06"/>
    <w:rsid w:val="00267D96"/>
    <w:rsid w:val="00267E8D"/>
    <w:rsid w:val="00267ECA"/>
    <w:rsid w:val="00267F10"/>
    <w:rsid w:val="00267F21"/>
    <w:rsid w:val="00267F3F"/>
    <w:rsid w:val="00267F99"/>
    <w:rsid w:val="002700E6"/>
    <w:rsid w:val="0027013C"/>
    <w:rsid w:val="0027030F"/>
    <w:rsid w:val="0027038B"/>
    <w:rsid w:val="002704BE"/>
    <w:rsid w:val="00270AEC"/>
    <w:rsid w:val="00270B0A"/>
    <w:rsid w:val="00270B3E"/>
    <w:rsid w:val="00271060"/>
    <w:rsid w:val="00271075"/>
    <w:rsid w:val="0027107A"/>
    <w:rsid w:val="0027134A"/>
    <w:rsid w:val="0027156B"/>
    <w:rsid w:val="00271824"/>
    <w:rsid w:val="00271A3C"/>
    <w:rsid w:val="00271A86"/>
    <w:rsid w:val="00271AC9"/>
    <w:rsid w:val="00271BAA"/>
    <w:rsid w:val="00271CAF"/>
    <w:rsid w:val="00271D3E"/>
    <w:rsid w:val="00271D8F"/>
    <w:rsid w:val="00271E8E"/>
    <w:rsid w:val="00271F62"/>
    <w:rsid w:val="00271FE1"/>
    <w:rsid w:val="00272057"/>
    <w:rsid w:val="002721CB"/>
    <w:rsid w:val="00272264"/>
    <w:rsid w:val="0027229C"/>
    <w:rsid w:val="002722C3"/>
    <w:rsid w:val="002723D8"/>
    <w:rsid w:val="00272430"/>
    <w:rsid w:val="00272479"/>
    <w:rsid w:val="0027254F"/>
    <w:rsid w:val="0027256C"/>
    <w:rsid w:val="0027266A"/>
    <w:rsid w:val="00272688"/>
    <w:rsid w:val="002728CA"/>
    <w:rsid w:val="00272AC5"/>
    <w:rsid w:val="00272B37"/>
    <w:rsid w:val="00272B5E"/>
    <w:rsid w:val="00272C67"/>
    <w:rsid w:val="00272C76"/>
    <w:rsid w:val="00272D6C"/>
    <w:rsid w:val="00272D71"/>
    <w:rsid w:val="00272D81"/>
    <w:rsid w:val="0027310B"/>
    <w:rsid w:val="002731E0"/>
    <w:rsid w:val="0027335D"/>
    <w:rsid w:val="002737C3"/>
    <w:rsid w:val="00273A00"/>
    <w:rsid w:val="00273B72"/>
    <w:rsid w:val="00273C48"/>
    <w:rsid w:val="00273C75"/>
    <w:rsid w:val="00273CC2"/>
    <w:rsid w:val="00273FC2"/>
    <w:rsid w:val="0027409F"/>
    <w:rsid w:val="00274115"/>
    <w:rsid w:val="0027418B"/>
    <w:rsid w:val="0027428A"/>
    <w:rsid w:val="00274356"/>
    <w:rsid w:val="002743F2"/>
    <w:rsid w:val="00274465"/>
    <w:rsid w:val="0027466B"/>
    <w:rsid w:val="0027478E"/>
    <w:rsid w:val="00274793"/>
    <w:rsid w:val="00274B63"/>
    <w:rsid w:val="00274B76"/>
    <w:rsid w:val="00274CBA"/>
    <w:rsid w:val="00274E46"/>
    <w:rsid w:val="0027512C"/>
    <w:rsid w:val="00275157"/>
    <w:rsid w:val="0027517B"/>
    <w:rsid w:val="00275221"/>
    <w:rsid w:val="002754CA"/>
    <w:rsid w:val="002756A1"/>
    <w:rsid w:val="00275767"/>
    <w:rsid w:val="0027582A"/>
    <w:rsid w:val="0027582B"/>
    <w:rsid w:val="00275860"/>
    <w:rsid w:val="00275C01"/>
    <w:rsid w:val="00275C82"/>
    <w:rsid w:val="00275EDC"/>
    <w:rsid w:val="00275F5F"/>
    <w:rsid w:val="00275F7D"/>
    <w:rsid w:val="002760D7"/>
    <w:rsid w:val="00276196"/>
    <w:rsid w:val="00276222"/>
    <w:rsid w:val="00276235"/>
    <w:rsid w:val="0027623C"/>
    <w:rsid w:val="002762B4"/>
    <w:rsid w:val="00276304"/>
    <w:rsid w:val="00276514"/>
    <w:rsid w:val="00276555"/>
    <w:rsid w:val="0027658E"/>
    <w:rsid w:val="00276D09"/>
    <w:rsid w:val="0027701A"/>
    <w:rsid w:val="0027713D"/>
    <w:rsid w:val="00277141"/>
    <w:rsid w:val="002774BF"/>
    <w:rsid w:val="00277515"/>
    <w:rsid w:val="0027751A"/>
    <w:rsid w:val="00277624"/>
    <w:rsid w:val="002776B2"/>
    <w:rsid w:val="00277788"/>
    <w:rsid w:val="0027782A"/>
    <w:rsid w:val="00277933"/>
    <w:rsid w:val="00277A6D"/>
    <w:rsid w:val="00277A85"/>
    <w:rsid w:val="00277B36"/>
    <w:rsid w:val="00277C74"/>
    <w:rsid w:val="00277C90"/>
    <w:rsid w:val="00277CBD"/>
    <w:rsid w:val="0028004E"/>
    <w:rsid w:val="00280190"/>
    <w:rsid w:val="00280220"/>
    <w:rsid w:val="002802BC"/>
    <w:rsid w:val="0028031C"/>
    <w:rsid w:val="00280348"/>
    <w:rsid w:val="00280546"/>
    <w:rsid w:val="0028072E"/>
    <w:rsid w:val="00280747"/>
    <w:rsid w:val="002807B7"/>
    <w:rsid w:val="002809DB"/>
    <w:rsid w:val="00280B91"/>
    <w:rsid w:val="00280BE4"/>
    <w:rsid w:val="00280D88"/>
    <w:rsid w:val="00280DED"/>
    <w:rsid w:val="00280F6C"/>
    <w:rsid w:val="002811E2"/>
    <w:rsid w:val="0028137E"/>
    <w:rsid w:val="00281698"/>
    <w:rsid w:val="00281758"/>
    <w:rsid w:val="002817B7"/>
    <w:rsid w:val="00281874"/>
    <w:rsid w:val="00281B37"/>
    <w:rsid w:val="00281C3F"/>
    <w:rsid w:val="00281EF6"/>
    <w:rsid w:val="00281F6E"/>
    <w:rsid w:val="00281FCC"/>
    <w:rsid w:val="0028219A"/>
    <w:rsid w:val="002823AE"/>
    <w:rsid w:val="0028259D"/>
    <w:rsid w:val="00282670"/>
    <w:rsid w:val="002826A9"/>
    <w:rsid w:val="0028278C"/>
    <w:rsid w:val="0028280D"/>
    <w:rsid w:val="00282827"/>
    <w:rsid w:val="002829AF"/>
    <w:rsid w:val="002829CD"/>
    <w:rsid w:val="00282C0F"/>
    <w:rsid w:val="00283097"/>
    <w:rsid w:val="00283417"/>
    <w:rsid w:val="002834F7"/>
    <w:rsid w:val="0028355F"/>
    <w:rsid w:val="002835CA"/>
    <w:rsid w:val="00283653"/>
    <w:rsid w:val="00283690"/>
    <w:rsid w:val="00283814"/>
    <w:rsid w:val="00283A43"/>
    <w:rsid w:val="00283B72"/>
    <w:rsid w:val="00283B7C"/>
    <w:rsid w:val="00283B89"/>
    <w:rsid w:val="00283BAD"/>
    <w:rsid w:val="00283C2B"/>
    <w:rsid w:val="00283CA4"/>
    <w:rsid w:val="00283DD3"/>
    <w:rsid w:val="00283FEF"/>
    <w:rsid w:val="00284098"/>
    <w:rsid w:val="002841CA"/>
    <w:rsid w:val="002842F1"/>
    <w:rsid w:val="00284429"/>
    <w:rsid w:val="00284552"/>
    <w:rsid w:val="00284686"/>
    <w:rsid w:val="002846E6"/>
    <w:rsid w:val="00284837"/>
    <w:rsid w:val="002848C6"/>
    <w:rsid w:val="0028490A"/>
    <w:rsid w:val="00284995"/>
    <w:rsid w:val="00284AC2"/>
    <w:rsid w:val="00284AF8"/>
    <w:rsid w:val="00284B62"/>
    <w:rsid w:val="00284B79"/>
    <w:rsid w:val="00284BCB"/>
    <w:rsid w:val="00284C28"/>
    <w:rsid w:val="00284CDF"/>
    <w:rsid w:val="00284E47"/>
    <w:rsid w:val="00284F1A"/>
    <w:rsid w:val="00284F32"/>
    <w:rsid w:val="00284F88"/>
    <w:rsid w:val="00284F8A"/>
    <w:rsid w:val="00285089"/>
    <w:rsid w:val="002850D6"/>
    <w:rsid w:val="002852E6"/>
    <w:rsid w:val="00285330"/>
    <w:rsid w:val="00285353"/>
    <w:rsid w:val="002855E9"/>
    <w:rsid w:val="00285712"/>
    <w:rsid w:val="00285930"/>
    <w:rsid w:val="00285941"/>
    <w:rsid w:val="00285A3D"/>
    <w:rsid w:val="00285BDD"/>
    <w:rsid w:val="00285C36"/>
    <w:rsid w:val="00285C68"/>
    <w:rsid w:val="00285DE8"/>
    <w:rsid w:val="00285E3C"/>
    <w:rsid w:val="00286081"/>
    <w:rsid w:val="002862B7"/>
    <w:rsid w:val="002863F1"/>
    <w:rsid w:val="002866D6"/>
    <w:rsid w:val="00286833"/>
    <w:rsid w:val="0028699C"/>
    <w:rsid w:val="00286A21"/>
    <w:rsid w:val="00286B46"/>
    <w:rsid w:val="00286BDF"/>
    <w:rsid w:val="00286E03"/>
    <w:rsid w:val="00286E6E"/>
    <w:rsid w:val="00286EBC"/>
    <w:rsid w:val="00286F50"/>
    <w:rsid w:val="00287014"/>
    <w:rsid w:val="002870D1"/>
    <w:rsid w:val="002870F7"/>
    <w:rsid w:val="00287223"/>
    <w:rsid w:val="00287228"/>
    <w:rsid w:val="0028732A"/>
    <w:rsid w:val="002873C1"/>
    <w:rsid w:val="002874F8"/>
    <w:rsid w:val="002875B1"/>
    <w:rsid w:val="00287785"/>
    <w:rsid w:val="002877D9"/>
    <w:rsid w:val="00287AF3"/>
    <w:rsid w:val="00287DCF"/>
    <w:rsid w:val="00287E04"/>
    <w:rsid w:val="00287E33"/>
    <w:rsid w:val="0029004A"/>
    <w:rsid w:val="00290134"/>
    <w:rsid w:val="002902C6"/>
    <w:rsid w:val="00290429"/>
    <w:rsid w:val="002904BB"/>
    <w:rsid w:val="00290505"/>
    <w:rsid w:val="0029052E"/>
    <w:rsid w:val="00290534"/>
    <w:rsid w:val="00290790"/>
    <w:rsid w:val="002909B7"/>
    <w:rsid w:val="00290A0E"/>
    <w:rsid w:val="00290B5B"/>
    <w:rsid w:val="00290BBC"/>
    <w:rsid w:val="00290BC2"/>
    <w:rsid w:val="00290C01"/>
    <w:rsid w:val="00290E68"/>
    <w:rsid w:val="00290ECE"/>
    <w:rsid w:val="00290EFF"/>
    <w:rsid w:val="00290FFE"/>
    <w:rsid w:val="002911A8"/>
    <w:rsid w:val="002911B1"/>
    <w:rsid w:val="002911C3"/>
    <w:rsid w:val="00291239"/>
    <w:rsid w:val="0029127E"/>
    <w:rsid w:val="00291308"/>
    <w:rsid w:val="00291573"/>
    <w:rsid w:val="002916A1"/>
    <w:rsid w:val="002916B9"/>
    <w:rsid w:val="00291748"/>
    <w:rsid w:val="0029175F"/>
    <w:rsid w:val="0029177D"/>
    <w:rsid w:val="002917CA"/>
    <w:rsid w:val="0029184B"/>
    <w:rsid w:val="00291856"/>
    <w:rsid w:val="002918E0"/>
    <w:rsid w:val="002919CA"/>
    <w:rsid w:val="00291A31"/>
    <w:rsid w:val="00291A61"/>
    <w:rsid w:val="00291B9F"/>
    <w:rsid w:val="00291C87"/>
    <w:rsid w:val="00291DD4"/>
    <w:rsid w:val="00291E83"/>
    <w:rsid w:val="00291FAF"/>
    <w:rsid w:val="00292119"/>
    <w:rsid w:val="00292197"/>
    <w:rsid w:val="002922F2"/>
    <w:rsid w:val="00292313"/>
    <w:rsid w:val="00292363"/>
    <w:rsid w:val="002924ED"/>
    <w:rsid w:val="002925C8"/>
    <w:rsid w:val="0029268E"/>
    <w:rsid w:val="00292785"/>
    <w:rsid w:val="002927D1"/>
    <w:rsid w:val="00292938"/>
    <w:rsid w:val="00292ABF"/>
    <w:rsid w:val="00292C11"/>
    <w:rsid w:val="00292C6F"/>
    <w:rsid w:val="00292C7C"/>
    <w:rsid w:val="00292DB7"/>
    <w:rsid w:val="00292F2D"/>
    <w:rsid w:val="00292FC6"/>
    <w:rsid w:val="002930E2"/>
    <w:rsid w:val="00293107"/>
    <w:rsid w:val="00293154"/>
    <w:rsid w:val="002933B5"/>
    <w:rsid w:val="002933B8"/>
    <w:rsid w:val="0029345C"/>
    <w:rsid w:val="002935C0"/>
    <w:rsid w:val="002936FE"/>
    <w:rsid w:val="00293758"/>
    <w:rsid w:val="002937AB"/>
    <w:rsid w:val="00293A35"/>
    <w:rsid w:val="00293B2A"/>
    <w:rsid w:val="00293B88"/>
    <w:rsid w:val="00293C2B"/>
    <w:rsid w:val="00293C90"/>
    <w:rsid w:val="00293C97"/>
    <w:rsid w:val="00293D56"/>
    <w:rsid w:val="00293EFF"/>
    <w:rsid w:val="0029405A"/>
    <w:rsid w:val="002940AA"/>
    <w:rsid w:val="002941D2"/>
    <w:rsid w:val="002941F1"/>
    <w:rsid w:val="002941FF"/>
    <w:rsid w:val="00294288"/>
    <w:rsid w:val="002942E3"/>
    <w:rsid w:val="002943EB"/>
    <w:rsid w:val="002943ED"/>
    <w:rsid w:val="00294450"/>
    <w:rsid w:val="00294494"/>
    <w:rsid w:val="00294509"/>
    <w:rsid w:val="00294700"/>
    <w:rsid w:val="00294717"/>
    <w:rsid w:val="002948FC"/>
    <w:rsid w:val="00294BB2"/>
    <w:rsid w:val="00294D5B"/>
    <w:rsid w:val="00294D91"/>
    <w:rsid w:val="00294E90"/>
    <w:rsid w:val="00294EBC"/>
    <w:rsid w:val="00294EF0"/>
    <w:rsid w:val="00294F40"/>
    <w:rsid w:val="00294F9F"/>
    <w:rsid w:val="002950E6"/>
    <w:rsid w:val="002951B0"/>
    <w:rsid w:val="002951C3"/>
    <w:rsid w:val="0029527A"/>
    <w:rsid w:val="002954E3"/>
    <w:rsid w:val="00295815"/>
    <w:rsid w:val="00295881"/>
    <w:rsid w:val="00295A5F"/>
    <w:rsid w:val="00295C67"/>
    <w:rsid w:val="00295F82"/>
    <w:rsid w:val="00295F92"/>
    <w:rsid w:val="002960C0"/>
    <w:rsid w:val="002960C7"/>
    <w:rsid w:val="002961E4"/>
    <w:rsid w:val="0029622B"/>
    <w:rsid w:val="0029661F"/>
    <w:rsid w:val="00296768"/>
    <w:rsid w:val="00296780"/>
    <w:rsid w:val="002967B2"/>
    <w:rsid w:val="002967C4"/>
    <w:rsid w:val="00296834"/>
    <w:rsid w:val="0029691B"/>
    <w:rsid w:val="00296A72"/>
    <w:rsid w:val="00296B0A"/>
    <w:rsid w:val="00296BBC"/>
    <w:rsid w:val="00296DC9"/>
    <w:rsid w:val="00296E66"/>
    <w:rsid w:val="00297049"/>
    <w:rsid w:val="00297365"/>
    <w:rsid w:val="00297412"/>
    <w:rsid w:val="00297678"/>
    <w:rsid w:val="00297714"/>
    <w:rsid w:val="002977DF"/>
    <w:rsid w:val="002978A0"/>
    <w:rsid w:val="0029797A"/>
    <w:rsid w:val="0029799A"/>
    <w:rsid w:val="002979CC"/>
    <w:rsid w:val="00297C5B"/>
    <w:rsid w:val="00297E40"/>
    <w:rsid w:val="00297E6F"/>
    <w:rsid w:val="002A0137"/>
    <w:rsid w:val="002A02CE"/>
    <w:rsid w:val="002A02FC"/>
    <w:rsid w:val="002A03CB"/>
    <w:rsid w:val="002A07BB"/>
    <w:rsid w:val="002A07D8"/>
    <w:rsid w:val="002A086A"/>
    <w:rsid w:val="002A087A"/>
    <w:rsid w:val="002A08C8"/>
    <w:rsid w:val="002A09EB"/>
    <w:rsid w:val="002A09F7"/>
    <w:rsid w:val="002A0A79"/>
    <w:rsid w:val="002A0A8B"/>
    <w:rsid w:val="002A0B3E"/>
    <w:rsid w:val="002A0B4F"/>
    <w:rsid w:val="002A0BF6"/>
    <w:rsid w:val="002A0E93"/>
    <w:rsid w:val="002A105D"/>
    <w:rsid w:val="002A137E"/>
    <w:rsid w:val="002A13A6"/>
    <w:rsid w:val="002A1406"/>
    <w:rsid w:val="002A1413"/>
    <w:rsid w:val="002A1416"/>
    <w:rsid w:val="002A1610"/>
    <w:rsid w:val="002A162D"/>
    <w:rsid w:val="002A1646"/>
    <w:rsid w:val="002A170A"/>
    <w:rsid w:val="002A1732"/>
    <w:rsid w:val="002A1805"/>
    <w:rsid w:val="002A1845"/>
    <w:rsid w:val="002A1D5B"/>
    <w:rsid w:val="002A1E20"/>
    <w:rsid w:val="002A1F2B"/>
    <w:rsid w:val="002A1F55"/>
    <w:rsid w:val="002A215D"/>
    <w:rsid w:val="002A2301"/>
    <w:rsid w:val="002A2392"/>
    <w:rsid w:val="002A23D7"/>
    <w:rsid w:val="002A2810"/>
    <w:rsid w:val="002A2A53"/>
    <w:rsid w:val="002A2AAA"/>
    <w:rsid w:val="002A2AF8"/>
    <w:rsid w:val="002A2D64"/>
    <w:rsid w:val="002A2DEE"/>
    <w:rsid w:val="002A2E60"/>
    <w:rsid w:val="002A2F4D"/>
    <w:rsid w:val="002A30A5"/>
    <w:rsid w:val="002A3167"/>
    <w:rsid w:val="002A324A"/>
    <w:rsid w:val="002A333A"/>
    <w:rsid w:val="002A3482"/>
    <w:rsid w:val="002A34A7"/>
    <w:rsid w:val="002A3531"/>
    <w:rsid w:val="002A365C"/>
    <w:rsid w:val="002A3681"/>
    <w:rsid w:val="002A36FF"/>
    <w:rsid w:val="002A3742"/>
    <w:rsid w:val="002A3794"/>
    <w:rsid w:val="002A3888"/>
    <w:rsid w:val="002A388A"/>
    <w:rsid w:val="002A392C"/>
    <w:rsid w:val="002A39BD"/>
    <w:rsid w:val="002A3C11"/>
    <w:rsid w:val="002A3C9D"/>
    <w:rsid w:val="002A3DA2"/>
    <w:rsid w:val="002A3DA8"/>
    <w:rsid w:val="002A3E90"/>
    <w:rsid w:val="002A3EA8"/>
    <w:rsid w:val="002A3F09"/>
    <w:rsid w:val="002A3F85"/>
    <w:rsid w:val="002A446B"/>
    <w:rsid w:val="002A44A1"/>
    <w:rsid w:val="002A4631"/>
    <w:rsid w:val="002A47C7"/>
    <w:rsid w:val="002A4A4D"/>
    <w:rsid w:val="002A4B8A"/>
    <w:rsid w:val="002A4D47"/>
    <w:rsid w:val="002A4E4E"/>
    <w:rsid w:val="002A4F4D"/>
    <w:rsid w:val="002A5027"/>
    <w:rsid w:val="002A5138"/>
    <w:rsid w:val="002A521C"/>
    <w:rsid w:val="002A5328"/>
    <w:rsid w:val="002A551A"/>
    <w:rsid w:val="002A558A"/>
    <w:rsid w:val="002A5948"/>
    <w:rsid w:val="002A59FD"/>
    <w:rsid w:val="002A5B35"/>
    <w:rsid w:val="002A5C20"/>
    <w:rsid w:val="002A5DC1"/>
    <w:rsid w:val="002A60F6"/>
    <w:rsid w:val="002A6166"/>
    <w:rsid w:val="002A6279"/>
    <w:rsid w:val="002A6343"/>
    <w:rsid w:val="002A646C"/>
    <w:rsid w:val="002A64D5"/>
    <w:rsid w:val="002A654E"/>
    <w:rsid w:val="002A65EF"/>
    <w:rsid w:val="002A6609"/>
    <w:rsid w:val="002A66A3"/>
    <w:rsid w:val="002A6A16"/>
    <w:rsid w:val="002A6A95"/>
    <w:rsid w:val="002A6C99"/>
    <w:rsid w:val="002A6CB8"/>
    <w:rsid w:val="002A6D05"/>
    <w:rsid w:val="002A6EC6"/>
    <w:rsid w:val="002A705D"/>
    <w:rsid w:val="002A753E"/>
    <w:rsid w:val="002A75CA"/>
    <w:rsid w:val="002A75D0"/>
    <w:rsid w:val="002A76A5"/>
    <w:rsid w:val="002A76AB"/>
    <w:rsid w:val="002A77DE"/>
    <w:rsid w:val="002A77F1"/>
    <w:rsid w:val="002A7AC8"/>
    <w:rsid w:val="002A7BD0"/>
    <w:rsid w:val="002B0058"/>
    <w:rsid w:val="002B010F"/>
    <w:rsid w:val="002B0300"/>
    <w:rsid w:val="002B0378"/>
    <w:rsid w:val="002B039A"/>
    <w:rsid w:val="002B03B3"/>
    <w:rsid w:val="002B042B"/>
    <w:rsid w:val="002B059C"/>
    <w:rsid w:val="002B05CA"/>
    <w:rsid w:val="002B0628"/>
    <w:rsid w:val="002B06D1"/>
    <w:rsid w:val="002B06DE"/>
    <w:rsid w:val="002B07B4"/>
    <w:rsid w:val="002B095A"/>
    <w:rsid w:val="002B0AEF"/>
    <w:rsid w:val="002B0B24"/>
    <w:rsid w:val="002B0B51"/>
    <w:rsid w:val="002B0DB2"/>
    <w:rsid w:val="002B0DF3"/>
    <w:rsid w:val="002B0DFF"/>
    <w:rsid w:val="002B0E4A"/>
    <w:rsid w:val="002B0EAC"/>
    <w:rsid w:val="002B0F40"/>
    <w:rsid w:val="002B10AB"/>
    <w:rsid w:val="002B1118"/>
    <w:rsid w:val="002B137E"/>
    <w:rsid w:val="002B14E5"/>
    <w:rsid w:val="002B14E8"/>
    <w:rsid w:val="002B1732"/>
    <w:rsid w:val="002B17DF"/>
    <w:rsid w:val="002B17FA"/>
    <w:rsid w:val="002B18CA"/>
    <w:rsid w:val="002B1A2B"/>
    <w:rsid w:val="002B1AD8"/>
    <w:rsid w:val="002B1B2D"/>
    <w:rsid w:val="002B1B61"/>
    <w:rsid w:val="002B1BC4"/>
    <w:rsid w:val="002B1C2E"/>
    <w:rsid w:val="002B1D30"/>
    <w:rsid w:val="002B1E14"/>
    <w:rsid w:val="002B1F3A"/>
    <w:rsid w:val="002B2218"/>
    <w:rsid w:val="002B224A"/>
    <w:rsid w:val="002B2287"/>
    <w:rsid w:val="002B232E"/>
    <w:rsid w:val="002B2346"/>
    <w:rsid w:val="002B23A1"/>
    <w:rsid w:val="002B2450"/>
    <w:rsid w:val="002B25D6"/>
    <w:rsid w:val="002B29AD"/>
    <w:rsid w:val="002B29BC"/>
    <w:rsid w:val="002B2A46"/>
    <w:rsid w:val="002B3095"/>
    <w:rsid w:val="002B30BF"/>
    <w:rsid w:val="002B3211"/>
    <w:rsid w:val="002B32A2"/>
    <w:rsid w:val="002B3949"/>
    <w:rsid w:val="002B39B9"/>
    <w:rsid w:val="002B3A62"/>
    <w:rsid w:val="002B3A72"/>
    <w:rsid w:val="002B3B52"/>
    <w:rsid w:val="002B3D49"/>
    <w:rsid w:val="002B3E0F"/>
    <w:rsid w:val="002B3F35"/>
    <w:rsid w:val="002B3FBF"/>
    <w:rsid w:val="002B4316"/>
    <w:rsid w:val="002B432B"/>
    <w:rsid w:val="002B433D"/>
    <w:rsid w:val="002B4676"/>
    <w:rsid w:val="002B475F"/>
    <w:rsid w:val="002B47B9"/>
    <w:rsid w:val="002B4874"/>
    <w:rsid w:val="002B48AF"/>
    <w:rsid w:val="002B49B9"/>
    <w:rsid w:val="002B4BD6"/>
    <w:rsid w:val="002B4C35"/>
    <w:rsid w:val="002B4E32"/>
    <w:rsid w:val="002B4E5A"/>
    <w:rsid w:val="002B4EAF"/>
    <w:rsid w:val="002B4EE5"/>
    <w:rsid w:val="002B506C"/>
    <w:rsid w:val="002B5127"/>
    <w:rsid w:val="002B5204"/>
    <w:rsid w:val="002B5289"/>
    <w:rsid w:val="002B54F6"/>
    <w:rsid w:val="002B5638"/>
    <w:rsid w:val="002B56BA"/>
    <w:rsid w:val="002B56C5"/>
    <w:rsid w:val="002B588B"/>
    <w:rsid w:val="002B59D7"/>
    <w:rsid w:val="002B5B50"/>
    <w:rsid w:val="002B5D2B"/>
    <w:rsid w:val="002B5D7B"/>
    <w:rsid w:val="002B5D95"/>
    <w:rsid w:val="002B5ECD"/>
    <w:rsid w:val="002B5FA6"/>
    <w:rsid w:val="002B63AA"/>
    <w:rsid w:val="002B6587"/>
    <w:rsid w:val="002B664F"/>
    <w:rsid w:val="002B6659"/>
    <w:rsid w:val="002B6AB2"/>
    <w:rsid w:val="002B6ACA"/>
    <w:rsid w:val="002B6BAA"/>
    <w:rsid w:val="002B6BF7"/>
    <w:rsid w:val="002B6C21"/>
    <w:rsid w:val="002B6C63"/>
    <w:rsid w:val="002B6EB3"/>
    <w:rsid w:val="002B707A"/>
    <w:rsid w:val="002B7252"/>
    <w:rsid w:val="002B72F2"/>
    <w:rsid w:val="002B7336"/>
    <w:rsid w:val="002B7356"/>
    <w:rsid w:val="002B7666"/>
    <w:rsid w:val="002B767B"/>
    <w:rsid w:val="002B7960"/>
    <w:rsid w:val="002B7A4D"/>
    <w:rsid w:val="002B7CB0"/>
    <w:rsid w:val="002B7DD3"/>
    <w:rsid w:val="002C0153"/>
    <w:rsid w:val="002C019A"/>
    <w:rsid w:val="002C01DC"/>
    <w:rsid w:val="002C022C"/>
    <w:rsid w:val="002C02F0"/>
    <w:rsid w:val="002C0329"/>
    <w:rsid w:val="002C032D"/>
    <w:rsid w:val="002C042F"/>
    <w:rsid w:val="002C0718"/>
    <w:rsid w:val="002C07BF"/>
    <w:rsid w:val="002C08E3"/>
    <w:rsid w:val="002C0B0F"/>
    <w:rsid w:val="002C0CDE"/>
    <w:rsid w:val="002C0CE2"/>
    <w:rsid w:val="002C0D31"/>
    <w:rsid w:val="002C10A4"/>
    <w:rsid w:val="002C10BA"/>
    <w:rsid w:val="002C12B0"/>
    <w:rsid w:val="002C1331"/>
    <w:rsid w:val="002C13AC"/>
    <w:rsid w:val="002C157D"/>
    <w:rsid w:val="002C15C6"/>
    <w:rsid w:val="002C1710"/>
    <w:rsid w:val="002C17EE"/>
    <w:rsid w:val="002C1942"/>
    <w:rsid w:val="002C1C99"/>
    <w:rsid w:val="002C1D2D"/>
    <w:rsid w:val="002C1EC0"/>
    <w:rsid w:val="002C20E5"/>
    <w:rsid w:val="002C2123"/>
    <w:rsid w:val="002C2211"/>
    <w:rsid w:val="002C2280"/>
    <w:rsid w:val="002C22F4"/>
    <w:rsid w:val="002C232E"/>
    <w:rsid w:val="002C25F4"/>
    <w:rsid w:val="002C25FE"/>
    <w:rsid w:val="002C2642"/>
    <w:rsid w:val="002C29A0"/>
    <w:rsid w:val="002C2AC3"/>
    <w:rsid w:val="002C2C7A"/>
    <w:rsid w:val="002C2CB3"/>
    <w:rsid w:val="002C2DFB"/>
    <w:rsid w:val="002C2E6A"/>
    <w:rsid w:val="002C2E6F"/>
    <w:rsid w:val="002C2F29"/>
    <w:rsid w:val="002C2F4C"/>
    <w:rsid w:val="002C30AA"/>
    <w:rsid w:val="002C31DF"/>
    <w:rsid w:val="002C3419"/>
    <w:rsid w:val="002C36DD"/>
    <w:rsid w:val="002C3A1F"/>
    <w:rsid w:val="002C3AB3"/>
    <w:rsid w:val="002C3C0C"/>
    <w:rsid w:val="002C3D42"/>
    <w:rsid w:val="002C3D81"/>
    <w:rsid w:val="002C3D9B"/>
    <w:rsid w:val="002C3E96"/>
    <w:rsid w:val="002C4171"/>
    <w:rsid w:val="002C4258"/>
    <w:rsid w:val="002C44C3"/>
    <w:rsid w:val="002C454F"/>
    <w:rsid w:val="002C4638"/>
    <w:rsid w:val="002C46BB"/>
    <w:rsid w:val="002C47FA"/>
    <w:rsid w:val="002C4951"/>
    <w:rsid w:val="002C49FE"/>
    <w:rsid w:val="002C4AF1"/>
    <w:rsid w:val="002C4F56"/>
    <w:rsid w:val="002C4FA3"/>
    <w:rsid w:val="002C4FAD"/>
    <w:rsid w:val="002C501A"/>
    <w:rsid w:val="002C5101"/>
    <w:rsid w:val="002C523B"/>
    <w:rsid w:val="002C5288"/>
    <w:rsid w:val="002C530E"/>
    <w:rsid w:val="002C5644"/>
    <w:rsid w:val="002C57C0"/>
    <w:rsid w:val="002C5807"/>
    <w:rsid w:val="002C582C"/>
    <w:rsid w:val="002C5851"/>
    <w:rsid w:val="002C5924"/>
    <w:rsid w:val="002C597C"/>
    <w:rsid w:val="002C5A89"/>
    <w:rsid w:val="002C5D9B"/>
    <w:rsid w:val="002C60AC"/>
    <w:rsid w:val="002C6159"/>
    <w:rsid w:val="002C61AD"/>
    <w:rsid w:val="002C621E"/>
    <w:rsid w:val="002C645A"/>
    <w:rsid w:val="002C657E"/>
    <w:rsid w:val="002C6A93"/>
    <w:rsid w:val="002C6AA4"/>
    <w:rsid w:val="002C6ADE"/>
    <w:rsid w:val="002C6BCE"/>
    <w:rsid w:val="002C6C23"/>
    <w:rsid w:val="002C6C49"/>
    <w:rsid w:val="002C6CBE"/>
    <w:rsid w:val="002C7009"/>
    <w:rsid w:val="002C73CA"/>
    <w:rsid w:val="002C7431"/>
    <w:rsid w:val="002C7516"/>
    <w:rsid w:val="002C754F"/>
    <w:rsid w:val="002C77F0"/>
    <w:rsid w:val="002C7800"/>
    <w:rsid w:val="002C7942"/>
    <w:rsid w:val="002C79A6"/>
    <w:rsid w:val="002C79B5"/>
    <w:rsid w:val="002C7B38"/>
    <w:rsid w:val="002C7CE5"/>
    <w:rsid w:val="002C7D03"/>
    <w:rsid w:val="002C7F1B"/>
    <w:rsid w:val="002D01BB"/>
    <w:rsid w:val="002D0231"/>
    <w:rsid w:val="002D02A8"/>
    <w:rsid w:val="002D04DE"/>
    <w:rsid w:val="002D0603"/>
    <w:rsid w:val="002D085B"/>
    <w:rsid w:val="002D0C76"/>
    <w:rsid w:val="002D0EFF"/>
    <w:rsid w:val="002D110A"/>
    <w:rsid w:val="002D1151"/>
    <w:rsid w:val="002D1463"/>
    <w:rsid w:val="002D1466"/>
    <w:rsid w:val="002D1496"/>
    <w:rsid w:val="002D162B"/>
    <w:rsid w:val="002D1674"/>
    <w:rsid w:val="002D1953"/>
    <w:rsid w:val="002D1989"/>
    <w:rsid w:val="002D199F"/>
    <w:rsid w:val="002D1A24"/>
    <w:rsid w:val="002D1BD0"/>
    <w:rsid w:val="002D1C4B"/>
    <w:rsid w:val="002D204B"/>
    <w:rsid w:val="002D2111"/>
    <w:rsid w:val="002D2139"/>
    <w:rsid w:val="002D233B"/>
    <w:rsid w:val="002D24A3"/>
    <w:rsid w:val="002D24B1"/>
    <w:rsid w:val="002D256D"/>
    <w:rsid w:val="002D2654"/>
    <w:rsid w:val="002D2735"/>
    <w:rsid w:val="002D27E9"/>
    <w:rsid w:val="002D27FC"/>
    <w:rsid w:val="002D283C"/>
    <w:rsid w:val="002D2947"/>
    <w:rsid w:val="002D2ACC"/>
    <w:rsid w:val="002D2AE3"/>
    <w:rsid w:val="002D2BC2"/>
    <w:rsid w:val="002D2C40"/>
    <w:rsid w:val="002D2D0F"/>
    <w:rsid w:val="002D2DFD"/>
    <w:rsid w:val="002D2E98"/>
    <w:rsid w:val="002D2EE2"/>
    <w:rsid w:val="002D2F4D"/>
    <w:rsid w:val="002D3096"/>
    <w:rsid w:val="002D30B5"/>
    <w:rsid w:val="002D312C"/>
    <w:rsid w:val="002D3156"/>
    <w:rsid w:val="002D3217"/>
    <w:rsid w:val="002D33B5"/>
    <w:rsid w:val="002D34C5"/>
    <w:rsid w:val="002D358A"/>
    <w:rsid w:val="002D35E3"/>
    <w:rsid w:val="002D3626"/>
    <w:rsid w:val="002D3680"/>
    <w:rsid w:val="002D36AA"/>
    <w:rsid w:val="002D3703"/>
    <w:rsid w:val="002D372E"/>
    <w:rsid w:val="002D37D9"/>
    <w:rsid w:val="002D3A9F"/>
    <w:rsid w:val="002D3BC2"/>
    <w:rsid w:val="002D3BD9"/>
    <w:rsid w:val="002D3C7E"/>
    <w:rsid w:val="002D3E35"/>
    <w:rsid w:val="002D3E59"/>
    <w:rsid w:val="002D3F8D"/>
    <w:rsid w:val="002D413E"/>
    <w:rsid w:val="002D437F"/>
    <w:rsid w:val="002D442D"/>
    <w:rsid w:val="002D451C"/>
    <w:rsid w:val="002D4551"/>
    <w:rsid w:val="002D459C"/>
    <w:rsid w:val="002D46D2"/>
    <w:rsid w:val="002D471D"/>
    <w:rsid w:val="002D4761"/>
    <w:rsid w:val="002D4861"/>
    <w:rsid w:val="002D4878"/>
    <w:rsid w:val="002D4970"/>
    <w:rsid w:val="002D4A56"/>
    <w:rsid w:val="002D4CB9"/>
    <w:rsid w:val="002D4E0F"/>
    <w:rsid w:val="002D4E5B"/>
    <w:rsid w:val="002D4E81"/>
    <w:rsid w:val="002D4F3C"/>
    <w:rsid w:val="002D4F85"/>
    <w:rsid w:val="002D509A"/>
    <w:rsid w:val="002D514C"/>
    <w:rsid w:val="002D5405"/>
    <w:rsid w:val="002D5563"/>
    <w:rsid w:val="002D55E7"/>
    <w:rsid w:val="002D567B"/>
    <w:rsid w:val="002D56D3"/>
    <w:rsid w:val="002D5804"/>
    <w:rsid w:val="002D58F9"/>
    <w:rsid w:val="002D594B"/>
    <w:rsid w:val="002D5B14"/>
    <w:rsid w:val="002D5B22"/>
    <w:rsid w:val="002D5BB9"/>
    <w:rsid w:val="002D5D84"/>
    <w:rsid w:val="002D5E42"/>
    <w:rsid w:val="002D5F02"/>
    <w:rsid w:val="002D5FA6"/>
    <w:rsid w:val="002D5FE2"/>
    <w:rsid w:val="002D6203"/>
    <w:rsid w:val="002D65AD"/>
    <w:rsid w:val="002D6731"/>
    <w:rsid w:val="002D67A7"/>
    <w:rsid w:val="002D69C1"/>
    <w:rsid w:val="002D6E19"/>
    <w:rsid w:val="002D6E92"/>
    <w:rsid w:val="002D6ECE"/>
    <w:rsid w:val="002D6EEF"/>
    <w:rsid w:val="002D7051"/>
    <w:rsid w:val="002D7164"/>
    <w:rsid w:val="002D716F"/>
    <w:rsid w:val="002D71DA"/>
    <w:rsid w:val="002D7219"/>
    <w:rsid w:val="002D744F"/>
    <w:rsid w:val="002D746C"/>
    <w:rsid w:val="002D74B4"/>
    <w:rsid w:val="002D75F1"/>
    <w:rsid w:val="002D79C7"/>
    <w:rsid w:val="002D7A45"/>
    <w:rsid w:val="002D7B66"/>
    <w:rsid w:val="002D7E81"/>
    <w:rsid w:val="002D7EBB"/>
    <w:rsid w:val="002E0069"/>
    <w:rsid w:val="002E0186"/>
    <w:rsid w:val="002E0274"/>
    <w:rsid w:val="002E0586"/>
    <w:rsid w:val="002E058D"/>
    <w:rsid w:val="002E05A4"/>
    <w:rsid w:val="002E071B"/>
    <w:rsid w:val="002E07A8"/>
    <w:rsid w:val="002E0804"/>
    <w:rsid w:val="002E08FD"/>
    <w:rsid w:val="002E0983"/>
    <w:rsid w:val="002E0BF8"/>
    <w:rsid w:val="002E0C98"/>
    <w:rsid w:val="002E0DEA"/>
    <w:rsid w:val="002E0EE9"/>
    <w:rsid w:val="002E107A"/>
    <w:rsid w:val="002E10F4"/>
    <w:rsid w:val="002E1152"/>
    <w:rsid w:val="002E11BC"/>
    <w:rsid w:val="002E14A1"/>
    <w:rsid w:val="002E14CE"/>
    <w:rsid w:val="002E170A"/>
    <w:rsid w:val="002E18CB"/>
    <w:rsid w:val="002E1A84"/>
    <w:rsid w:val="002E1B8F"/>
    <w:rsid w:val="002E1BCB"/>
    <w:rsid w:val="002E1BDC"/>
    <w:rsid w:val="002E1C3E"/>
    <w:rsid w:val="002E1E53"/>
    <w:rsid w:val="002E1E5C"/>
    <w:rsid w:val="002E1EC0"/>
    <w:rsid w:val="002E1EEA"/>
    <w:rsid w:val="002E1F5A"/>
    <w:rsid w:val="002E2251"/>
    <w:rsid w:val="002E2268"/>
    <w:rsid w:val="002E241B"/>
    <w:rsid w:val="002E2527"/>
    <w:rsid w:val="002E2557"/>
    <w:rsid w:val="002E27F9"/>
    <w:rsid w:val="002E2AD7"/>
    <w:rsid w:val="002E2AE6"/>
    <w:rsid w:val="002E2D63"/>
    <w:rsid w:val="002E2DDA"/>
    <w:rsid w:val="002E30E6"/>
    <w:rsid w:val="002E320B"/>
    <w:rsid w:val="002E32E2"/>
    <w:rsid w:val="002E350B"/>
    <w:rsid w:val="002E3694"/>
    <w:rsid w:val="002E378C"/>
    <w:rsid w:val="002E395C"/>
    <w:rsid w:val="002E3C03"/>
    <w:rsid w:val="002E3CE7"/>
    <w:rsid w:val="002E3DDA"/>
    <w:rsid w:val="002E3DDC"/>
    <w:rsid w:val="002E3ED2"/>
    <w:rsid w:val="002E402D"/>
    <w:rsid w:val="002E4162"/>
    <w:rsid w:val="002E446C"/>
    <w:rsid w:val="002E44FD"/>
    <w:rsid w:val="002E457E"/>
    <w:rsid w:val="002E478C"/>
    <w:rsid w:val="002E49B3"/>
    <w:rsid w:val="002E4A85"/>
    <w:rsid w:val="002E4AAC"/>
    <w:rsid w:val="002E4C0D"/>
    <w:rsid w:val="002E4CC9"/>
    <w:rsid w:val="002E4DF6"/>
    <w:rsid w:val="002E4E2A"/>
    <w:rsid w:val="002E52AD"/>
    <w:rsid w:val="002E530E"/>
    <w:rsid w:val="002E574E"/>
    <w:rsid w:val="002E57B4"/>
    <w:rsid w:val="002E57D6"/>
    <w:rsid w:val="002E587D"/>
    <w:rsid w:val="002E58AC"/>
    <w:rsid w:val="002E5B8B"/>
    <w:rsid w:val="002E5BF1"/>
    <w:rsid w:val="002E5C38"/>
    <w:rsid w:val="002E5E84"/>
    <w:rsid w:val="002E5EBF"/>
    <w:rsid w:val="002E5F39"/>
    <w:rsid w:val="002E5FB3"/>
    <w:rsid w:val="002E60D4"/>
    <w:rsid w:val="002E61A4"/>
    <w:rsid w:val="002E627C"/>
    <w:rsid w:val="002E6336"/>
    <w:rsid w:val="002E650C"/>
    <w:rsid w:val="002E652D"/>
    <w:rsid w:val="002E6538"/>
    <w:rsid w:val="002E655C"/>
    <w:rsid w:val="002E664C"/>
    <w:rsid w:val="002E66F3"/>
    <w:rsid w:val="002E6703"/>
    <w:rsid w:val="002E6790"/>
    <w:rsid w:val="002E68A3"/>
    <w:rsid w:val="002E68FE"/>
    <w:rsid w:val="002E6945"/>
    <w:rsid w:val="002E6A60"/>
    <w:rsid w:val="002E6AA6"/>
    <w:rsid w:val="002E6AE6"/>
    <w:rsid w:val="002E6B22"/>
    <w:rsid w:val="002E6B72"/>
    <w:rsid w:val="002E6C3A"/>
    <w:rsid w:val="002E6C6D"/>
    <w:rsid w:val="002E6CF1"/>
    <w:rsid w:val="002E706A"/>
    <w:rsid w:val="002E712A"/>
    <w:rsid w:val="002E7251"/>
    <w:rsid w:val="002E727D"/>
    <w:rsid w:val="002E7290"/>
    <w:rsid w:val="002E7539"/>
    <w:rsid w:val="002E7631"/>
    <w:rsid w:val="002E76FE"/>
    <w:rsid w:val="002E7738"/>
    <w:rsid w:val="002E79CA"/>
    <w:rsid w:val="002E7A67"/>
    <w:rsid w:val="002E7B93"/>
    <w:rsid w:val="002E7CF1"/>
    <w:rsid w:val="002E7DB5"/>
    <w:rsid w:val="002E7E1D"/>
    <w:rsid w:val="002E7E78"/>
    <w:rsid w:val="002F0158"/>
    <w:rsid w:val="002F0328"/>
    <w:rsid w:val="002F0427"/>
    <w:rsid w:val="002F0493"/>
    <w:rsid w:val="002F05ED"/>
    <w:rsid w:val="002F0895"/>
    <w:rsid w:val="002F08D2"/>
    <w:rsid w:val="002F0965"/>
    <w:rsid w:val="002F0BFF"/>
    <w:rsid w:val="002F0C5A"/>
    <w:rsid w:val="002F0DAD"/>
    <w:rsid w:val="002F101F"/>
    <w:rsid w:val="002F106F"/>
    <w:rsid w:val="002F1122"/>
    <w:rsid w:val="002F1142"/>
    <w:rsid w:val="002F129E"/>
    <w:rsid w:val="002F12A4"/>
    <w:rsid w:val="002F1452"/>
    <w:rsid w:val="002F1534"/>
    <w:rsid w:val="002F164E"/>
    <w:rsid w:val="002F1695"/>
    <w:rsid w:val="002F16B1"/>
    <w:rsid w:val="002F1730"/>
    <w:rsid w:val="002F1834"/>
    <w:rsid w:val="002F1A5E"/>
    <w:rsid w:val="002F1C6C"/>
    <w:rsid w:val="002F213C"/>
    <w:rsid w:val="002F232B"/>
    <w:rsid w:val="002F2383"/>
    <w:rsid w:val="002F2417"/>
    <w:rsid w:val="002F2507"/>
    <w:rsid w:val="002F2752"/>
    <w:rsid w:val="002F29DF"/>
    <w:rsid w:val="002F2A21"/>
    <w:rsid w:val="002F2B59"/>
    <w:rsid w:val="002F2E42"/>
    <w:rsid w:val="002F2F0C"/>
    <w:rsid w:val="002F3024"/>
    <w:rsid w:val="002F305A"/>
    <w:rsid w:val="002F309F"/>
    <w:rsid w:val="002F3229"/>
    <w:rsid w:val="002F32BD"/>
    <w:rsid w:val="002F3305"/>
    <w:rsid w:val="002F33B6"/>
    <w:rsid w:val="002F35D1"/>
    <w:rsid w:val="002F3677"/>
    <w:rsid w:val="002F36F0"/>
    <w:rsid w:val="002F387B"/>
    <w:rsid w:val="002F3B5D"/>
    <w:rsid w:val="002F3BB0"/>
    <w:rsid w:val="002F3CB1"/>
    <w:rsid w:val="002F3D19"/>
    <w:rsid w:val="002F3F28"/>
    <w:rsid w:val="002F4003"/>
    <w:rsid w:val="002F4209"/>
    <w:rsid w:val="002F42B2"/>
    <w:rsid w:val="002F4485"/>
    <w:rsid w:val="002F452F"/>
    <w:rsid w:val="002F45B5"/>
    <w:rsid w:val="002F45DF"/>
    <w:rsid w:val="002F46AE"/>
    <w:rsid w:val="002F4734"/>
    <w:rsid w:val="002F47AE"/>
    <w:rsid w:val="002F4974"/>
    <w:rsid w:val="002F4A56"/>
    <w:rsid w:val="002F4AB1"/>
    <w:rsid w:val="002F4D53"/>
    <w:rsid w:val="002F4DD8"/>
    <w:rsid w:val="002F4E4E"/>
    <w:rsid w:val="002F4F0E"/>
    <w:rsid w:val="002F5123"/>
    <w:rsid w:val="002F52CA"/>
    <w:rsid w:val="002F5310"/>
    <w:rsid w:val="002F5388"/>
    <w:rsid w:val="002F546A"/>
    <w:rsid w:val="002F564D"/>
    <w:rsid w:val="002F565A"/>
    <w:rsid w:val="002F5688"/>
    <w:rsid w:val="002F5799"/>
    <w:rsid w:val="002F57C6"/>
    <w:rsid w:val="002F57E9"/>
    <w:rsid w:val="002F58B7"/>
    <w:rsid w:val="002F5A84"/>
    <w:rsid w:val="002F5AB6"/>
    <w:rsid w:val="002F5BD1"/>
    <w:rsid w:val="002F5E78"/>
    <w:rsid w:val="002F5EA9"/>
    <w:rsid w:val="002F60BC"/>
    <w:rsid w:val="002F6197"/>
    <w:rsid w:val="002F6459"/>
    <w:rsid w:val="002F6578"/>
    <w:rsid w:val="002F6862"/>
    <w:rsid w:val="002F6893"/>
    <w:rsid w:val="002F6B01"/>
    <w:rsid w:val="002F6CC3"/>
    <w:rsid w:val="002F6D00"/>
    <w:rsid w:val="002F6DF3"/>
    <w:rsid w:val="002F6EB4"/>
    <w:rsid w:val="002F6F0B"/>
    <w:rsid w:val="002F6FBB"/>
    <w:rsid w:val="002F7033"/>
    <w:rsid w:val="002F70FB"/>
    <w:rsid w:val="002F7114"/>
    <w:rsid w:val="002F719D"/>
    <w:rsid w:val="002F71F2"/>
    <w:rsid w:val="002F71F4"/>
    <w:rsid w:val="002F7308"/>
    <w:rsid w:val="002F7421"/>
    <w:rsid w:val="002F7559"/>
    <w:rsid w:val="002F75E4"/>
    <w:rsid w:val="002F79FE"/>
    <w:rsid w:val="002F7A26"/>
    <w:rsid w:val="002F7A38"/>
    <w:rsid w:val="002F7A67"/>
    <w:rsid w:val="002F7B33"/>
    <w:rsid w:val="002F7B85"/>
    <w:rsid w:val="002F7C51"/>
    <w:rsid w:val="002F7D5E"/>
    <w:rsid w:val="002F7D6D"/>
    <w:rsid w:val="002F7EE4"/>
    <w:rsid w:val="002F7FDE"/>
    <w:rsid w:val="0030009E"/>
    <w:rsid w:val="003001B5"/>
    <w:rsid w:val="003003A0"/>
    <w:rsid w:val="0030046B"/>
    <w:rsid w:val="003004D6"/>
    <w:rsid w:val="003007F6"/>
    <w:rsid w:val="003007FD"/>
    <w:rsid w:val="00300882"/>
    <w:rsid w:val="00300896"/>
    <w:rsid w:val="00300B68"/>
    <w:rsid w:val="00300B8C"/>
    <w:rsid w:val="00300BEC"/>
    <w:rsid w:val="00300CB2"/>
    <w:rsid w:val="00300DAD"/>
    <w:rsid w:val="00300EB7"/>
    <w:rsid w:val="0030117D"/>
    <w:rsid w:val="003011CB"/>
    <w:rsid w:val="003012A0"/>
    <w:rsid w:val="003014BC"/>
    <w:rsid w:val="00301575"/>
    <w:rsid w:val="00301803"/>
    <w:rsid w:val="00301847"/>
    <w:rsid w:val="00301884"/>
    <w:rsid w:val="003019D2"/>
    <w:rsid w:val="00301A23"/>
    <w:rsid w:val="00301D89"/>
    <w:rsid w:val="00301E1D"/>
    <w:rsid w:val="00301E6A"/>
    <w:rsid w:val="00301F16"/>
    <w:rsid w:val="00301F24"/>
    <w:rsid w:val="00302096"/>
    <w:rsid w:val="0030219E"/>
    <w:rsid w:val="003021CF"/>
    <w:rsid w:val="00302220"/>
    <w:rsid w:val="003022EE"/>
    <w:rsid w:val="00302374"/>
    <w:rsid w:val="0030237C"/>
    <w:rsid w:val="00302395"/>
    <w:rsid w:val="0030245F"/>
    <w:rsid w:val="00302736"/>
    <w:rsid w:val="0030291C"/>
    <w:rsid w:val="003029FD"/>
    <w:rsid w:val="00302A95"/>
    <w:rsid w:val="00302D5C"/>
    <w:rsid w:val="00302D85"/>
    <w:rsid w:val="00302E0D"/>
    <w:rsid w:val="00302E38"/>
    <w:rsid w:val="00302FB0"/>
    <w:rsid w:val="003030A7"/>
    <w:rsid w:val="00303318"/>
    <w:rsid w:val="00303424"/>
    <w:rsid w:val="00303478"/>
    <w:rsid w:val="00303483"/>
    <w:rsid w:val="003035F6"/>
    <w:rsid w:val="00303684"/>
    <w:rsid w:val="0030375A"/>
    <w:rsid w:val="0030393F"/>
    <w:rsid w:val="00303A61"/>
    <w:rsid w:val="00303A86"/>
    <w:rsid w:val="00303A87"/>
    <w:rsid w:val="00303AAF"/>
    <w:rsid w:val="00303AE7"/>
    <w:rsid w:val="00303B6E"/>
    <w:rsid w:val="00303D7D"/>
    <w:rsid w:val="00303EB7"/>
    <w:rsid w:val="00304113"/>
    <w:rsid w:val="003041AF"/>
    <w:rsid w:val="003041F8"/>
    <w:rsid w:val="0030433F"/>
    <w:rsid w:val="00304388"/>
    <w:rsid w:val="00304415"/>
    <w:rsid w:val="003044A0"/>
    <w:rsid w:val="00304575"/>
    <w:rsid w:val="003045A1"/>
    <w:rsid w:val="00304A7B"/>
    <w:rsid w:val="00304AAA"/>
    <w:rsid w:val="00304CDE"/>
    <w:rsid w:val="00304D38"/>
    <w:rsid w:val="00304D9F"/>
    <w:rsid w:val="00304F8F"/>
    <w:rsid w:val="00304FAA"/>
    <w:rsid w:val="00305205"/>
    <w:rsid w:val="00305250"/>
    <w:rsid w:val="003054B3"/>
    <w:rsid w:val="00305562"/>
    <w:rsid w:val="003058D8"/>
    <w:rsid w:val="00305954"/>
    <w:rsid w:val="00305ABE"/>
    <w:rsid w:val="00305CAE"/>
    <w:rsid w:val="00305D11"/>
    <w:rsid w:val="00305D48"/>
    <w:rsid w:val="00305DC1"/>
    <w:rsid w:val="00305EBF"/>
    <w:rsid w:val="00305EFE"/>
    <w:rsid w:val="00305F90"/>
    <w:rsid w:val="00305FF8"/>
    <w:rsid w:val="00306072"/>
    <w:rsid w:val="00306120"/>
    <w:rsid w:val="00306336"/>
    <w:rsid w:val="003066CA"/>
    <w:rsid w:val="00306716"/>
    <w:rsid w:val="00306996"/>
    <w:rsid w:val="00306A13"/>
    <w:rsid w:val="00306ACF"/>
    <w:rsid w:val="00306B4C"/>
    <w:rsid w:val="00306CF1"/>
    <w:rsid w:val="00306E40"/>
    <w:rsid w:val="003073D8"/>
    <w:rsid w:val="003073E9"/>
    <w:rsid w:val="0030758C"/>
    <w:rsid w:val="00307609"/>
    <w:rsid w:val="0030770B"/>
    <w:rsid w:val="0030793D"/>
    <w:rsid w:val="00307999"/>
    <w:rsid w:val="003079CF"/>
    <w:rsid w:val="00307C40"/>
    <w:rsid w:val="00307C99"/>
    <w:rsid w:val="00307E2D"/>
    <w:rsid w:val="003100F4"/>
    <w:rsid w:val="00310114"/>
    <w:rsid w:val="0031027B"/>
    <w:rsid w:val="0031033B"/>
    <w:rsid w:val="00310405"/>
    <w:rsid w:val="003104E5"/>
    <w:rsid w:val="00310513"/>
    <w:rsid w:val="0031058C"/>
    <w:rsid w:val="003106C3"/>
    <w:rsid w:val="003106EA"/>
    <w:rsid w:val="00310789"/>
    <w:rsid w:val="003108AB"/>
    <w:rsid w:val="00310C24"/>
    <w:rsid w:val="00310C5D"/>
    <w:rsid w:val="00310DC6"/>
    <w:rsid w:val="00310EC2"/>
    <w:rsid w:val="00310EC6"/>
    <w:rsid w:val="00310F19"/>
    <w:rsid w:val="00310F95"/>
    <w:rsid w:val="00311278"/>
    <w:rsid w:val="00311329"/>
    <w:rsid w:val="00311507"/>
    <w:rsid w:val="003115A3"/>
    <w:rsid w:val="0031166A"/>
    <w:rsid w:val="00311774"/>
    <w:rsid w:val="00311B8B"/>
    <w:rsid w:val="00311C21"/>
    <w:rsid w:val="00311FFC"/>
    <w:rsid w:val="003120A7"/>
    <w:rsid w:val="0031237C"/>
    <w:rsid w:val="003123B0"/>
    <w:rsid w:val="003124BF"/>
    <w:rsid w:val="003125E5"/>
    <w:rsid w:val="0031269E"/>
    <w:rsid w:val="003127D9"/>
    <w:rsid w:val="0031293A"/>
    <w:rsid w:val="00312958"/>
    <w:rsid w:val="0031297E"/>
    <w:rsid w:val="00312A70"/>
    <w:rsid w:val="00312A8A"/>
    <w:rsid w:val="00312BE1"/>
    <w:rsid w:val="00312D16"/>
    <w:rsid w:val="00312DB7"/>
    <w:rsid w:val="00312DD1"/>
    <w:rsid w:val="00312E25"/>
    <w:rsid w:val="00312F88"/>
    <w:rsid w:val="00312FDE"/>
    <w:rsid w:val="00313021"/>
    <w:rsid w:val="00313042"/>
    <w:rsid w:val="003131FE"/>
    <w:rsid w:val="00313227"/>
    <w:rsid w:val="003133F5"/>
    <w:rsid w:val="0031360D"/>
    <w:rsid w:val="00313798"/>
    <w:rsid w:val="003138E4"/>
    <w:rsid w:val="0031396E"/>
    <w:rsid w:val="00313B59"/>
    <w:rsid w:val="00313C39"/>
    <w:rsid w:val="00313C4C"/>
    <w:rsid w:val="00313D1B"/>
    <w:rsid w:val="00313DA3"/>
    <w:rsid w:val="00313DCA"/>
    <w:rsid w:val="00313E11"/>
    <w:rsid w:val="00313E6B"/>
    <w:rsid w:val="00313E7B"/>
    <w:rsid w:val="0031414D"/>
    <w:rsid w:val="003141FB"/>
    <w:rsid w:val="00314217"/>
    <w:rsid w:val="0031440B"/>
    <w:rsid w:val="0031446A"/>
    <w:rsid w:val="003148A7"/>
    <w:rsid w:val="0031498C"/>
    <w:rsid w:val="003149AD"/>
    <w:rsid w:val="00314A4C"/>
    <w:rsid w:val="00314BE1"/>
    <w:rsid w:val="00314C47"/>
    <w:rsid w:val="00314C49"/>
    <w:rsid w:val="00314DD9"/>
    <w:rsid w:val="00314E69"/>
    <w:rsid w:val="00314F03"/>
    <w:rsid w:val="00314F24"/>
    <w:rsid w:val="00315054"/>
    <w:rsid w:val="00315160"/>
    <w:rsid w:val="0031530E"/>
    <w:rsid w:val="00315447"/>
    <w:rsid w:val="00315550"/>
    <w:rsid w:val="00315581"/>
    <w:rsid w:val="00315673"/>
    <w:rsid w:val="0031584A"/>
    <w:rsid w:val="00315953"/>
    <w:rsid w:val="003159DF"/>
    <w:rsid w:val="003159E7"/>
    <w:rsid w:val="00315B10"/>
    <w:rsid w:val="00315B3B"/>
    <w:rsid w:val="00315C97"/>
    <w:rsid w:val="00315D6A"/>
    <w:rsid w:val="00315D71"/>
    <w:rsid w:val="00315F66"/>
    <w:rsid w:val="00315F9C"/>
    <w:rsid w:val="0031602D"/>
    <w:rsid w:val="00316208"/>
    <w:rsid w:val="003162AA"/>
    <w:rsid w:val="0031631C"/>
    <w:rsid w:val="0031639A"/>
    <w:rsid w:val="003163DA"/>
    <w:rsid w:val="00316408"/>
    <w:rsid w:val="003165A4"/>
    <w:rsid w:val="00316762"/>
    <w:rsid w:val="003168C0"/>
    <w:rsid w:val="003169CA"/>
    <w:rsid w:val="00316B71"/>
    <w:rsid w:val="00316B95"/>
    <w:rsid w:val="00316BB3"/>
    <w:rsid w:val="00316F82"/>
    <w:rsid w:val="0031719D"/>
    <w:rsid w:val="0031726D"/>
    <w:rsid w:val="003172BC"/>
    <w:rsid w:val="003173D3"/>
    <w:rsid w:val="003173FB"/>
    <w:rsid w:val="003174A7"/>
    <w:rsid w:val="0031761F"/>
    <w:rsid w:val="0031775A"/>
    <w:rsid w:val="00317B1F"/>
    <w:rsid w:val="00317C0D"/>
    <w:rsid w:val="00317CA4"/>
    <w:rsid w:val="00317CFD"/>
    <w:rsid w:val="00317D97"/>
    <w:rsid w:val="00317EDD"/>
    <w:rsid w:val="003200A9"/>
    <w:rsid w:val="0032010C"/>
    <w:rsid w:val="0032012E"/>
    <w:rsid w:val="003201DD"/>
    <w:rsid w:val="00320301"/>
    <w:rsid w:val="00320532"/>
    <w:rsid w:val="00320689"/>
    <w:rsid w:val="00320726"/>
    <w:rsid w:val="003209FB"/>
    <w:rsid w:val="00320A67"/>
    <w:rsid w:val="00320A8D"/>
    <w:rsid w:val="00320B2C"/>
    <w:rsid w:val="00320C9F"/>
    <w:rsid w:val="00320CF5"/>
    <w:rsid w:val="00320EC3"/>
    <w:rsid w:val="00320F9B"/>
    <w:rsid w:val="00321382"/>
    <w:rsid w:val="003213D1"/>
    <w:rsid w:val="0032169D"/>
    <w:rsid w:val="00321793"/>
    <w:rsid w:val="00321895"/>
    <w:rsid w:val="003218C7"/>
    <w:rsid w:val="00321A39"/>
    <w:rsid w:val="00321B8C"/>
    <w:rsid w:val="00321BBA"/>
    <w:rsid w:val="00321EC0"/>
    <w:rsid w:val="00321F52"/>
    <w:rsid w:val="00321FAB"/>
    <w:rsid w:val="00321FCB"/>
    <w:rsid w:val="00321FCE"/>
    <w:rsid w:val="003220E5"/>
    <w:rsid w:val="003220F3"/>
    <w:rsid w:val="0032223D"/>
    <w:rsid w:val="00322466"/>
    <w:rsid w:val="0032246E"/>
    <w:rsid w:val="00322481"/>
    <w:rsid w:val="003224AF"/>
    <w:rsid w:val="0032251D"/>
    <w:rsid w:val="003226EC"/>
    <w:rsid w:val="0032281B"/>
    <w:rsid w:val="00322898"/>
    <w:rsid w:val="00322963"/>
    <w:rsid w:val="00322E17"/>
    <w:rsid w:val="00322F32"/>
    <w:rsid w:val="00322F33"/>
    <w:rsid w:val="0032304A"/>
    <w:rsid w:val="00323232"/>
    <w:rsid w:val="0032344B"/>
    <w:rsid w:val="003238B9"/>
    <w:rsid w:val="00323980"/>
    <w:rsid w:val="00323A87"/>
    <w:rsid w:val="00323AEA"/>
    <w:rsid w:val="00323C61"/>
    <w:rsid w:val="00323CB8"/>
    <w:rsid w:val="00323DAA"/>
    <w:rsid w:val="00323DBE"/>
    <w:rsid w:val="00323E82"/>
    <w:rsid w:val="00323F83"/>
    <w:rsid w:val="00323FEB"/>
    <w:rsid w:val="0032400C"/>
    <w:rsid w:val="0032402E"/>
    <w:rsid w:val="00324040"/>
    <w:rsid w:val="003241E9"/>
    <w:rsid w:val="00324416"/>
    <w:rsid w:val="00324470"/>
    <w:rsid w:val="003244D3"/>
    <w:rsid w:val="003247CF"/>
    <w:rsid w:val="00324871"/>
    <w:rsid w:val="0032496D"/>
    <w:rsid w:val="00324A0E"/>
    <w:rsid w:val="00324AF2"/>
    <w:rsid w:val="00324FA4"/>
    <w:rsid w:val="00324FAF"/>
    <w:rsid w:val="003253AE"/>
    <w:rsid w:val="003253C1"/>
    <w:rsid w:val="003254C5"/>
    <w:rsid w:val="003255B8"/>
    <w:rsid w:val="003255ED"/>
    <w:rsid w:val="003256AA"/>
    <w:rsid w:val="003256FC"/>
    <w:rsid w:val="00325720"/>
    <w:rsid w:val="00325A8C"/>
    <w:rsid w:val="00325E25"/>
    <w:rsid w:val="00325ECD"/>
    <w:rsid w:val="00325EFF"/>
    <w:rsid w:val="00326025"/>
    <w:rsid w:val="0032614A"/>
    <w:rsid w:val="003261A2"/>
    <w:rsid w:val="003264F6"/>
    <w:rsid w:val="0032659B"/>
    <w:rsid w:val="0032661E"/>
    <w:rsid w:val="003266AC"/>
    <w:rsid w:val="00326700"/>
    <w:rsid w:val="0032674C"/>
    <w:rsid w:val="0032676A"/>
    <w:rsid w:val="00326932"/>
    <w:rsid w:val="00326975"/>
    <w:rsid w:val="003269AB"/>
    <w:rsid w:val="00326B60"/>
    <w:rsid w:val="00326BEE"/>
    <w:rsid w:val="00326C0B"/>
    <w:rsid w:val="00326CBC"/>
    <w:rsid w:val="00326CFB"/>
    <w:rsid w:val="00326E32"/>
    <w:rsid w:val="0032712A"/>
    <w:rsid w:val="003271C5"/>
    <w:rsid w:val="0032736D"/>
    <w:rsid w:val="0032748C"/>
    <w:rsid w:val="003274CB"/>
    <w:rsid w:val="003274CE"/>
    <w:rsid w:val="00327759"/>
    <w:rsid w:val="003277A9"/>
    <w:rsid w:val="003277F4"/>
    <w:rsid w:val="0032790C"/>
    <w:rsid w:val="003279E5"/>
    <w:rsid w:val="00327A5D"/>
    <w:rsid w:val="00327AAB"/>
    <w:rsid w:val="00327C08"/>
    <w:rsid w:val="00327EDE"/>
    <w:rsid w:val="003300AF"/>
    <w:rsid w:val="0033018B"/>
    <w:rsid w:val="003301FE"/>
    <w:rsid w:val="003303C4"/>
    <w:rsid w:val="00330414"/>
    <w:rsid w:val="003304C9"/>
    <w:rsid w:val="00330B69"/>
    <w:rsid w:val="00330B95"/>
    <w:rsid w:val="00330CD1"/>
    <w:rsid w:val="00330CEE"/>
    <w:rsid w:val="00330D0F"/>
    <w:rsid w:val="00330DD2"/>
    <w:rsid w:val="003311F5"/>
    <w:rsid w:val="003313B3"/>
    <w:rsid w:val="0033145D"/>
    <w:rsid w:val="003316BA"/>
    <w:rsid w:val="0033191D"/>
    <w:rsid w:val="00331989"/>
    <w:rsid w:val="00331A51"/>
    <w:rsid w:val="00331AE0"/>
    <w:rsid w:val="0033202F"/>
    <w:rsid w:val="003320B8"/>
    <w:rsid w:val="00332763"/>
    <w:rsid w:val="003329B2"/>
    <w:rsid w:val="00332D55"/>
    <w:rsid w:val="00332E62"/>
    <w:rsid w:val="00332FAB"/>
    <w:rsid w:val="00333135"/>
    <w:rsid w:val="00333290"/>
    <w:rsid w:val="00333311"/>
    <w:rsid w:val="00333365"/>
    <w:rsid w:val="0033341B"/>
    <w:rsid w:val="003336F6"/>
    <w:rsid w:val="00333748"/>
    <w:rsid w:val="003337E1"/>
    <w:rsid w:val="00333905"/>
    <w:rsid w:val="003339BE"/>
    <w:rsid w:val="00333A05"/>
    <w:rsid w:val="00333AD4"/>
    <w:rsid w:val="00333B58"/>
    <w:rsid w:val="00333DB1"/>
    <w:rsid w:val="00333F67"/>
    <w:rsid w:val="00334057"/>
    <w:rsid w:val="00334173"/>
    <w:rsid w:val="00334209"/>
    <w:rsid w:val="003342AC"/>
    <w:rsid w:val="003343C3"/>
    <w:rsid w:val="00334615"/>
    <w:rsid w:val="003346F1"/>
    <w:rsid w:val="00334749"/>
    <w:rsid w:val="0033475A"/>
    <w:rsid w:val="003347FC"/>
    <w:rsid w:val="0033483E"/>
    <w:rsid w:val="003348D7"/>
    <w:rsid w:val="003348D8"/>
    <w:rsid w:val="00334A3F"/>
    <w:rsid w:val="00334C36"/>
    <w:rsid w:val="00334D1A"/>
    <w:rsid w:val="00334DA4"/>
    <w:rsid w:val="00334EDB"/>
    <w:rsid w:val="00334F5D"/>
    <w:rsid w:val="00334F9B"/>
    <w:rsid w:val="003350BE"/>
    <w:rsid w:val="00335144"/>
    <w:rsid w:val="003353C5"/>
    <w:rsid w:val="00335531"/>
    <w:rsid w:val="00335792"/>
    <w:rsid w:val="0033587F"/>
    <w:rsid w:val="00335888"/>
    <w:rsid w:val="00335D3E"/>
    <w:rsid w:val="00335E13"/>
    <w:rsid w:val="00335FC1"/>
    <w:rsid w:val="00335FCE"/>
    <w:rsid w:val="00336226"/>
    <w:rsid w:val="0033630F"/>
    <w:rsid w:val="0033646A"/>
    <w:rsid w:val="00336643"/>
    <w:rsid w:val="003366CF"/>
    <w:rsid w:val="0033675B"/>
    <w:rsid w:val="003369AD"/>
    <w:rsid w:val="00336C16"/>
    <w:rsid w:val="00336C3A"/>
    <w:rsid w:val="00336C3E"/>
    <w:rsid w:val="00336C6E"/>
    <w:rsid w:val="00336DDB"/>
    <w:rsid w:val="00336EA0"/>
    <w:rsid w:val="00336EF6"/>
    <w:rsid w:val="00336F78"/>
    <w:rsid w:val="00336FEF"/>
    <w:rsid w:val="00337204"/>
    <w:rsid w:val="00337226"/>
    <w:rsid w:val="00337269"/>
    <w:rsid w:val="0033727F"/>
    <w:rsid w:val="00337360"/>
    <w:rsid w:val="003375C3"/>
    <w:rsid w:val="0033760E"/>
    <w:rsid w:val="00337668"/>
    <w:rsid w:val="003376E7"/>
    <w:rsid w:val="00337859"/>
    <w:rsid w:val="00337864"/>
    <w:rsid w:val="003378DD"/>
    <w:rsid w:val="003378FA"/>
    <w:rsid w:val="00337921"/>
    <w:rsid w:val="00337BD0"/>
    <w:rsid w:val="00337BF2"/>
    <w:rsid w:val="00337C68"/>
    <w:rsid w:val="00337E5B"/>
    <w:rsid w:val="00337F7C"/>
    <w:rsid w:val="00337F95"/>
    <w:rsid w:val="00340199"/>
    <w:rsid w:val="00340354"/>
    <w:rsid w:val="00340437"/>
    <w:rsid w:val="00340459"/>
    <w:rsid w:val="003404AA"/>
    <w:rsid w:val="00340574"/>
    <w:rsid w:val="00340589"/>
    <w:rsid w:val="003405ED"/>
    <w:rsid w:val="003406BE"/>
    <w:rsid w:val="003408D9"/>
    <w:rsid w:val="00340ACF"/>
    <w:rsid w:val="00340B19"/>
    <w:rsid w:val="00340D2E"/>
    <w:rsid w:val="00340DBF"/>
    <w:rsid w:val="00340E92"/>
    <w:rsid w:val="00341253"/>
    <w:rsid w:val="003416E7"/>
    <w:rsid w:val="00341919"/>
    <w:rsid w:val="00341A50"/>
    <w:rsid w:val="00341C38"/>
    <w:rsid w:val="00341E7C"/>
    <w:rsid w:val="00342035"/>
    <w:rsid w:val="0034222C"/>
    <w:rsid w:val="0034236B"/>
    <w:rsid w:val="003423A8"/>
    <w:rsid w:val="003423E9"/>
    <w:rsid w:val="003424C0"/>
    <w:rsid w:val="003424CB"/>
    <w:rsid w:val="00342848"/>
    <w:rsid w:val="00342988"/>
    <w:rsid w:val="003429E0"/>
    <w:rsid w:val="00342BEC"/>
    <w:rsid w:val="00342C72"/>
    <w:rsid w:val="00342CC7"/>
    <w:rsid w:val="00342DC3"/>
    <w:rsid w:val="00343045"/>
    <w:rsid w:val="00343211"/>
    <w:rsid w:val="00343343"/>
    <w:rsid w:val="00343354"/>
    <w:rsid w:val="00343533"/>
    <w:rsid w:val="0034362A"/>
    <w:rsid w:val="0034387C"/>
    <w:rsid w:val="00343974"/>
    <w:rsid w:val="003439A2"/>
    <w:rsid w:val="00343A10"/>
    <w:rsid w:val="00343AB1"/>
    <w:rsid w:val="00343ABC"/>
    <w:rsid w:val="00343C35"/>
    <w:rsid w:val="00343ED6"/>
    <w:rsid w:val="00343FB7"/>
    <w:rsid w:val="00344167"/>
    <w:rsid w:val="003441C6"/>
    <w:rsid w:val="00344284"/>
    <w:rsid w:val="00344297"/>
    <w:rsid w:val="003443B6"/>
    <w:rsid w:val="003443CD"/>
    <w:rsid w:val="003444CB"/>
    <w:rsid w:val="00344660"/>
    <w:rsid w:val="00344832"/>
    <w:rsid w:val="00344856"/>
    <w:rsid w:val="0034499C"/>
    <w:rsid w:val="003449D4"/>
    <w:rsid w:val="00344AFE"/>
    <w:rsid w:val="00344DD3"/>
    <w:rsid w:val="00344EBE"/>
    <w:rsid w:val="00344F3B"/>
    <w:rsid w:val="00344FB7"/>
    <w:rsid w:val="00345035"/>
    <w:rsid w:val="00345061"/>
    <w:rsid w:val="003450CF"/>
    <w:rsid w:val="003451D0"/>
    <w:rsid w:val="00345241"/>
    <w:rsid w:val="0034538B"/>
    <w:rsid w:val="003453B5"/>
    <w:rsid w:val="00345453"/>
    <w:rsid w:val="00345580"/>
    <w:rsid w:val="003458E6"/>
    <w:rsid w:val="00345941"/>
    <w:rsid w:val="00345989"/>
    <w:rsid w:val="00345A28"/>
    <w:rsid w:val="00345A80"/>
    <w:rsid w:val="00345CA8"/>
    <w:rsid w:val="00345F1E"/>
    <w:rsid w:val="00345FCF"/>
    <w:rsid w:val="00345FD1"/>
    <w:rsid w:val="0034603D"/>
    <w:rsid w:val="00346298"/>
    <w:rsid w:val="00346320"/>
    <w:rsid w:val="00346504"/>
    <w:rsid w:val="00346524"/>
    <w:rsid w:val="00346684"/>
    <w:rsid w:val="003467FF"/>
    <w:rsid w:val="00346931"/>
    <w:rsid w:val="003469E6"/>
    <w:rsid w:val="00346BC2"/>
    <w:rsid w:val="00346C8F"/>
    <w:rsid w:val="00346D08"/>
    <w:rsid w:val="00346D0F"/>
    <w:rsid w:val="00346D44"/>
    <w:rsid w:val="00346D7A"/>
    <w:rsid w:val="00346DD3"/>
    <w:rsid w:val="00346DE6"/>
    <w:rsid w:val="00346DEF"/>
    <w:rsid w:val="0034703E"/>
    <w:rsid w:val="00347072"/>
    <w:rsid w:val="003470B4"/>
    <w:rsid w:val="00347129"/>
    <w:rsid w:val="003471D3"/>
    <w:rsid w:val="0034728C"/>
    <w:rsid w:val="003472E7"/>
    <w:rsid w:val="00347A8F"/>
    <w:rsid w:val="00347A94"/>
    <w:rsid w:val="00347AD9"/>
    <w:rsid w:val="00347C0B"/>
    <w:rsid w:val="00347C32"/>
    <w:rsid w:val="00347C6D"/>
    <w:rsid w:val="00347D52"/>
    <w:rsid w:val="00347D68"/>
    <w:rsid w:val="00347DA2"/>
    <w:rsid w:val="00347E39"/>
    <w:rsid w:val="00347EB9"/>
    <w:rsid w:val="00347F79"/>
    <w:rsid w:val="00347FD3"/>
    <w:rsid w:val="00350159"/>
    <w:rsid w:val="003501AF"/>
    <w:rsid w:val="0035023F"/>
    <w:rsid w:val="003504AD"/>
    <w:rsid w:val="0035054C"/>
    <w:rsid w:val="00350601"/>
    <w:rsid w:val="00350649"/>
    <w:rsid w:val="00350690"/>
    <w:rsid w:val="00350749"/>
    <w:rsid w:val="003507E2"/>
    <w:rsid w:val="00350B41"/>
    <w:rsid w:val="00350BF0"/>
    <w:rsid w:val="00350C6D"/>
    <w:rsid w:val="00350EB9"/>
    <w:rsid w:val="00351017"/>
    <w:rsid w:val="0035102C"/>
    <w:rsid w:val="003510A4"/>
    <w:rsid w:val="003511A1"/>
    <w:rsid w:val="003511A5"/>
    <w:rsid w:val="003511B6"/>
    <w:rsid w:val="003511D3"/>
    <w:rsid w:val="003511ED"/>
    <w:rsid w:val="00351286"/>
    <w:rsid w:val="003512A0"/>
    <w:rsid w:val="003513B0"/>
    <w:rsid w:val="003513D9"/>
    <w:rsid w:val="003513E1"/>
    <w:rsid w:val="003515D8"/>
    <w:rsid w:val="003517A1"/>
    <w:rsid w:val="003518EA"/>
    <w:rsid w:val="00351987"/>
    <w:rsid w:val="00351A18"/>
    <w:rsid w:val="00351B06"/>
    <w:rsid w:val="00351B62"/>
    <w:rsid w:val="00351C1A"/>
    <w:rsid w:val="00351CC8"/>
    <w:rsid w:val="00351D47"/>
    <w:rsid w:val="00351E50"/>
    <w:rsid w:val="003521A9"/>
    <w:rsid w:val="00352269"/>
    <w:rsid w:val="003522A1"/>
    <w:rsid w:val="00352379"/>
    <w:rsid w:val="00352591"/>
    <w:rsid w:val="003528EA"/>
    <w:rsid w:val="00352997"/>
    <w:rsid w:val="00352AC6"/>
    <w:rsid w:val="00352AE0"/>
    <w:rsid w:val="00352B10"/>
    <w:rsid w:val="00352DB4"/>
    <w:rsid w:val="00352E57"/>
    <w:rsid w:val="00352E77"/>
    <w:rsid w:val="00353233"/>
    <w:rsid w:val="003532DD"/>
    <w:rsid w:val="00353550"/>
    <w:rsid w:val="00353555"/>
    <w:rsid w:val="003535CA"/>
    <w:rsid w:val="00353A2C"/>
    <w:rsid w:val="00353A9D"/>
    <w:rsid w:val="00353AA5"/>
    <w:rsid w:val="00353B22"/>
    <w:rsid w:val="00353B93"/>
    <w:rsid w:val="00353C4C"/>
    <w:rsid w:val="00353C86"/>
    <w:rsid w:val="00353E63"/>
    <w:rsid w:val="00353EB7"/>
    <w:rsid w:val="00353F1C"/>
    <w:rsid w:val="00354054"/>
    <w:rsid w:val="0035405D"/>
    <w:rsid w:val="00354186"/>
    <w:rsid w:val="003541D2"/>
    <w:rsid w:val="003541E9"/>
    <w:rsid w:val="00354333"/>
    <w:rsid w:val="00354531"/>
    <w:rsid w:val="0035458F"/>
    <w:rsid w:val="0035460B"/>
    <w:rsid w:val="0035463F"/>
    <w:rsid w:val="00354779"/>
    <w:rsid w:val="003547B8"/>
    <w:rsid w:val="003547CF"/>
    <w:rsid w:val="00354AA0"/>
    <w:rsid w:val="00354CA4"/>
    <w:rsid w:val="00354F45"/>
    <w:rsid w:val="003551D7"/>
    <w:rsid w:val="003551FA"/>
    <w:rsid w:val="003554C7"/>
    <w:rsid w:val="003555CD"/>
    <w:rsid w:val="003555D0"/>
    <w:rsid w:val="003557E2"/>
    <w:rsid w:val="0035591D"/>
    <w:rsid w:val="00355C24"/>
    <w:rsid w:val="00355C86"/>
    <w:rsid w:val="00355DAB"/>
    <w:rsid w:val="00355DC3"/>
    <w:rsid w:val="00355E62"/>
    <w:rsid w:val="00355E91"/>
    <w:rsid w:val="00355EF9"/>
    <w:rsid w:val="00355FE4"/>
    <w:rsid w:val="0035608B"/>
    <w:rsid w:val="0035616D"/>
    <w:rsid w:val="0035680A"/>
    <w:rsid w:val="00356AC6"/>
    <w:rsid w:val="00356B75"/>
    <w:rsid w:val="00356DE9"/>
    <w:rsid w:val="00356E47"/>
    <w:rsid w:val="00356E51"/>
    <w:rsid w:val="00356E97"/>
    <w:rsid w:val="00356EFE"/>
    <w:rsid w:val="003572D0"/>
    <w:rsid w:val="0035738B"/>
    <w:rsid w:val="003573FF"/>
    <w:rsid w:val="003575DB"/>
    <w:rsid w:val="003575FB"/>
    <w:rsid w:val="003577B1"/>
    <w:rsid w:val="0035786A"/>
    <w:rsid w:val="00357971"/>
    <w:rsid w:val="00357B00"/>
    <w:rsid w:val="00357D12"/>
    <w:rsid w:val="00357EFF"/>
    <w:rsid w:val="00360097"/>
    <w:rsid w:val="003600B6"/>
    <w:rsid w:val="003600C1"/>
    <w:rsid w:val="003600C2"/>
    <w:rsid w:val="003600DE"/>
    <w:rsid w:val="0036022D"/>
    <w:rsid w:val="00360345"/>
    <w:rsid w:val="0036053E"/>
    <w:rsid w:val="0036060E"/>
    <w:rsid w:val="003606E7"/>
    <w:rsid w:val="003608B8"/>
    <w:rsid w:val="00360966"/>
    <w:rsid w:val="003609F6"/>
    <w:rsid w:val="00360B19"/>
    <w:rsid w:val="00360B4E"/>
    <w:rsid w:val="00360C33"/>
    <w:rsid w:val="00360C65"/>
    <w:rsid w:val="00360CAD"/>
    <w:rsid w:val="00360ED2"/>
    <w:rsid w:val="00361120"/>
    <w:rsid w:val="00361181"/>
    <w:rsid w:val="00361296"/>
    <w:rsid w:val="003612AB"/>
    <w:rsid w:val="00361305"/>
    <w:rsid w:val="00361531"/>
    <w:rsid w:val="00361667"/>
    <w:rsid w:val="0036199A"/>
    <w:rsid w:val="003619A1"/>
    <w:rsid w:val="00361A23"/>
    <w:rsid w:val="00361E02"/>
    <w:rsid w:val="00361E6C"/>
    <w:rsid w:val="00361FC2"/>
    <w:rsid w:val="0036206D"/>
    <w:rsid w:val="003620E0"/>
    <w:rsid w:val="0036213C"/>
    <w:rsid w:val="00362238"/>
    <w:rsid w:val="00362333"/>
    <w:rsid w:val="003623A0"/>
    <w:rsid w:val="003623BB"/>
    <w:rsid w:val="00362489"/>
    <w:rsid w:val="003629D6"/>
    <w:rsid w:val="00362A4F"/>
    <w:rsid w:val="00362BA8"/>
    <w:rsid w:val="00362E18"/>
    <w:rsid w:val="00362F40"/>
    <w:rsid w:val="00362F87"/>
    <w:rsid w:val="003630E4"/>
    <w:rsid w:val="003630F6"/>
    <w:rsid w:val="00363126"/>
    <w:rsid w:val="00363233"/>
    <w:rsid w:val="003632F1"/>
    <w:rsid w:val="003633E8"/>
    <w:rsid w:val="00363918"/>
    <w:rsid w:val="0036391E"/>
    <w:rsid w:val="00363A89"/>
    <w:rsid w:val="00363ABA"/>
    <w:rsid w:val="00363B59"/>
    <w:rsid w:val="00363B7C"/>
    <w:rsid w:val="00363B94"/>
    <w:rsid w:val="00363B9C"/>
    <w:rsid w:val="00363C39"/>
    <w:rsid w:val="00363E2E"/>
    <w:rsid w:val="00364215"/>
    <w:rsid w:val="003643D8"/>
    <w:rsid w:val="00364A74"/>
    <w:rsid w:val="00364A82"/>
    <w:rsid w:val="00364BA6"/>
    <w:rsid w:val="00364C52"/>
    <w:rsid w:val="00364DBE"/>
    <w:rsid w:val="003651C5"/>
    <w:rsid w:val="003652CE"/>
    <w:rsid w:val="00365339"/>
    <w:rsid w:val="003653AF"/>
    <w:rsid w:val="003653CF"/>
    <w:rsid w:val="003654A4"/>
    <w:rsid w:val="003654E0"/>
    <w:rsid w:val="0036573B"/>
    <w:rsid w:val="0036597C"/>
    <w:rsid w:val="00365A8D"/>
    <w:rsid w:val="00365AB6"/>
    <w:rsid w:val="00365B02"/>
    <w:rsid w:val="00365C83"/>
    <w:rsid w:val="00365CBB"/>
    <w:rsid w:val="00365CCD"/>
    <w:rsid w:val="00365D24"/>
    <w:rsid w:val="00365F88"/>
    <w:rsid w:val="0036603D"/>
    <w:rsid w:val="00366444"/>
    <w:rsid w:val="0036661A"/>
    <w:rsid w:val="00366707"/>
    <w:rsid w:val="0036679D"/>
    <w:rsid w:val="0036690B"/>
    <w:rsid w:val="0036690E"/>
    <w:rsid w:val="003669F8"/>
    <w:rsid w:val="00366A33"/>
    <w:rsid w:val="00366E07"/>
    <w:rsid w:val="00366E9E"/>
    <w:rsid w:val="00367050"/>
    <w:rsid w:val="003670C1"/>
    <w:rsid w:val="00367300"/>
    <w:rsid w:val="003674B6"/>
    <w:rsid w:val="003676B3"/>
    <w:rsid w:val="00367732"/>
    <w:rsid w:val="003677A4"/>
    <w:rsid w:val="00367BAE"/>
    <w:rsid w:val="00367BF7"/>
    <w:rsid w:val="00367C17"/>
    <w:rsid w:val="00367C88"/>
    <w:rsid w:val="00367D16"/>
    <w:rsid w:val="00370032"/>
    <w:rsid w:val="003700A8"/>
    <w:rsid w:val="003700C2"/>
    <w:rsid w:val="003700C3"/>
    <w:rsid w:val="003701CB"/>
    <w:rsid w:val="0037022D"/>
    <w:rsid w:val="003702D5"/>
    <w:rsid w:val="003703AA"/>
    <w:rsid w:val="0037047C"/>
    <w:rsid w:val="00370574"/>
    <w:rsid w:val="003705E8"/>
    <w:rsid w:val="003707A1"/>
    <w:rsid w:val="00370A40"/>
    <w:rsid w:val="00370A8F"/>
    <w:rsid w:val="00370AD8"/>
    <w:rsid w:val="00370BEE"/>
    <w:rsid w:val="00370CB1"/>
    <w:rsid w:val="00370CBF"/>
    <w:rsid w:val="00370E63"/>
    <w:rsid w:val="00370F06"/>
    <w:rsid w:val="00370F5C"/>
    <w:rsid w:val="00370FE6"/>
    <w:rsid w:val="00371135"/>
    <w:rsid w:val="00371153"/>
    <w:rsid w:val="00371166"/>
    <w:rsid w:val="003711B9"/>
    <w:rsid w:val="003712FE"/>
    <w:rsid w:val="003714E2"/>
    <w:rsid w:val="003715DC"/>
    <w:rsid w:val="00371708"/>
    <w:rsid w:val="00371850"/>
    <w:rsid w:val="00371911"/>
    <w:rsid w:val="0037192A"/>
    <w:rsid w:val="00371A9D"/>
    <w:rsid w:val="00371AAF"/>
    <w:rsid w:val="00371ADD"/>
    <w:rsid w:val="00371B34"/>
    <w:rsid w:val="00371D54"/>
    <w:rsid w:val="00371E37"/>
    <w:rsid w:val="00371E3F"/>
    <w:rsid w:val="00371EEF"/>
    <w:rsid w:val="00371F80"/>
    <w:rsid w:val="00371FB0"/>
    <w:rsid w:val="00371FBC"/>
    <w:rsid w:val="0037226F"/>
    <w:rsid w:val="00372379"/>
    <w:rsid w:val="00372709"/>
    <w:rsid w:val="0037287F"/>
    <w:rsid w:val="0037290B"/>
    <w:rsid w:val="00372E00"/>
    <w:rsid w:val="00372FEB"/>
    <w:rsid w:val="0037311E"/>
    <w:rsid w:val="00373180"/>
    <w:rsid w:val="00373353"/>
    <w:rsid w:val="003733F7"/>
    <w:rsid w:val="0037344A"/>
    <w:rsid w:val="00373549"/>
    <w:rsid w:val="00373580"/>
    <w:rsid w:val="00373726"/>
    <w:rsid w:val="003737D4"/>
    <w:rsid w:val="003738ED"/>
    <w:rsid w:val="00373983"/>
    <w:rsid w:val="00373A27"/>
    <w:rsid w:val="00373A8D"/>
    <w:rsid w:val="00373B84"/>
    <w:rsid w:val="00373BE8"/>
    <w:rsid w:val="00373D02"/>
    <w:rsid w:val="00373F50"/>
    <w:rsid w:val="00373FC1"/>
    <w:rsid w:val="00374013"/>
    <w:rsid w:val="0037403B"/>
    <w:rsid w:val="00374242"/>
    <w:rsid w:val="00374468"/>
    <w:rsid w:val="003744E0"/>
    <w:rsid w:val="003744FE"/>
    <w:rsid w:val="003745C6"/>
    <w:rsid w:val="00374837"/>
    <w:rsid w:val="0037499F"/>
    <w:rsid w:val="00374BEB"/>
    <w:rsid w:val="00374E30"/>
    <w:rsid w:val="00375363"/>
    <w:rsid w:val="00375407"/>
    <w:rsid w:val="003755AB"/>
    <w:rsid w:val="00375739"/>
    <w:rsid w:val="0037580C"/>
    <w:rsid w:val="00375887"/>
    <w:rsid w:val="003758BE"/>
    <w:rsid w:val="003758C3"/>
    <w:rsid w:val="003759E0"/>
    <w:rsid w:val="00375AA9"/>
    <w:rsid w:val="00375B2B"/>
    <w:rsid w:val="00375C96"/>
    <w:rsid w:val="00375F0B"/>
    <w:rsid w:val="0037613F"/>
    <w:rsid w:val="003761B5"/>
    <w:rsid w:val="00376337"/>
    <w:rsid w:val="00376375"/>
    <w:rsid w:val="00376422"/>
    <w:rsid w:val="00376442"/>
    <w:rsid w:val="003764E3"/>
    <w:rsid w:val="00376535"/>
    <w:rsid w:val="00376555"/>
    <w:rsid w:val="003765A0"/>
    <w:rsid w:val="003765E6"/>
    <w:rsid w:val="0037664B"/>
    <w:rsid w:val="0037671C"/>
    <w:rsid w:val="0037696B"/>
    <w:rsid w:val="00376AE3"/>
    <w:rsid w:val="00376BA8"/>
    <w:rsid w:val="00376C97"/>
    <w:rsid w:val="00376CAF"/>
    <w:rsid w:val="00376EEA"/>
    <w:rsid w:val="00376F43"/>
    <w:rsid w:val="00377224"/>
    <w:rsid w:val="0037741C"/>
    <w:rsid w:val="003776F1"/>
    <w:rsid w:val="003777AC"/>
    <w:rsid w:val="00377979"/>
    <w:rsid w:val="00377C08"/>
    <w:rsid w:val="00377D8E"/>
    <w:rsid w:val="0038013C"/>
    <w:rsid w:val="003801C0"/>
    <w:rsid w:val="003803B5"/>
    <w:rsid w:val="00380402"/>
    <w:rsid w:val="00380529"/>
    <w:rsid w:val="00380646"/>
    <w:rsid w:val="003806B2"/>
    <w:rsid w:val="003806C2"/>
    <w:rsid w:val="00380730"/>
    <w:rsid w:val="003807CB"/>
    <w:rsid w:val="00380842"/>
    <w:rsid w:val="00380B4A"/>
    <w:rsid w:val="00380C85"/>
    <w:rsid w:val="00380D7A"/>
    <w:rsid w:val="00380DE8"/>
    <w:rsid w:val="00380E4F"/>
    <w:rsid w:val="00380F16"/>
    <w:rsid w:val="00380F80"/>
    <w:rsid w:val="00381001"/>
    <w:rsid w:val="003810B5"/>
    <w:rsid w:val="003811DC"/>
    <w:rsid w:val="00381225"/>
    <w:rsid w:val="00381245"/>
    <w:rsid w:val="0038149A"/>
    <w:rsid w:val="00381518"/>
    <w:rsid w:val="003817FC"/>
    <w:rsid w:val="0038187E"/>
    <w:rsid w:val="003818BB"/>
    <w:rsid w:val="00381A36"/>
    <w:rsid w:val="00381A3D"/>
    <w:rsid w:val="00381A7C"/>
    <w:rsid w:val="00381AAA"/>
    <w:rsid w:val="00381AFB"/>
    <w:rsid w:val="00381C87"/>
    <w:rsid w:val="00381C9A"/>
    <w:rsid w:val="00381D98"/>
    <w:rsid w:val="00381EA6"/>
    <w:rsid w:val="00381F6B"/>
    <w:rsid w:val="00381F85"/>
    <w:rsid w:val="00381F89"/>
    <w:rsid w:val="003820D0"/>
    <w:rsid w:val="0038220B"/>
    <w:rsid w:val="00382578"/>
    <w:rsid w:val="00382624"/>
    <w:rsid w:val="0038263A"/>
    <w:rsid w:val="00382660"/>
    <w:rsid w:val="00382663"/>
    <w:rsid w:val="003827E9"/>
    <w:rsid w:val="00382811"/>
    <w:rsid w:val="00382A69"/>
    <w:rsid w:val="00382A79"/>
    <w:rsid w:val="00382C78"/>
    <w:rsid w:val="00382CAE"/>
    <w:rsid w:val="00382D74"/>
    <w:rsid w:val="00382F67"/>
    <w:rsid w:val="00383142"/>
    <w:rsid w:val="0038318A"/>
    <w:rsid w:val="00383389"/>
    <w:rsid w:val="003833DA"/>
    <w:rsid w:val="00383583"/>
    <w:rsid w:val="00383594"/>
    <w:rsid w:val="0038359B"/>
    <w:rsid w:val="00383832"/>
    <w:rsid w:val="00383BBE"/>
    <w:rsid w:val="00383F37"/>
    <w:rsid w:val="00384361"/>
    <w:rsid w:val="003844A9"/>
    <w:rsid w:val="003844B4"/>
    <w:rsid w:val="00384565"/>
    <w:rsid w:val="003846A8"/>
    <w:rsid w:val="003846CD"/>
    <w:rsid w:val="003846EB"/>
    <w:rsid w:val="00384748"/>
    <w:rsid w:val="00384786"/>
    <w:rsid w:val="003847D9"/>
    <w:rsid w:val="0038491E"/>
    <w:rsid w:val="00384A1C"/>
    <w:rsid w:val="00384B25"/>
    <w:rsid w:val="00384BBF"/>
    <w:rsid w:val="00384BF9"/>
    <w:rsid w:val="00384C2F"/>
    <w:rsid w:val="00384DA6"/>
    <w:rsid w:val="0038504B"/>
    <w:rsid w:val="00385247"/>
    <w:rsid w:val="0038536E"/>
    <w:rsid w:val="0038552B"/>
    <w:rsid w:val="003856A5"/>
    <w:rsid w:val="00385A5C"/>
    <w:rsid w:val="00385A80"/>
    <w:rsid w:val="00385D87"/>
    <w:rsid w:val="00385EA7"/>
    <w:rsid w:val="00385EC8"/>
    <w:rsid w:val="00385F12"/>
    <w:rsid w:val="00385F14"/>
    <w:rsid w:val="00385F38"/>
    <w:rsid w:val="00385F76"/>
    <w:rsid w:val="00385F8C"/>
    <w:rsid w:val="00386051"/>
    <w:rsid w:val="00386155"/>
    <w:rsid w:val="00386226"/>
    <w:rsid w:val="00386243"/>
    <w:rsid w:val="00386470"/>
    <w:rsid w:val="003864F5"/>
    <w:rsid w:val="00386577"/>
    <w:rsid w:val="003865D2"/>
    <w:rsid w:val="0038685E"/>
    <w:rsid w:val="00386AB1"/>
    <w:rsid w:val="00386B41"/>
    <w:rsid w:val="00386E7F"/>
    <w:rsid w:val="0038738C"/>
    <w:rsid w:val="003873E8"/>
    <w:rsid w:val="00387497"/>
    <w:rsid w:val="003876AC"/>
    <w:rsid w:val="00387767"/>
    <w:rsid w:val="003877E4"/>
    <w:rsid w:val="003878B5"/>
    <w:rsid w:val="00387993"/>
    <w:rsid w:val="00387AD8"/>
    <w:rsid w:val="00387C8E"/>
    <w:rsid w:val="00387CB7"/>
    <w:rsid w:val="00390117"/>
    <w:rsid w:val="003903B8"/>
    <w:rsid w:val="003905E0"/>
    <w:rsid w:val="0039071D"/>
    <w:rsid w:val="003907CD"/>
    <w:rsid w:val="003908CB"/>
    <w:rsid w:val="00390A74"/>
    <w:rsid w:val="00390AA0"/>
    <w:rsid w:val="00390B47"/>
    <w:rsid w:val="00390C1F"/>
    <w:rsid w:val="00390DE4"/>
    <w:rsid w:val="003910B5"/>
    <w:rsid w:val="003910DC"/>
    <w:rsid w:val="00391434"/>
    <w:rsid w:val="00391A92"/>
    <w:rsid w:val="00391B80"/>
    <w:rsid w:val="00391C55"/>
    <w:rsid w:val="00391CC0"/>
    <w:rsid w:val="00391D0B"/>
    <w:rsid w:val="00391E21"/>
    <w:rsid w:val="00391F9B"/>
    <w:rsid w:val="00391FF3"/>
    <w:rsid w:val="00391FF8"/>
    <w:rsid w:val="0039206F"/>
    <w:rsid w:val="00392081"/>
    <w:rsid w:val="003921D0"/>
    <w:rsid w:val="003921FD"/>
    <w:rsid w:val="00392347"/>
    <w:rsid w:val="0039244E"/>
    <w:rsid w:val="003925FB"/>
    <w:rsid w:val="0039261B"/>
    <w:rsid w:val="0039290F"/>
    <w:rsid w:val="00392E0C"/>
    <w:rsid w:val="00393857"/>
    <w:rsid w:val="00393893"/>
    <w:rsid w:val="0039391E"/>
    <w:rsid w:val="00393BB2"/>
    <w:rsid w:val="00393C84"/>
    <w:rsid w:val="00393DAC"/>
    <w:rsid w:val="00393E06"/>
    <w:rsid w:val="00393E31"/>
    <w:rsid w:val="00393EF6"/>
    <w:rsid w:val="00393F26"/>
    <w:rsid w:val="00393FB3"/>
    <w:rsid w:val="003940A4"/>
    <w:rsid w:val="003940A8"/>
    <w:rsid w:val="003940F3"/>
    <w:rsid w:val="0039416D"/>
    <w:rsid w:val="003941A7"/>
    <w:rsid w:val="003941EE"/>
    <w:rsid w:val="003942FB"/>
    <w:rsid w:val="00394338"/>
    <w:rsid w:val="00394798"/>
    <w:rsid w:val="003947AB"/>
    <w:rsid w:val="003947EB"/>
    <w:rsid w:val="00394893"/>
    <w:rsid w:val="003948B3"/>
    <w:rsid w:val="00394A0E"/>
    <w:rsid w:val="00394A6F"/>
    <w:rsid w:val="00394C2E"/>
    <w:rsid w:val="00394CFF"/>
    <w:rsid w:val="00394D02"/>
    <w:rsid w:val="00394D9B"/>
    <w:rsid w:val="00394FF8"/>
    <w:rsid w:val="00395014"/>
    <w:rsid w:val="0039517B"/>
    <w:rsid w:val="00395218"/>
    <w:rsid w:val="0039523D"/>
    <w:rsid w:val="00395256"/>
    <w:rsid w:val="003952CC"/>
    <w:rsid w:val="00395308"/>
    <w:rsid w:val="00395514"/>
    <w:rsid w:val="00395600"/>
    <w:rsid w:val="00395794"/>
    <w:rsid w:val="003957A3"/>
    <w:rsid w:val="00395804"/>
    <w:rsid w:val="0039587E"/>
    <w:rsid w:val="003959FD"/>
    <w:rsid w:val="00395A9F"/>
    <w:rsid w:val="00395B59"/>
    <w:rsid w:val="00395D40"/>
    <w:rsid w:val="00395E9E"/>
    <w:rsid w:val="00395F73"/>
    <w:rsid w:val="00395FC8"/>
    <w:rsid w:val="003961C7"/>
    <w:rsid w:val="003962A4"/>
    <w:rsid w:val="0039645D"/>
    <w:rsid w:val="0039656A"/>
    <w:rsid w:val="0039661B"/>
    <w:rsid w:val="003966B4"/>
    <w:rsid w:val="0039679B"/>
    <w:rsid w:val="00396AA0"/>
    <w:rsid w:val="00396B25"/>
    <w:rsid w:val="00397102"/>
    <w:rsid w:val="0039710F"/>
    <w:rsid w:val="00397240"/>
    <w:rsid w:val="0039727E"/>
    <w:rsid w:val="00397288"/>
    <w:rsid w:val="003973E8"/>
    <w:rsid w:val="00397418"/>
    <w:rsid w:val="003979A1"/>
    <w:rsid w:val="00397B0A"/>
    <w:rsid w:val="00397BE6"/>
    <w:rsid w:val="00397C56"/>
    <w:rsid w:val="00397CF5"/>
    <w:rsid w:val="00397D9C"/>
    <w:rsid w:val="00397E09"/>
    <w:rsid w:val="00397EED"/>
    <w:rsid w:val="003A0516"/>
    <w:rsid w:val="003A0812"/>
    <w:rsid w:val="003A092F"/>
    <w:rsid w:val="003A095D"/>
    <w:rsid w:val="003A09D9"/>
    <w:rsid w:val="003A09E5"/>
    <w:rsid w:val="003A0A81"/>
    <w:rsid w:val="003A0DAE"/>
    <w:rsid w:val="003A0FB5"/>
    <w:rsid w:val="003A1034"/>
    <w:rsid w:val="003A108B"/>
    <w:rsid w:val="003A10A7"/>
    <w:rsid w:val="003A10C3"/>
    <w:rsid w:val="003A10F6"/>
    <w:rsid w:val="003A1192"/>
    <w:rsid w:val="003A13E9"/>
    <w:rsid w:val="003A1652"/>
    <w:rsid w:val="003A1890"/>
    <w:rsid w:val="003A1920"/>
    <w:rsid w:val="003A19C4"/>
    <w:rsid w:val="003A1B07"/>
    <w:rsid w:val="003A1B76"/>
    <w:rsid w:val="003A1BCF"/>
    <w:rsid w:val="003A1E09"/>
    <w:rsid w:val="003A24FC"/>
    <w:rsid w:val="003A2510"/>
    <w:rsid w:val="003A2647"/>
    <w:rsid w:val="003A26CC"/>
    <w:rsid w:val="003A2807"/>
    <w:rsid w:val="003A2833"/>
    <w:rsid w:val="003A2A22"/>
    <w:rsid w:val="003A2AE6"/>
    <w:rsid w:val="003A2AF1"/>
    <w:rsid w:val="003A2B3C"/>
    <w:rsid w:val="003A2B43"/>
    <w:rsid w:val="003A2B8B"/>
    <w:rsid w:val="003A2D86"/>
    <w:rsid w:val="003A302E"/>
    <w:rsid w:val="003A3106"/>
    <w:rsid w:val="003A31BA"/>
    <w:rsid w:val="003A3222"/>
    <w:rsid w:val="003A3267"/>
    <w:rsid w:val="003A38B7"/>
    <w:rsid w:val="003A395E"/>
    <w:rsid w:val="003A397C"/>
    <w:rsid w:val="003A39BF"/>
    <w:rsid w:val="003A3ADB"/>
    <w:rsid w:val="003A3BF8"/>
    <w:rsid w:val="003A3C0D"/>
    <w:rsid w:val="003A3E5D"/>
    <w:rsid w:val="003A3F1A"/>
    <w:rsid w:val="003A4068"/>
    <w:rsid w:val="003A4098"/>
    <w:rsid w:val="003A415A"/>
    <w:rsid w:val="003A4192"/>
    <w:rsid w:val="003A4444"/>
    <w:rsid w:val="003A4703"/>
    <w:rsid w:val="003A4780"/>
    <w:rsid w:val="003A4978"/>
    <w:rsid w:val="003A49F2"/>
    <w:rsid w:val="003A4A0A"/>
    <w:rsid w:val="003A4A60"/>
    <w:rsid w:val="003A4B91"/>
    <w:rsid w:val="003A4D6F"/>
    <w:rsid w:val="003A4D7C"/>
    <w:rsid w:val="003A4ECF"/>
    <w:rsid w:val="003A523F"/>
    <w:rsid w:val="003A5326"/>
    <w:rsid w:val="003A5357"/>
    <w:rsid w:val="003A5399"/>
    <w:rsid w:val="003A53DA"/>
    <w:rsid w:val="003A5469"/>
    <w:rsid w:val="003A546C"/>
    <w:rsid w:val="003A54F3"/>
    <w:rsid w:val="003A55EA"/>
    <w:rsid w:val="003A57CC"/>
    <w:rsid w:val="003A57CE"/>
    <w:rsid w:val="003A5B40"/>
    <w:rsid w:val="003A5BA3"/>
    <w:rsid w:val="003A5CA4"/>
    <w:rsid w:val="003A5D8F"/>
    <w:rsid w:val="003A5ECA"/>
    <w:rsid w:val="003A5FA1"/>
    <w:rsid w:val="003A60A4"/>
    <w:rsid w:val="003A64BB"/>
    <w:rsid w:val="003A66CF"/>
    <w:rsid w:val="003A67FB"/>
    <w:rsid w:val="003A6B31"/>
    <w:rsid w:val="003A6CAC"/>
    <w:rsid w:val="003A6CF6"/>
    <w:rsid w:val="003A6DCF"/>
    <w:rsid w:val="003A6DDA"/>
    <w:rsid w:val="003A7004"/>
    <w:rsid w:val="003A713D"/>
    <w:rsid w:val="003A7169"/>
    <w:rsid w:val="003A71CA"/>
    <w:rsid w:val="003A7225"/>
    <w:rsid w:val="003A727D"/>
    <w:rsid w:val="003A72B9"/>
    <w:rsid w:val="003A741E"/>
    <w:rsid w:val="003A7420"/>
    <w:rsid w:val="003A7478"/>
    <w:rsid w:val="003A7572"/>
    <w:rsid w:val="003A75CE"/>
    <w:rsid w:val="003A75DC"/>
    <w:rsid w:val="003A7625"/>
    <w:rsid w:val="003A763E"/>
    <w:rsid w:val="003A7643"/>
    <w:rsid w:val="003A77E6"/>
    <w:rsid w:val="003A77ED"/>
    <w:rsid w:val="003A78BE"/>
    <w:rsid w:val="003A795F"/>
    <w:rsid w:val="003A7E5A"/>
    <w:rsid w:val="003A7E67"/>
    <w:rsid w:val="003A7FD7"/>
    <w:rsid w:val="003B040B"/>
    <w:rsid w:val="003B04AA"/>
    <w:rsid w:val="003B04DC"/>
    <w:rsid w:val="003B0591"/>
    <w:rsid w:val="003B0829"/>
    <w:rsid w:val="003B08DF"/>
    <w:rsid w:val="003B0A62"/>
    <w:rsid w:val="003B0A95"/>
    <w:rsid w:val="003B0AC1"/>
    <w:rsid w:val="003B0AEA"/>
    <w:rsid w:val="003B0B06"/>
    <w:rsid w:val="003B0B5D"/>
    <w:rsid w:val="003B0C3E"/>
    <w:rsid w:val="003B0C5B"/>
    <w:rsid w:val="003B0D50"/>
    <w:rsid w:val="003B0E96"/>
    <w:rsid w:val="003B1033"/>
    <w:rsid w:val="003B109F"/>
    <w:rsid w:val="003B11EE"/>
    <w:rsid w:val="003B12BA"/>
    <w:rsid w:val="003B1342"/>
    <w:rsid w:val="003B1362"/>
    <w:rsid w:val="003B13E1"/>
    <w:rsid w:val="003B161C"/>
    <w:rsid w:val="003B1867"/>
    <w:rsid w:val="003B1948"/>
    <w:rsid w:val="003B1A54"/>
    <w:rsid w:val="003B1A77"/>
    <w:rsid w:val="003B1B2D"/>
    <w:rsid w:val="003B1D15"/>
    <w:rsid w:val="003B1DFA"/>
    <w:rsid w:val="003B1F4D"/>
    <w:rsid w:val="003B20D6"/>
    <w:rsid w:val="003B21AD"/>
    <w:rsid w:val="003B224A"/>
    <w:rsid w:val="003B233B"/>
    <w:rsid w:val="003B239F"/>
    <w:rsid w:val="003B243B"/>
    <w:rsid w:val="003B2507"/>
    <w:rsid w:val="003B267A"/>
    <w:rsid w:val="003B2872"/>
    <w:rsid w:val="003B2998"/>
    <w:rsid w:val="003B2A89"/>
    <w:rsid w:val="003B2B1F"/>
    <w:rsid w:val="003B2B67"/>
    <w:rsid w:val="003B2C4C"/>
    <w:rsid w:val="003B2C8C"/>
    <w:rsid w:val="003B2D26"/>
    <w:rsid w:val="003B2D32"/>
    <w:rsid w:val="003B2D9F"/>
    <w:rsid w:val="003B2F00"/>
    <w:rsid w:val="003B30C1"/>
    <w:rsid w:val="003B3106"/>
    <w:rsid w:val="003B3238"/>
    <w:rsid w:val="003B33DF"/>
    <w:rsid w:val="003B34F6"/>
    <w:rsid w:val="003B35FD"/>
    <w:rsid w:val="003B3AE0"/>
    <w:rsid w:val="003B3B94"/>
    <w:rsid w:val="003B3BC7"/>
    <w:rsid w:val="003B3BE1"/>
    <w:rsid w:val="003B3C35"/>
    <w:rsid w:val="003B3C95"/>
    <w:rsid w:val="003B3CAD"/>
    <w:rsid w:val="003B3CF6"/>
    <w:rsid w:val="003B3FAF"/>
    <w:rsid w:val="003B4057"/>
    <w:rsid w:val="003B40EF"/>
    <w:rsid w:val="003B4195"/>
    <w:rsid w:val="003B41B5"/>
    <w:rsid w:val="003B41E5"/>
    <w:rsid w:val="003B4233"/>
    <w:rsid w:val="003B438C"/>
    <w:rsid w:val="003B4463"/>
    <w:rsid w:val="003B4537"/>
    <w:rsid w:val="003B455D"/>
    <w:rsid w:val="003B46D7"/>
    <w:rsid w:val="003B4826"/>
    <w:rsid w:val="003B48A3"/>
    <w:rsid w:val="003B48FE"/>
    <w:rsid w:val="003B4B72"/>
    <w:rsid w:val="003B4BF0"/>
    <w:rsid w:val="003B4C6E"/>
    <w:rsid w:val="003B4F95"/>
    <w:rsid w:val="003B5015"/>
    <w:rsid w:val="003B501B"/>
    <w:rsid w:val="003B5102"/>
    <w:rsid w:val="003B539D"/>
    <w:rsid w:val="003B53FC"/>
    <w:rsid w:val="003B5436"/>
    <w:rsid w:val="003B5450"/>
    <w:rsid w:val="003B5471"/>
    <w:rsid w:val="003B54F4"/>
    <w:rsid w:val="003B573B"/>
    <w:rsid w:val="003B5794"/>
    <w:rsid w:val="003B57C0"/>
    <w:rsid w:val="003B599D"/>
    <w:rsid w:val="003B5A76"/>
    <w:rsid w:val="003B5A80"/>
    <w:rsid w:val="003B5CD3"/>
    <w:rsid w:val="003B5D0F"/>
    <w:rsid w:val="003B5EBD"/>
    <w:rsid w:val="003B6057"/>
    <w:rsid w:val="003B6181"/>
    <w:rsid w:val="003B657A"/>
    <w:rsid w:val="003B65DD"/>
    <w:rsid w:val="003B6A36"/>
    <w:rsid w:val="003B6A5F"/>
    <w:rsid w:val="003B6ACA"/>
    <w:rsid w:val="003B6E50"/>
    <w:rsid w:val="003B6F63"/>
    <w:rsid w:val="003B6F86"/>
    <w:rsid w:val="003B71F8"/>
    <w:rsid w:val="003B72E8"/>
    <w:rsid w:val="003B72EB"/>
    <w:rsid w:val="003B734F"/>
    <w:rsid w:val="003B745A"/>
    <w:rsid w:val="003B7723"/>
    <w:rsid w:val="003B779C"/>
    <w:rsid w:val="003B785E"/>
    <w:rsid w:val="003B7D78"/>
    <w:rsid w:val="003B7D8C"/>
    <w:rsid w:val="003B7E33"/>
    <w:rsid w:val="003B7EA9"/>
    <w:rsid w:val="003B7FE9"/>
    <w:rsid w:val="003C0385"/>
    <w:rsid w:val="003C0613"/>
    <w:rsid w:val="003C064F"/>
    <w:rsid w:val="003C06ED"/>
    <w:rsid w:val="003C078F"/>
    <w:rsid w:val="003C083D"/>
    <w:rsid w:val="003C0864"/>
    <w:rsid w:val="003C0960"/>
    <w:rsid w:val="003C0989"/>
    <w:rsid w:val="003C099F"/>
    <w:rsid w:val="003C0A40"/>
    <w:rsid w:val="003C0C16"/>
    <w:rsid w:val="003C0C4E"/>
    <w:rsid w:val="003C10ED"/>
    <w:rsid w:val="003C126C"/>
    <w:rsid w:val="003C1273"/>
    <w:rsid w:val="003C128A"/>
    <w:rsid w:val="003C12C7"/>
    <w:rsid w:val="003C14AF"/>
    <w:rsid w:val="003C152F"/>
    <w:rsid w:val="003C15C7"/>
    <w:rsid w:val="003C15F4"/>
    <w:rsid w:val="003C173C"/>
    <w:rsid w:val="003C1781"/>
    <w:rsid w:val="003C19A0"/>
    <w:rsid w:val="003C19B2"/>
    <w:rsid w:val="003C1ABF"/>
    <w:rsid w:val="003C1B27"/>
    <w:rsid w:val="003C1BB3"/>
    <w:rsid w:val="003C1CB1"/>
    <w:rsid w:val="003C1CC2"/>
    <w:rsid w:val="003C1CF3"/>
    <w:rsid w:val="003C1D49"/>
    <w:rsid w:val="003C2100"/>
    <w:rsid w:val="003C22AA"/>
    <w:rsid w:val="003C23A3"/>
    <w:rsid w:val="003C2470"/>
    <w:rsid w:val="003C2564"/>
    <w:rsid w:val="003C2577"/>
    <w:rsid w:val="003C26A4"/>
    <w:rsid w:val="003C291C"/>
    <w:rsid w:val="003C295E"/>
    <w:rsid w:val="003C29C6"/>
    <w:rsid w:val="003C2A5B"/>
    <w:rsid w:val="003C2B5D"/>
    <w:rsid w:val="003C2CEC"/>
    <w:rsid w:val="003C2D06"/>
    <w:rsid w:val="003C2D2C"/>
    <w:rsid w:val="003C2D39"/>
    <w:rsid w:val="003C2D59"/>
    <w:rsid w:val="003C2FCE"/>
    <w:rsid w:val="003C3365"/>
    <w:rsid w:val="003C35BB"/>
    <w:rsid w:val="003C360D"/>
    <w:rsid w:val="003C3709"/>
    <w:rsid w:val="003C37B5"/>
    <w:rsid w:val="003C3A86"/>
    <w:rsid w:val="003C3C26"/>
    <w:rsid w:val="003C3DD5"/>
    <w:rsid w:val="003C3E73"/>
    <w:rsid w:val="003C3F8A"/>
    <w:rsid w:val="003C4076"/>
    <w:rsid w:val="003C40B6"/>
    <w:rsid w:val="003C41E5"/>
    <w:rsid w:val="003C42E4"/>
    <w:rsid w:val="003C438F"/>
    <w:rsid w:val="003C4629"/>
    <w:rsid w:val="003C46E4"/>
    <w:rsid w:val="003C49F8"/>
    <w:rsid w:val="003C4A08"/>
    <w:rsid w:val="003C4C84"/>
    <w:rsid w:val="003C51A9"/>
    <w:rsid w:val="003C5402"/>
    <w:rsid w:val="003C544D"/>
    <w:rsid w:val="003C5542"/>
    <w:rsid w:val="003C5580"/>
    <w:rsid w:val="003C56BD"/>
    <w:rsid w:val="003C56E4"/>
    <w:rsid w:val="003C59DC"/>
    <w:rsid w:val="003C59F5"/>
    <w:rsid w:val="003C5BD8"/>
    <w:rsid w:val="003C5ECC"/>
    <w:rsid w:val="003C600F"/>
    <w:rsid w:val="003C606F"/>
    <w:rsid w:val="003C60E0"/>
    <w:rsid w:val="003C6134"/>
    <w:rsid w:val="003C63D9"/>
    <w:rsid w:val="003C6420"/>
    <w:rsid w:val="003C649F"/>
    <w:rsid w:val="003C64A8"/>
    <w:rsid w:val="003C6565"/>
    <w:rsid w:val="003C66C1"/>
    <w:rsid w:val="003C6743"/>
    <w:rsid w:val="003C68DC"/>
    <w:rsid w:val="003C6920"/>
    <w:rsid w:val="003C692A"/>
    <w:rsid w:val="003C6A86"/>
    <w:rsid w:val="003C6B2C"/>
    <w:rsid w:val="003C6F95"/>
    <w:rsid w:val="003C6FCA"/>
    <w:rsid w:val="003C7101"/>
    <w:rsid w:val="003C7114"/>
    <w:rsid w:val="003C722E"/>
    <w:rsid w:val="003C726A"/>
    <w:rsid w:val="003C7312"/>
    <w:rsid w:val="003C734B"/>
    <w:rsid w:val="003C744D"/>
    <w:rsid w:val="003C76CF"/>
    <w:rsid w:val="003C7766"/>
    <w:rsid w:val="003C7840"/>
    <w:rsid w:val="003C7A40"/>
    <w:rsid w:val="003C7A63"/>
    <w:rsid w:val="003C7ACF"/>
    <w:rsid w:val="003C7B5B"/>
    <w:rsid w:val="003C7C44"/>
    <w:rsid w:val="003C7F24"/>
    <w:rsid w:val="003CEAD5"/>
    <w:rsid w:val="003D031C"/>
    <w:rsid w:val="003D035B"/>
    <w:rsid w:val="003D04BF"/>
    <w:rsid w:val="003D053E"/>
    <w:rsid w:val="003D056E"/>
    <w:rsid w:val="003D06EF"/>
    <w:rsid w:val="003D084C"/>
    <w:rsid w:val="003D08B7"/>
    <w:rsid w:val="003D0A0B"/>
    <w:rsid w:val="003D0AA0"/>
    <w:rsid w:val="003D0BD5"/>
    <w:rsid w:val="003D0C4A"/>
    <w:rsid w:val="003D0C64"/>
    <w:rsid w:val="003D0D25"/>
    <w:rsid w:val="003D0E2B"/>
    <w:rsid w:val="003D1003"/>
    <w:rsid w:val="003D107D"/>
    <w:rsid w:val="003D1110"/>
    <w:rsid w:val="003D1155"/>
    <w:rsid w:val="003D1377"/>
    <w:rsid w:val="003D157A"/>
    <w:rsid w:val="003D15BF"/>
    <w:rsid w:val="003D15C7"/>
    <w:rsid w:val="003D1678"/>
    <w:rsid w:val="003D1813"/>
    <w:rsid w:val="003D1833"/>
    <w:rsid w:val="003D184A"/>
    <w:rsid w:val="003D1B57"/>
    <w:rsid w:val="003D1BA4"/>
    <w:rsid w:val="003D1D54"/>
    <w:rsid w:val="003D1D62"/>
    <w:rsid w:val="003D1F12"/>
    <w:rsid w:val="003D1F1E"/>
    <w:rsid w:val="003D2100"/>
    <w:rsid w:val="003D223C"/>
    <w:rsid w:val="003D23FA"/>
    <w:rsid w:val="003D2615"/>
    <w:rsid w:val="003D2B1D"/>
    <w:rsid w:val="003D2B64"/>
    <w:rsid w:val="003D2B8E"/>
    <w:rsid w:val="003D2C36"/>
    <w:rsid w:val="003D2DE6"/>
    <w:rsid w:val="003D3010"/>
    <w:rsid w:val="003D313D"/>
    <w:rsid w:val="003D318B"/>
    <w:rsid w:val="003D31AA"/>
    <w:rsid w:val="003D3301"/>
    <w:rsid w:val="003D336B"/>
    <w:rsid w:val="003D36C5"/>
    <w:rsid w:val="003D39AE"/>
    <w:rsid w:val="003D3BEF"/>
    <w:rsid w:val="003D3C42"/>
    <w:rsid w:val="003D3D25"/>
    <w:rsid w:val="003D3D51"/>
    <w:rsid w:val="003D3DCC"/>
    <w:rsid w:val="003D3DE4"/>
    <w:rsid w:val="003D3E2A"/>
    <w:rsid w:val="003D3F34"/>
    <w:rsid w:val="003D4011"/>
    <w:rsid w:val="003D40B3"/>
    <w:rsid w:val="003D41DD"/>
    <w:rsid w:val="003D4282"/>
    <w:rsid w:val="003D4363"/>
    <w:rsid w:val="003D43BA"/>
    <w:rsid w:val="003D465D"/>
    <w:rsid w:val="003D46BD"/>
    <w:rsid w:val="003D46C6"/>
    <w:rsid w:val="003D4A06"/>
    <w:rsid w:val="003D4BD2"/>
    <w:rsid w:val="003D4F92"/>
    <w:rsid w:val="003D511F"/>
    <w:rsid w:val="003D5202"/>
    <w:rsid w:val="003D525E"/>
    <w:rsid w:val="003D530C"/>
    <w:rsid w:val="003D531F"/>
    <w:rsid w:val="003D5358"/>
    <w:rsid w:val="003D5564"/>
    <w:rsid w:val="003D55E9"/>
    <w:rsid w:val="003D5A45"/>
    <w:rsid w:val="003D5B9F"/>
    <w:rsid w:val="003D5BB3"/>
    <w:rsid w:val="003D5C72"/>
    <w:rsid w:val="003D5CA9"/>
    <w:rsid w:val="003D5CC2"/>
    <w:rsid w:val="003D5CCF"/>
    <w:rsid w:val="003D5E33"/>
    <w:rsid w:val="003D603A"/>
    <w:rsid w:val="003D609B"/>
    <w:rsid w:val="003D611E"/>
    <w:rsid w:val="003D6285"/>
    <w:rsid w:val="003D62C1"/>
    <w:rsid w:val="003D6319"/>
    <w:rsid w:val="003D63BD"/>
    <w:rsid w:val="003D6682"/>
    <w:rsid w:val="003D677C"/>
    <w:rsid w:val="003D67C6"/>
    <w:rsid w:val="003D680D"/>
    <w:rsid w:val="003D6876"/>
    <w:rsid w:val="003D6B81"/>
    <w:rsid w:val="003D6E0E"/>
    <w:rsid w:val="003D6F94"/>
    <w:rsid w:val="003D7010"/>
    <w:rsid w:val="003D71AC"/>
    <w:rsid w:val="003D7333"/>
    <w:rsid w:val="003D7348"/>
    <w:rsid w:val="003D745C"/>
    <w:rsid w:val="003D750F"/>
    <w:rsid w:val="003D752F"/>
    <w:rsid w:val="003D7536"/>
    <w:rsid w:val="003D7711"/>
    <w:rsid w:val="003D7730"/>
    <w:rsid w:val="003D789A"/>
    <w:rsid w:val="003D7981"/>
    <w:rsid w:val="003D7A68"/>
    <w:rsid w:val="003D7A74"/>
    <w:rsid w:val="003D7C72"/>
    <w:rsid w:val="003D7D15"/>
    <w:rsid w:val="003D7D69"/>
    <w:rsid w:val="003D7E3E"/>
    <w:rsid w:val="003D7F65"/>
    <w:rsid w:val="003D7FD7"/>
    <w:rsid w:val="003E00B5"/>
    <w:rsid w:val="003E00DF"/>
    <w:rsid w:val="003E00F3"/>
    <w:rsid w:val="003E02D8"/>
    <w:rsid w:val="003E055C"/>
    <w:rsid w:val="003E070B"/>
    <w:rsid w:val="003E0764"/>
    <w:rsid w:val="003E0778"/>
    <w:rsid w:val="003E07B9"/>
    <w:rsid w:val="003E0842"/>
    <w:rsid w:val="003E086D"/>
    <w:rsid w:val="003E08F8"/>
    <w:rsid w:val="003E0BDC"/>
    <w:rsid w:val="003E0C05"/>
    <w:rsid w:val="003E0C84"/>
    <w:rsid w:val="003E0C8B"/>
    <w:rsid w:val="003E0EA1"/>
    <w:rsid w:val="003E0EB7"/>
    <w:rsid w:val="003E0F39"/>
    <w:rsid w:val="003E0F98"/>
    <w:rsid w:val="003E1276"/>
    <w:rsid w:val="003E1327"/>
    <w:rsid w:val="003E1443"/>
    <w:rsid w:val="003E1456"/>
    <w:rsid w:val="003E175A"/>
    <w:rsid w:val="003E1789"/>
    <w:rsid w:val="003E17BF"/>
    <w:rsid w:val="003E1804"/>
    <w:rsid w:val="003E1851"/>
    <w:rsid w:val="003E18BF"/>
    <w:rsid w:val="003E1920"/>
    <w:rsid w:val="003E195C"/>
    <w:rsid w:val="003E198C"/>
    <w:rsid w:val="003E199B"/>
    <w:rsid w:val="003E1A33"/>
    <w:rsid w:val="003E1AF7"/>
    <w:rsid w:val="003E1BCD"/>
    <w:rsid w:val="003E1D2B"/>
    <w:rsid w:val="003E1FCC"/>
    <w:rsid w:val="003E2162"/>
    <w:rsid w:val="003E23DE"/>
    <w:rsid w:val="003E246D"/>
    <w:rsid w:val="003E2470"/>
    <w:rsid w:val="003E2527"/>
    <w:rsid w:val="003E2599"/>
    <w:rsid w:val="003E25B6"/>
    <w:rsid w:val="003E26F8"/>
    <w:rsid w:val="003E2777"/>
    <w:rsid w:val="003E29E2"/>
    <w:rsid w:val="003E2A5C"/>
    <w:rsid w:val="003E2B45"/>
    <w:rsid w:val="003E2D41"/>
    <w:rsid w:val="003E2DB4"/>
    <w:rsid w:val="003E2E5A"/>
    <w:rsid w:val="003E31A6"/>
    <w:rsid w:val="003E33F0"/>
    <w:rsid w:val="003E34F6"/>
    <w:rsid w:val="003E3517"/>
    <w:rsid w:val="003E351B"/>
    <w:rsid w:val="003E3583"/>
    <w:rsid w:val="003E3657"/>
    <w:rsid w:val="003E3754"/>
    <w:rsid w:val="003E3825"/>
    <w:rsid w:val="003E3857"/>
    <w:rsid w:val="003E38C9"/>
    <w:rsid w:val="003E3916"/>
    <w:rsid w:val="003E3A2C"/>
    <w:rsid w:val="003E3AB0"/>
    <w:rsid w:val="003E3B97"/>
    <w:rsid w:val="003E3BD9"/>
    <w:rsid w:val="003E3C31"/>
    <w:rsid w:val="003E3D2C"/>
    <w:rsid w:val="003E3F64"/>
    <w:rsid w:val="003E4089"/>
    <w:rsid w:val="003E40E2"/>
    <w:rsid w:val="003E42A1"/>
    <w:rsid w:val="003E42BB"/>
    <w:rsid w:val="003E431C"/>
    <w:rsid w:val="003E4375"/>
    <w:rsid w:val="003E456F"/>
    <w:rsid w:val="003E4688"/>
    <w:rsid w:val="003E47EA"/>
    <w:rsid w:val="003E48BD"/>
    <w:rsid w:val="003E48D2"/>
    <w:rsid w:val="003E4B54"/>
    <w:rsid w:val="003E4C15"/>
    <w:rsid w:val="003E4C24"/>
    <w:rsid w:val="003E4EB7"/>
    <w:rsid w:val="003E4EDD"/>
    <w:rsid w:val="003E4FBA"/>
    <w:rsid w:val="003E5120"/>
    <w:rsid w:val="003E5385"/>
    <w:rsid w:val="003E540F"/>
    <w:rsid w:val="003E549C"/>
    <w:rsid w:val="003E556D"/>
    <w:rsid w:val="003E5691"/>
    <w:rsid w:val="003E5750"/>
    <w:rsid w:val="003E5937"/>
    <w:rsid w:val="003E5992"/>
    <w:rsid w:val="003E5B53"/>
    <w:rsid w:val="003E5C0C"/>
    <w:rsid w:val="003E5CD9"/>
    <w:rsid w:val="003E5D8E"/>
    <w:rsid w:val="003E5DA5"/>
    <w:rsid w:val="003E5E31"/>
    <w:rsid w:val="003E5EC4"/>
    <w:rsid w:val="003E605A"/>
    <w:rsid w:val="003E60B2"/>
    <w:rsid w:val="003E615B"/>
    <w:rsid w:val="003E61AF"/>
    <w:rsid w:val="003E6208"/>
    <w:rsid w:val="003E640F"/>
    <w:rsid w:val="003E655B"/>
    <w:rsid w:val="003E67A7"/>
    <w:rsid w:val="003E67D6"/>
    <w:rsid w:val="003E684C"/>
    <w:rsid w:val="003E68C6"/>
    <w:rsid w:val="003E6B13"/>
    <w:rsid w:val="003E6C2C"/>
    <w:rsid w:val="003E6C89"/>
    <w:rsid w:val="003E6D38"/>
    <w:rsid w:val="003E6E2D"/>
    <w:rsid w:val="003E6E6C"/>
    <w:rsid w:val="003E726A"/>
    <w:rsid w:val="003E7449"/>
    <w:rsid w:val="003E7487"/>
    <w:rsid w:val="003E7547"/>
    <w:rsid w:val="003E7595"/>
    <w:rsid w:val="003E7599"/>
    <w:rsid w:val="003E75B8"/>
    <w:rsid w:val="003E75C5"/>
    <w:rsid w:val="003E771B"/>
    <w:rsid w:val="003E778A"/>
    <w:rsid w:val="003E7876"/>
    <w:rsid w:val="003E7972"/>
    <w:rsid w:val="003E7A15"/>
    <w:rsid w:val="003E7D6C"/>
    <w:rsid w:val="003E7DB0"/>
    <w:rsid w:val="003E7F9D"/>
    <w:rsid w:val="003F00AC"/>
    <w:rsid w:val="003F010A"/>
    <w:rsid w:val="003F0649"/>
    <w:rsid w:val="003F06C8"/>
    <w:rsid w:val="003F073A"/>
    <w:rsid w:val="003F0894"/>
    <w:rsid w:val="003F090E"/>
    <w:rsid w:val="003F098C"/>
    <w:rsid w:val="003F0C29"/>
    <w:rsid w:val="003F0F3C"/>
    <w:rsid w:val="003F0F3D"/>
    <w:rsid w:val="003F0F8F"/>
    <w:rsid w:val="003F1120"/>
    <w:rsid w:val="003F11C3"/>
    <w:rsid w:val="003F12CC"/>
    <w:rsid w:val="003F1412"/>
    <w:rsid w:val="003F160A"/>
    <w:rsid w:val="003F1619"/>
    <w:rsid w:val="003F1668"/>
    <w:rsid w:val="003F1761"/>
    <w:rsid w:val="003F198E"/>
    <w:rsid w:val="003F1A31"/>
    <w:rsid w:val="003F1A7F"/>
    <w:rsid w:val="003F1A90"/>
    <w:rsid w:val="003F1A96"/>
    <w:rsid w:val="003F1AA0"/>
    <w:rsid w:val="003F1ABC"/>
    <w:rsid w:val="003F1BD0"/>
    <w:rsid w:val="003F1C00"/>
    <w:rsid w:val="003F1DB8"/>
    <w:rsid w:val="003F1FA7"/>
    <w:rsid w:val="003F1FAA"/>
    <w:rsid w:val="003F21C4"/>
    <w:rsid w:val="003F242C"/>
    <w:rsid w:val="003F2460"/>
    <w:rsid w:val="003F2551"/>
    <w:rsid w:val="003F2610"/>
    <w:rsid w:val="003F2741"/>
    <w:rsid w:val="003F2941"/>
    <w:rsid w:val="003F2C4B"/>
    <w:rsid w:val="003F2CA2"/>
    <w:rsid w:val="003F2E0E"/>
    <w:rsid w:val="003F30E4"/>
    <w:rsid w:val="003F32AD"/>
    <w:rsid w:val="003F352F"/>
    <w:rsid w:val="003F360F"/>
    <w:rsid w:val="003F3662"/>
    <w:rsid w:val="003F366D"/>
    <w:rsid w:val="003F3778"/>
    <w:rsid w:val="003F37AF"/>
    <w:rsid w:val="003F3955"/>
    <w:rsid w:val="003F3A72"/>
    <w:rsid w:val="003F3B26"/>
    <w:rsid w:val="003F3B84"/>
    <w:rsid w:val="003F3B88"/>
    <w:rsid w:val="003F3BAC"/>
    <w:rsid w:val="003F3DD1"/>
    <w:rsid w:val="003F3FC6"/>
    <w:rsid w:val="003F407A"/>
    <w:rsid w:val="003F40D8"/>
    <w:rsid w:val="003F4257"/>
    <w:rsid w:val="003F42AA"/>
    <w:rsid w:val="003F43C9"/>
    <w:rsid w:val="003F4475"/>
    <w:rsid w:val="003F4667"/>
    <w:rsid w:val="003F47DE"/>
    <w:rsid w:val="003F4837"/>
    <w:rsid w:val="003F4AC1"/>
    <w:rsid w:val="003F4D87"/>
    <w:rsid w:val="003F4E87"/>
    <w:rsid w:val="003F4F6C"/>
    <w:rsid w:val="003F4F7D"/>
    <w:rsid w:val="003F4FA0"/>
    <w:rsid w:val="003F52B4"/>
    <w:rsid w:val="003F53DE"/>
    <w:rsid w:val="003F5461"/>
    <w:rsid w:val="003F5551"/>
    <w:rsid w:val="003F5594"/>
    <w:rsid w:val="003F55D3"/>
    <w:rsid w:val="003F56A6"/>
    <w:rsid w:val="003F582C"/>
    <w:rsid w:val="003F5A9E"/>
    <w:rsid w:val="003F5BB1"/>
    <w:rsid w:val="003F5D6A"/>
    <w:rsid w:val="003F5F2F"/>
    <w:rsid w:val="003F5F57"/>
    <w:rsid w:val="003F603D"/>
    <w:rsid w:val="003F609B"/>
    <w:rsid w:val="003F6346"/>
    <w:rsid w:val="003F6389"/>
    <w:rsid w:val="003F63B2"/>
    <w:rsid w:val="003F6619"/>
    <w:rsid w:val="003F66E7"/>
    <w:rsid w:val="003F6826"/>
    <w:rsid w:val="003F685E"/>
    <w:rsid w:val="003F6961"/>
    <w:rsid w:val="003F6A73"/>
    <w:rsid w:val="003F6C17"/>
    <w:rsid w:val="003F6D21"/>
    <w:rsid w:val="003F6D27"/>
    <w:rsid w:val="003F6DB9"/>
    <w:rsid w:val="003F6FC3"/>
    <w:rsid w:val="003F6FD2"/>
    <w:rsid w:val="003F707F"/>
    <w:rsid w:val="003F72B9"/>
    <w:rsid w:val="003F72DD"/>
    <w:rsid w:val="003F740E"/>
    <w:rsid w:val="003F74AA"/>
    <w:rsid w:val="003F761D"/>
    <w:rsid w:val="003F781B"/>
    <w:rsid w:val="003F7842"/>
    <w:rsid w:val="003F795B"/>
    <w:rsid w:val="003F7AF8"/>
    <w:rsid w:val="003F7B96"/>
    <w:rsid w:val="003F7BB9"/>
    <w:rsid w:val="003F7E34"/>
    <w:rsid w:val="003F7EA6"/>
    <w:rsid w:val="003F7F13"/>
    <w:rsid w:val="00400147"/>
    <w:rsid w:val="0040019C"/>
    <w:rsid w:val="004003E2"/>
    <w:rsid w:val="004004F9"/>
    <w:rsid w:val="004005CA"/>
    <w:rsid w:val="00400717"/>
    <w:rsid w:val="00400749"/>
    <w:rsid w:val="00400AC2"/>
    <w:rsid w:val="00400AEC"/>
    <w:rsid w:val="00400AFB"/>
    <w:rsid w:val="00400BB0"/>
    <w:rsid w:val="00400D61"/>
    <w:rsid w:val="00400D6F"/>
    <w:rsid w:val="00400E6E"/>
    <w:rsid w:val="00400E7F"/>
    <w:rsid w:val="00400F64"/>
    <w:rsid w:val="00401286"/>
    <w:rsid w:val="00401442"/>
    <w:rsid w:val="00401559"/>
    <w:rsid w:val="00401628"/>
    <w:rsid w:val="00401706"/>
    <w:rsid w:val="004018BD"/>
    <w:rsid w:val="00401912"/>
    <w:rsid w:val="00401A44"/>
    <w:rsid w:val="00401B36"/>
    <w:rsid w:val="00401D9C"/>
    <w:rsid w:val="00401DA1"/>
    <w:rsid w:val="00401E08"/>
    <w:rsid w:val="00401E34"/>
    <w:rsid w:val="00401EB5"/>
    <w:rsid w:val="00402000"/>
    <w:rsid w:val="00402317"/>
    <w:rsid w:val="0040234F"/>
    <w:rsid w:val="004023B7"/>
    <w:rsid w:val="004024C6"/>
    <w:rsid w:val="004024FA"/>
    <w:rsid w:val="0040258A"/>
    <w:rsid w:val="004025B5"/>
    <w:rsid w:val="00402743"/>
    <w:rsid w:val="004027AD"/>
    <w:rsid w:val="00402AEB"/>
    <w:rsid w:val="00402B33"/>
    <w:rsid w:val="00402DF5"/>
    <w:rsid w:val="00402E98"/>
    <w:rsid w:val="00402EB4"/>
    <w:rsid w:val="00403178"/>
    <w:rsid w:val="0040319C"/>
    <w:rsid w:val="0040319F"/>
    <w:rsid w:val="0040321E"/>
    <w:rsid w:val="00403287"/>
    <w:rsid w:val="00403411"/>
    <w:rsid w:val="004036CF"/>
    <w:rsid w:val="0040377A"/>
    <w:rsid w:val="004037E2"/>
    <w:rsid w:val="0040385A"/>
    <w:rsid w:val="004039A3"/>
    <w:rsid w:val="004039C8"/>
    <w:rsid w:val="00403ACF"/>
    <w:rsid w:val="00403BCE"/>
    <w:rsid w:val="00403C82"/>
    <w:rsid w:val="00403D96"/>
    <w:rsid w:val="00403EE3"/>
    <w:rsid w:val="00403F97"/>
    <w:rsid w:val="004041AF"/>
    <w:rsid w:val="00404268"/>
    <w:rsid w:val="004042E6"/>
    <w:rsid w:val="004042F9"/>
    <w:rsid w:val="00404350"/>
    <w:rsid w:val="0040444B"/>
    <w:rsid w:val="00404596"/>
    <w:rsid w:val="00404735"/>
    <w:rsid w:val="00404853"/>
    <w:rsid w:val="00404861"/>
    <w:rsid w:val="00404A07"/>
    <w:rsid w:val="00404A55"/>
    <w:rsid w:val="00404BBE"/>
    <w:rsid w:val="00404D74"/>
    <w:rsid w:val="00404DF0"/>
    <w:rsid w:val="00404E81"/>
    <w:rsid w:val="00405032"/>
    <w:rsid w:val="00405087"/>
    <w:rsid w:val="004050CF"/>
    <w:rsid w:val="0040516B"/>
    <w:rsid w:val="00405489"/>
    <w:rsid w:val="004054D8"/>
    <w:rsid w:val="0040580D"/>
    <w:rsid w:val="0040583B"/>
    <w:rsid w:val="00405BC3"/>
    <w:rsid w:val="00405C4B"/>
    <w:rsid w:val="00405C57"/>
    <w:rsid w:val="00405DDB"/>
    <w:rsid w:val="00405DFB"/>
    <w:rsid w:val="00406004"/>
    <w:rsid w:val="00406136"/>
    <w:rsid w:val="00406244"/>
    <w:rsid w:val="00406274"/>
    <w:rsid w:val="004062B7"/>
    <w:rsid w:val="004062C3"/>
    <w:rsid w:val="0040632E"/>
    <w:rsid w:val="00406592"/>
    <w:rsid w:val="004067D0"/>
    <w:rsid w:val="004068C7"/>
    <w:rsid w:val="00406904"/>
    <w:rsid w:val="00406CDA"/>
    <w:rsid w:val="00406EE1"/>
    <w:rsid w:val="00406F88"/>
    <w:rsid w:val="004070AF"/>
    <w:rsid w:val="0040715E"/>
    <w:rsid w:val="004073D4"/>
    <w:rsid w:val="004074A0"/>
    <w:rsid w:val="00407597"/>
    <w:rsid w:val="00407706"/>
    <w:rsid w:val="004078BE"/>
    <w:rsid w:val="00407965"/>
    <w:rsid w:val="00407994"/>
    <w:rsid w:val="004079E3"/>
    <w:rsid w:val="00407BE6"/>
    <w:rsid w:val="00407DDB"/>
    <w:rsid w:val="00407E0D"/>
    <w:rsid w:val="00407F06"/>
    <w:rsid w:val="00410071"/>
    <w:rsid w:val="00410098"/>
    <w:rsid w:val="004100EC"/>
    <w:rsid w:val="0041015C"/>
    <w:rsid w:val="0041018F"/>
    <w:rsid w:val="004102A7"/>
    <w:rsid w:val="0041040C"/>
    <w:rsid w:val="0041045A"/>
    <w:rsid w:val="004104BF"/>
    <w:rsid w:val="0041066E"/>
    <w:rsid w:val="00410891"/>
    <w:rsid w:val="00410946"/>
    <w:rsid w:val="00410B25"/>
    <w:rsid w:val="00410BF1"/>
    <w:rsid w:val="00410D22"/>
    <w:rsid w:val="00410DAC"/>
    <w:rsid w:val="00410E39"/>
    <w:rsid w:val="00410F6F"/>
    <w:rsid w:val="00410F8D"/>
    <w:rsid w:val="0041131C"/>
    <w:rsid w:val="004113DF"/>
    <w:rsid w:val="004117C2"/>
    <w:rsid w:val="00411B04"/>
    <w:rsid w:val="0041202E"/>
    <w:rsid w:val="004120CA"/>
    <w:rsid w:val="0041224D"/>
    <w:rsid w:val="004122DF"/>
    <w:rsid w:val="00412453"/>
    <w:rsid w:val="004124F0"/>
    <w:rsid w:val="00412562"/>
    <w:rsid w:val="00412567"/>
    <w:rsid w:val="0041273C"/>
    <w:rsid w:val="0041285D"/>
    <w:rsid w:val="004128E4"/>
    <w:rsid w:val="00412A3A"/>
    <w:rsid w:val="00412A73"/>
    <w:rsid w:val="00412AB9"/>
    <w:rsid w:val="00412ABF"/>
    <w:rsid w:val="00412CB7"/>
    <w:rsid w:val="00412EE7"/>
    <w:rsid w:val="00412FE7"/>
    <w:rsid w:val="00413223"/>
    <w:rsid w:val="004133F9"/>
    <w:rsid w:val="00413432"/>
    <w:rsid w:val="0041350A"/>
    <w:rsid w:val="00413528"/>
    <w:rsid w:val="00413575"/>
    <w:rsid w:val="004135C1"/>
    <w:rsid w:val="0041364A"/>
    <w:rsid w:val="00413672"/>
    <w:rsid w:val="004137A1"/>
    <w:rsid w:val="004137B7"/>
    <w:rsid w:val="00413A80"/>
    <w:rsid w:val="00413AF6"/>
    <w:rsid w:val="00413BD1"/>
    <w:rsid w:val="00413C61"/>
    <w:rsid w:val="00413CFA"/>
    <w:rsid w:val="00413D17"/>
    <w:rsid w:val="00413D57"/>
    <w:rsid w:val="00413EE5"/>
    <w:rsid w:val="0041403F"/>
    <w:rsid w:val="004141A1"/>
    <w:rsid w:val="004142D9"/>
    <w:rsid w:val="004142E8"/>
    <w:rsid w:val="0041439E"/>
    <w:rsid w:val="004143B6"/>
    <w:rsid w:val="00414431"/>
    <w:rsid w:val="00414478"/>
    <w:rsid w:val="0041451F"/>
    <w:rsid w:val="00414678"/>
    <w:rsid w:val="00414978"/>
    <w:rsid w:val="004149D2"/>
    <w:rsid w:val="004149F8"/>
    <w:rsid w:val="00414AD9"/>
    <w:rsid w:val="00414B28"/>
    <w:rsid w:val="00414BC3"/>
    <w:rsid w:val="00414C05"/>
    <w:rsid w:val="00414C8E"/>
    <w:rsid w:val="00414CEF"/>
    <w:rsid w:val="00414D8E"/>
    <w:rsid w:val="00414F25"/>
    <w:rsid w:val="00414F2B"/>
    <w:rsid w:val="00414F70"/>
    <w:rsid w:val="00414FB2"/>
    <w:rsid w:val="00415077"/>
    <w:rsid w:val="00415083"/>
    <w:rsid w:val="00415196"/>
    <w:rsid w:val="00415239"/>
    <w:rsid w:val="004152B0"/>
    <w:rsid w:val="004152F7"/>
    <w:rsid w:val="00415335"/>
    <w:rsid w:val="00415445"/>
    <w:rsid w:val="004154F6"/>
    <w:rsid w:val="004156C5"/>
    <w:rsid w:val="004156DF"/>
    <w:rsid w:val="004157E1"/>
    <w:rsid w:val="004158A2"/>
    <w:rsid w:val="004159C7"/>
    <w:rsid w:val="00415A57"/>
    <w:rsid w:val="00415AD5"/>
    <w:rsid w:val="00415D5B"/>
    <w:rsid w:val="00415EBA"/>
    <w:rsid w:val="00415F17"/>
    <w:rsid w:val="00415FE8"/>
    <w:rsid w:val="0041618D"/>
    <w:rsid w:val="00416228"/>
    <w:rsid w:val="0041625E"/>
    <w:rsid w:val="00416294"/>
    <w:rsid w:val="004163DB"/>
    <w:rsid w:val="00416538"/>
    <w:rsid w:val="00416898"/>
    <w:rsid w:val="004168A7"/>
    <w:rsid w:val="0041697E"/>
    <w:rsid w:val="00416AF7"/>
    <w:rsid w:val="00416B70"/>
    <w:rsid w:val="00416CEB"/>
    <w:rsid w:val="00416E5E"/>
    <w:rsid w:val="00416EC7"/>
    <w:rsid w:val="00416F6F"/>
    <w:rsid w:val="00417076"/>
    <w:rsid w:val="00417108"/>
    <w:rsid w:val="0041750B"/>
    <w:rsid w:val="00417648"/>
    <w:rsid w:val="00417650"/>
    <w:rsid w:val="0041781C"/>
    <w:rsid w:val="00417895"/>
    <w:rsid w:val="00417977"/>
    <w:rsid w:val="00417A21"/>
    <w:rsid w:val="00417A99"/>
    <w:rsid w:val="00417B04"/>
    <w:rsid w:val="00417B65"/>
    <w:rsid w:val="00417C43"/>
    <w:rsid w:val="00417E48"/>
    <w:rsid w:val="00417E5E"/>
    <w:rsid w:val="00417E6A"/>
    <w:rsid w:val="00417F9D"/>
    <w:rsid w:val="0042007B"/>
    <w:rsid w:val="004200D4"/>
    <w:rsid w:val="004201A6"/>
    <w:rsid w:val="004201BC"/>
    <w:rsid w:val="0042033C"/>
    <w:rsid w:val="004205AC"/>
    <w:rsid w:val="004206EC"/>
    <w:rsid w:val="00420793"/>
    <w:rsid w:val="0042080C"/>
    <w:rsid w:val="0042081F"/>
    <w:rsid w:val="004208C0"/>
    <w:rsid w:val="00420AB7"/>
    <w:rsid w:val="00420C11"/>
    <w:rsid w:val="00420D45"/>
    <w:rsid w:val="00420D50"/>
    <w:rsid w:val="00420EF7"/>
    <w:rsid w:val="0042131D"/>
    <w:rsid w:val="0042146D"/>
    <w:rsid w:val="004216C2"/>
    <w:rsid w:val="0042172C"/>
    <w:rsid w:val="004217A3"/>
    <w:rsid w:val="004217C3"/>
    <w:rsid w:val="0042181E"/>
    <w:rsid w:val="00421871"/>
    <w:rsid w:val="0042187C"/>
    <w:rsid w:val="00421A26"/>
    <w:rsid w:val="00421A68"/>
    <w:rsid w:val="00421C81"/>
    <w:rsid w:val="00421C98"/>
    <w:rsid w:val="00421D5D"/>
    <w:rsid w:val="00421E08"/>
    <w:rsid w:val="00421E0B"/>
    <w:rsid w:val="00421F44"/>
    <w:rsid w:val="004222A4"/>
    <w:rsid w:val="004224F6"/>
    <w:rsid w:val="00422818"/>
    <w:rsid w:val="00422AAA"/>
    <w:rsid w:val="00422B55"/>
    <w:rsid w:val="00422C2C"/>
    <w:rsid w:val="00422D1D"/>
    <w:rsid w:val="00422D23"/>
    <w:rsid w:val="00422E59"/>
    <w:rsid w:val="00423047"/>
    <w:rsid w:val="0042305B"/>
    <w:rsid w:val="0042314F"/>
    <w:rsid w:val="00423182"/>
    <w:rsid w:val="00423409"/>
    <w:rsid w:val="00423601"/>
    <w:rsid w:val="00423689"/>
    <w:rsid w:val="0042378D"/>
    <w:rsid w:val="00423895"/>
    <w:rsid w:val="00423916"/>
    <w:rsid w:val="00423ECD"/>
    <w:rsid w:val="0042412D"/>
    <w:rsid w:val="004243E5"/>
    <w:rsid w:val="004243F1"/>
    <w:rsid w:val="00424486"/>
    <w:rsid w:val="0042450A"/>
    <w:rsid w:val="004246F1"/>
    <w:rsid w:val="00424902"/>
    <w:rsid w:val="00424A0D"/>
    <w:rsid w:val="00424A18"/>
    <w:rsid w:val="00424B2D"/>
    <w:rsid w:val="00424B38"/>
    <w:rsid w:val="00424B61"/>
    <w:rsid w:val="00424C77"/>
    <w:rsid w:val="00424DFD"/>
    <w:rsid w:val="00424E38"/>
    <w:rsid w:val="004251D2"/>
    <w:rsid w:val="00425321"/>
    <w:rsid w:val="004256CC"/>
    <w:rsid w:val="004257AB"/>
    <w:rsid w:val="00425A90"/>
    <w:rsid w:val="00425B02"/>
    <w:rsid w:val="00425B16"/>
    <w:rsid w:val="00425EA1"/>
    <w:rsid w:val="00425F62"/>
    <w:rsid w:val="004260C6"/>
    <w:rsid w:val="00426116"/>
    <w:rsid w:val="00426174"/>
    <w:rsid w:val="00426301"/>
    <w:rsid w:val="0042641D"/>
    <w:rsid w:val="00426556"/>
    <w:rsid w:val="004265A6"/>
    <w:rsid w:val="0042660E"/>
    <w:rsid w:val="0042664F"/>
    <w:rsid w:val="00426738"/>
    <w:rsid w:val="00426755"/>
    <w:rsid w:val="004267EB"/>
    <w:rsid w:val="00426ACB"/>
    <w:rsid w:val="00426D0D"/>
    <w:rsid w:val="00426E50"/>
    <w:rsid w:val="0042705F"/>
    <w:rsid w:val="004270C0"/>
    <w:rsid w:val="00427104"/>
    <w:rsid w:val="00427105"/>
    <w:rsid w:val="0042715C"/>
    <w:rsid w:val="0042718A"/>
    <w:rsid w:val="004271B8"/>
    <w:rsid w:val="00427304"/>
    <w:rsid w:val="00427330"/>
    <w:rsid w:val="004273C1"/>
    <w:rsid w:val="0042755A"/>
    <w:rsid w:val="004277BA"/>
    <w:rsid w:val="0042788A"/>
    <w:rsid w:val="004278E1"/>
    <w:rsid w:val="00427978"/>
    <w:rsid w:val="00427A07"/>
    <w:rsid w:val="00427A11"/>
    <w:rsid w:val="00427A19"/>
    <w:rsid w:val="00427BBA"/>
    <w:rsid w:val="00427C1E"/>
    <w:rsid w:val="00427C21"/>
    <w:rsid w:val="00427C87"/>
    <w:rsid w:val="00427CAA"/>
    <w:rsid w:val="0043009E"/>
    <w:rsid w:val="004301D2"/>
    <w:rsid w:val="0043026B"/>
    <w:rsid w:val="00430740"/>
    <w:rsid w:val="00430999"/>
    <w:rsid w:val="00430A7A"/>
    <w:rsid w:val="00430D44"/>
    <w:rsid w:val="00430D72"/>
    <w:rsid w:val="00430EAC"/>
    <w:rsid w:val="00430F93"/>
    <w:rsid w:val="0043129F"/>
    <w:rsid w:val="00431395"/>
    <w:rsid w:val="0043140C"/>
    <w:rsid w:val="0043143B"/>
    <w:rsid w:val="00431503"/>
    <w:rsid w:val="004317C2"/>
    <w:rsid w:val="004317CD"/>
    <w:rsid w:val="00431913"/>
    <w:rsid w:val="0043198E"/>
    <w:rsid w:val="00431AC1"/>
    <w:rsid w:val="00431B0E"/>
    <w:rsid w:val="00431DDA"/>
    <w:rsid w:val="00431F3A"/>
    <w:rsid w:val="004321D4"/>
    <w:rsid w:val="0043223B"/>
    <w:rsid w:val="0043223F"/>
    <w:rsid w:val="004324BC"/>
    <w:rsid w:val="0043253F"/>
    <w:rsid w:val="00432707"/>
    <w:rsid w:val="0043271C"/>
    <w:rsid w:val="00432774"/>
    <w:rsid w:val="004327D9"/>
    <w:rsid w:val="00432AB1"/>
    <w:rsid w:val="00432C84"/>
    <w:rsid w:val="00432D8B"/>
    <w:rsid w:val="00432F36"/>
    <w:rsid w:val="00432F52"/>
    <w:rsid w:val="00433028"/>
    <w:rsid w:val="00433042"/>
    <w:rsid w:val="00433171"/>
    <w:rsid w:val="00433231"/>
    <w:rsid w:val="004333B7"/>
    <w:rsid w:val="00433466"/>
    <w:rsid w:val="00433560"/>
    <w:rsid w:val="004336D6"/>
    <w:rsid w:val="0043378F"/>
    <w:rsid w:val="004337AE"/>
    <w:rsid w:val="00433A33"/>
    <w:rsid w:val="00433AEB"/>
    <w:rsid w:val="00433B4E"/>
    <w:rsid w:val="00433BD3"/>
    <w:rsid w:val="00433C13"/>
    <w:rsid w:val="00433C82"/>
    <w:rsid w:val="00433CE2"/>
    <w:rsid w:val="00433CEF"/>
    <w:rsid w:val="00433D23"/>
    <w:rsid w:val="00433D85"/>
    <w:rsid w:val="00433DC1"/>
    <w:rsid w:val="00434463"/>
    <w:rsid w:val="00434504"/>
    <w:rsid w:val="00434583"/>
    <w:rsid w:val="004346A6"/>
    <w:rsid w:val="004346DF"/>
    <w:rsid w:val="00434741"/>
    <w:rsid w:val="00434755"/>
    <w:rsid w:val="00434857"/>
    <w:rsid w:val="004348CC"/>
    <w:rsid w:val="004348E4"/>
    <w:rsid w:val="0043490A"/>
    <w:rsid w:val="00434928"/>
    <w:rsid w:val="00434A85"/>
    <w:rsid w:val="00434C44"/>
    <w:rsid w:val="00434CC6"/>
    <w:rsid w:val="00434FD0"/>
    <w:rsid w:val="00435567"/>
    <w:rsid w:val="004355FF"/>
    <w:rsid w:val="00435792"/>
    <w:rsid w:val="00435810"/>
    <w:rsid w:val="004358B3"/>
    <w:rsid w:val="004359C8"/>
    <w:rsid w:val="004359F8"/>
    <w:rsid w:val="00435D5B"/>
    <w:rsid w:val="00435D6E"/>
    <w:rsid w:val="00435F9D"/>
    <w:rsid w:val="004360AA"/>
    <w:rsid w:val="004363E1"/>
    <w:rsid w:val="00436412"/>
    <w:rsid w:val="004364C2"/>
    <w:rsid w:val="004366B0"/>
    <w:rsid w:val="004366BE"/>
    <w:rsid w:val="004367A4"/>
    <w:rsid w:val="004367AA"/>
    <w:rsid w:val="0043681F"/>
    <w:rsid w:val="00436A53"/>
    <w:rsid w:val="00436A5D"/>
    <w:rsid w:val="00436C19"/>
    <w:rsid w:val="00436D9D"/>
    <w:rsid w:val="00436E03"/>
    <w:rsid w:val="004371B9"/>
    <w:rsid w:val="0043737A"/>
    <w:rsid w:val="0043752B"/>
    <w:rsid w:val="00437691"/>
    <w:rsid w:val="0043772A"/>
    <w:rsid w:val="004377CC"/>
    <w:rsid w:val="004378CE"/>
    <w:rsid w:val="00437A55"/>
    <w:rsid w:val="00437AC4"/>
    <w:rsid w:val="00437AEF"/>
    <w:rsid w:val="00437B42"/>
    <w:rsid w:val="00437C96"/>
    <w:rsid w:val="00437E09"/>
    <w:rsid w:val="00437FCE"/>
    <w:rsid w:val="00440074"/>
    <w:rsid w:val="004401CC"/>
    <w:rsid w:val="00440439"/>
    <w:rsid w:val="0044052B"/>
    <w:rsid w:val="00440622"/>
    <w:rsid w:val="00440915"/>
    <w:rsid w:val="00440941"/>
    <w:rsid w:val="004409CB"/>
    <w:rsid w:val="004409F7"/>
    <w:rsid w:val="00440A1B"/>
    <w:rsid w:val="00440E49"/>
    <w:rsid w:val="00440E9B"/>
    <w:rsid w:val="00441163"/>
    <w:rsid w:val="004411E0"/>
    <w:rsid w:val="0044131C"/>
    <w:rsid w:val="00441379"/>
    <w:rsid w:val="004413BC"/>
    <w:rsid w:val="0044156B"/>
    <w:rsid w:val="0044165B"/>
    <w:rsid w:val="004418D3"/>
    <w:rsid w:val="0044191A"/>
    <w:rsid w:val="00441AA9"/>
    <w:rsid w:val="00441C37"/>
    <w:rsid w:val="00441CDE"/>
    <w:rsid w:val="00441E76"/>
    <w:rsid w:val="004421E1"/>
    <w:rsid w:val="004421F2"/>
    <w:rsid w:val="0044238F"/>
    <w:rsid w:val="004423EC"/>
    <w:rsid w:val="0044242E"/>
    <w:rsid w:val="0044256B"/>
    <w:rsid w:val="00442714"/>
    <w:rsid w:val="004427F1"/>
    <w:rsid w:val="004428AF"/>
    <w:rsid w:val="00442A16"/>
    <w:rsid w:val="00442ADD"/>
    <w:rsid w:val="00442B22"/>
    <w:rsid w:val="00442C3B"/>
    <w:rsid w:val="00442E4D"/>
    <w:rsid w:val="00442F13"/>
    <w:rsid w:val="00443174"/>
    <w:rsid w:val="00443228"/>
    <w:rsid w:val="0044366B"/>
    <w:rsid w:val="0044369D"/>
    <w:rsid w:val="00443745"/>
    <w:rsid w:val="00443840"/>
    <w:rsid w:val="00443862"/>
    <w:rsid w:val="0044389D"/>
    <w:rsid w:val="00443C01"/>
    <w:rsid w:val="00443CBB"/>
    <w:rsid w:val="00443D4B"/>
    <w:rsid w:val="00443EBD"/>
    <w:rsid w:val="00443FA4"/>
    <w:rsid w:val="00444054"/>
    <w:rsid w:val="00444144"/>
    <w:rsid w:val="00444392"/>
    <w:rsid w:val="00444397"/>
    <w:rsid w:val="004443CB"/>
    <w:rsid w:val="004445D2"/>
    <w:rsid w:val="0044478E"/>
    <w:rsid w:val="0044481A"/>
    <w:rsid w:val="0044483F"/>
    <w:rsid w:val="00444942"/>
    <w:rsid w:val="00444A0F"/>
    <w:rsid w:val="00444A4F"/>
    <w:rsid w:val="00444A6F"/>
    <w:rsid w:val="00444BE1"/>
    <w:rsid w:val="00444CC0"/>
    <w:rsid w:val="00444CDB"/>
    <w:rsid w:val="00444D05"/>
    <w:rsid w:val="00444DF0"/>
    <w:rsid w:val="00444E9D"/>
    <w:rsid w:val="00444F27"/>
    <w:rsid w:val="00444F9E"/>
    <w:rsid w:val="00444FC1"/>
    <w:rsid w:val="00445257"/>
    <w:rsid w:val="0044541B"/>
    <w:rsid w:val="004454DC"/>
    <w:rsid w:val="004455D7"/>
    <w:rsid w:val="00445730"/>
    <w:rsid w:val="0044575A"/>
    <w:rsid w:val="00445945"/>
    <w:rsid w:val="00445B45"/>
    <w:rsid w:val="00445BEF"/>
    <w:rsid w:val="00445DE9"/>
    <w:rsid w:val="00445E72"/>
    <w:rsid w:val="00446070"/>
    <w:rsid w:val="00446079"/>
    <w:rsid w:val="0044618C"/>
    <w:rsid w:val="0044626B"/>
    <w:rsid w:val="004462D5"/>
    <w:rsid w:val="004463DC"/>
    <w:rsid w:val="00446510"/>
    <w:rsid w:val="0044655B"/>
    <w:rsid w:val="004465B6"/>
    <w:rsid w:val="00446758"/>
    <w:rsid w:val="0044684F"/>
    <w:rsid w:val="00446884"/>
    <w:rsid w:val="004469D6"/>
    <w:rsid w:val="00446F46"/>
    <w:rsid w:val="004470F8"/>
    <w:rsid w:val="0044719B"/>
    <w:rsid w:val="0044719D"/>
    <w:rsid w:val="004472F0"/>
    <w:rsid w:val="004473CB"/>
    <w:rsid w:val="004474A9"/>
    <w:rsid w:val="004475BB"/>
    <w:rsid w:val="0044784A"/>
    <w:rsid w:val="00447922"/>
    <w:rsid w:val="0044796D"/>
    <w:rsid w:val="00447B93"/>
    <w:rsid w:val="00447CD3"/>
    <w:rsid w:val="00447E6F"/>
    <w:rsid w:val="00447F4D"/>
    <w:rsid w:val="004500D3"/>
    <w:rsid w:val="0045013D"/>
    <w:rsid w:val="004503E9"/>
    <w:rsid w:val="0045042B"/>
    <w:rsid w:val="00450493"/>
    <w:rsid w:val="0045064C"/>
    <w:rsid w:val="0045067D"/>
    <w:rsid w:val="0045069E"/>
    <w:rsid w:val="004506D7"/>
    <w:rsid w:val="0045096E"/>
    <w:rsid w:val="00450A1C"/>
    <w:rsid w:val="00450AD0"/>
    <w:rsid w:val="00450B4A"/>
    <w:rsid w:val="00450B94"/>
    <w:rsid w:val="00450B9C"/>
    <w:rsid w:val="00450D94"/>
    <w:rsid w:val="00450E2F"/>
    <w:rsid w:val="00450F9C"/>
    <w:rsid w:val="00451020"/>
    <w:rsid w:val="004510B1"/>
    <w:rsid w:val="004510EA"/>
    <w:rsid w:val="00451214"/>
    <w:rsid w:val="004513C0"/>
    <w:rsid w:val="00451949"/>
    <w:rsid w:val="00451A28"/>
    <w:rsid w:val="00451B29"/>
    <w:rsid w:val="00451B8B"/>
    <w:rsid w:val="00451BFF"/>
    <w:rsid w:val="00451C44"/>
    <w:rsid w:val="00451F74"/>
    <w:rsid w:val="00451F86"/>
    <w:rsid w:val="00452271"/>
    <w:rsid w:val="004525B5"/>
    <w:rsid w:val="004525C0"/>
    <w:rsid w:val="0045271A"/>
    <w:rsid w:val="004529E5"/>
    <w:rsid w:val="00452A54"/>
    <w:rsid w:val="00452D07"/>
    <w:rsid w:val="00452FB3"/>
    <w:rsid w:val="0045307D"/>
    <w:rsid w:val="00453198"/>
    <w:rsid w:val="0045366A"/>
    <w:rsid w:val="004536AA"/>
    <w:rsid w:val="00453757"/>
    <w:rsid w:val="00453897"/>
    <w:rsid w:val="00453941"/>
    <w:rsid w:val="00453AB4"/>
    <w:rsid w:val="00453ABC"/>
    <w:rsid w:val="00453B78"/>
    <w:rsid w:val="00453C68"/>
    <w:rsid w:val="00453D2D"/>
    <w:rsid w:val="00453E7B"/>
    <w:rsid w:val="0045417F"/>
    <w:rsid w:val="0045436C"/>
    <w:rsid w:val="004543FA"/>
    <w:rsid w:val="0045447F"/>
    <w:rsid w:val="0045453A"/>
    <w:rsid w:val="004546F7"/>
    <w:rsid w:val="00454915"/>
    <w:rsid w:val="004549C7"/>
    <w:rsid w:val="00454B7A"/>
    <w:rsid w:val="00454CD0"/>
    <w:rsid w:val="00454CE4"/>
    <w:rsid w:val="00454F4D"/>
    <w:rsid w:val="004553F3"/>
    <w:rsid w:val="00455445"/>
    <w:rsid w:val="00455572"/>
    <w:rsid w:val="0045564E"/>
    <w:rsid w:val="0045574D"/>
    <w:rsid w:val="00455796"/>
    <w:rsid w:val="00455A1C"/>
    <w:rsid w:val="00455A7E"/>
    <w:rsid w:val="00455AA3"/>
    <w:rsid w:val="00455AF3"/>
    <w:rsid w:val="00455BFC"/>
    <w:rsid w:val="00455D12"/>
    <w:rsid w:val="00455E21"/>
    <w:rsid w:val="00455F5E"/>
    <w:rsid w:val="00455FB9"/>
    <w:rsid w:val="00455FD8"/>
    <w:rsid w:val="00456142"/>
    <w:rsid w:val="0045636B"/>
    <w:rsid w:val="0045642C"/>
    <w:rsid w:val="0045649C"/>
    <w:rsid w:val="00456845"/>
    <w:rsid w:val="0045689B"/>
    <w:rsid w:val="00456A7E"/>
    <w:rsid w:val="00456DF3"/>
    <w:rsid w:val="00456E30"/>
    <w:rsid w:val="00456EFC"/>
    <w:rsid w:val="00456FCE"/>
    <w:rsid w:val="004572A3"/>
    <w:rsid w:val="004572AB"/>
    <w:rsid w:val="004572B6"/>
    <w:rsid w:val="004572CC"/>
    <w:rsid w:val="00457400"/>
    <w:rsid w:val="00457498"/>
    <w:rsid w:val="004574CB"/>
    <w:rsid w:val="0045765D"/>
    <w:rsid w:val="004577E1"/>
    <w:rsid w:val="0045792F"/>
    <w:rsid w:val="00457B3B"/>
    <w:rsid w:val="00457B74"/>
    <w:rsid w:val="00457C38"/>
    <w:rsid w:val="00457F57"/>
    <w:rsid w:val="00460025"/>
    <w:rsid w:val="00460096"/>
    <w:rsid w:val="004600E1"/>
    <w:rsid w:val="004601B5"/>
    <w:rsid w:val="004602B5"/>
    <w:rsid w:val="00460528"/>
    <w:rsid w:val="004605CF"/>
    <w:rsid w:val="00460A9D"/>
    <w:rsid w:val="00460AA4"/>
    <w:rsid w:val="00460C13"/>
    <w:rsid w:val="00460D8F"/>
    <w:rsid w:val="00460DD3"/>
    <w:rsid w:val="0046103C"/>
    <w:rsid w:val="0046117C"/>
    <w:rsid w:val="004611DF"/>
    <w:rsid w:val="004612AC"/>
    <w:rsid w:val="0046132E"/>
    <w:rsid w:val="00461474"/>
    <w:rsid w:val="004614D2"/>
    <w:rsid w:val="004615D9"/>
    <w:rsid w:val="004616F9"/>
    <w:rsid w:val="00461936"/>
    <w:rsid w:val="00461B31"/>
    <w:rsid w:val="00461D3E"/>
    <w:rsid w:val="00461D80"/>
    <w:rsid w:val="00461F75"/>
    <w:rsid w:val="00461FEC"/>
    <w:rsid w:val="00462030"/>
    <w:rsid w:val="00462172"/>
    <w:rsid w:val="004621A0"/>
    <w:rsid w:val="00462267"/>
    <w:rsid w:val="004622C6"/>
    <w:rsid w:val="00462312"/>
    <w:rsid w:val="00462331"/>
    <w:rsid w:val="00462375"/>
    <w:rsid w:val="0046249E"/>
    <w:rsid w:val="0046263D"/>
    <w:rsid w:val="0046282C"/>
    <w:rsid w:val="004628F2"/>
    <w:rsid w:val="00462A49"/>
    <w:rsid w:val="00462A92"/>
    <w:rsid w:val="00462BBC"/>
    <w:rsid w:val="00462BD2"/>
    <w:rsid w:val="00462E33"/>
    <w:rsid w:val="00462F21"/>
    <w:rsid w:val="004631B0"/>
    <w:rsid w:val="004631C4"/>
    <w:rsid w:val="00463239"/>
    <w:rsid w:val="0046353A"/>
    <w:rsid w:val="00463593"/>
    <w:rsid w:val="0046362B"/>
    <w:rsid w:val="0046363B"/>
    <w:rsid w:val="00463705"/>
    <w:rsid w:val="004637FA"/>
    <w:rsid w:val="00463824"/>
    <w:rsid w:val="0046389F"/>
    <w:rsid w:val="004638E4"/>
    <w:rsid w:val="00463BA4"/>
    <w:rsid w:val="00463CE8"/>
    <w:rsid w:val="00463DD4"/>
    <w:rsid w:val="00463E54"/>
    <w:rsid w:val="00463EB0"/>
    <w:rsid w:val="00463EE4"/>
    <w:rsid w:val="00463F4E"/>
    <w:rsid w:val="004640EE"/>
    <w:rsid w:val="00464134"/>
    <w:rsid w:val="0046424E"/>
    <w:rsid w:val="00464305"/>
    <w:rsid w:val="00464314"/>
    <w:rsid w:val="0046431F"/>
    <w:rsid w:val="00464376"/>
    <w:rsid w:val="00464582"/>
    <w:rsid w:val="00464625"/>
    <w:rsid w:val="004649A3"/>
    <w:rsid w:val="00464A7C"/>
    <w:rsid w:val="00464B96"/>
    <w:rsid w:val="00464BDC"/>
    <w:rsid w:val="00464F9D"/>
    <w:rsid w:val="004654D1"/>
    <w:rsid w:val="0046556F"/>
    <w:rsid w:val="00465571"/>
    <w:rsid w:val="0046560A"/>
    <w:rsid w:val="00465787"/>
    <w:rsid w:val="004657B4"/>
    <w:rsid w:val="00465808"/>
    <w:rsid w:val="0046585D"/>
    <w:rsid w:val="004658A8"/>
    <w:rsid w:val="00465BFA"/>
    <w:rsid w:val="00465CF0"/>
    <w:rsid w:val="00465D23"/>
    <w:rsid w:val="00465D31"/>
    <w:rsid w:val="00465E25"/>
    <w:rsid w:val="00465EB0"/>
    <w:rsid w:val="004661F0"/>
    <w:rsid w:val="0046620F"/>
    <w:rsid w:val="0046628B"/>
    <w:rsid w:val="004663A6"/>
    <w:rsid w:val="0046641F"/>
    <w:rsid w:val="0046659E"/>
    <w:rsid w:val="00466611"/>
    <w:rsid w:val="004666C2"/>
    <w:rsid w:val="004666ED"/>
    <w:rsid w:val="00466770"/>
    <w:rsid w:val="004667AD"/>
    <w:rsid w:val="004667EB"/>
    <w:rsid w:val="00466BBB"/>
    <w:rsid w:val="00466C84"/>
    <w:rsid w:val="00466EE6"/>
    <w:rsid w:val="004670C4"/>
    <w:rsid w:val="004671C4"/>
    <w:rsid w:val="004672B8"/>
    <w:rsid w:val="004672FF"/>
    <w:rsid w:val="00467489"/>
    <w:rsid w:val="0046764C"/>
    <w:rsid w:val="004676D6"/>
    <w:rsid w:val="0046771A"/>
    <w:rsid w:val="00467772"/>
    <w:rsid w:val="004679E0"/>
    <w:rsid w:val="00467A17"/>
    <w:rsid w:val="00467D6E"/>
    <w:rsid w:val="00467DA8"/>
    <w:rsid w:val="00467E75"/>
    <w:rsid w:val="004700AD"/>
    <w:rsid w:val="004700B1"/>
    <w:rsid w:val="004700B4"/>
    <w:rsid w:val="004701A5"/>
    <w:rsid w:val="004701D7"/>
    <w:rsid w:val="004703F5"/>
    <w:rsid w:val="0047064E"/>
    <w:rsid w:val="00470659"/>
    <w:rsid w:val="004707EC"/>
    <w:rsid w:val="004709D5"/>
    <w:rsid w:val="00470A1B"/>
    <w:rsid w:val="00470C30"/>
    <w:rsid w:val="00470D13"/>
    <w:rsid w:val="00470D59"/>
    <w:rsid w:val="00470DFC"/>
    <w:rsid w:val="00470F41"/>
    <w:rsid w:val="004710D2"/>
    <w:rsid w:val="004712B2"/>
    <w:rsid w:val="004712B7"/>
    <w:rsid w:val="004713D7"/>
    <w:rsid w:val="004714B4"/>
    <w:rsid w:val="00471584"/>
    <w:rsid w:val="004715AD"/>
    <w:rsid w:val="004715AF"/>
    <w:rsid w:val="004715D8"/>
    <w:rsid w:val="00471641"/>
    <w:rsid w:val="00471841"/>
    <w:rsid w:val="00471866"/>
    <w:rsid w:val="00471870"/>
    <w:rsid w:val="004718AA"/>
    <w:rsid w:val="00471A4B"/>
    <w:rsid w:val="00471C20"/>
    <w:rsid w:val="00471D38"/>
    <w:rsid w:val="00471DC0"/>
    <w:rsid w:val="00471E10"/>
    <w:rsid w:val="00471E8B"/>
    <w:rsid w:val="00471F7C"/>
    <w:rsid w:val="004720B1"/>
    <w:rsid w:val="004720BB"/>
    <w:rsid w:val="00472139"/>
    <w:rsid w:val="0047213C"/>
    <w:rsid w:val="00472243"/>
    <w:rsid w:val="00472291"/>
    <w:rsid w:val="004722E8"/>
    <w:rsid w:val="004724CF"/>
    <w:rsid w:val="00472657"/>
    <w:rsid w:val="0047292B"/>
    <w:rsid w:val="004729CB"/>
    <w:rsid w:val="00472B22"/>
    <w:rsid w:val="00472CD3"/>
    <w:rsid w:val="00472D53"/>
    <w:rsid w:val="00472ED9"/>
    <w:rsid w:val="00472EF9"/>
    <w:rsid w:val="00472F0C"/>
    <w:rsid w:val="00472F91"/>
    <w:rsid w:val="00472F98"/>
    <w:rsid w:val="004730BD"/>
    <w:rsid w:val="004731F6"/>
    <w:rsid w:val="00473333"/>
    <w:rsid w:val="004733EC"/>
    <w:rsid w:val="004735EB"/>
    <w:rsid w:val="0047368E"/>
    <w:rsid w:val="0047386C"/>
    <w:rsid w:val="004739F7"/>
    <w:rsid w:val="00473AD4"/>
    <w:rsid w:val="00473C70"/>
    <w:rsid w:val="00473D92"/>
    <w:rsid w:val="00473F14"/>
    <w:rsid w:val="00473F4F"/>
    <w:rsid w:val="00473F93"/>
    <w:rsid w:val="00473FF3"/>
    <w:rsid w:val="0047403D"/>
    <w:rsid w:val="004740E4"/>
    <w:rsid w:val="0047425E"/>
    <w:rsid w:val="0047457B"/>
    <w:rsid w:val="0047468A"/>
    <w:rsid w:val="00474734"/>
    <w:rsid w:val="00474814"/>
    <w:rsid w:val="004748CA"/>
    <w:rsid w:val="004748DD"/>
    <w:rsid w:val="00474BD4"/>
    <w:rsid w:val="00474C24"/>
    <w:rsid w:val="00474C8D"/>
    <w:rsid w:val="00474E37"/>
    <w:rsid w:val="00474E3A"/>
    <w:rsid w:val="00474EED"/>
    <w:rsid w:val="00474F3A"/>
    <w:rsid w:val="004751F8"/>
    <w:rsid w:val="00475245"/>
    <w:rsid w:val="004752B7"/>
    <w:rsid w:val="004753FE"/>
    <w:rsid w:val="00475408"/>
    <w:rsid w:val="004754DA"/>
    <w:rsid w:val="004756E4"/>
    <w:rsid w:val="004757AB"/>
    <w:rsid w:val="00475947"/>
    <w:rsid w:val="00475A1D"/>
    <w:rsid w:val="00475B90"/>
    <w:rsid w:val="00475BEE"/>
    <w:rsid w:val="00475C54"/>
    <w:rsid w:val="00475CDC"/>
    <w:rsid w:val="00475E6D"/>
    <w:rsid w:val="0047609D"/>
    <w:rsid w:val="004760A8"/>
    <w:rsid w:val="00476111"/>
    <w:rsid w:val="004761F6"/>
    <w:rsid w:val="004765B7"/>
    <w:rsid w:val="0047662C"/>
    <w:rsid w:val="004767FF"/>
    <w:rsid w:val="00476814"/>
    <w:rsid w:val="00476815"/>
    <w:rsid w:val="00476904"/>
    <w:rsid w:val="004769E3"/>
    <w:rsid w:val="00476B84"/>
    <w:rsid w:val="00476CD3"/>
    <w:rsid w:val="00476DB7"/>
    <w:rsid w:val="00477047"/>
    <w:rsid w:val="00477122"/>
    <w:rsid w:val="004771A8"/>
    <w:rsid w:val="0047726C"/>
    <w:rsid w:val="004774EC"/>
    <w:rsid w:val="004774F7"/>
    <w:rsid w:val="004775E3"/>
    <w:rsid w:val="00477CCD"/>
    <w:rsid w:val="00477CE3"/>
    <w:rsid w:val="00477E9D"/>
    <w:rsid w:val="00477F38"/>
    <w:rsid w:val="00477F4E"/>
    <w:rsid w:val="00477F92"/>
    <w:rsid w:val="00480014"/>
    <w:rsid w:val="00480028"/>
    <w:rsid w:val="00480066"/>
    <w:rsid w:val="00480067"/>
    <w:rsid w:val="0048012A"/>
    <w:rsid w:val="00480133"/>
    <w:rsid w:val="00480151"/>
    <w:rsid w:val="00480166"/>
    <w:rsid w:val="004803EA"/>
    <w:rsid w:val="004804E2"/>
    <w:rsid w:val="00480511"/>
    <w:rsid w:val="004805C0"/>
    <w:rsid w:val="0048065E"/>
    <w:rsid w:val="00480714"/>
    <w:rsid w:val="00480827"/>
    <w:rsid w:val="00480846"/>
    <w:rsid w:val="00480855"/>
    <w:rsid w:val="00480B8F"/>
    <w:rsid w:val="00480EAE"/>
    <w:rsid w:val="00480F8E"/>
    <w:rsid w:val="00480F9A"/>
    <w:rsid w:val="00481089"/>
    <w:rsid w:val="0048133B"/>
    <w:rsid w:val="004816FE"/>
    <w:rsid w:val="004817C0"/>
    <w:rsid w:val="004817CF"/>
    <w:rsid w:val="0048197A"/>
    <w:rsid w:val="0048198B"/>
    <w:rsid w:val="00481C15"/>
    <w:rsid w:val="00481C98"/>
    <w:rsid w:val="00481E62"/>
    <w:rsid w:val="00481F5A"/>
    <w:rsid w:val="00481F6A"/>
    <w:rsid w:val="00482302"/>
    <w:rsid w:val="00482342"/>
    <w:rsid w:val="0048241B"/>
    <w:rsid w:val="00482548"/>
    <w:rsid w:val="0048265D"/>
    <w:rsid w:val="0048267A"/>
    <w:rsid w:val="004827DC"/>
    <w:rsid w:val="00482D1A"/>
    <w:rsid w:val="00482D88"/>
    <w:rsid w:val="00482DF6"/>
    <w:rsid w:val="00482E96"/>
    <w:rsid w:val="00482F22"/>
    <w:rsid w:val="00483024"/>
    <w:rsid w:val="0048306C"/>
    <w:rsid w:val="00483153"/>
    <w:rsid w:val="004833B8"/>
    <w:rsid w:val="00483401"/>
    <w:rsid w:val="00483484"/>
    <w:rsid w:val="00483542"/>
    <w:rsid w:val="004835AD"/>
    <w:rsid w:val="00483635"/>
    <w:rsid w:val="00483723"/>
    <w:rsid w:val="00483738"/>
    <w:rsid w:val="0048382E"/>
    <w:rsid w:val="0048385F"/>
    <w:rsid w:val="00483B8F"/>
    <w:rsid w:val="00483CC7"/>
    <w:rsid w:val="00483D0D"/>
    <w:rsid w:val="00483D9A"/>
    <w:rsid w:val="00483FB4"/>
    <w:rsid w:val="004843A5"/>
    <w:rsid w:val="0048464C"/>
    <w:rsid w:val="0048469A"/>
    <w:rsid w:val="004847C6"/>
    <w:rsid w:val="0048482C"/>
    <w:rsid w:val="00484915"/>
    <w:rsid w:val="004849D4"/>
    <w:rsid w:val="00484A34"/>
    <w:rsid w:val="00484BE9"/>
    <w:rsid w:val="00484CF6"/>
    <w:rsid w:val="004850EC"/>
    <w:rsid w:val="004851B5"/>
    <w:rsid w:val="00485786"/>
    <w:rsid w:val="00485B6F"/>
    <w:rsid w:val="00485C43"/>
    <w:rsid w:val="00485C51"/>
    <w:rsid w:val="00485DAC"/>
    <w:rsid w:val="00485DF1"/>
    <w:rsid w:val="00485E02"/>
    <w:rsid w:val="00485E91"/>
    <w:rsid w:val="00486004"/>
    <w:rsid w:val="00486142"/>
    <w:rsid w:val="004861C6"/>
    <w:rsid w:val="0048621F"/>
    <w:rsid w:val="00486313"/>
    <w:rsid w:val="004864C9"/>
    <w:rsid w:val="00486597"/>
    <w:rsid w:val="00486C26"/>
    <w:rsid w:val="00486C69"/>
    <w:rsid w:val="00486D9F"/>
    <w:rsid w:val="00486E18"/>
    <w:rsid w:val="00486E44"/>
    <w:rsid w:val="00486E74"/>
    <w:rsid w:val="00486F96"/>
    <w:rsid w:val="00486FBD"/>
    <w:rsid w:val="00487085"/>
    <w:rsid w:val="004870B0"/>
    <w:rsid w:val="004870F9"/>
    <w:rsid w:val="004871F0"/>
    <w:rsid w:val="00487209"/>
    <w:rsid w:val="0048731A"/>
    <w:rsid w:val="00487335"/>
    <w:rsid w:val="00487384"/>
    <w:rsid w:val="004876DE"/>
    <w:rsid w:val="0048778C"/>
    <w:rsid w:val="00487834"/>
    <w:rsid w:val="0048783E"/>
    <w:rsid w:val="004879F1"/>
    <w:rsid w:val="00487B51"/>
    <w:rsid w:val="00487DB0"/>
    <w:rsid w:val="00487E93"/>
    <w:rsid w:val="00490085"/>
    <w:rsid w:val="00490202"/>
    <w:rsid w:val="004902FE"/>
    <w:rsid w:val="004905F4"/>
    <w:rsid w:val="0049060B"/>
    <w:rsid w:val="00490619"/>
    <w:rsid w:val="004906F5"/>
    <w:rsid w:val="0049086E"/>
    <w:rsid w:val="004908B4"/>
    <w:rsid w:val="00490A21"/>
    <w:rsid w:val="00490CCF"/>
    <w:rsid w:val="00490CE7"/>
    <w:rsid w:val="00490DA8"/>
    <w:rsid w:val="00490E1C"/>
    <w:rsid w:val="00490EE4"/>
    <w:rsid w:val="00490F18"/>
    <w:rsid w:val="00490FE5"/>
    <w:rsid w:val="004910CD"/>
    <w:rsid w:val="004912BE"/>
    <w:rsid w:val="00491366"/>
    <w:rsid w:val="004913E9"/>
    <w:rsid w:val="004915A5"/>
    <w:rsid w:val="0049175B"/>
    <w:rsid w:val="00491858"/>
    <w:rsid w:val="0049196B"/>
    <w:rsid w:val="004919A4"/>
    <w:rsid w:val="00491A6F"/>
    <w:rsid w:val="00491D1D"/>
    <w:rsid w:val="00491E38"/>
    <w:rsid w:val="00491E50"/>
    <w:rsid w:val="00491EBC"/>
    <w:rsid w:val="00491F86"/>
    <w:rsid w:val="0049230E"/>
    <w:rsid w:val="0049243E"/>
    <w:rsid w:val="00492537"/>
    <w:rsid w:val="004925C2"/>
    <w:rsid w:val="00492619"/>
    <w:rsid w:val="00492685"/>
    <w:rsid w:val="004926CE"/>
    <w:rsid w:val="004927F7"/>
    <w:rsid w:val="004929E6"/>
    <w:rsid w:val="00492A29"/>
    <w:rsid w:val="00492A8A"/>
    <w:rsid w:val="00492E31"/>
    <w:rsid w:val="00492F3D"/>
    <w:rsid w:val="00492F4D"/>
    <w:rsid w:val="00493006"/>
    <w:rsid w:val="0049331D"/>
    <w:rsid w:val="004933BD"/>
    <w:rsid w:val="00493436"/>
    <w:rsid w:val="004935EC"/>
    <w:rsid w:val="0049375D"/>
    <w:rsid w:val="00493764"/>
    <w:rsid w:val="00493817"/>
    <w:rsid w:val="00493867"/>
    <w:rsid w:val="004939C6"/>
    <w:rsid w:val="004939EB"/>
    <w:rsid w:val="00493B32"/>
    <w:rsid w:val="00493C99"/>
    <w:rsid w:val="00493E45"/>
    <w:rsid w:val="00494015"/>
    <w:rsid w:val="0049409B"/>
    <w:rsid w:val="0049453C"/>
    <w:rsid w:val="00494689"/>
    <w:rsid w:val="004947C4"/>
    <w:rsid w:val="0049499C"/>
    <w:rsid w:val="00494B72"/>
    <w:rsid w:val="00494C5C"/>
    <w:rsid w:val="00494DF9"/>
    <w:rsid w:val="00494FD7"/>
    <w:rsid w:val="00495014"/>
    <w:rsid w:val="0049506E"/>
    <w:rsid w:val="0049513C"/>
    <w:rsid w:val="00495189"/>
    <w:rsid w:val="00495345"/>
    <w:rsid w:val="00495449"/>
    <w:rsid w:val="004954C7"/>
    <w:rsid w:val="00495567"/>
    <w:rsid w:val="00495575"/>
    <w:rsid w:val="004956B6"/>
    <w:rsid w:val="00495784"/>
    <w:rsid w:val="00495793"/>
    <w:rsid w:val="004959EF"/>
    <w:rsid w:val="00495A5F"/>
    <w:rsid w:val="00495D36"/>
    <w:rsid w:val="00495FE2"/>
    <w:rsid w:val="00496162"/>
    <w:rsid w:val="00496285"/>
    <w:rsid w:val="00496581"/>
    <w:rsid w:val="0049680F"/>
    <w:rsid w:val="0049684D"/>
    <w:rsid w:val="00496888"/>
    <w:rsid w:val="004969F2"/>
    <w:rsid w:val="00496ADB"/>
    <w:rsid w:val="00496C98"/>
    <w:rsid w:val="00496E7B"/>
    <w:rsid w:val="00496EE8"/>
    <w:rsid w:val="0049709A"/>
    <w:rsid w:val="004970BC"/>
    <w:rsid w:val="004972BF"/>
    <w:rsid w:val="0049736F"/>
    <w:rsid w:val="00497378"/>
    <w:rsid w:val="0049741B"/>
    <w:rsid w:val="0049742E"/>
    <w:rsid w:val="004974F7"/>
    <w:rsid w:val="00497537"/>
    <w:rsid w:val="0049767E"/>
    <w:rsid w:val="004978C6"/>
    <w:rsid w:val="00497C37"/>
    <w:rsid w:val="00497C4C"/>
    <w:rsid w:val="00497CD5"/>
    <w:rsid w:val="00497D92"/>
    <w:rsid w:val="00497E00"/>
    <w:rsid w:val="00497E79"/>
    <w:rsid w:val="00497F68"/>
    <w:rsid w:val="00497F69"/>
    <w:rsid w:val="004A02A2"/>
    <w:rsid w:val="004A05BF"/>
    <w:rsid w:val="004A05F5"/>
    <w:rsid w:val="004A06EA"/>
    <w:rsid w:val="004A0707"/>
    <w:rsid w:val="004A073E"/>
    <w:rsid w:val="004A0790"/>
    <w:rsid w:val="004A08E2"/>
    <w:rsid w:val="004A0925"/>
    <w:rsid w:val="004A0DAB"/>
    <w:rsid w:val="004A0E94"/>
    <w:rsid w:val="004A1271"/>
    <w:rsid w:val="004A1433"/>
    <w:rsid w:val="004A14F2"/>
    <w:rsid w:val="004A1717"/>
    <w:rsid w:val="004A1768"/>
    <w:rsid w:val="004A177B"/>
    <w:rsid w:val="004A1B12"/>
    <w:rsid w:val="004A1B4C"/>
    <w:rsid w:val="004A1C92"/>
    <w:rsid w:val="004A1CCF"/>
    <w:rsid w:val="004A1D6A"/>
    <w:rsid w:val="004A1F97"/>
    <w:rsid w:val="004A214A"/>
    <w:rsid w:val="004A2230"/>
    <w:rsid w:val="004A22ED"/>
    <w:rsid w:val="004A2335"/>
    <w:rsid w:val="004A23D8"/>
    <w:rsid w:val="004A2469"/>
    <w:rsid w:val="004A252C"/>
    <w:rsid w:val="004A2851"/>
    <w:rsid w:val="004A288D"/>
    <w:rsid w:val="004A28FA"/>
    <w:rsid w:val="004A2A84"/>
    <w:rsid w:val="004A2ADB"/>
    <w:rsid w:val="004A2B2C"/>
    <w:rsid w:val="004A2CDC"/>
    <w:rsid w:val="004A2D74"/>
    <w:rsid w:val="004A2E32"/>
    <w:rsid w:val="004A311E"/>
    <w:rsid w:val="004A3166"/>
    <w:rsid w:val="004A319A"/>
    <w:rsid w:val="004A3318"/>
    <w:rsid w:val="004A3439"/>
    <w:rsid w:val="004A3487"/>
    <w:rsid w:val="004A3495"/>
    <w:rsid w:val="004A34F1"/>
    <w:rsid w:val="004A3639"/>
    <w:rsid w:val="004A378E"/>
    <w:rsid w:val="004A38F3"/>
    <w:rsid w:val="004A3B4F"/>
    <w:rsid w:val="004A3C1D"/>
    <w:rsid w:val="004A3CB7"/>
    <w:rsid w:val="004A3D4F"/>
    <w:rsid w:val="004A3D61"/>
    <w:rsid w:val="004A3E02"/>
    <w:rsid w:val="004A3E8B"/>
    <w:rsid w:val="004A3EAC"/>
    <w:rsid w:val="004A3F48"/>
    <w:rsid w:val="004A441B"/>
    <w:rsid w:val="004A443D"/>
    <w:rsid w:val="004A44D8"/>
    <w:rsid w:val="004A45B1"/>
    <w:rsid w:val="004A45FD"/>
    <w:rsid w:val="004A4718"/>
    <w:rsid w:val="004A49B2"/>
    <w:rsid w:val="004A49C3"/>
    <w:rsid w:val="004A4A98"/>
    <w:rsid w:val="004A4B0A"/>
    <w:rsid w:val="004A4C13"/>
    <w:rsid w:val="004A4F1D"/>
    <w:rsid w:val="004A5084"/>
    <w:rsid w:val="004A50D7"/>
    <w:rsid w:val="004A522A"/>
    <w:rsid w:val="004A5307"/>
    <w:rsid w:val="004A54B5"/>
    <w:rsid w:val="004A554E"/>
    <w:rsid w:val="004A5748"/>
    <w:rsid w:val="004A574B"/>
    <w:rsid w:val="004A5756"/>
    <w:rsid w:val="004A5809"/>
    <w:rsid w:val="004A5908"/>
    <w:rsid w:val="004A5A2D"/>
    <w:rsid w:val="004A5C37"/>
    <w:rsid w:val="004A5C52"/>
    <w:rsid w:val="004A5CF8"/>
    <w:rsid w:val="004A6003"/>
    <w:rsid w:val="004A6045"/>
    <w:rsid w:val="004A607B"/>
    <w:rsid w:val="004A6247"/>
    <w:rsid w:val="004A6366"/>
    <w:rsid w:val="004A636E"/>
    <w:rsid w:val="004A6538"/>
    <w:rsid w:val="004A668D"/>
    <w:rsid w:val="004A679A"/>
    <w:rsid w:val="004A68C6"/>
    <w:rsid w:val="004A6914"/>
    <w:rsid w:val="004A6A57"/>
    <w:rsid w:val="004A6B72"/>
    <w:rsid w:val="004A6C0E"/>
    <w:rsid w:val="004A6C12"/>
    <w:rsid w:val="004A6D60"/>
    <w:rsid w:val="004A6DFF"/>
    <w:rsid w:val="004A6EAE"/>
    <w:rsid w:val="004A7037"/>
    <w:rsid w:val="004A7070"/>
    <w:rsid w:val="004A70A6"/>
    <w:rsid w:val="004A7164"/>
    <w:rsid w:val="004A7373"/>
    <w:rsid w:val="004A7426"/>
    <w:rsid w:val="004A742D"/>
    <w:rsid w:val="004A744E"/>
    <w:rsid w:val="004A7450"/>
    <w:rsid w:val="004A7537"/>
    <w:rsid w:val="004A75BF"/>
    <w:rsid w:val="004A77CF"/>
    <w:rsid w:val="004A7860"/>
    <w:rsid w:val="004A78A2"/>
    <w:rsid w:val="004A7A4C"/>
    <w:rsid w:val="004A7A7D"/>
    <w:rsid w:val="004A7AE9"/>
    <w:rsid w:val="004A7B19"/>
    <w:rsid w:val="004A7B70"/>
    <w:rsid w:val="004A7CCB"/>
    <w:rsid w:val="004A7D3A"/>
    <w:rsid w:val="004B0193"/>
    <w:rsid w:val="004B021C"/>
    <w:rsid w:val="004B037D"/>
    <w:rsid w:val="004B0382"/>
    <w:rsid w:val="004B03F6"/>
    <w:rsid w:val="004B06C8"/>
    <w:rsid w:val="004B0800"/>
    <w:rsid w:val="004B0804"/>
    <w:rsid w:val="004B0B54"/>
    <w:rsid w:val="004B0B73"/>
    <w:rsid w:val="004B0BC5"/>
    <w:rsid w:val="004B0CA6"/>
    <w:rsid w:val="004B0DE7"/>
    <w:rsid w:val="004B0E3B"/>
    <w:rsid w:val="004B1172"/>
    <w:rsid w:val="004B11E8"/>
    <w:rsid w:val="004B1330"/>
    <w:rsid w:val="004B156B"/>
    <w:rsid w:val="004B162F"/>
    <w:rsid w:val="004B1686"/>
    <w:rsid w:val="004B168E"/>
    <w:rsid w:val="004B196F"/>
    <w:rsid w:val="004B1B02"/>
    <w:rsid w:val="004B1CDD"/>
    <w:rsid w:val="004B1D36"/>
    <w:rsid w:val="004B1D47"/>
    <w:rsid w:val="004B1FD9"/>
    <w:rsid w:val="004B2016"/>
    <w:rsid w:val="004B2141"/>
    <w:rsid w:val="004B232C"/>
    <w:rsid w:val="004B26B1"/>
    <w:rsid w:val="004B271C"/>
    <w:rsid w:val="004B2756"/>
    <w:rsid w:val="004B2800"/>
    <w:rsid w:val="004B2A78"/>
    <w:rsid w:val="004B2BEC"/>
    <w:rsid w:val="004B2DED"/>
    <w:rsid w:val="004B2F42"/>
    <w:rsid w:val="004B3033"/>
    <w:rsid w:val="004B33F8"/>
    <w:rsid w:val="004B34F7"/>
    <w:rsid w:val="004B3567"/>
    <w:rsid w:val="004B35F3"/>
    <w:rsid w:val="004B363E"/>
    <w:rsid w:val="004B37D6"/>
    <w:rsid w:val="004B3824"/>
    <w:rsid w:val="004B3B32"/>
    <w:rsid w:val="004B3B5E"/>
    <w:rsid w:val="004B3CA7"/>
    <w:rsid w:val="004B3D12"/>
    <w:rsid w:val="004B3DE8"/>
    <w:rsid w:val="004B3E38"/>
    <w:rsid w:val="004B3F8B"/>
    <w:rsid w:val="004B3FD7"/>
    <w:rsid w:val="004B41AF"/>
    <w:rsid w:val="004B44AA"/>
    <w:rsid w:val="004B4566"/>
    <w:rsid w:val="004B45AC"/>
    <w:rsid w:val="004B4680"/>
    <w:rsid w:val="004B47A6"/>
    <w:rsid w:val="004B495A"/>
    <w:rsid w:val="004B4972"/>
    <w:rsid w:val="004B4A12"/>
    <w:rsid w:val="004B4AF5"/>
    <w:rsid w:val="004B4C58"/>
    <w:rsid w:val="004B4C79"/>
    <w:rsid w:val="004B4CF2"/>
    <w:rsid w:val="004B4E49"/>
    <w:rsid w:val="004B5025"/>
    <w:rsid w:val="004B5064"/>
    <w:rsid w:val="004B510E"/>
    <w:rsid w:val="004B5282"/>
    <w:rsid w:val="004B558E"/>
    <w:rsid w:val="004B56B0"/>
    <w:rsid w:val="004B56D4"/>
    <w:rsid w:val="004B56DF"/>
    <w:rsid w:val="004B599F"/>
    <w:rsid w:val="004B5A71"/>
    <w:rsid w:val="004B5D4F"/>
    <w:rsid w:val="004B607B"/>
    <w:rsid w:val="004B61D5"/>
    <w:rsid w:val="004B62AD"/>
    <w:rsid w:val="004B641B"/>
    <w:rsid w:val="004B64AA"/>
    <w:rsid w:val="004B656F"/>
    <w:rsid w:val="004B66B6"/>
    <w:rsid w:val="004B687A"/>
    <w:rsid w:val="004B69A3"/>
    <w:rsid w:val="004B6A5B"/>
    <w:rsid w:val="004B6BC9"/>
    <w:rsid w:val="004B6C01"/>
    <w:rsid w:val="004B6DC2"/>
    <w:rsid w:val="004B6E96"/>
    <w:rsid w:val="004B6FE4"/>
    <w:rsid w:val="004B709E"/>
    <w:rsid w:val="004B70EC"/>
    <w:rsid w:val="004B722C"/>
    <w:rsid w:val="004B748D"/>
    <w:rsid w:val="004B750E"/>
    <w:rsid w:val="004B75E9"/>
    <w:rsid w:val="004B76B0"/>
    <w:rsid w:val="004B7820"/>
    <w:rsid w:val="004B784B"/>
    <w:rsid w:val="004B7AA5"/>
    <w:rsid w:val="004B7B3D"/>
    <w:rsid w:val="004B7BF0"/>
    <w:rsid w:val="004B7E16"/>
    <w:rsid w:val="004B7FB1"/>
    <w:rsid w:val="004C007E"/>
    <w:rsid w:val="004C0135"/>
    <w:rsid w:val="004C01B8"/>
    <w:rsid w:val="004C01F9"/>
    <w:rsid w:val="004C024D"/>
    <w:rsid w:val="004C0334"/>
    <w:rsid w:val="004C041F"/>
    <w:rsid w:val="004C0455"/>
    <w:rsid w:val="004C046C"/>
    <w:rsid w:val="004C05FB"/>
    <w:rsid w:val="004C0676"/>
    <w:rsid w:val="004C085E"/>
    <w:rsid w:val="004C088C"/>
    <w:rsid w:val="004C0A82"/>
    <w:rsid w:val="004C0DD3"/>
    <w:rsid w:val="004C0EE6"/>
    <w:rsid w:val="004C1010"/>
    <w:rsid w:val="004C112B"/>
    <w:rsid w:val="004C1234"/>
    <w:rsid w:val="004C1321"/>
    <w:rsid w:val="004C132F"/>
    <w:rsid w:val="004C14FA"/>
    <w:rsid w:val="004C1543"/>
    <w:rsid w:val="004C1592"/>
    <w:rsid w:val="004C1599"/>
    <w:rsid w:val="004C159A"/>
    <w:rsid w:val="004C15E1"/>
    <w:rsid w:val="004C1650"/>
    <w:rsid w:val="004C18DB"/>
    <w:rsid w:val="004C18DD"/>
    <w:rsid w:val="004C19C2"/>
    <w:rsid w:val="004C1A87"/>
    <w:rsid w:val="004C1B26"/>
    <w:rsid w:val="004C1BF3"/>
    <w:rsid w:val="004C1C4E"/>
    <w:rsid w:val="004C1D1D"/>
    <w:rsid w:val="004C1DCE"/>
    <w:rsid w:val="004C1E70"/>
    <w:rsid w:val="004C1ED2"/>
    <w:rsid w:val="004C20FF"/>
    <w:rsid w:val="004C21F9"/>
    <w:rsid w:val="004C2207"/>
    <w:rsid w:val="004C22CE"/>
    <w:rsid w:val="004C24A5"/>
    <w:rsid w:val="004C252E"/>
    <w:rsid w:val="004C25B1"/>
    <w:rsid w:val="004C25D4"/>
    <w:rsid w:val="004C26DF"/>
    <w:rsid w:val="004C2808"/>
    <w:rsid w:val="004C2A56"/>
    <w:rsid w:val="004C2BAC"/>
    <w:rsid w:val="004C2C01"/>
    <w:rsid w:val="004C2CA1"/>
    <w:rsid w:val="004C2DF7"/>
    <w:rsid w:val="004C2E33"/>
    <w:rsid w:val="004C2F37"/>
    <w:rsid w:val="004C3066"/>
    <w:rsid w:val="004C319E"/>
    <w:rsid w:val="004C3225"/>
    <w:rsid w:val="004C32B4"/>
    <w:rsid w:val="004C3348"/>
    <w:rsid w:val="004C334E"/>
    <w:rsid w:val="004C343E"/>
    <w:rsid w:val="004C34F5"/>
    <w:rsid w:val="004C36B3"/>
    <w:rsid w:val="004C37A0"/>
    <w:rsid w:val="004C3A79"/>
    <w:rsid w:val="004C3B7E"/>
    <w:rsid w:val="004C3C50"/>
    <w:rsid w:val="004C3CEF"/>
    <w:rsid w:val="004C3D31"/>
    <w:rsid w:val="004C3D3C"/>
    <w:rsid w:val="004C3ED3"/>
    <w:rsid w:val="004C4011"/>
    <w:rsid w:val="004C4107"/>
    <w:rsid w:val="004C41BA"/>
    <w:rsid w:val="004C4910"/>
    <w:rsid w:val="004C4A11"/>
    <w:rsid w:val="004C4A4F"/>
    <w:rsid w:val="004C4AFE"/>
    <w:rsid w:val="004C4CE4"/>
    <w:rsid w:val="004C4CEC"/>
    <w:rsid w:val="004C4D0E"/>
    <w:rsid w:val="004C4DC9"/>
    <w:rsid w:val="004C4E8D"/>
    <w:rsid w:val="004C4E9D"/>
    <w:rsid w:val="004C4EDE"/>
    <w:rsid w:val="004C4F5E"/>
    <w:rsid w:val="004C4FDC"/>
    <w:rsid w:val="004C5030"/>
    <w:rsid w:val="004C50C6"/>
    <w:rsid w:val="004C50E9"/>
    <w:rsid w:val="004C5153"/>
    <w:rsid w:val="004C51C0"/>
    <w:rsid w:val="004C52BC"/>
    <w:rsid w:val="004C531A"/>
    <w:rsid w:val="004C53EE"/>
    <w:rsid w:val="004C57AA"/>
    <w:rsid w:val="004C5B33"/>
    <w:rsid w:val="004C5B5D"/>
    <w:rsid w:val="004C5D83"/>
    <w:rsid w:val="004C5DE5"/>
    <w:rsid w:val="004C5E48"/>
    <w:rsid w:val="004C5F53"/>
    <w:rsid w:val="004C5F6B"/>
    <w:rsid w:val="004C600B"/>
    <w:rsid w:val="004C6188"/>
    <w:rsid w:val="004C6208"/>
    <w:rsid w:val="004C6550"/>
    <w:rsid w:val="004C6572"/>
    <w:rsid w:val="004C659B"/>
    <w:rsid w:val="004C6625"/>
    <w:rsid w:val="004C6713"/>
    <w:rsid w:val="004C6764"/>
    <w:rsid w:val="004C6964"/>
    <w:rsid w:val="004C69B3"/>
    <w:rsid w:val="004C69F5"/>
    <w:rsid w:val="004C6A35"/>
    <w:rsid w:val="004C6A6E"/>
    <w:rsid w:val="004C6B4F"/>
    <w:rsid w:val="004C6B82"/>
    <w:rsid w:val="004C6B86"/>
    <w:rsid w:val="004C6D71"/>
    <w:rsid w:val="004C6D84"/>
    <w:rsid w:val="004C6D88"/>
    <w:rsid w:val="004C6DFE"/>
    <w:rsid w:val="004C6F17"/>
    <w:rsid w:val="004C6FAA"/>
    <w:rsid w:val="004C7099"/>
    <w:rsid w:val="004C70B8"/>
    <w:rsid w:val="004C70D1"/>
    <w:rsid w:val="004C70EC"/>
    <w:rsid w:val="004C7296"/>
    <w:rsid w:val="004C72F6"/>
    <w:rsid w:val="004C7427"/>
    <w:rsid w:val="004C7434"/>
    <w:rsid w:val="004C7523"/>
    <w:rsid w:val="004C77CC"/>
    <w:rsid w:val="004C7875"/>
    <w:rsid w:val="004C7960"/>
    <w:rsid w:val="004C7A67"/>
    <w:rsid w:val="004C7BBA"/>
    <w:rsid w:val="004C7BEB"/>
    <w:rsid w:val="004D00B9"/>
    <w:rsid w:val="004D03AB"/>
    <w:rsid w:val="004D042A"/>
    <w:rsid w:val="004D0576"/>
    <w:rsid w:val="004D0706"/>
    <w:rsid w:val="004D0BED"/>
    <w:rsid w:val="004D0C4E"/>
    <w:rsid w:val="004D0EC3"/>
    <w:rsid w:val="004D10B4"/>
    <w:rsid w:val="004D1167"/>
    <w:rsid w:val="004D119E"/>
    <w:rsid w:val="004D11BA"/>
    <w:rsid w:val="004D14BE"/>
    <w:rsid w:val="004D1666"/>
    <w:rsid w:val="004D1890"/>
    <w:rsid w:val="004D1966"/>
    <w:rsid w:val="004D1B29"/>
    <w:rsid w:val="004D1BC2"/>
    <w:rsid w:val="004D1CB7"/>
    <w:rsid w:val="004D209C"/>
    <w:rsid w:val="004D20F0"/>
    <w:rsid w:val="004D2504"/>
    <w:rsid w:val="004D274E"/>
    <w:rsid w:val="004D2798"/>
    <w:rsid w:val="004D28BE"/>
    <w:rsid w:val="004D2A6D"/>
    <w:rsid w:val="004D2B61"/>
    <w:rsid w:val="004D2BC0"/>
    <w:rsid w:val="004D2F5D"/>
    <w:rsid w:val="004D30D8"/>
    <w:rsid w:val="004D31FC"/>
    <w:rsid w:val="004D3215"/>
    <w:rsid w:val="004D33C1"/>
    <w:rsid w:val="004D33EF"/>
    <w:rsid w:val="004D3585"/>
    <w:rsid w:val="004D35BE"/>
    <w:rsid w:val="004D3662"/>
    <w:rsid w:val="004D3743"/>
    <w:rsid w:val="004D375B"/>
    <w:rsid w:val="004D3808"/>
    <w:rsid w:val="004D3835"/>
    <w:rsid w:val="004D385B"/>
    <w:rsid w:val="004D3891"/>
    <w:rsid w:val="004D3899"/>
    <w:rsid w:val="004D3980"/>
    <w:rsid w:val="004D3A8F"/>
    <w:rsid w:val="004D3ACA"/>
    <w:rsid w:val="004D3B9A"/>
    <w:rsid w:val="004D3BBC"/>
    <w:rsid w:val="004D3F18"/>
    <w:rsid w:val="004D3F57"/>
    <w:rsid w:val="004D40B4"/>
    <w:rsid w:val="004D4509"/>
    <w:rsid w:val="004D467F"/>
    <w:rsid w:val="004D46AC"/>
    <w:rsid w:val="004D4733"/>
    <w:rsid w:val="004D482B"/>
    <w:rsid w:val="004D4B43"/>
    <w:rsid w:val="004D4BD0"/>
    <w:rsid w:val="004D4D3B"/>
    <w:rsid w:val="004D4F16"/>
    <w:rsid w:val="004D510B"/>
    <w:rsid w:val="004D520E"/>
    <w:rsid w:val="004D532E"/>
    <w:rsid w:val="004D55E3"/>
    <w:rsid w:val="004D5AA8"/>
    <w:rsid w:val="004D5AC0"/>
    <w:rsid w:val="004D5BB8"/>
    <w:rsid w:val="004D5C29"/>
    <w:rsid w:val="004D5E13"/>
    <w:rsid w:val="004D5E47"/>
    <w:rsid w:val="004D63EE"/>
    <w:rsid w:val="004D63F3"/>
    <w:rsid w:val="004D6410"/>
    <w:rsid w:val="004D6640"/>
    <w:rsid w:val="004D66ED"/>
    <w:rsid w:val="004D6862"/>
    <w:rsid w:val="004D68C2"/>
    <w:rsid w:val="004D6931"/>
    <w:rsid w:val="004D69A9"/>
    <w:rsid w:val="004D6A76"/>
    <w:rsid w:val="004D6CE3"/>
    <w:rsid w:val="004D6CF6"/>
    <w:rsid w:val="004D6E58"/>
    <w:rsid w:val="004D6EB7"/>
    <w:rsid w:val="004D71B0"/>
    <w:rsid w:val="004D71CD"/>
    <w:rsid w:val="004D7293"/>
    <w:rsid w:val="004D740D"/>
    <w:rsid w:val="004D745A"/>
    <w:rsid w:val="004D751A"/>
    <w:rsid w:val="004D7653"/>
    <w:rsid w:val="004D76E9"/>
    <w:rsid w:val="004D770D"/>
    <w:rsid w:val="004D7721"/>
    <w:rsid w:val="004D79A5"/>
    <w:rsid w:val="004D7AE3"/>
    <w:rsid w:val="004D7B2B"/>
    <w:rsid w:val="004D7C75"/>
    <w:rsid w:val="004D7D43"/>
    <w:rsid w:val="004D7EB1"/>
    <w:rsid w:val="004D7F18"/>
    <w:rsid w:val="004E01D6"/>
    <w:rsid w:val="004E022C"/>
    <w:rsid w:val="004E0457"/>
    <w:rsid w:val="004E06FD"/>
    <w:rsid w:val="004E08E6"/>
    <w:rsid w:val="004E0A9E"/>
    <w:rsid w:val="004E0B06"/>
    <w:rsid w:val="004E0CEA"/>
    <w:rsid w:val="004E0E08"/>
    <w:rsid w:val="004E0EB3"/>
    <w:rsid w:val="004E0EC8"/>
    <w:rsid w:val="004E0FE8"/>
    <w:rsid w:val="004E134C"/>
    <w:rsid w:val="004E15FD"/>
    <w:rsid w:val="004E16A9"/>
    <w:rsid w:val="004E172F"/>
    <w:rsid w:val="004E19B2"/>
    <w:rsid w:val="004E1BAF"/>
    <w:rsid w:val="004E1BF5"/>
    <w:rsid w:val="004E1F61"/>
    <w:rsid w:val="004E2274"/>
    <w:rsid w:val="004E24DE"/>
    <w:rsid w:val="004E265F"/>
    <w:rsid w:val="004E2684"/>
    <w:rsid w:val="004E275B"/>
    <w:rsid w:val="004E288E"/>
    <w:rsid w:val="004E2A10"/>
    <w:rsid w:val="004E2AB2"/>
    <w:rsid w:val="004E2ABA"/>
    <w:rsid w:val="004E2AC5"/>
    <w:rsid w:val="004E2BAE"/>
    <w:rsid w:val="004E2D0C"/>
    <w:rsid w:val="004E2DF5"/>
    <w:rsid w:val="004E2EE2"/>
    <w:rsid w:val="004E314F"/>
    <w:rsid w:val="004E33E2"/>
    <w:rsid w:val="004E3601"/>
    <w:rsid w:val="004E37A1"/>
    <w:rsid w:val="004E37BE"/>
    <w:rsid w:val="004E37D6"/>
    <w:rsid w:val="004E37F1"/>
    <w:rsid w:val="004E385E"/>
    <w:rsid w:val="004E3862"/>
    <w:rsid w:val="004E3881"/>
    <w:rsid w:val="004E38F4"/>
    <w:rsid w:val="004E390F"/>
    <w:rsid w:val="004E3AC9"/>
    <w:rsid w:val="004E3D60"/>
    <w:rsid w:val="004E3E3C"/>
    <w:rsid w:val="004E41A4"/>
    <w:rsid w:val="004E4280"/>
    <w:rsid w:val="004E43AE"/>
    <w:rsid w:val="004E47F4"/>
    <w:rsid w:val="004E4C2C"/>
    <w:rsid w:val="004E4D76"/>
    <w:rsid w:val="004E50E9"/>
    <w:rsid w:val="004E51A1"/>
    <w:rsid w:val="004E5C0F"/>
    <w:rsid w:val="004E5C7B"/>
    <w:rsid w:val="004E5D95"/>
    <w:rsid w:val="004E5DA2"/>
    <w:rsid w:val="004E5E7C"/>
    <w:rsid w:val="004E6033"/>
    <w:rsid w:val="004E60DC"/>
    <w:rsid w:val="004E631E"/>
    <w:rsid w:val="004E6641"/>
    <w:rsid w:val="004E6C36"/>
    <w:rsid w:val="004E6C4D"/>
    <w:rsid w:val="004E6D38"/>
    <w:rsid w:val="004E6DC3"/>
    <w:rsid w:val="004E71AF"/>
    <w:rsid w:val="004E72CD"/>
    <w:rsid w:val="004E7400"/>
    <w:rsid w:val="004E761E"/>
    <w:rsid w:val="004E76D4"/>
    <w:rsid w:val="004E777A"/>
    <w:rsid w:val="004E77FC"/>
    <w:rsid w:val="004E790D"/>
    <w:rsid w:val="004E7970"/>
    <w:rsid w:val="004E7A49"/>
    <w:rsid w:val="004E7BE2"/>
    <w:rsid w:val="004E7C2A"/>
    <w:rsid w:val="004F00B7"/>
    <w:rsid w:val="004F0207"/>
    <w:rsid w:val="004F021B"/>
    <w:rsid w:val="004F023D"/>
    <w:rsid w:val="004F0245"/>
    <w:rsid w:val="004F04C5"/>
    <w:rsid w:val="004F0797"/>
    <w:rsid w:val="004F07C9"/>
    <w:rsid w:val="004F0D17"/>
    <w:rsid w:val="004F0D4C"/>
    <w:rsid w:val="004F0E96"/>
    <w:rsid w:val="004F1089"/>
    <w:rsid w:val="004F10BC"/>
    <w:rsid w:val="004F116B"/>
    <w:rsid w:val="004F12A3"/>
    <w:rsid w:val="004F14EC"/>
    <w:rsid w:val="004F1540"/>
    <w:rsid w:val="004F18D3"/>
    <w:rsid w:val="004F19B3"/>
    <w:rsid w:val="004F1C7C"/>
    <w:rsid w:val="004F1C8F"/>
    <w:rsid w:val="004F1ED1"/>
    <w:rsid w:val="004F202A"/>
    <w:rsid w:val="004F2048"/>
    <w:rsid w:val="004F22C7"/>
    <w:rsid w:val="004F244A"/>
    <w:rsid w:val="004F246F"/>
    <w:rsid w:val="004F263F"/>
    <w:rsid w:val="004F27FB"/>
    <w:rsid w:val="004F27FF"/>
    <w:rsid w:val="004F2947"/>
    <w:rsid w:val="004F29BF"/>
    <w:rsid w:val="004F2C56"/>
    <w:rsid w:val="004F2C77"/>
    <w:rsid w:val="004F2E94"/>
    <w:rsid w:val="004F2F13"/>
    <w:rsid w:val="004F2F95"/>
    <w:rsid w:val="004F2FBE"/>
    <w:rsid w:val="004F303A"/>
    <w:rsid w:val="004F30BE"/>
    <w:rsid w:val="004F30EC"/>
    <w:rsid w:val="004F3163"/>
    <w:rsid w:val="004F3244"/>
    <w:rsid w:val="004F32A6"/>
    <w:rsid w:val="004F33A0"/>
    <w:rsid w:val="004F33DB"/>
    <w:rsid w:val="004F343D"/>
    <w:rsid w:val="004F34AF"/>
    <w:rsid w:val="004F3503"/>
    <w:rsid w:val="004F35AC"/>
    <w:rsid w:val="004F3611"/>
    <w:rsid w:val="004F3697"/>
    <w:rsid w:val="004F3783"/>
    <w:rsid w:val="004F37C3"/>
    <w:rsid w:val="004F383B"/>
    <w:rsid w:val="004F3A6B"/>
    <w:rsid w:val="004F3AA2"/>
    <w:rsid w:val="004F3B28"/>
    <w:rsid w:val="004F3B7C"/>
    <w:rsid w:val="004F3EF1"/>
    <w:rsid w:val="004F424E"/>
    <w:rsid w:val="004F427E"/>
    <w:rsid w:val="004F4448"/>
    <w:rsid w:val="004F4523"/>
    <w:rsid w:val="004F455B"/>
    <w:rsid w:val="004F4588"/>
    <w:rsid w:val="004F4A63"/>
    <w:rsid w:val="004F4AA3"/>
    <w:rsid w:val="004F4AB0"/>
    <w:rsid w:val="004F4BA8"/>
    <w:rsid w:val="004F4BCC"/>
    <w:rsid w:val="004F4D2B"/>
    <w:rsid w:val="004F4D97"/>
    <w:rsid w:val="004F4DA3"/>
    <w:rsid w:val="004F4E5B"/>
    <w:rsid w:val="004F4F8E"/>
    <w:rsid w:val="004F5170"/>
    <w:rsid w:val="004F5187"/>
    <w:rsid w:val="004F52BC"/>
    <w:rsid w:val="004F5403"/>
    <w:rsid w:val="004F5417"/>
    <w:rsid w:val="004F54F5"/>
    <w:rsid w:val="004F5842"/>
    <w:rsid w:val="004F595F"/>
    <w:rsid w:val="004F598B"/>
    <w:rsid w:val="004F59B3"/>
    <w:rsid w:val="004F5A9B"/>
    <w:rsid w:val="004F5C8E"/>
    <w:rsid w:val="004F5CE0"/>
    <w:rsid w:val="004F5E4E"/>
    <w:rsid w:val="004F607A"/>
    <w:rsid w:val="004F611B"/>
    <w:rsid w:val="004F6190"/>
    <w:rsid w:val="004F62FB"/>
    <w:rsid w:val="004F6427"/>
    <w:rsid w:val="004F653D"/>
    <w:rsid w:val="004F69E0"/>
    <w:rsid w:val="004F6ABA"/>
    <w:rsid w:val="004F6CBB"/>
    <w:rsid w:val="004F6D20"/>
    <w:rsid w:val="004F6D73"/>
    <w:rsid w:val="004F6D83"/>
    <w:rsid w:val="004F6D98"/>
    <w:rsid w:val="004F7020"/>
    <w:rsid w:val="004F711D"/>
    <w:rsid w:val="004F719D"/>
    <w:rsid w:val="004F73B2"/>
    <w:rsid w:val="004F7404"/>
    <w:rsid w:val="004F7474"/>
    <w:rsid w:val="004F7505"/>
    <w:rsid w:val="004F75E4"/>
    <w:rsid w:val="004F768E"/>
    <w:rsid w:val="004F7782"/>
    <w:rsid w:val="004F77AA"/>
    <w:rsid w:val="004F798C"/>
    <w:rsid w:val="004F79E4"/>
    <w:rsid w:val="004F7AAE"/>
    <w:rsid w:val="004F7B7B"/>
    <w:rsid w:val="004F7BB8"/>
    <w:rsid w:val="004F7C55"/>
    <w:rsid w:val="004F7CD6"/>
    <w:rsid w:val="004F7E8C"/>
    <w:rsid w:val="004F7F0C"/>
    <w:rsid w:val="004F7F82"/>
    <w:rsid w:val="004F7F85"/>
    <w:rsid w:val="004F7FF1"/>
    <w:rsid w:val="005001A0"/>
    <w:rsid w:val="00500368"/>
    <w:rsid w:val="00500453"/>
    <w:rsid w:val="005005F4"/>
    <w:rsid w:val="00500A10"/>
    <w:rsid w:val="00500CD0"/>
    <w:rsid w:val="0050101D"/>
    <w:rsid w:val="005011D7"/>
    <w:rsid w:val="005011E9"/>
    <w:rsid w:val="0050120A"/>
    <w:rsid w:val="0050129C"/>
    <w:rsid w:val="005013B2"/>
    <w:rsid w:val="00501597"/>
    <w:rsid w:val="005015DC"/>
    <w:rsid w:val="0050165E"/>
    <w:rsid w:val="0050182B"/>
    <w:rsid w:val="005019D1"/>
    <w:rsid w:val="00501A53"/>
    <w:rsid w:val="00501B68"/>
    <w:rsid w:val="00501BFD"/>
    <w:rsid w:val="00501C00"/>
    <w:rsid w:val="00501C22"/>
    <w:rsid w:val="00501C50"/>
    <w:rsid w:val="00501E49"/>
    <w:rsid w:val="00501E79"/>
    <w:rsid w:val="00501F27"/>
    <w:rsid w:val="00501F5E"/>
    <w:rsid w:val="00502168"/>
    <w:rsid w:val="0050220D"/>
    <w:rsid w:val="0050230C"/>
    <w:rsid w:val="005025E5"/>
    <w:rsid w:val="00502620"/>
    <w:rsid w:val="0050264D"/>
    <w:rsid w:val="00502756"/>
    <w:rsid w:val="00502958"/>
    <w:rsid w:val="005029E7"/>
    <w:rsid w:val="005029F4"/>
    <w:rsid w:val="00502A4E"/>
    <w:rsid w:val="00502A68"/>
    <w:rsid w:val="00502A6E"/>
    <w:rsid w:val="00502C01"/>
    <w:rsid w:val="00502C58"/>
    <w:rsid w:val="00502D82"/>
    <w:rsid w:val="00502E02"/>
    <w:rsid w:val="00502E22"/>
    <w:rsid w:val="0050301B"/>
    <w:rsid w:val="005030DF"/>
    <w:rsid w:val="0050316E"/>
    <w:rsid w:val="005031ED"/>
    <w:rsid w:val="005032FA"/>
    <w:rsid w:val="005034DE"/>
    <w:rsid w:val="005039D3"/>
    <w:rsid w:val="005039EE"/>
    <w:rsid w:val="00503A06"/>
    <w:rsid w:val="00503AD4"/>
    <w:rsid w:val="00503CD7"/>
    <w:rsid w:val="00503D3A"/>
    <w:rsid w:val="00503D7E"/>
    <w:rsid w:val="00503E2A"/>
    <w:rsid w:val="005046FB"/>
    <w:rsid w:val="00504770"/>
    <w:rsid w:val="005047C5"/>
    <w:rsid w:val="00504BBF"/>
    <w:rsid w:val="00504BE2"/>
    <w:rsid w:val="00504DF7"/>
    <w:rsid w:val="00505025"/>
    <w:rsid w:val="005051EC"/>
    <w:rsid w:val="005052E1"/>
    <w:rsid w:val="005053B8"/>
    <w:rsid w:val="00505528"/>
    <w:rsid w:val="00505723"/>
    <w:rsid w:val="0050576C"/>
    <w:rsid w:val="00505AB0"/>
    <w:rsid w:val="00505B31"/>
    <w:rsid w:val="00505B8F"/>
    <w:rsid w:val="00505F02"/>
    <w:rsid w:val="00505FAB"/>
    <w:rsid w:val="0050603F"/>
    <w:rsid w:val="005060AD"/>
    <w:rsid w:val="005063DA"/>
    <w:rsid w:val="0050640A"/>
    <w:rsid w:val="005065DA"/>
    <w:rsid w:val="0050679F"/>
    <w:rsid w:val="00506C6E"/>
    <w:rsid w:val="00506CB9"/>
    <w:rsid w:val="00506F85"/>
    <w:rsid w:val="00507029"/>
    <w:rsid w:val="0050707B"/>
    <w:rsid w:val="005071C6"/>
    <w:rsid w:val="005071D4"/>
    <w:rsid w:val="00507429"/>
    <w:rsid w:val="00507443"/>
    <w:rsid w:val="005074E6"/>
    <w:rsid w:val="00507626"/>
    <w:rsid w:val="005076A2"/>
    <w:rsid w:val="005077FB"/>
    <w:rsid w:val="0050793D"/>
    <w:rsid w:val="0050794B"/>
    <w:rsid w:val="0050797B"/>
    <w:rsid w:val="005079FB"/>
    <w:rsid w:val="00507AD7"/>
    <w:rsid w:val="00507BB3"/>
    <w:rsid w:val="00507CB8"/>
    <w:rsid w:val="00507EA7"/>
    <w:rsid w:val="0051030B"/>
    <w:rsid w:val="0051038F"/>
    <w:rsid w:val="00510430"/>
    <w:rsid w:val="00510498"/>
    <w:rsid w:val="00510514"/>
    <w:rsid w:val="00510527"/>
    <w:rsid w:val="0051058A"/>
    <w:rsid w:val="0051065D"/>
    <w:rsid w:val="005106D6"/>
    <w:rsid w:val="00510A2D"/>
    <w:rsid w:val="00510C7D"/>
    <w:rsid w:val="00510CF1"/>
    <w:rsid w:val="00510E3D"/>
    <w:rsid w:val="00510F16"/>
    <w:rsid w:val="00510F4A"/>
    <w:rsid w:val="00510FD6"/>
    <w:rsid w:val="0051116A"/>
    <w:rsid w:val="00511390"/>
    <w:rsid w:val="005113EB"/>
    <w:rsid w:val="0051141A"/>
    <w:rsid w:val="0051141C"/>
    <w:rsid w:val="0051145C"/>
    <w:rsid w:val="005114C1"/>
    <w:rsid w:val="00511596"/>
    <w:rsid w:val="005116CA"/>
    <w:rsid w:val="00511707"/>
    <w:rsid w:val="00511771"/>
    <w:rsid w:val="005117FF"/>
    <w:rsid w:val="00511941"/>
    <w:rsid w:val="00511956"/>
    <w:rsid w:val="005119A3"/>
    <w:rsid w:val="005119FF"/>
    <w:rsid w:val="00511BC3"/>
    <w:rsid w:val="00511CA4"/>
    <w:rsid w:val="00511E43"/>
    <w:rsid w:val="0051213D"/>
    <w:rsid w:val="00512190"/>
    <w:rsid w:val="00512239"/>
    <w:rsid w:val="00512320"/>
    <w:rsid w:val="00512359"/>
    <w:rsid w:val="0051242C"/>
    <w:rsid w:val="00512478"/>
    <w:rsid w:val="0051252C"/>
    <w:rsid w:val="005126ED"/>
    <w:rsid w:val="005127A2"/>
    <w:rsid w:val="00512C21"/>
    <w:rsid w:val="005130B7"/>
    <w:rsid w:val="005131CE"/>
    <w:rsid w:val="0051340D"/>
    <w:rsid w:val="00513515"/>
    <w:rsid w:val="00513544"/>
    <w:rsid w:val="005135E0"/>
    <w:rsid w:val="00513790"/>
    <w:rsid w:val="005137DC"/>
    <w:rsid w:val="0051398A"/>
    <w:rsid w:val="00513C1B"/>
    <w:rsid w:val="00513D2C"/>
    <w:rsid w:val="00513D2F"/>
    <w:rsid w:val="005141C5"/>
    <w:rsid w:val="00514208"/>
    <w:rsid w:val="0051439A"/>
    <w:rsid w:val="005144D0"/>
    <w:rsid w:val="005144E9"/>
    <w:rsid w:val="00514598"/>
    <w:rsid w:val="00514699"/>
    <w:rsid w:val="005146B2"/>
    <w:rsid w:val="005147E2"/>
    <w:rsid w:val="00514949"/>
    <w:rsid w:val="005149B9"/>
    <w:rsid w:val="005149E3"/>
    <w:rsid w:val="005149EE"/>
    <w:rsid w:val="005149F2"/>
    <w:rsid w:val="00514A4F"/>
    <w:rsid w:val="00514A90"/>
    <w:rsid w:val="00514CE0"/>
    <w:rsid w:val="00514DED"/>
    <w:rsid w:val="00514E17"/>
    <w:rsid w:val="00514E4F"/>
    <w:rsid w:val="00514E8F"/>
    <w:rsid w:val="00514FFE"/>
    <w:rsid w:val="0051514D"/>
    <w:rsid w:val="0051516F"/>
    <w:rsid w:val="005151AB"/>
    <w:rsid w:val="005151EE"/>
    <w:rsid w:val="00515213"/>
    <w:rsid w:val="00515281"/>
    <w:rsid w:val="00515495"/>
    <w:rsid w:val="00515689"/>
    <w:rsid w:val="00515875"/>
    <w:rsid w:val="005158C7"/>
    <w:rsid w:val="0051596B"/>
    <w:rsid w:val="00515AA7"/>
    <w:rsid w:val="00515BB0"/>
    <w:rsid w:val="00515D44"/>
    <w:rsid w:val="00515DAA"/>
    <w:rsid w:val="00515E52"/>
    <w:rsid w:val="00515E98"/>
    <w:rsid w:val="00515F04"/>
    <w:rsid w:val="00515F1F"/>
    <w:rsid w:val="00515F7B"/>
    <w:rsid w:val="00515FC5"/>
    <w:rsid w:val="00516089"/>
    <w:rsid w:val="00516180"/>
    <w:rsid w:val="0051627E"/>
    <w:rsid w:val="00516389"/>
    <w:rsid w:val="00516484"/>
    <w:rsid w:val="005168DB"/>
    <w:rsid w:val="00516A43"/>
    <w:rsid w:val="00516D18"/>
    <w:rsid w:val="00516DDA"/>
    <w:rsid w:val="00516E2A"/>
    <w:rsid w:val="00516E45"/>
    <w:rsid w:val="00516F42"/>
    <w:rsid w:val="00516FAE"/>
    <w:rsid w:val="005171DC"/>
    <w:rsid w:val="00517231"/>
    <w:rsid w:val="00517545"/>
    <w:rsid w:val="0051797D"/>
    <w:rsid w:val="0051798E"/>
    <w:rsid w:val="00517AF0"/>
    <w:rsid w:val="00517AF5"/>
    <w:rsid w:val="00517BBC"/>
    <w:rsid w:val="00517BEC"/>
    <w:rsid w:val="00517F33"/>
    <w:rsid w:val="00517F3E"/>
    <w:rsid w:val="00517F80"/>
    <w:rsid w:val="00517F91"/>
    <w:rsid w:val="00517FBF"/>
    <w:rsid w:val="00520147"/>
    <w:rsid w:val="005201AE"/>
    <w:rsid w:val="005203AE"/>
    <w:rsid w:val="005204F3"/>
    <w:rsid w:val="0052056E"/>
    <w:rsid w:val="00520688"/>
    <w:rsid w:val="005208C1"/>
    <w:rsid w:val="005209A1"/>
    <w:rsid w:val="00520DF0"/>
    <w:rsid w:val="00520F1C"/>
    <w:rsid w:val="00520F7F"/>
    <w:rsid w:val="00520F89"/>
    <w:rsid w:val="005213A8"/>
    <w:rsid w:val="005213B5"/>
    <w:rsid w:val="0052153E"/>
    <w:rsid w:val="005215AD"/>
    <w:rsid w:val="00521903"/>
    <w:rsid w:val="00521A56"/>
    <w:rsid w:val="00521C03"/>
    <w:rsid w:val="00521E0B"/>
    <w:rsid w:val="00521EAA"/>
    <w:rsid w:val="0052213A"/>
    <w:rsid w:val="0052227A"/>
    <w:rsid w:val="005224CC"/>
    <w:rsid w:val="00522574"/>
    <w:rsid w:val="005225C5"/>
    <w:rsid w:val="00522712"/>
    <w:rsid w:val="00522715"/>
    <w:rsid w:val="005228A2"/>
    <w:rsid w:val="005229CD"/>
    <w:rsid w:val="005229D6"/>
    <w:rsid w:val="00522A2C"/>
    <w:rsid w:val="00522AD3"/>
    <w:rsid w:val="00522B12"/>
    <w:rsid w:val="00522B16"/>
    <w:rsid w:val="00522BAB"/>
    <w:rsid w:val="00522C8F"/>
    <w:rsid w:val="00522CB4"/>
    <w:rsid w:val="00522EC3"/>
    <w:rsid w:val="00522F6F"/>
    <w:rsid w:val="0052323E"/>
    <w:rsid w:val="005232BA"/>
    <w:rsid w:val="005233A8"/>
    <w:rsid w:val="005234D8"/>
    <w:rsid w:val="0052355D"/>
    <w:rsid w:val="00523666"/>
    <w:rsid w:val="0052382A"/>
    <w:rsid w:val="00523AB4"/>
    <w:rsid w:val="00523C1B"/>
    <w:rsid w:val="00523C24"/>
    <w:rsid w:val="00523C93"/>
    <w:rsid w:val="00523DCC"/>
    <w:rsid w:val="00523F67"/>
    <w:rsid w:val="005240EF"/>
    <w:rsid w:val="005242DF"/>
    <w:rsid w:val="0052476A"/>
    <w:rsid w:val="00524A41"/>
    <w:rsid w:val="00524C77"/>
    <w:rsid w:val="00524D0D"/>
    <w:rsid w:val="00524D16"/>
    <w:rsid w:val="00524EE7"/>
    <w:rsid w:val="005251EA"/>
    <w:rsid w:val="00525299"/>
    <w:rsid w:val="005255DE"/>
    <w:rsid w:val="00525639"/>
    <w:rsid w:val="00525755"/>
    <w:rsid w:val="00525794"/>
    <w:rsid w:val="0052582D"/>
    <w:rsid w:val="005258BC"/>
    <w:rsid w:val="00525956"/>
    <w:rsid w:val="00525A9F"/>
    <w:rsid w:val="00525B6E"/>
    <w:rsid w:val="00525DC1"/>
    <w:rsid w:val="00525E4A"/>
    <w:rsid w:val="00526135"/>
    <w:rsid w:val="00526161"/>
    <w:rsid w:val="00526264"/>
    <w:rsid w:val="005265D3"/>
    <w:rsid w:val="005265F7"/>
    <w:rsid w:val="00526653"/>
    <w:rsid w:val="00526656"/>
    <w:rsid w:val="0052667E"/>
    <w:rsid w:val="005266F5"/>
    <w:rsid w:val="0052673B"/>
    <w:rsid w:val="00526766"/>
    <w:rsid w:val="005268B0"/>
    <w:rsid w:val="0052690B"/>
    <w:rsid w:val="005269D7"/>
    <w:rsid w:val="00526BA4"/>
    <w:rsid w:val="00526C61"/>
    <w:rsid w:val="00526D34"/>
    <w:rsid w:val="00526DF3"/>
    <w:rsid w:val="00526FB3"/>
    <w:rsid w:val="0052709E"/>
    <w:rsid w:val="00527347"/>
    <w:rsid w:val="005274A8"/>
    <w:rsid w:val="005274F1"/>
    <w:rsid w:val="0052772A"/>
    <w:rsid w:val="00527737"/>
    <w:rsid w:val="00527754"/>
    <w:rsid w:val="005277AC"/>
    <w:rsid w:val="005277CD"/>
    <w:rsid w:val="00527812"/>
    <w:rsid w:val="00527990"/>
    <w:rsid w:val="00527E39"/>
    <w:rsid w:val="00527FA0"/>
    <w:rsid w:val="0053007C"/>
    <w:rsid w:val="00530100"/>
    <w:rsid w:val="0053023A"/>
    <w:rsid w:val="00530343"/>
    <w:rsid w:val="005304CB"/>
    <w:rsid w:val="00530591"/>
    <w:rsid w:val="00530649"/>
    <w:rsid w:val="0053065A"/>
    <w:rsid w:val="00530955"/>
    <w:rsid w:val="00530C31"/>
    <w:rsid w:val="00530E0F"/>
    <w:rsid w:val="00530F82"/>
    <w:rsid w:val="00530F8F"/>
    <w:rsid w:val="00530FAD"/>
    <w:rsid w:val="00530FF6"/>
    <w:rsid w:val="00531036"/>
    <w:rsid w:val="00531066"/>
    <w:rsid w:val="00531095"/>
    <w:rsid w:val="00531107"/>
    <w:rsid w:val="00531126"/>
    <w:rsid w:val="005311D6"/>
    <w:rsid w:val="005311E7"/>
    <w:rsid w:val="00531345"/>
    <w:rsid w:val="00531700"/>
    <w:rsid w:val="00531717"/>
    <w:rsid w:val="00531748"/>
    <w:rsid w:val="00531785"/>
    <w:rsid w:val="00531A18"/>
    <w:rsid w:val="00531B28"/>
    <w:rsid w:val="00531C4F"/>
    <w:rsid w:val="00531D39"/>
    <w:rsid w:val="00531D99"/>
    <w:rsid w:val="00531DEA"/>
    <w:rsid w:val="00531ED6"/>
    <w:rsid w:val="00531F9F"/>
    <w:rsid w:val="005321E2"/>
    <w:rsid w:val="00532465"/>
    <w:rsid w:val="005324B5"/>
    <w:rsid w:val="0053262C"/>
    <w:rsid w:val="0053270B"/>
    <w:rsid w:val="00532820"/>
    <w:rsid w:val="00532925"/>
    <w:rsid w:val="00532A4F"/>
    <w:rsid w:val="00532B38"/>
    <w:rsid w:val="00532BDF"/>
    <w:rsid w:val="00532CAB"/>
    <w:rsid w:val="00532D23"/>
    <w:rsid w:val="00532DC2"/>
    <w:rsid w:val="00532EA5"/>
    <w:rsid w:val="00532EB8"/>
    <w:rsid w:val="00532ED6"/>
    <w:rsid w:val="00532F67"/>
    <w:rsid w:val="005331D8"/>
    <w:rsid w:val="00533263"/>
    <w:rsid w:val="005332B6"/>
    <w:rsid w:val="0053342B"/>
    <w:rsid w:val="005334F8"/>
    <w:rsid w:val="0053364C"/>
    <w:rsid w:val="005336ED"/>
    <w:rsid w:val="00533797"/>
    <w:rsid w:val="005337AF"/>
    <w:rsid w:val="005337FD"/>
    <w:rsid w:val="0053384E"/>
    <w:rsid w:val="0053387C"/>
    <w:rsid w:val="00533990"/>
    <w:rsid w:val="00533A74"/>
    <w:rsid w:val="00533A8C"/>
    <w:rsid w:val="00533C5C"/>
    <w:rsid w:val="00533E7E"/>
    <w:rsid w:val="00533F27"/>
    <w:rsid w:val="00533F36"/>
    <w:rsid w:val="005340D3"/>
    <w:rsid w:val="00534277"/>
    <w:rsid w:val="00534287"/>
    <w:rsid w:val="005344A0"/>
    <w:rsid w:val="005344A1"/>
    <w:rsid w:val="0053468F"/>
    <w:rsid w:val="005346EE"/>
    <w:rsid w:val="005347B2"/>
    <w:rsid w:val="0053482B"/>
    <w:rsid w:val="0053498D"/>
    <w:rsid w:val="00534C14"/>
    <w:rsid w:val="00534CA8"/>
    <w:rsid w:val="00534D5A"/>
    <w:rsid w:val="005350C9"/>
    <w:rsid w:val="00535136"/>
    <w:rsid w:val="005352C2"/>
    <w:rsid w:val="005353CA"/>
    <w:rsid w:val="005353ED"/>
    <w:rsid w:val="005355A8"/>
    <w:rsid w:val="005358E0"/>
    <w:rsid w:val="005359A6"/>
    <w:rsid w:val="00535C25"/>
    <w:rsid w:val="00535C32"/>
    <w:rsid w:val="00535CC6"/>
    <w:rsid w:val="00535D4F"/>
    <w:rsid w:val="00535F2A"/>
    <w:rsid w:val="00536213"/>
    <w:rsid w:val="005364B1"/>
    <w:rsid w:val="005369C7"/>
    <w:rsid w:val="005369F9"/>
    <w:rsid w:val="00536A66"/>
    <w:rsid w:val="00536C70"/>
    <w:rsid w:val="00536D80"/>
    <w:rsid w:val="00536E43"/>
    <w:rsid w:val="00537049"/>
    <w:rsid w:val="0053704A"/>
    <w:rsid w:val="0053724A"/>
    <w:rsid w:val="00537326"/>
    <w:rsid w:val="00537514"/>
    <w:rsid w:val="00537537"/>
    <w:rsid w:val="005376D3"/>
    <w:rsid w:val="00537848"/>
    <w:rsid w:val="00537960"/>
    <w:rsid w:val="00537975"/>
    <w:rsid w:val="005379BC"/>
    <w:rsid w:val="005379FA"/>
    <w:rsid w:val="00537A28"/>
    <w:rsid w:val="00537AC1"/>
    <w:rsid w:val="00537BC2"/>
    <w:rsid w:val="00537BE3"/>
    <w:rsid w:val="00537E7F"/>
    <w:rsid w:val="00537ECF"/>
    <w:rsid w:val="00537F83"/>
    <w:rsid w:val="005401DD"/>
    <w:rsid w:val="0054034E"/>
    <w:rsid w:val="005403D9"/>
    <w:rsid w:val="00540498"/>
    <w:rsid w:val="00540666"/>
    <w:rsid w:val="005406C7"/>
    <w:rsid w:val="0054070B"/>
    <w:rsid w:val="00540766"/>
    <w:rsid w:val="0054092A"/>
    <w:rsid w:val="00540A84"/>
    <w:rsid w:val="00540CBE"/>
    <w:rsid w:val="00540FCA"/>
    <w:rsid w:val="00541199"/>
    <w:rsid w:val="005411E4"/>
    <w:rsid w:val="005412AF"/>
    <w:rsid w:val="0054133E"/>
    <w:rsid w:val="005413F8"/>
    <w:rsid w:val="00541440"/>
    <w:rsid w:val="0054183D"/>
    <w:rsid w:val="0054185F"/>
    <w:rsid w:val="00541ABE"/>
    <w:rsid w:val="00541B32"/>
    <w:rsid w:val="00541CF1"/>
    <w:rsid w:val="00541D29"/>
    <w:rsid w:val="00542172"/>
    <w:rsid w:val="00542294"/>
    <w:rsid w:val="0054243F"/>
    <w:rsid w:val="00542455"/>
    <w:rsid w:val="005424F9"/>
    <w:rsid w:val="005426AB"/>
    <w:rsid w:val="005426C3"/>
    <w:rsid w:val="0054274C"/>
    <w:rsid w:val="005427A1"/>
    <w:rsid w:val="00542815"/>
    <w:rsid w:val="00542895"/>
    <w:rsid w:val="00542979"/>
    <w:rsid w:val="00542A02"/>
    <w:rsid w:val="00542D0F"/>
    <w:rsid w:val="0054305F"/>
    <w:rsid w:val="005430C3"/>
    <w:rsid w:val="005430F1"/>
    <w:rsid w:val="0054311E"/>
    <w:rsid w:val="005431DF"/>
    <w:rsid w:val="00543252"/>
    <w:rsid w:val="00543257"/>
    <w:rsid w:val="00543335"/>
    <w:rsid w:val="00543371"/>
    <w:rsid w:val="00543564"/>
    <w:rsid w:val="0054398D"/>
    <w:rsid w:val="00543AE8"/>
    <w:rsid w:val="00543B8B"/>
    <w:rsid w:val="00543DCA"/>
    <w:rsid w:val="00543F5D"/>
    <w:rsid w:val="00544196"/>
    <w:rsid w:val="0054439B"/>
    <w:rsid w:val="0054440B"/>
    <w:rsid w:val="0054450A"/>
    <w:rsid w:val="00544575"/>
    <w:rsid w:val="005446CF"/>
    <w:rsid w:val="005446EE"/>
    <w:rsid w:val="00544844"/>
    <w:rsid w:val="00544876"/>
    <w:rsid w:val="0054488D"/>
    <w:rsid w:val="00544941"/>
    <w:rsid w:val="00544997"/>
    <w:rsid w:val="005449B3"/>
    <w:rsid w:val="00544C50"/>
    <w:rsid w:val="00544CFB"/>
    <w:rsid w:val="005450E6"/>
    <w:rsid w:val="005451F2"/>
    <w:rsid w:val="005452DF"/>
    <w:rsid w:val="005452E6"/>
    <w:rsid w:val="005453B2"/>
    <w:rsid w:val="00545790"/>
    <w:rsid w:val="00545963"/>
    <w:rsid w:val="005459E1"/>
    <w:rsid w:val="00545A3C"/>
    <w:rsid w:val="00545BA5"/>
    <w:rsid w:val="00545BD4"/>
    <w:rsid w:val="00545CDE"/>
    <w:rsid w:val="00545D45"/>
    <w:rsid w:val="00545DA2"/>
    <w:rsid w:val="00545E48"/>
    <w:rsid w:val="00545FBC"/>
    <w:rsid w:val="005461FA"/>
    <w:rsid w:val="0054630F"/>
    <w:rsid w:val="00546476"/>
    <w:rsid w:val="005466D0"/>
    <w:rsid w:val="005466EC"/>
    <w:rsid w:val="00546700"/>
    <w:rsid w:val="005468F1"/>
    <w:rsid w:val="00546986"/>
    <w:rsid w:val="005469D6"/>
    <w:rsid w:val="00546C69"/>
    <w:rsid w:val="00546E2F"/>
    <w:rsid w:val="00546EAE"/>
    <w:rsid w:val="00546EE9"/>
    <w:rsid w:val="00546FF5"/>
    <w:rsid w:val="00547096"/>
    <w:rsid w:val="005472F8"/>
    <w:rsid w:val="00547373"/>
    <w:rsid w:val="005473F2"/>
    <w:rsid w:val="00547419"/>
    <w:rsid w:val="005474D6"/>
    <w:rsid w:val="00547632"/>
    <w:rsid w:val="0054772F"/>
    <w:rsid w:val="0054773D"/>
    <w:rsid w:val="00547799"/>
    <w:rsid w:val="00547AFA"/>
    <w:rsid w:val="00547BBE"/>
    <w:rsid w:val="00547CD9"/>
    <w:rsid w:val="00547CF2"/>
    <w:rsid w:val="00547E09"/>
    <w:rsid w:val="00547E0A"/>
    <w:rsid w:val="00547EAF"/>
    <w:rsid w:val="00547ECD"/>
    <w:rsid w:val="00550170"/>
    <w:rsid w:val="0055035F"/>
    <w:rsid w:val="00550519"/>
    <w:rsid w:val="005505E2"/>
    <w:rsid w:val="00550701"/>
    <w:rsid w:val="005507DE"/>
    <w:rsid w:val="0055083F"/>
    <w:rsid w:val="0055091D"/>
    <w:rsid w:val="00550978"/>
    <w:rsid w:val="00550A80"/>
    <w:rsid w:val="00550BB3"/>
    <w:rsid w:val="00550BC8"/>
    <w:rsid w:val="00550D23"/>
    <w:rsid w:val="0055106C"/>
    <w:rsid w:val="0055112D"/>
    <w:rsid w:val="0055130B"/>
    <w:rsid w:val="00551423"/>
    <w:rsid w:val="00551588"/>
    <w:rsid w:val="00551618"/>
    <w:rsid w:val="0055163E"/>
    <w:rsid w:val="00551C48"/>
    <w:rsid w:val="00551EBC"/>
    <w:rsid w:val="00552060"/>
    <w:rsid w:val="005520F3"/>
    <w:rsid w:val="00552169"/>
    <w:rsid w:val="005521AE"/>
    <w:rsid w:val="0055220D"/>
    <w:rsid w:val="0055227F"/>
    <w:rsid w:val="0055233E"/>
    <w:rsid w:val="00552350"/>
    <w:rsid w:val="005524D6"/>
    <w:rsid w:val="005527FE"/>
    <w:rsid w:val="005528CC"/>
    <w:rsid w:val="005529A9"/>
    <w:rsid w:val="00552BF6"/>
    <w:rsid w:val="00552D1E"/>
    <w:rsid w:val="00552D6D"/>
    <w:rsid w:val="00552DC1"/>
    <w:rsid w:val="00552EC8"/>
    <w:rsid w:val="00552F66"/>
    <w:rsid w:val="00553238"/>
    <w:rsid w:val="0055330C"/>
    <w:rsid w:val="0055345C"/>
    <w:rsid w:val="00553840"/>
    <w:rsid w:val="00553856"/>
    <w:rsid w:val="00553879"/>
    <w:rsid w:val="00553B17"/>
    <w:rsid w:val="00553BC2"/>
    <w:rsid w:val="00553BDE"/>
    <w:rsid w:val="00553D23"/>
    <w:rsid w:val="00553FCC"/>
    <w:rsid w:val="00554016"/>
    <w:rsid w:val="005542BE"/>
    <w:rsid w:val="00554520"/>
    <w:rsid w:val="00554564"/>
    <w:rsid w:val="005545D4"/>
    <w:rsid w:val="005545EE"/>
    <w:rsid w:val="005548E0"/>
    <w:rsid w:val="0055494F"/>
    <w:rsid w:val="00554963"/>
    <w:rsid w:val="00554997"/>
    <w:rsid w:val="00554B1A"/>
    <w:rsid w:val="00554B9C"/>
    <w:rsid w:val="00554B9F"/>
    <w:rsid w:val="00554C67"/>
    <w:rsid w:val="00554CAF"/>
    <w:rsid w:val="00554CCF"/>
    <w:rsid w:val="00554E70"/>
    <w:rsid w:val="00554F8B"/>
    <w:rsid w:val="00554FB8"/>
    <w:rsid w:val="0055504B"/>
    <w:rsid w:val="0055506B"/>
    <w:rsid w:val="005550A0"/>
    <w:rsid w:val="005550E6"/>
    <w:rsid w:val="00555175"/>
    <w:rsid w:val="0055517B"/>
    <w:rsid w:val="005552E6"/>
    <w:rsid w:val="005552FC"/>
    <w:rsid w:val="0055541C"/>
    <w:rsid w:val="00555438"/>
    <w:rsid w:val="00555470"/>
    <w:rsid w:val="00555554"/>
    <w:rsid w:val="0055556C"/>
    <w:rsid w:val="00555802"/>
    <w:rsid w:val="00555832"/>
    <w:rsid w:val="00555845"/>
    <w:rsid w:val="00555968"/>
    <w:rsid w:val="00555B5B"/>
    <w:rsid w:val="00555C3F"/>
    <w:rsid w:val="00555C5F"/>
    <w:rsid w:val="00555CD6"/>
    <w:rsid w:val="00555DC4"/>
    <w:rsid w:val="00555E80"/>
    <w:rsid w:val="00556030"/>
    <w:rsid w:val="00556103"/>
    <w:rsid w:val="0055623E"/>
    <w:rsid w:val="0055629F"/>
    <w:rsid w:val="005562C8"/>
    <w:rsid w:val="005562E7"/>
    <w:rsid w:val="0055638E"/>
    <w:rsid w:val="00556393"/>
    <w:rsid w:val="00556411"/>
    <w:rsid w:val="0055663B"/>
    <w:rsid w:val="005566A5"/>
    <w:rsid w:val="00556735"/>
    <w:rsid w:val="005568BF"/>
    <w:rsid w:val="00556936"/>
    <w:rsid w:val="00556A48"/>
    <w:rsid w:val="00556C02"/>
    <w:rsid w:val="00556C4E"/>
    <w:rsid w:val="00556DD9"/>
    <w:rsid w:val="00556E5A"/>
    <w:rsid w:val="005570F4"/>
    <w:rsid w:val="00557199"/>
    <w:rsid w:val="005573DB"/>
    <w:rsid w:val="0055745A"/>
    <w:rsid w:val="00557628"/>
    <w:rsid w:val="00557879"/>
    <w:rsid w:val="005578EC"/>
    <w:rsid w:val="005578F5"/>
    <w:rsid w:val="00557900"/>
    <w:rsid w:val="0056008D"/>
    <w:rsid w:val="0056012B"/>
    <w:rsid w:val="0056024D"/>
    <w:rsid w:val="005602B3"/>
    <w:rsid w:val="005602CE"/>
    <w:rsid w:val="00560341"/>
    <w:rsid w:val="0056041B"/>
    <w:rsid w:val="00560622"/>
    <w:rsid w:val="00560664"/>
    <w:rsid w:val="00560745"/>
    <w:rsid w:val="005607F8"/>
    <w:rsid w:val="005608C0"/>
    <w:rsid w:val="005609B8"/>
    <w:rsid w:val="00560F1D"/>
    <w:rsid w:val="00560FD0"/>
    <w:rsid w:val="0056110F"/>
    <w:rsid w:val="00561171"/>
    <w:rsid w:val="00561307"/>
    <w:rsid w:val="00561725"/>
    <w:rsid w:val="0056173E"/>
    <w:rsid w:val="00561785"/>
    <w:rsid w:val="00561786"/>
    <w:rsid w:val="00561856"/>
    <w:rsid w:val="005619A6"/>
    <w:rsid w:val="005619EA"/>
    <w:rsid w:val="00561AAD"/>
    <w:rsid w:val="00561BE1"/>
    <w:rsid w:val="00561D74"/>
    <w:rsid w:val="00561DBC"/>
    <w:rsid w:val="00561E5D"/>
    <w:rsid w:val="00561EBE"/>
    <w:rsid w:val="00561EC4"/>
    <w:rsid w:val="005622BB"/>
    <w:rsid w:val="005623E6"/>
    <w:rsid w:val="005624A7"/>
    <w:rsid w:val="005624B2"/>
    <w:rsid w:val="005625D8"/>
    <w:rsid w:val="00562664"/>
    <w:rsid w:val="00562D9E"/>
    <w:rsid w:val="00562DF5"/>
    <w:rsid w:val="005630FD"/>
    <w:rsid w:val="0056345F"/>
    <w:rsid w:val="0056350D"/>
    <w:rsid w:val="0056359E"/>
    <w:rsid w:val="005635FD"/>
    <w:rsid w:val="0056367B"/>
    <w:rsid w:val="0056371A"/>
    <w:rsid w:val="00563865"/>
    <w:rsid w:val="005639EC"/>
    <w:rsid w:val="00563A54"/>
    <w:rsid w:val="00563F5E"/>
    <w:rsid w:val="00563F73"/>
    <w:rsid w:val="0056408A"/>
    <w:rsid w:val="00564147"/>
    <w:rsid w:val="00564157"/>
    <w:rsid w:val="00564234"/>
    <w:rsid w:val="0056458B"/>
    <w:rsid w:val="00564606"/>
    <w:rsid w:val="00564612"/>
    <w:rsid w:val="0056485B"/>
    <w:rsid w:val="00564896"/>
    <w:rsid w:val="00564941"/>
    <w:rsid w:val="005649B7"/>
    <w:rsid w:val="005649F9"/>
    <w:rsid w:val="00564C0E"/>
    <w:rsid w:val="00564DB5"/>
    <w:rsid w:val="00564E10"/>
    <w:rsid w:val="00564EAB"/>
    <w:rsid w:val="00565084"/>
    <w:rsid w:val="005651FA"/>
    <w:rsid w:val="005653DA"/>
    <w:rsid w:val="00565522"/>
    <w:rsid w:val="005655CC"/>
    <w:rsid w:val="005657A7"/>
    <w:rsid w:val="0056597B"/>
    <w:rsid w:val="00565A8E"/>
    <w:rsid w:val="00565B1C"/>
    <w:rsid w:val="00565CE8"/>
    <w:rsid w:val="00565EE5"/>
    <w:rsid w:val="00565FC1"/>
    <w:rsid w:val="005660EE"/>
    <w:rsid w:val="00566176"/>
    <w:rsid w:val="00566446"/>
    <w:rsid w:val="00566570"/>
    <w:rsid w:val="005666DC"/>
    <w:rsid w:val="005667B5"/>
    <w:rsid w:val="005667CF"/>
    <w:rsid w:val="0056685B"/>
    <w:rsid w:val="0056691D"/>
    <w:rsid w:val="005669E3"/>
    <w:rsid w:val="00566B1B"/>
    <w:rsid w:val="00566E35"/>
    <w:rsid w:val="00567000"/>
    <w:rsid w:val="0056716C"/>
    <w:rsid w:val="005673C0"/>
    <w:rsid w:val="00567647"/>
    <w:rsid w:val="0056766C"/>
    <w:rsid w:val="00567885"/>
    <w:rsid w:val="0056797B"/>
    <w:rsid w:val="00567AC8"/>
    <w:rsid w:val="00567AE2"/>
    <w:rsid w:val="00567AF6"/>
    <w:rsid w:val="00567B27"/>
    <w:rsid w:val="00567B37"/>
    <w:rsid w:val="00567B9E"/>
    <w:rsid w:val="00567C01"/>
    <w:rsid w:val="00567DC3"/>
    <w:rsid w:val="00567E4A"/>
    <w:rsid w:val="00567F2F"/>
    <w:rsid w:val="0057013A"/>
    <w:rsid w:val="00570329"/>
    <w:rsid w:val="005703C5"/>
    <w:rsid w:val="00570434"/>
    <w:rsid w:val="00570795"/>
    <w:rsid w:val="005709AC"/>
    <w:rsid w:val="00570AC3"/>
    <w:rsid w:val="00570C46"/>
    <w:rsid w:val="00570C54"/>
    <w:rsid w:val="00570C6F"/>
    <w:rsid w:val="00570CD6"/>
    <w:rsid w:val="00570DC1"/>
    <w:rsid w:val="00570F21"/>
    <w:rsid w:val="00570F79"/>
    <w:rsid w:val="00571054"/>
    <w:rsid w:val="00571138"/>
    <w:rsid w:val="0057131B"/>
    <w:rsid w:val="00571424"/>
    <w:rsid w:val="005714B7"/>
    <w:rsid w:val="00571514"/>
    <w:rsid w:val="005715C0"/>
    <w:rsid w:val="00571719"/>
    <w:rsid w:val="00571732"/>
    <w:rsid w:val="0057185A"/>
    <w:rsid w:val="00571B2E"/>
    <w:rsid w:val="00571C3E"/>
    <w:rsid w:val="00571C9F"/>
    <w:rsid w:val="00571D58"/>
    <w:rsid w:val="00571DE9"/>
    <w:rsid w:val="00571E5B"/>
    <w:rsid w:val="00571E8C"/>
    <w:rsid w:val="00571E97"/>
    <w:rsid w:val="00571EAA"/>
    <w:rsid w:val="00571EF2"/>
    <w:rsid w:val="00571F33"/>
    <w:rsid w:val="00572245"/>
    <w:rsid w:val="005723D6"/>
    <w:rsid w:val="005725C8"/>
    <w:rsid w:val="005725D6"/>
    <w:rsid w:val="005726D1"/>
    <w:rsid w:val="00572717"/>
    <w:rsid w:val="00572941"/>
    <w:rsid w:val="00572AA3"/>
    <w:rsid w:val="00572D10"/>
    <w:rsid w:val="00572D1C"/>
    <w:rsid w:val="00572D64"/>
    <w:rsid w:val="00572DCC"/>
    <w:rsid w:val="00572E00"/>
    <w:rsid w:val="00573050"/>
    <w:rsid w:val="005731B4"/>
    <w:rsid w:val="00573220"/>
    <w:rsid w:val="0057328A"/>
    <w:rsid w:val="00573354"/>
    <w:rsid w:val="0057337C"/>
    <w:rsid w:val="00573470"/>
    <w:rsid w:val="0057347A"/>
    <w:rsid w:val="005735ED"/>
    <w:rsid w:val="00573662"/>
    <w:rsid w:val="005736E3"/>
    <w:rsid w:val="00573758"/>
    <w:rsid w:val="005738D5"/>
    <w:rsid w:val="00573990"/>
    <w:rsid w:val="00573A8B"/>
    <w:rsid w:val="00573ABA"/>
    <w:rsid w:val="00573B3A"/>
    <w:rsid w:val="00573B52"/>
    <w:rsid w:val="00573B95"/>
    <w:rsid w:val="00573C23"/>
    <w:rsid w:val="00573D36"/>
    <w:rsid w:val="00573D88"/>
    <w:rsid w:val="00573E5E"/>
    <w:rsid w:val="00573E77"/>
    <w:rsid w:val="00573E99"/>
    <w:rsid w:val="00573EC2"/>
    <w:rsid w:val="00573FD9"/>
    <w:rsid w:val="005740A4"/>
    <w:rsid w:val="005741E4"/>
    <w:rsid w:val="00574295"/>
    <w:rsid w:val="0057447B"/>
    <w:rsid w:val="00574578"/>
    <w:rsid w:val="0057499B"/>
    <w:rsid w:val="00574A77"/>
    <w:rsid w:val="00574BBF"/>
    <w:rsid w:val="005751B2"/>
    <w:rsid w:val="00575350"/>
    <w:rsid w:val="00575476"/>
    <w:rsid w:val="0057552D"/>
    <w:rsid w:val="0057558A"/>
    <w:rsid w:val="00575650"/>
    <w:rsid w:val="005756D3"/>
    <w:rsid w:val="005758C3"/>
    <w:rsid w:val="00575B87"/>
    <w:rsid w:val="00575CAE"/>
    <w:rsid w:val="00575E1A"/>
    <w:rsid w:val="00575F45"/>
    <w:rsid w:val="00576072"/>
    <w:rsid w:val="00576081"/>
    <w:rsid w:val="005762CF"/>
    <w:rsid w:val="005762D4"/>
    <w:rsid w:val="00576322"/>
    <w:rsid w:val="0057633F"/>
    <w:rsid w:val="0057661B"/>
    <w:rsid w:val="005767A4"/>
    <w:rsid w:val="005767AA"/>
    <w:rsid w:val="005767DD"/>
    <w:rsid w:val="00576869"/>
    <w:rsid w:val="005769E2"/>
    <w:rsid w:val="00576A1B"/>
    <w:rsid w:val="00576C3F"/>
    <w:rsid w:val="00576CB5"/>
    <w:rsid w:val="00576F96"/>
    <w:rsid w:val="00577080"/>
    <w:rsid w:val="00577169"/>
    <w:rsid w:val="005772A1"/>
    <w:rsid w:val="00577385"/>
    <w:rsid w:val="0057751C"/>
    <w:rsid w:val="00577544"/>
    <w:rsid w:val="0057763A"/>
    <w:rsid w:val="005777CF"/>
    <w:rsid w:val="005777EA"/>
    <w:rsid w:val="005778A0"/>
    <w:rsid w:val="0057791B"/>
    <w:rsid w:val="00577B83"/>
    <w:rsid w:val="00577E8A"/>
    <w:rsid w:val="00577F52"/>
    <w:rsid w:val="00580096"/>
    <w:rsid w:val="005803B6"/>
    <w:rsid w:val="005804CC"/>
    <w:rsid w:val="005805CD"/>
    <w:rsid w:val="005806F5"/>
    <w:rsid w:val="005807A4"/>
    <w:rsid w:val="005807E3"/>
    <w:rsid w:val="0058089F"/>
    <w:rsid w:val="005808CA"/>
    <w:rsid w:val="00580918"/>
    <w:rsid w:val="00580A6D"/>
    <w:rsid w:val="00580B47"/>
    <w:rsid w:val="00580BA7"/>
    <w:rsid w:val="00580BC1"/>
    <w:rsid w:val="00580C24"/>
    <w:rsid w:val="00580CDB"/>
    <w:rsid w:val="00580E5A"/>
    <w:rsid w:val="00580F2F"/>
    <w:rsid w:val="00580F80"/>
    <w:rsid w:val="00580F93"/>
    <w:rsid w:val="005811BA"/>
    <w:rsid w:val="0058199D"/>
    <w:rsid w:val="005819CA"/>
    <w:rsid w:val="00581A34"/>
    <w:rsid w:val="00581A60"/>
    <w:rsid w:val="00581BE4"/>
    <w:rsid w:val="00581BF2"/>
    <w:rsid w:val="00581EAE"/>
    <w:rsid w:val="00581FBD"/>
    <w:rsid w:val="00582089"/>
    <w:rsid w:val="0058221B"/>
    <w:rsid w:val="00582228"/>
    <w:rsid w:val="005823CE"/>
    <w:rsid w:val="0058246B"/>
    <w:rsid w:val="0058253D"/>
    <w:rsid w:val="00582749"/>
    <w:rsid w:val="005827F2"/>
    <w:rsid w:val="005829E9"/>
    <w:rsid w:val="00582B62"/>
    <w:rsid w:val="00582BD1"/>
    <w:rsid w:val="00582BFF"/>
    <w:rsid w:val="00582D0D"/>
    <w:rsid w:val="00582FA4"/>
    <w:rsid w:val="0058349C"/>
    <w:rsid w:val="005834B5"/>
    <w:rsid w:val="0058362C"/>
    <w:rsid w:val="005837B5"/>
    <w:rsid w:val="0058382D"/>
    <w:rsid w:val="005838CA"/>
    <w:rsid w:val="0058396E"/>
    <w:rsid w:val="005839A9"/>
    <w:rsid w:val="00583A60"/>
    <w:rsid w:val="00583A93"/>
    <w:rsid w:val="00583C06"/>
    <w:rsid w:val="00583C92"/>
    <w:rsid w:val="00583CAD"/>
    <w:rsid w:val="00583EE3"/>
    <w:rsid w:val="00583FB5"/>
    <w:rsid w:val="00584011"/>
    <w:rsid w:val="005841DB"/>
    <w:rsid w:val="00584207"/>
    <w:rsid w:val="005842EC"/>
    <w:rsid w:val="00584401"/>
    <w:rsid w:val="00584783"/>
    <w:rsid w:val="005848FC"/>
    <w:rsid w:val="0058496A"/>
    <w:rsid w:val="0058498E"/>
    <w:rsid w:val="005849CF"/>
    <w:rsid w:val="00584BCC"/>
    <w:rsid w:val="00584C91"/>
    <w:rsid w:val="00584CA4"/>
    <w:rsid w:val="00584CD1"/>
    <w:rsid w:val="00584E20"/>
    <w:rsid w:val="00584E23"/>
    <w:rsid w:val="00584FCC"/>
    <w:rsid w:val="0058507B"/>
    <w:rsid w:val="0058515E"/>
    <w:rsid w:val="005851A7"/>
    <w:rsid w:val="005851DE"/>
    <w:rsid w:val="005852B5"/>
    <w:rsid w:val="0058536A"/>
    <w:rsid w:val="005855D4"/>
    <w:rsid w:val="00585975"/>
    <w:rsid w:val="005859D6"/>
    <w:rsid w:val="00585B8C"/>
    <w:rsid w:val="00585D34"/>
    <w:rsid w:val="00585D92"/>
    <w:rsid w:val="00585ECC"/>
    <w:rsid w:val="00585F22"/>
    <w:rsid w:val="00585FDD"/>
    <w:rsid w:val="00586077"/>
    <w:rsid w:val="0058615E"/>
    <w:rsid w:val="00586163"/>
    <w:rsid w:val="0058617F"/>
    <w:rsid w:val="005861FB"/>
    <w:rsid w:val="005865C0"/>
    <w:rsid w:val="00586985"/>
    <w:rsid w:val="00586A63"/>
    <w:rsid w:val="00586CFA"/>
    <w:rsid w:val="00586E23"/>
    <w:rsid w:val="00586FB6"/>
    <w:rsid w:val="00587004"/>
    <w:rsid w:val="00587045"/>
    <w:rsid w:val="00587247"/>
    <w:rsid w:val="005873CD"/>
    <w:rsid w:val="00587546"/>
    <w:rsid w:val="00587586"/>
    <w:rsid w:val="00587614"/>
    <w:rsid w:val="0058769B"/>
    <w:rsid w:val="005877E1"/>
    <w:rsid w:val="00587835"/>
    <w:rsid w:val="0058786D"/>
    <w:rsid w:val="00587931"/>
    <w:rsid w:val="005879CB"/>
    <w:rsid w:val="00587A30"/>
    <w:rsid w:val="00587A49"/>
    <w:rsid w:val="00587A94"/>
    <w:rsid w:val="00587BA8"/>
    <w:rsid w:val="00587F36"/>
    <w:rsid w:val="00587F54"/>
    <w:rsid w:val="00590094"/>
    <w:rsid w:val="00590146"/>
    <w:rsid w:val="0059039C"/>
    <w:rsid w:val="00590435"/>
    <w:rsid w:val="00590466"/>
    <w:rsid w:val="005904A2"/>
    <w:rsid w:val="005907E0"/>
    <w:rsid w:val="00590A49"/>
    <w:rsid w:val="00590BF8"/>
    <w:rsid w:val="00590C50"/>
    <w:rsid w:val="00590E71"/>
    <w:rsid w:val="00590EAE"/>
    <w:rsid w:val="005910E3"/>
    <w:rsid w:val="00591130"/>
    <w:rsid w:val="005911DB"/>
    <w:rsid w:val="005911FB"/>
    <w:rsid w:val="00591411"/>
    <w:rsid w:val="00591419"/>
    <w:rsid w:val="005914D9"/>
    <w:rsid w:val="0059150A"/>
    <w:rsid w:val="005916AB"/>
    <w:rsid w:val="00591988"/>
    <w:rsid w:val="005919ED"/>
    <w:rsid w:val="00591AD3"/>
    <w:rsid w:val="00591C1C"/>
    <w:rsid w:val="00591CB8"/>
    <w:rsid w:val="00591FB4"/>
    <w:rsid w:val="00592127"/>
    <w:rsid w:val="005921CB"/>
    <w:rsid w:val="00592224"/>
    <w:rsid w:val="00592355"/>
    <w:rsid w:val="005923C8"/>
    <w:rsid w:val="0059244F"/>
    <w:rsid w:val="005924C7"/>
    <w:rsid w:val="00592521"/>
    <w:rsid w:val="00592581"/>
    <w:rsid w:val="005927B1"/>
    <w:rsid w:val="00592941"/>
    <w:rsid w:val="00592A0B"/>
    <w:rsid w:val="00592A4F"/>
    <w:rsid w:val="00592A87"/>
    <w:rsid w:val="00592AEC"/>
    <w:rsid w:val="00592B3E"/>
    <w:rsid w:val="00592C07"/>
    <w:rsid w:val="00592D23"/>
    <w:rsid w:val="00592F10"/>
    <w:rsid w:val="00592FE3"/>
    <w:rsid w:val="00593046"/>
    <w:rsid w:val="005934D9"/>
    <w:rsid w:val="0059350D"/>
    <w:rsid w:val="005935FA"/>
    <w:rsid w:val="00593614"/>
    <w:rsid w:val="00593744"/>
    <w:rsid w:val="0059379D"/>
    <w:rsid w:val="0059382B"/>
    <w:rsid w:val="00593A60"/>
    <w:rsid w:val="00593A93"/>
    <w:rsid w:val="00593A96"/>
    <w:rsid w:val="00593BFF"/>
    <w:rsid w:val="00593D09"/>
    <w:rsid w:val="00593EA1"/>
    <w:rsid w:val="00593EE1"/>
    <w:rsid w:val="00593F90"/>
    <w:rsid w:val="00593FF3"/>
    <w:rsid w:val="005940FC"/>
    <w:rsid w:val="005941F6"/>
    <w:rsid w:val="0059421E"/>
    <w:rsid w:val="0059439A"/>
    <w:rsid w:val="00594585"/>
    <w:rsid w:val="0059463B"/>
    <w:rsid w:val="00594670"/>
    <w:rsid w:val="0059480D"/>
    <w:rsid w:val="00594935"/>
    <w:rsid w:val="005949EF"/>
    <w:rsid w:val="00594A1F"/>
    <w:rsid w:val="00594AD7"/>
    <w:rsid w:val="00594B18"/>
    <w:rsid w:val="00594C52"/>
    <w:rsid w:val="00594D13"/>
    <w:rsid w:val="00594ECF"/>
    <w:rsid w:val="00594F91"/>
    <w:rsid w:val="005950B7"/>
    <w:rsid w:val="00595195"/>
    <w:rsid w:val="0059564C"/>
    <w:rsid w:val="00595686"/>
    <w:rsid w:val="005956E2"/>
    <w:rsid w:val="00595726"/>
    <w:rsid w:val="0059575A"/>
    <w:rsid w:val="0059575F"/>
    <w:rsid w:val="0059577F"/>
    <w:rsid w:val="00595819"/>
    <w:rsid w:val="0059588E"/>
    <w:rsid w:val="005958EB"/>
    <w:rsid w:val="00595BA1"/>
    <w:rsid w:val="00595D53"/>
    <w:rsid w:val="00596072"/>
    <w:rsid w:val="00596178"/>
    <w:rsid w:val="0059622C"/>
    <w:rsid w:val="00596290"/>
    <w:rsid w:val="005967AA"/>
    <w:rsid w:val="0059697F"/>
    <w:rsid w:val="00596994"/>
    <w:rsid w:val="00596ADE"/>
    <w:rsid w:val="00596B55"/>
    <w:rsid w:val="00596B81"/>
    <w:rsid w:val="00596BC7"/>
    <w:rsid w:val="00596D8A"/>
    <w:rsid w:val="00596E01"/>
    <w:rsid w:val="00596EF2"/>
    <w:rsid w:val="00596F47"/>
    <w:rsid w:val="00597053"/>
    <w:rsid w:val="0059718C"/>
    <w:rsid w:val="005971C2"/>
    <w:rsid w:val="005971E1"/>
    <w:rsid w:val="005971E4"/>
    <w:rsid w:val="005971F0"/>
    <w:rsid w:val="005972AD"/>
    <w:rsid w:val="005972D5"/>
    <w:rsid w:val="00597307"/>
    <w:rsid w:val="00597520"/>
    <w:rsid w:val="005975F2"/>
    <w:rsid w:val="005977DB"/>
    <w:rsid w:val="00597A4E"/>
    <w:rsid w:val="00597AA9"/>
    <w:rsid w:val="00597AEB"/>
    <w:rsid w:val="00597E80"/>
    <w:rsid w:val="00597F63"/>
    <w:rsid w:val="005A0049"/>
    <w:rsid w:val="005A0098"/>
    <w:rsid w:val="005A009E"/>
    <w:rsid w:val="005A00AE"/>
    <w:rsid w:val="005A0134"/>
    <w:rsid w:val="005A02D8"/>
    <w:rsid w:val="005A0395"/>
    <w:rsid w:val="005A05AF"/>
    <w:rsid w:val="005A05FF"/>
    <w:rsid w:val="005A06E1"/>
    <w:rsid w:val="005A06ED"/>
    <w:rsid w:val="005A073D"/>
    <w:rsid w:val="005A0989"/>
    <w:rsid w:val="005A0AA3"/>
    <w:rsid w:val="005A0B42"/>
    <w:rsid w:val="005A0E88"/>
    <w:rsid w:val="005A0F78"/>
    <w:rsid w:val="005A1035"/>
    <w:rsid w:val="005A1150"/>
    <w:rsid w:val="005A11C0"/>
    <w:rsid w:val="005A11E8"/>
    <w:rsid w:val="005A1214"/>
    <w:rsid w:val="005A122C"/>
    <w:rsid w:val="005A126F"/>
    <w:rsid w:val="005A127D"/>
    <w:rsid w:val="005A13B6"/>
    <w:rsid w:val="005A14A5"/>
    <w:rsid w:val="005A185C"/>
    <w:rsid w:val="005A1996"/>
    <w:rsid w:val="005A19A4"/>
    <w:rsid w:val="005A19ED"/>
    <w:rsid w:val="005A1A6B"/>
    <w:rsid w:val="005A1AFC"/>
    <w:rsid w:val="005A1C5D"/>
    <w:rsid w:val="005A1C6B"/>
    <w:rsid w:val="005A1D27"/>
    <w:rsid w:val="005A1D6E"/>
    <w:rsid w:val="005A1DF0"/>
    <w:rsid w:val="005A2177"/>
    <w:rsid w:val="005A2187"/>
    <w:rsid w:val="005A2197"/>
    <w:rsid w:val="005A22BA"/>
    <w:rsid w:val="005A24F0"/>
    <w:rsid w:val="005A2747"/>
    <w:rsid w:val="005A299F"/>
    <w:rsid w:val="005A2BB6"/>
    <w:rsid w:val="005A2BC3"/>
    <w:rsid w:val="005A2CF3"/>
    <w:rsid w:val="005A2DEC"/>
    <w:rsid w:val="005A2DF9"/>
    <w:rsid w:val="005A2F8D"/>
    <w:rsid w:val="005A30F2"/>
    <w:rsid w:val="005A3103"/>
    <w:rsid w:val="005A31CD"/>
    <w:rsid w:val="005A3371"/>
    <w:rsid w:val="005A34B6"/>
    <w:rsid w:val="005A3511"/>
    <w:rsid w:val="005A357F"/>
    <w:rsid w:val="005A36BC"/>
    <w:rsid w:val="005A381E"/>
    <w:rsid w:val="005A3907"/>
    <w:rsid w:val="005A3A36"/>
    <w:rsid w:val="005A3ACE"/>
    <w:rsid w:val="005A3D86"/>
    <w:rsid w:val="005A3E96"/>
    <w:rsid w:val="005A3F74"/>
    <w:rsid w:val="005A3F90"/>
    <w:rsid w:val="005A404D"/>
    <w:rsid w:val="005A4128"/>
    <w:rsid w:val="005A42EC"/>
    <w:rsid w:val="005A4592"/>
    <w:rsid w:val="005A46CB"/>
    <w:rsid w:val="005A474B"/>
    <w:rsid w:val="005A4756"/>
    <w:rsid w:val="005A47D3"/>
    <w:rsid w:val="005A47F9"/>
    <w:rsid w:val="005A480A"/>
    <w:rsid w:val="005A48BB"/>
    <w:rsid w:val="005A4914"/>
    <w:rsid w:val="005A4A30"/>
    <w:rsid w:val="005A4A4A"/>
    <w:rsid w:val="005A4BB0"/>
    <w:rsid w:val="005A4C18"/>
    <w:rsid w:val="005A507C"/>
    <w:rsid w:val="005A50B7"/>
    <w:rsid w:val="005A5191"/>
    <w:rsid w:val="005A51C6"/>
    <w:rsid w:val="005A5317"/>
    <w:rsid w:val="005A5322"/>
    <w:rsid w:val="005A53D4"/>
    <w:rsid w:val="005A54A6"/>
    <w:rsid w:val="005A54A7"/>
    <w:rsid w:val="005A55BC"/>
    <w:rsid w:val="005A571C"/>
    <w:rsid w:val="005A597F"/>
    <w:rsid w:val="005A5AD3"/>
    <w:rsid w:val="005A5ADC"/>
    <w:rsid w:val="005A5CF0"/>
    <w:rsid w:val="005A5DAC"/>
    <w:rsid w:val="005A5F3E"/>
    <w:rsid w:val="005A5FAB"/>
    <w:rsid w:val="005A5FAE"/>
    <w:rsid w:val="005A614E"/>
    <w:rsid w:val="005A623D"/>
    <w:rsid w:val="005A6537"/>
    <w:rsid w:val="005A6593"/>
    <w:rsid w:val="005A65B5"/>
    <w:rsid w:val="005A65D8"/>
    <w:rsid w:val="005A6802"/>
    <w:rsid w:val="005A68C9"/>
    <w:rsid w:val="005A6A90"/>
    <w:rsid w:val="005A6AFC"/>
    <w:rsid w:val="005A6C4A"/>
    <w:rsid w:val="005A7023"/>
    <w:rsid w:val="005A711F"/>
    <w:rsid w:val="005A73DF"/>
    <w:rsid w:val="005A752D"/>
    <w:rsid w:val="005A754F"/>
    <w:rsid w:val="005A762B"/>
    <w:rsid w:val="005A7735"/>
    <w:rsid w:val="005A77AF"/>
    <w:rsid w:val="005A78E2"/>
    <w:rsid w:val="005A79E2"/>
    <w:rsid w:val="005A7DD9"/>
    <w:rsid w:val="005A7FF6"/>
    <w:rsid w:val="005B0115"/>
    <w:rsid w:val="005B027F"/>
    <w:rsid w:val="005B0297"/>
    <w:rsid w:val="005B02DC"/>
    <w:rsid w:val="005B033E"/>
    <w:rsid w:val="005B037D"/>
    <w:rsid w:val="005B04EE"/>
    <w:rsid w:val="005B057B"/>
    <w:rsid w:val="005B0743"/>
    <w:rsid w:val="005B0834"/>
    <w:rsid w:val="005B08BA"/>
    <w:rsid w:val="005B08ED"/>
    <w:rsid w:val="005B0C2D"/>
    <w:rsid w:val="005B0CD6"/>
    <w:rsid w:val="005B0FD1"/>
    <w:rsid w:val="005B1045"/>
    <w:rsid w:val="005B1122"/>
    <w:rsid w:val="005B113A"/>
    <w:rsid w:val="005B12F1"/>
    <w:rsid w:val="005B1572"/>
    <w:rsid w:val="005B1598"/>
    <w:rsid w:val="005B1655"/>
    <w:rsid w:val="005B16AA"/>
    <w:rsid w:val="005B177C"/>
    <w:rsid w:val="005B18A9"/>
    <w:rsid w:val="005B1BFF"/>
    <w:rsid w:val="005B1C3D"/>
    <w:rsid w:val="005B1C41"/>
    <w:rsid w:val="005B1D9C"/>
    <w:rsid w:val="005B1DC6"/>
    <w:rsid w:val="005B1F92"/>
    <w:rsid w:val="005B274A"/>
    <w:rsid w:val="005B2833"/>
    <w:rsid w:val="005B2955"/>
    <w:rsid w:val="005B2A2B"/>
    <w:rsid w:val="005B2B45"/>
    <w:rsid w:val="005B2B91"/>
    <w:rsid w:val="005B2BA8"/>
    <w:rsid w:val="005B2C81"/>
    <w:rsid w:val="005B2CBD"/>
    <w:rsid w:val="005B2D95"/>
    <w:rsid w:val="005B2E29"/>
    <w:rsid w:val="005B2E98"/>
    <w:rsid w:val="005B3136"/>
    <w:rsid w:val="005B318C"/>
    <w:rsid w:val="005B3238"/>
    <w:rsid w:val="005B326D"/>
    <w:rsid w:val="005B359A"/>
    <w:rsid w:val="005B36C3"/>
    <w:rsid w:val="005B3772"/>
    <w:rsid w:val="005B3A85"/>
    <w:rsid w:val="005B3A8A"/>
    <w:rsid w:val="005B3D06"/>
    <w:rsid w:val="005B3FAD"/>
    <w:rsid w:val="005B3FCB"/>
    <w:rsid w:val="005B4006"/>
    <w:rsid w:val="005B4061"/>
    <w:rsid w:val="005B40B4"/>
    <w:rsid w:val="005B41B6"/>
    <w:rsid w:val="005B42A7"/>
    <w:rsid w:val="005B42BB"/>
    <w:rsid w:val="005B43C3"/>
    <w:rsid w:val="005B4413"/>
    <w:rsid w:val="005B463B"/>
    <w:rsid w:val="005B49C4"/>
    <w:rsid w:val="005B4A4E"/>
    <w:rsid w:val="005B4AEA"/>
    <w:rsid w:val="005B4B1A"/>
    <w:rsid w:val="005B4D3E"/>
    <w:rsid w:val="005B4DE7"/>
    <w:rsid w:val="005B4E07"/>
    <w:rsid w:val="005B4E42"/>
    <w:rsid w:val="005B4E5D"/>
    <w:rsid w:val="005B4FBB"/>
    <w:rsid w:val="005B5003"/>
    <w:rsid w:val="005B500B"/>
    <w:rsid w:val="005B5035"/>
    <w:rsid w:val="005B50BF"/>
    <w:rsid w:val="005B519D"/>
    <w:rsid w:val="005B51A8"/>
    <w:rsid w:val="005B51FA"/>
    <w:rsid w:val="005B520C"/>
    <w:rsid w:val="005B526C"/>
    <w:rsid w:val="005B5645"/>
    <w:rsid w:val="005B582F"/>
    <w:rsid w:val="005B585C"/>
    <w:rsid w:val="005B5867"/>
    <w:rsid w:val="005B5979"/>
    <w:rsid w:val="005B59E8"/>
    <w:rsid w:val="005B5A65"/>
    <w:rsid w:val="005B5BD2"/>
    <w:rsid w:val="005B5CB6"/>
    <w:rsid w:val="005B5CEA"/>
    <w:rsid w:val="005B5ED0"/>
    <w:rsid w:val="005B5F0B"/>
    <w:rsid w:val="005B60A5"/>
    <w:rsid w:val="005B60AC"/>
    <w:rsid w:val="005B6203"/>
    <w:rsid w:val="005B63BE"/>
    <w:rsid w:val="005B644A"/>
    <w:rsid w:val="005B6606"/>
    <w:rsid w:val="005B66FE"/>
    <w:rsid w:val="005B6763"/>
    <w:rsid w:val="005B6767"/>
    <w:rsid w:val="005B681C"/>
    <w:rsid w:val="005B6D1A"/>
    <w:rsid w:val="005B6DE4"/>
    <w:rsid w:val="005B6F59"/>
    <w:rsid w:val="005B706F"/>
    <w:rsid w:val="005B7257"/>
    <w:rsid w:val="005B7288"/>
    <w:rsid w:val="005B7311"/>
    <w:rsid w:val="005B7374"/>
    <w:rsid w:val="005B745E"/>
    <w:rsid w:val="005B749A"/>
    <w:rsid w:val="005B7542"/>
    <w:rsid w:val="005B7582"/>
    <w:rsid w:val="005B75C4"/>
    <w:rsid w:val="005B7663"/>
    <w:rsid w:val="005B76F6"/>
    <w:rsid w:val="005B773F"/>
    <w:rsid w:val="005B77AB"/>
    <w:rsid w:val="005B7A4A"/>
    <w:rsid w:val="005B7A50"/>
    <w:rsid w:val="005B7A93"/>
    <w:rsid w:val="005B7B0D"/>
    <w:rsid w:val="005B7C8A"/>
    <w:rsid w:val="005B7E99"/>
    <w:rsid w:val="005B7EAE"/>
    <w:rsid w:val="005B7F1D"/>
    <w:rsid w:val="005B7FEF"/>
    <w:rsid w:val="005C027E"/>
    <w:rsid w:val="005C0319"/>
    <w:rsid w:val="005C03DC"/>
    <w:rsid w:val="005C03EE"/>
    <w:rsid w:val="005C0555"/>
    <w:rsid w:val="005C0744"/>
    <w:rsid w:val="005C083F"/>
    <w:rsid w:val="005C0886"/>
    <w:rsid w:val="005C08FD"/>
    <w:rsid w:val="005C0A11"/>
    <w:rsid w:val="005C0A44"/>
    <w:rsid w:val="005C0B98"/>
    <w:rsid w:val="005C0CD5"/>
    <w:rsid w:val="005C0E60"/>
    <w:rsid w:val="005C0EC4"/>
    <w:rsid w:val="005C0F3B"/>
    <w:rsid w:val="005C0F95"/>
    <w:rsid w:val="005C1064"/>
    <w:rsid w:val="005C10E5"/>
    <w:rsid w:val="005C12D9"/>
    <w:rsid w:val="005C13D5"/>
    <w:rsid w:val="005C1541"/>
    <w:rsid w:val="005C1916"/>
    <w:rsid w:val="005C1961"/>
    <w:rsid w:val="005C1B1A"/>
    <w:rsid w:val="005C1C25"/>
    <w:rsid w:val="005C1F2B"/>
    <w:rsid w:val="005C20A9"/>
    <w:rsid w:val="005C216B"/>
    <w:rsid w:val="005C21CF"/>
    <w:rsid w:val="005C2256"/>
    <w:rsid w:val="005C2400"/>
    <w:rsid w:val="005C263E"/>
    <w:rsid w:val="005C26B6"/>
    <w:rsid w:val="005C26E5"/>
    <w:rsid w:val="005C2775"/>
    <w:rsid w:val="005C29A5"/>
    <w:rsid w:val="005C29AC"/>
    <w:rsid w:val="005C2A58"/>
    <w:rsid w:val="005C2AD7"/>
    <w:rsid w:val="005C2B0F"/>
    <w:rsid w:val="005C2B5A"/>
    <w:rsid w:val="005C2CE8"/>
    <w:rsid w:val="005C2E54"/>
    <w:rsid w:val="005C2EDB"/>
    <w:rsid w:val="005C2F80"/>
    <w:rsid w:val="005C2F8F"/>
    <w:rsid w:val="005C2FE8"/>
    <w:rsid w:val="005C2FEC"/>
    <w:rsid w:val="005C3030"/>
    <w:rsid w:val="005C306B"/>
    <w:rsid w:val="005C315B"/>
    <w:rsid w:val="005C33D0"/>
    <w:rsid w:val="005C33D3"/>
    <w:rsid w:val="005C33F3"/>
    <w:rsid w:val="005C35D5"/>
    <w:rsid w:val="005C35D8"/>
    <w:rsid w:val="005C364B"/>
    <w:rsid w:val="005C370F"/>
    <w:rsid w:val="005C37CE"/>
    <w:rsid w:val="005C3805"/>
    <w:rsid w:val="005C3B70"/>
    <w:rsid w:val="005C3BBA"/>
    <w:rsid w:val="005C3D48"/>
    <w:rsid w:val="005C3DE0"/>
    <w:rsid w:val="005C3E03"/>
    <w:rsid w:val="005C4240"/>
    <w:rsid w:val="005C428B"/>
    <w:rsid w:val="005C4373"/>
    <w:rsid w:val="005C43C2"/>
    <w:rsid w:val="005C43DE"/>
    <w:rsid w:val="005C4509"/>
    <w:rsid w:val="005C46C1"/>
    <w:rsid w:val="005C475D"/>
    <w:rsid w:val="005C489B"/>
    <w:rsid w:val="005C4A8A"/>
    <w:rsid w:val="005C4B6D"/>
    <w:rsid w:val="005C4C1C"/>
    <w:rsid w:val="005C4C47"/>
    <w:rsid w:val="005C4EB7"/>
    <w:rsid w:val="005C4EF4"/>
    <w:rsid w:val="005C4FE9"/>
    <w:rsid w:val="005C52D8"/>
    <w:rsid w:val="005C53E3"/>
    <w:rsid w:val="005C5642"/>
    <w:rsid w:val="005C5739"/>
    <w:rsid w:val="005C578E"/>
    <w:rsid w:val="005C5B4C"/>
    <w:rsid w:val="005C5BAD"/>
    <w:rsid w:val="005C5D2F"/>
    <w:rsid w:val="005C5D5D"/>
    <w:rsid w:val="005C5D86"/>
    <w:rsid w:val="005C5E77"/>
    <w:rsid w:val="005C5F71"/>
    <w:rsid w:val="005C607F"/>
    <w:rsid w:val="005C6102"/>
    <w:rsid w:val="005C6349"/>
    <w:rsid w:val="005C6368"/>
    <w:rsid w:val="005C63BE"/>
    <w:rsid w:val="005C63F6"/>
    <w:rsid w:val="005C644F"/>
    <w:rsid w:val="005C649B"/>
    <w:rsid w:val="005C64D2"/>
    <w:rsid w:val="005C659D"/>
    <w:rsid w:val="005C6604"/>
    <w:rsid w:val="005C661A"/>
    <w:rsid w:val="005C674A"/>
    <w:rsid w:val="005C6793"/>
    <w:rsid w:val="005C67A8"/>
    <w:rsid w:val="005C67AE"/>
    <w:rsid w:val="005C69FD"/>
    <w:rsid w:val="005C6BB2"/>
    <w:rsid w:val="005C6E77"/>
    <w:rsid w:val="005C6F44"/>
    <w:rsid w:val="005C751B"/>
    <w:rsid w:val="005C7841"/>
    <w:rsid w:val="005C797D"/>
    <w:rsid w:val="005C7E0E"/>
    <w:rsid w:val="005C7E1D"/>
    <w:rsid w:val="005C7F97"/>
    <w:rsid w:val="005D0018"/>
    <w:rsid w:val="005D00AA"/>
    <w:rsid w:val="005D02E8"/>
    <w:rsid w:val="005D0489"/>
    <w:rsid w:val="005D051E"/>
    <w:rsid w:val="005D0A0C"/>
    <w:rsid w:val="005D0B22"/>
    <w:rsid w:val="005D0BAA"/>
    <w:rsid w:val="005D0D06"/>
    <w:rsid w:val="005D0DFD"/>
    <w:rsid w:val="005D0E77"/>
    <w:rsid w:val="005D1253"/>
    <w:rsid w:val="005D1460"/>
    <w:rsid w:val="005D14B1"/>
    <w:rsid w:val="005D15D9"/>
    <w:rsid w:val="005D1608"/>
    <w:rsid w:val="005D1663"/>
    <w:rsid w:val="005D1840"/>
    <w:rsid w:val="005D190A"/>
    <w:rsid w:val="005D1A23"/>
    <w:rsid w:val="005D1A46"/>
    <w:rsid w:val="005D1B06"/>
    <w:rsid w:val="005D1C18"/>
    <w:rsid w:val="005D1D31"/>
    <w:rsid w:val="005D203E"/>
    <w:rsid w:val="005D20F4"/>
    <w:rsid w:val="005D20FA"/>
    <w:rsid w:val="005D2212"/>
    <w:rsid w:val="005D2215"/>
    <w:rsid w:val="005D22C1"/>
    <w:rsid w:val="005D22F8"/>
    <w:rsid w:val="005D230A"/>
    <w:rsid w:val="005D239A"/>
    <w:rsid w:val="005D240F"/>
    <w:rsid w:val="005D2519"/>
    <w:rsid w:val="005D259C"/>
    <w:rsid w:val="005D2685"/>
    <w:rsid w:val="005D274C"/>
    <w:rsid w:val="005D28CC"/>
    <w:rsid w:val="005D28D1"/>
    <w:rsid w:val="005D2973"/>
    <w:rsid w:val="005D2AC8"/>
    <w:rsid w:val="005D2CDA"/>
    <w:rsid w:val="005D2E8E"/>
    <w:rsid w:val="005D3047"/>
    <w:rsid w:val="005D328F"/>
    <w:rsid w:val="005D32D7"/>
    <w:rsid w:val="005D3347"/>
    <w:rsid w:val="005D33CE"/>
    <w:rsid w:val="005D33FF"/>
    <w:rsid w:val="005D3597"/>
    <w:rsid w:val="005D36A0"/>
    <w:rsid w:val="005D3A51"/>
    <w:rsid w:val="005D3A83"/>
    <w:rsid w:val="005D3A9D"/>
    <w:rsid w:val="005D3ADF"/>
    <w:rsid w:val="005D3AF8"/>
    <w:rsid w:val="005D3BFF"/>
    <w:rsid w:val="005D3C0E"/>
    <w:rsid w:val="005D3DA4"/>
    <w:rsid w:val="005D3E0D"/>
    <w:rsid w:val="005D4079"/>
    <w:rsid w:val="005D4338"/>
    <w:rsid w:val="005D4394"/>
    <w:rsid w:val="005D43FC"/>
    <w:rsid w:val="005D453E"/>
    <w:rsid w:val="005D477E"/>
    <w:rsid w:val="005D47B9"/>
    <w:rsid w:val="005D486E"/>
    <w:rsid w:val="005D49EC"/>
    <w:rsid w:val="005D4CD3"/>
    <w:rsid w:val="005D4E7E"/>
    <w:rsid w:val="005D4F7D"/>
    <w:rsid w:val="005D4F8E"/>
    <w:rsid w:val="005D4F96"/>
    <w:rsid w:val="005D5125"/>
    <w:rsid w:val="005D523D"/>
    <w:rsid w:val="005D5262"/>
    <w:rsid w:val="005D5288"/>
    <w:rsid w:val="005D5367"/>
    <w:rsid w:val="005D538B"/>
    <w:rsid w:val="005D54D2"/>
    <w:rsid w:val="005D552E"/>
    <w:rsid w:val="005D57FA"/>
    <w:rsid w:val="005D58FB"/>
    <w:rsid w:val="005D5A39"/>
    <w:rsid w:val="005D5B63"/>
    <w:rsid w:val="005D5C10"/>
    <w:rsid w:val="005D5C8F"/>
    <w:rsid w:val="005D5CD7"/>
    <w:rsid w:val="005D5EA4"/>
    <w:rsid w:val="005D5EF4"/>
    <w:rsid w:val="005D6112"/>
    <w:rsid w:val="005D6161"/>
    <w:rsid w:val="005D61EC"/>
    <w:rsid w:val="005D6357"/>
    <w:rsid w:val="005D643E"/>
    <w:rsid w:val="005D65A4"/>
    <w:rsid w:val="005D6642"/>
    <w:rsid w:val="005D69BC"/>
    <w:rsid w:val="005D6C0F"/>
    <w:rsid w:val="005D6C61"/>
    <w:rsid w:val="005D6EEC"/>
    <w:rsid w:val="005D70C9"/>
    <w:rsid w:val="005D7118"/>
    <w:rsid w:val="005D7262"/>
    <w:rsid w:val="005D739F"/>
    <w:rsid w:val="005D73C3"/>
    <w:rsid w:val="005D74B9"/>
    <w:rsid w:val="005D7511"/>
    <w:rsid w:val="005D77B7"/>
    <w:rsid w:val="005D77DC"/>
    <w:rsid w:val="005D77E5"/>
    <w:rsid w:val="005D780A"/>
    <w:rsid w:val="005D78E9"/>
    <w:rsid w:val="005D7A49"/>
    <w:rsid w:val="005D7B28"/>
    <w:rsid w:val="005D7B78"/>
    <w:rsid w:val="005D7C88"/>
    <w:rsid w:val="005D7D37"/>
    <w:rsid w:val="005D7DE5"/>
    <w:rsid w:val="005D7E9F"/>
    <w:rsid w:val="005D7F33"/>
    <w:rsid w:val="005D7FA1"/>
    <w:rsid w:val="005E0064"/>
    <w:rsid w:val="005E01A1"/>
    <w:rsid w:val="005E02D0"/>
    <w:rsid w:val="005E030E"/>
    <w:rsid w:val="005E0471"/>
    <w:rsid w:val="005E0487"/>
    <w:rsid w:val="005E0865"/>
    <w:rsid w:val="005E094D"/>
    <w:rsid w:val="005E09B6"/>
    <w:rsid w:val="005E09C2"/>
    <w:rsid w:val="005E09C8"/>
    <w:rsid w:val="005E0AD7"/>
    <w:rsid w:val="005E0C12"/>
    <w:rsid w:val="005E0D23"/>
    <w:rsid w:val="005E0DFD"/>
    <w:rsid w:val="005E0E8C"/>
    <w:rsid w:val="005E0F89"/>
    <w:rsid w:val="005E0FE1"/>
    <w:rsid w:val="005E1119"/>
    <w:rsid w:val="005E114B"/>
    <w:rsid w:val="005E1179"/>
    <w:rsid w:val="005E1260"/>
    <w:rsid w:val="005E129D"/>
    <w:rsid w:val="005E133E"/>
    <w:rsid w:val="005E137F"/>
    <w:rsid w:val="005E1620"/>
    <w:rsid w:val="005E1638"/>
    <w:rsid w:val="005E1893"/>
    <w:rsid w:val="005E1898"/>
    <w:rsid w:val="005E1B3E"/>
    <w:rsid w:val="005E1C91"/>
    <w:rsid w:val="005E1F29"/>
    <w:rsid w:val="005E217C"/>
    <w:rsid w:val="005E229E"/>
    <w:rsid w:val="005E238E"/>
    <w:rsid w:val="005E2567"/>
    <w:rsid w:val="005E2626"/>
    <w:rsid w:val="005E2712"/>
    <w:rsid w:val="005E2869"/>
    <w:rsid w:val="005E2945"/>
    <w:rsid w:val="005E298D"/>
    <w:rsid w:val="005E2AC2"/>
    <w:rsid w:val="005E2C36"/>
    <w:rsid w:val="005E2C9F"/>
    <w:rsid w:val="005E2CDB"/>
    <w:rsid w:val="005E2E2E"/>
    <w:rsid w:val="005E2E67"/>
    <w:rsid w:val="005E2ECE"/>
    <w:rsid w:val="005E305E"/>
    <w:rsid w:val="005E317C"/>
    <w:rsid w:val="005E318A"/>
    <w:rsid w:val="005E328C"/>
    <w:rsid w:val="005E3310"/>
    <w:rsid w:val="005E34CE"/>
    <w:rsid w:val="005E3639"/>
    <w:rsid w:val="005E38CC"/>
    <w:rsid w:val="005E3A74"/>
    <w:rsid w:val="005E3C60"/>
    <w:rsid w:val="005E3D96"/>
    <w:rsid w:val="005E41B2"/>
    <w:rsid w:val="005E4232"/>
    <w:rsid w:val="005E42FA"/>
    <w:rsid w:val="005E437F"/>
    <w:rsid w:val="005E45F6"/>
    <w:rsid w:val="005E46E2"/>
    <w:rsid w:val="005E49F9"/>
    <w:rsid w:val="005E4A23"/>
    <w:rsid w:val="005E4A7A"/>
    <w:rsid w:val="005E4B23"/>
    <w:rsid w:val="005E4BCE"/>
    <w:rsid w:val="005E4CBD"/>
    <w:rsid w:val="005E4DAD"/>
    <w:rsid w:val="005E4DB8"/>
    <w:rsid w:val="005E4ED3"/>
    <w:rsid w:val="005E5062"/>
    <w:rsid w:val="005E50A7"/>
    <w:rsid w:val="005E5165"/>
    <w:rsid w:val="005E52C8"/>
    <w:rsid w:val="005E52D8"/>
    <w:rsid w:val="005E5383"/>
    <w:rsid w:val="005E53DC"/>
    <w:rsid w:val="005E5476"/>
    <w:rsid w:val="005E5480"/>
    <w:rsid w:val="005E5643"/>
    <w:rsid w:val="005E56AD"/>
    <w:rsid w:val="005E56F3"/>
    <w:rsid w:val="005E57B9"/>
    <w:rsid w:val="005E5B32"/>
    <w:rsid w:val="005E5BD5"/>
    <w:rsid w:val="005E5DDF"/>
    <w:rsid w:val="005E5E62"/>
    <w:rsid w:val="005E5F57"/>
    <w:rsid w:val="005E60FB"/>
    <w:rsid w:val="005E61A3"/>
    <w:rsid w:val="005E624A"/>
    <w:rsid w:val="005E6258"/>
    <w:rsid w:val="005E6266"/>
    <w:rsid w:val="005E6838"/>
    <w:rsid w:val="005E69C5"/>
    <w:rsid w:val="005E6A28"/>
    <w:rsid w:val="005E6A65"/>
    <w:rsid w:val="005E6AA4"/>
    <w:rsid w:val="005E6C19"/>
    <w:rsid w:val="005E6CB5"/>
    <w:rsid w:val="005E700A"/>
    <w:rsid w:val="005E7054"/>
    <w:rsid w:val="005E712F"/>
    <w:rsid w:val="005E7148"/>
    <w:rsid w:val="005E717E"/>
    <w:rsid w:val="005E72DF"/>
    <w:rsid w:val="005E730B"/>
    <w:rsid w:val="005E735D"/>
    <w:rsid w:val="005E74BA"/>
    <w:rsid w:val="005E767C"/>
    <w:rsid w:val="005E7C5F"/>
    <w:rsid w:val="005E7CC8"/>
    <w:rsid w:val="005E7CED"/>
    <w:rsid w:val="005E7D31"/>
    <w:rsid w:val="005E7E7E"/>
    <w:rsid w:val="005F01F3"/>
    <w:rsid w:val="005F0364"/>
    <w:rsid w:val="005F06F6"/>
    <w:rsid w:val="005F0976"/>
    <w:rsid w:val="005F0A2B"/>
    <w:rsid w:val="005F0B04"/>
    <w:rsid w:val="005F0B9F"/>
    <w:rsid w:val="005F0C2B"/>
    <w:rsid w:val="005F0D7F"/>
    <w:rsid w:val="005F100E"/>
    <w:rsid w:val="005F109C"/>
    <w:rsid w:val="005F10BC"/>
    <w:rsid w:val="005F11CC"/>
    <w:rsid w:val="005F1212"/>
    <w:rsid w:val="005F1308"/>
    <w:rsid w:val="005F13CC"/>
    <w:rsid w:val="005F150D"/>
    <w:rsid w:val="005F1597"/>
    <w:rsid w:val="005F15C5"/>
    <w:rsid w:val="005F160D"/>
    <w:rsid w:val="005F1840"/>
    <w:rsid w:val="005F196F"/>
    <w:rsid w:val="005F1AE4"/>
    <w:rsid w:val="005F1C74"/>
    <w:rsid w:val="005F1D11"/>
    <w:rsid w:val="005F1DDD"/>
    <w:rsid w:val="005F1F85"/>
    <w:rsid w:val="005F1FDA"/>
    <w:rsid w:val="005F2034"/>
    <w:rsid w:val="005F24B7"/>
    <w:rsid w:val="005F24EE"/>
    <w:rsid w:val="005F257B"/>
    <w:rsid w:val="005F2619"/>
    <w:rsid w:val="005F26BF"/>
    <w:rsid w:val="005F2709"/>
    <w:rsid w:val="005F2974"/>
    <w:rsid w:val="005F2A45"/>
    <w:rsid w:val="005F2B44"/>
    <w:rsid w:val="005F2D4E"/>
    <w:rsid w:val="005F2E75"/>
    <w:rsid w:val="005F308C"/>
    <w:rsid w:val="005F30FA"/>
    <w:rsid w:val="005F3413"/>
    <w:rsid w:val="005F3469"/>
    <w:rsid w:val="005F35BC"/>
    <w:rsid w:val="005F39AF"/>
    <w:rsid w:val="005F3A60"/>
    <w:rsid w:val="005F3C07"/>
    <w:rsid w:val="005F3D1B"/>
    <w:rsid w:val="005F3DD4"/>
    <w:rsid w:val="005F3EBC"/>
    <w:rsid w:val="005F3EE3"/>
    <w:rsid w:val="005F3F87"/>
    <w:rsid w:val="005F417E"/>
    <w:rsid w:val="005F4263"/>
    <w:rsid w:val="005F438A"/>
    <w:rsid w:val="005F43D6"/>
    <w:rsid w:val="005F461C"/>
    <w:rsid w:val="005F4655"/>
    <w:rsid w:val="005F47A3"/>
    <w:rsid w:val="005F4AA7"/>
    <w:rsid w:val="005F4B15"/>
    <w:rsid w:val="005F4E18"/>
    <w:rsid w:val="005F4E2F"/>
    <w:rsid w:val="005F4FEA"/>
    <w:rsid w:val="005F51E7"/>
    <w:rsid w:val="005F5268"/>
    <w:rsid w:val="005F5390"/>
    <w:rsid w:val="005F555B"/>
    <w:rsid w:val="005F55D2"/>
    <w:rsid w:val="005F560F"/>
    <w:rsid w:val="005F5738"/>
    <w:rsid w:val="005F5848"/>
    <w:rsid w:val="005F590D"/>
    <w:rsid w:val="005F5A25"/>
    <w:rsid w:val="005F5D31"/>
    <w:rsid w:val="005F5D4C"/>
    <w:rsid w:val="005F5EF8"/>
    <w:rsid w:val="005F6002"/>
    <w:rsid w:val="005F6006"/>
    <w:rsid w:val="005F63E3"/>
    <w:rsid w:val="005F6410"/>
    <w:rsid w:val="005F6561"/>
    <w:rsid w:val="005F65D5"/>
    <w:rsid w:val="005F65F9"/>
    <w:rsid w:val="005F676C"/>
    <w:rsid w:val="005F67A2"/>
    <w:rsid w:val="005F6A9A"/>
    <w:rsid w:val="005F6EB4"/>
    <w:rsid w:val="005F7071"/>
    <w:rsid w:val="005F7264"/>
    <w:rsid w:val="005F75AE"/>
    <w:rsid w:val="005F7658"/>
    <w:rsid w:val="005F76A3"/>
    <w:rsid w:val="005F7788"/>
    <w:rsid w:val="005F7894"/>
    <w:rsid w:val="005F7BCA"/>
    <w:rsid w:val="005F7BD7"/>
    <w:rsid w:val="005F7D8F"/>
    <w:rsid w:val="005F7DB1"/>
    <w:rsid w:val="005F7E0B"/>
    <w:rsid w:val="005F7F03"/>
    <w:rsid w:val="00600061"/>
    <w:rsid w:val="006001A3"/>
    <w:rsid w:val="00600253"/>
    <w:rsid w:val="006002CC"/>
    <w:rsid w:val="006002ED"/>
    <w:rsid w:val="00600317"/>
    <w:rsid w:val="0060040C"/>
    <w:rsid w:val="0060045E"/>
    <w:rsid w:val="006006FE"/>
    <w:rsid w:val="00600799"/>
    <w:rsid w:val="00600C97"/>
    <w:rsid w:val="00600D16"/>
    <w:rsid w:val="00600DD4"/>
    <w:rsid w:val="00600DE3"/>
    <w:rsid w:val="00600E8C"/>
    <w:rsid w:val="00600EAD"/>
    <w:rsid w:val="00601024"/>
    <w:rsid w:val="006011C2"/>
    <w:rsid w:val="00601212"/>
    <w:rsid w:val="00601276"/>
    <w:rsid w:val="00601525"/>
    <w:rsid w:val="00601625"/>
    <w:rsid w:val="00601831"/>
    <w:rsid w:val="00601A00"/>
    <w:rsid w:val="00601A56"/>
    <w:rsid w:val="00601B49"/>
    <w:rsid w:val="00601B6F"/>
    <w:rsid w:val="00601C91"/>
    <w:rsid w:val="00601D99"/>
    <w:rsid w:val="00601DB0"/>
    <w:rsid w:val="00601EE3"/>
    <w:rsid w:val="0060215F"/>
    <w:rsid w:val="00602258"/>
    <w:rsid w:val="0060234D"/>
    <w:rsid w:val="006023B1"/>
    <w:rsid w:val="006024E2"/>
    <w:rsid w:val="0060251C"/>
    <w:rsid w:val="00602619"/>
    <w:rsid w:val="00602735"/>
    <w:rsid w:val="00602823"/>
    <w:rsid w:val="006028D1"/>
    <w:rsid w:val="006028F5"/>
    <w:rsid w:val="00602A71"/>
    <w:rsid w:val="00602ADC"/>
    <w:rsid w:val="00602B92"/>
    <w:rsid w:val="00602ECE"/>
    <w:rsid w:val="00602ED6"/>
    <w:rsid w:val="00603194"/>
    <w:rsid w:val="006031E3"/>
    <w:rsid w:val="006032A6"/>
    <w:rsid w:val="00603334"/>
    <w:rsid w:val="00603446"/>
    <w:rsid w:val="0060348A"/>
    <w:rsid w:val="0060349C"/>
    <w:rsid w:val="006034F1"/>
    <w:rsid w:val="006036CE"/>
    <w:rsid w:val="00603732"/>
    <w:rsid w:val="00603733"/>
    <w:rsid w:val="006037DE"/>
    <w:rsid w:val="00603B46"/>
    <w:rsid w:val="00603B58"/>
    <w:rsid w:val="00603BB9"/>
    <w:rsid w:val="00603E6F"/>
    <w:rsid w:val="00603EFF"/>
    <w:rsid w:val="00603FC5"/>
    <w:rsid w:val="006040CB"/>
    <w:rsid w:val="0060410E"/>
    <w:rsid w:val="0060424F"/>
    <w:rsid w:val="0060468D"/>
    <w:rsid w:val="00604704"/>
    <w:rsid w:val="00604946"/>
    <w:rsid w:val="00604A65"/>
    <w:rsid w:val="00604B1E"/>
    <w:rsid w:val="00604BB7"/>
    <w:rsid w:val="00604BD7"/>
    <w:rsid w:val="00604BFF"/>
    <w:rsid w:val="00604D19"/>
    <w:rsid w:val="00604D3B"/>
    <w:rsid w:val="00604ECA"/>
    <w:rsid w:val="00604F20"/>
    <w:rsid w:val="006051F2"/>
    <w:rsid w:val="006052C3"/>
    <w:rsid w:val="00605328"/>
    <w:rsid w:val="00605897"/>
    <w:rsid w:val="0060596D"/>
    <w:rsid w:val="00605AE7"/>
    <w:rsid w:val="00605B0B"/>
    <w:rsid w:val="00605CEB"/>
    <w:rsid w:val="00605F97"/>
    <w:rsid w:val="006060D4"/>
    <w:rsid w:val="00606241"/>
    <w:rsid w:val="006062DC"/>
    <w:rsid w:val="00606432"/>
    <w:rsid w:val="00606628"/>
    <w:rsid w:val="0060668A"/>
    <w:rsid w:val="006067F4"/>
    <w:rsid w:val="006068E7"/>
    <w:rsid w:val="00606915"/>
    <w:rsid w:val="0060691C"/>
    <w:rsid w:val="006069AE"/>
    <w:rsid w:val="00606A3D"/>
    <w:rsid w:val="00606A4C"/>
    <w:rsid w:val="00606A54"/>
    <w:rsid w:val="00606A69"/>
    <w:rsid w:val="00606C28"/>
    <w:rsid w:val="006070CE"/>
    <w:rsid w:val="00607158"/>
    <w:rsid w:val="00607314"/>
    <w:rsid w:val="0060733D"/>
    <w:rsid w:val="00607363"/>
    <w:rsid w:val="006074DE"/>
    <w:rsid w:val="00607859"/>
    <w:rsid w:val="0060787E"/>
    <w:rsid w:val="006079A4"/>
    <w:rsid w:val="006079B7"/>
    <w:rsid w:val="00607B01"/>
    <w:rsid w:val="00607B30"/>
    <w:rsid w:val="00607C23"/>
    <w:rsid w:val="00607D06"/>
    <w:rsid w:val="00607E6F"/>
    <w:rsid w:val="00607F2F"/>
    <w:rsid w:val="00607FB3"/>
    <w:rsid w:val="00607FE1"/>
    <w:rsid w:val="00610092"/>
    <w:rsid w:val="006101E2"/>
    <w:rsid w:val="0061028B"/>
    <w:rsid w:val="006102B3"/>
    <w:rsid w:val="00610471"/>
    <w:rsid w:val="006104E8"/>
    <w:rsid w:val="0061053E"/>
    <w:rsid w:val="0061073B"/>
    <w:rsid w:val="00610880"/>
    <w:rsid w:val="00610C83"/>
    <w:rsid w:val="00610CE6"/>
    <w:rsid w:val="00610D7F"/>
    <w:rsid w:val="00610E6C"/>
    <w:rsid w:val="00610FDD"/>
    <w:rsid w:val="006111A6"/>
    <w:rsid w:val="006112D5"/>
    <w:rsid w:val="006115DB"/>
    <w:rsid w:val="006115E8"/>
    <w:rsid w:val="00611994"/>
    <w:rsid w:val="00611A85"/>
    <w:rsid w:val="00611B79"/>
    <w:rsid w:val="00611CD1"/>
    <w:rsid w:val="00611F17"/>
    <w:rsid w:val="00611FC0"/>
    <w:rsid w:val="0061205F"/>
    <w:rsid w:val="006120A4"/>
    <w:rsid w:val="00612214"/>
    <w:rsid w:val="00612258"/>
    <w:rsid w:val="0061234F"/>
    <w:rsid w:val="00612552"/>
    <w:rsid w:val="0061297C"/>
    <w:rsid w:val="006129FE"/>
    <w:rsid w:val="00612A03"/>
    <w:rsid w:val="00612BEC"/>
    <w:rsid w:val="00612C21"/>
    <w:rsid w:val="0061304C"/>
    <w:rsid w:val="00613146"/>
    <w:rsid w:val="0061322B"/>
    <w:rsid w:val="006132E8"/>
    <w:rsid w:val="006133DB"/>
    <w:rsid w:val="006133FF"/>
    <w:rsid w:val="00613513"/>
    <w:rsid w:val="0061353A"/>
    <w:rsid w:val="00613558"/>
    <w:rsid w:val="00613590"/>
    <w:rsid w:val="00613689"/>
    <w:rsid w:val="00613CE3"/>
    <w:rsid w:val="00613D47"/>
    <w:rsid w:val="00613E71"/>
    <w:rsid w:val="00613E88"/>
    <w:rsid w:val="00613EF8"/>
    <w:rsid w:val="00613F1F"/>
    <w:rsid w:val="00613F8B"/>
    <w:rsid w:val="00614034"/>
    <w:rsid w:val="006141AC"/>
    <w:rsid w:val="00614348"/>
    <w:rsid w:val="0061442E"/>
    <w:rsid w:val="0061447B"/>
    <w:rsid w:val="006144C8"/>
    <w:rsid w:val="006144D5"/>
    <w:rsid w:val="0061452A"/>
    <w:rsid w:val="00614610"/>
    <w:rsid w:val="00614795"/>
    <w:rsid w:val="006147D8"/>
    <w:rsid w:val="006147FD"/>
    <w:rsid w:val="00614901"/>
    <w:rsid w:val="00614AD8"/>
    <w:rsid w:val="00614B12"/>
    <w:rsid w:val="00614B7C"/>
    <w:rsid w:val="00614C2B"/>
    <w:rsid w:val="00614D90"/>
    <w:rsid w:val="00614DE1"/>
    <w:rsid w:val="00615022"/>
    <w:rsid w:val="0061504F"/>
    <w:rsid w:val="006152FF"/>
    <w:rsid w:val="00615578"/>
    <w:rsid w:val="0061568F"/>
    <w:rsid w:val="006157D5"/>
    <w:rsid w:val="0061592D"/>
    <w:rsid w:val="00615B72"/>
    <w:rsid w:val="00615CDA"/>
    <w:rsid w:val="00615D74"/>
    <w:rsid w:val="00615E24"/>
    <w:rsid w:val="00615F6B"/>
    <w:rsid w:val="00615F9D"/>
    <w:rsid w:val="00616069"/>
    <w:rsid w:val="006160B6"/>
    <w:rsid w:val="006160B9"/>
    <w:rsid w:val="0061612F"/>
    <w:rsid w:val="006161CD"/>
    <w:rsid w:val="006162EC"/>
    <w:rsid w:val="006163F3"/>
    <w:rsid w:val="0061645F"/>
    <w:rsid w:val="006164B7"/>
    <w:rsid w:val="00616610"/>
    <w:rsid w:val="006166BF"/>
    <w:rsid w:val="00616742"/>
    <w:rsid w:val="00616940"/>
    <w:rsid w:val="00616AA7"/>
    <w:rsid w:val="00616B4B"/>
    <w:rsid w:val="00616C85"/>
    <w:rsid w:val="00616D01"/>
    <w:rsid w:val="00616DBC"/>
    <w:rsid w:val="00616E57"/>
    <w:rsid w:val="00616E88"/>
    <w:rsid w:val="00616EC5"/>
    <w:rsid w:val="00616F3B"/>
    <w:rsid w:val="00616F95"/>
    <w:rsid w:val="00616FDB"/>
    <w:rsid w:val="00617108"/>
    <w:rsid w:val="0061726F"/>
    <w:rsid w:val="006172D3"/>
    <w:rsid w:val="006174D8"/>
    <w:rsid w:val="006174F8"/>
    <w:rsid w:val="006174FE"/>
    <w:rsid w:val="00617693"/>
    <w:rsid w:val="006177E2"/>
    <w:rsid w:val="00617AAE"/>
    <w:rsid w:val="00617B81"/>
    <w:rsid w:val="00617BBD"/>
    <w:rsid w:val="00617CC9"/>
    <w:rsid w:val="00617DE0"/>
    <w:rsid w:val="00617F21"/>
    <w:rsid w:val="00617F6D"/>
    <w:rsid w:val="006201E7"/>
    <w:rsid w:val="006202CB"/>
    <w:rsid w:val="00620422"/>
    <w:rsid w:val="006205BE"/>
    <w:rsid w:val="00620751"/>
    <w:rsid w:val="006207FC"/>
    <w:rsid w:val="0062081E"/>
    <w:rsid w:val="00620854"/>
    <w:rsid w:val="006208AB"/>
    <w:rsid w:val="006208B5"/>
    <w:rsid w:val="00620948"/>
    <w:rsid w:val="006209D4"/>
    <w:rsid w:val="00620A48"/>
    <w:rsid w:val="00620B15"/>
    <w:rsid w:val="00620DE7"/>
    <w:rsid w:val="00620FD3"/>
    <w:rsid w:val="00620FFB"/>
    <w:rsid w:val="00621041"/>
    <w:rsid w:val="00621166"/>
    <w:rsid w:val="00621420"/>
    <w:rsid w:val="00621435"/>
    <w:rsid w:val="0062153A"/>
    <w:rsid w:val="006215CF"/>
    <w:rsid w:val="006216B6"/>
    <w:rsid w:val="006216CD"/>
    <w:rsid w:val="00621811"/>
    <w:rsid w:val="00621822"/>
    <w:rsid w:val="006218E5"/>
    <w:rsid w:val="00621929"/>
    <w:rsid w:val="006219B5"/>
    <w:rsid w:val="00621A0F"/>
    <w:rsid w:val="00621AE5"/>
    <w:rsid w:val="00621BB7"/>
    <w:rsid w:val="00621BE8"/>
    <w:rsid w:val="00621C3C"/>
    <w:rsid w:val="00621E98"/>
    <w:rsid w:val="00621F5C"/>
    <w:rsid w:val="00622042"/>
    <w:rsid w:val="006220CD"/>
    <w:rsid w:val="00622168"/>
    <w:rsid w:val="006221DF"/>
    <w:rsid w:val="006223CC"/>
    <w:rsid w:val="0062245B"/>
    <w:rsid w:val="006224BC"/>
    <w:rsid w:val="006224E6"/>
    <w:rsid w:val="00622522"/>
    <w:rsid w:val="00622568"/>
    <w:rsid w:val="00622628"/>
    <w:rsid w:val="0062267B"/>
    <w:rsid w:val="0062267D"/>
    <w:rsid w:val="0062270D"/>
    <w:rsid w:val="00622769"/>
    <w:rsid w:val="0062278B"/>
    <w:rsid w:val="00622829"/>
    <w:rsid w:val="00622AFA"/>
    <w:rsid w:val="00622C2D"/>
    <w:rsid w:val="00622CCC"/>
    <w:rsid w:val="00622DD7"/>
    <w:rsid w:val="0062301D"/>
    <w:rsid w:val="00623242"/>
    <w:rsid w:val="006232B1"/>
    <w:rsid w:val="0062331B"/>
    <w:rsid w:val="006236C0"/>
    <w:rsid w:val="006239F5"/>
    <w:rsid w:val="00623BA0"/>
    <w:rsid w:val="00623DAB"/>
    <w:rsid w:val="00623E7B"/>
    <w:rsid w:val="00623F8F"/>
    <w:rsid w:val="00623FD0"/>
    <w:rsid w:val="006240DD"/>
    <w:rsid w:val="006241C4"/>
    <w:rsid w:val="0062433F"/>
    <w:rsid w:val="0062434B"/>
    <w:rsid w:val="00624579"/>
    <w:rsid w:val="00624587"/>
    <w:rsid w:val="006245B3"/>
    <w:rsid w:val="006245D8"/>
    <w:rsid w:val="00624690"/>
    <w:rsid w:val="00624852"/>
    <w:rsid w:val="006249AD"/>
    <w:rsid w:val="00624ACC"/>
    <w:rsid w:val="00624AD4"/>
    <w:rsid w:val="00624C1A"/>
    <w:rsid w:val="00624CC7"/>
    <w:rsid w:val="00624D07"/>
    <w:rsid w:val="00624ECA"/>
    <w:rsid w:val="006250E4"/>
    <w:rsid w:val="0062514E"/>
    <w:rsid w:val="0062515B"/>
    <w:rsid w:val="0062518D"/>
    <w:rsid w:val="0062525C"/>
    <w:rsid w:val="0062534C"/>
    <w:rsid w:val="00625662"/>
    <w:rsid w:val="00625678"/>
    <w:rsid w:val="00625952"/>
    <w:rsid w:val="006259A1"/>
    <w:rsid w:val="00625A2A"/>
    <w:rsid w:val="00625AB8"/>
    <w:rsid w:val="00625BC1"/>
    <w:rsid w:val="00625D04"/>
    <w:rsid w:val="00625D83"/>
    <w:rsid w:val="00625DF5"/>
    <w:rsid w:val="00625E94"/>
    <w:rsid w:val="00625F00"/>
    <w:rsid w:val="00625F1D"/>
    <w:rsid w:val="00625F36"/>
    <w:rsid w:val="0062601B"/>
    <w:rsid w:val="00626161"/>
    <w:rsid w:val="006262D1"/>
    <w:rsid w:val="006262E3"/>
    <w:rsid w:val="006262E9"/>
    <w:rsid w:val="0062632A"/>
    <w:rsid w:val="0062635E"/>
    <w:rsid w:val="00626578"/>
    <w:rsid w:val="006265E3"/>
    <w:rsid w:val="00626617"/>
    <w:rsid w:val="00626749"/>
    <w:rsid w:val="006268AD"/>
    <w:rsid w:val="006269B6"/>
    <w:rsid w:val="006269C6"/>
    <w:rsid w:val="00626A5B"/>
    <w:rsid w:val="00626B7F"/>
    <w:rsid w:val="00626BEC"/>
    <w:rsid w:val="00626EB0"/>
    <w:rsid w:val="006270FD"/>
    <w:rsid w:val="00627250"/>
    <w:rsid w:val="006272FB"/>
    <w:rsid w:val="006273AA"/>
    <w:rsid w:val="006274BC"/>
    <w:rsid w:val="006275EE"/>
    <w:rsid w:val="006276B0"/>
    <w:rsid w:val="00627897"/>
    <w:rsid w:val="006279D1"/>
    <w:rsid w:val="00627AA9"/>
    <w:rsid w:val="00627BCA"/>
    <w:rsid w:val="00627D16"/>
    <w:rsid w:val="00627D4A"/>
    <w:rsid w:val="00627F14"/>
    <w:rsid w:val="00627F74"/>
    <w:rsid w:val="00627F7E"/>
    <w:rsid w:val="00627F8B"/>
    <w:rsid w:val="00630080"/>
    <w:rsid w:val="0063032C"/>
    <w:rsid w:val="00630354"/>
    <w:rsid w:val="00630515"/>
    <w:rsid w:val="00630526"/>
    <w:rsid w:val="006305C9"/>
    <w:rsid w:val="00630604"/>
    <w:rsid w:val="0063066E"/>
    <w:rsid w:val="0063067A"/>
    <w:rsid w:val="006306BF"/>
    <w:rsid w:val="00630866"/>
    <w:rsid w:val="00630AA6"/>
    <w:rsid w:val="00630D60"/>
    <w:rsid w:val="00630D98"/>
    <w:rsid w:val="00630E42"/>
    <w:rsid w:val="0063102F"/>
    <w:rsid w:val="006311D3"/>
    <w:rsid w:val="006311E1"/>
    <w:rsid w:val="0063140B"/>
    <w:rsid w:val="006314E6"/>
    <w:rsid w:val="00631563"/>
    <w:rsid w:val="00631620"/>
    <w:rsid w:val="00631660"/>
    <w:rsid w:val="00631959"/>
    <w:rsid w:val="00631A26"/>
    <w:rsid w:val="00631CA1"/>
    <w:rsid w:val="00631D59"/>
    <w:rsid w:val="00631E2F"/>
    <w:rsid w:val="00631FD1"/>
    <w:rsid w:val="006321B5"/>
    <w:rsid w:val="0063247D"/>
    <w:rsid w:val="00632660"/>
    <w:rsid w:val="006329BE"/>
    <w:rsid w:val="006329D8"/>
    <w:rsid w:val="00632D7B"/>
    <w:rsid w:val="00632FAC"/>
    <w:rsid w:val="006330BD"/>
    <w:rsid w:val="00633110"/>
    <w:rsid w:val="00633234"/>
    <w:rsid w:val="006332C0"/>
    <w:rsid w:val="006332CA"/>
    <w:rsid w:val="006333D0"/>
    <w:rsid w:val="006335F3"/>
    <w:rsid w:val="00633636"/>
    <w:rsid w:val="00633699"/>
    <w:rsid w:val="006338C6"/>
    <w:rsid w:val="00633F10"/>
    <w:rsid w:val="00633F55"/>
    <w:rsid w:val="006340B1"/>
    <w:rsid w:val="0063415A"/>
    <w:rsid w:val="006342D2"/>
    <w:rsid w:val="006343E9"/>
    <w:rsid w:val="00634482"/>
    <w:rsid w:val="006344CA"/>
    <w:rsid w:val="006344F5"/>
    <w:rsid w:val="0063473C"/>
    <w:rsid w:val="006348CC"/>
    <w:rsid w:val="006349B4"/>
    <w:rsid w:val="00634B8B"/>
    <w:rsid w:val="00634BF5"/>
    <w:rsid w:val="00634C24"/>
    <w:rsid w:val="00634EA2"/>
    <w:rsid w:val="00634EA3"/>
    <w:rsid w:val="00634F3E"/>
    <w:rsid w:val="006351EA"/>
    <w:rsid w:val="006352EE"/>
    <w:rsid w:val="00635319"/>
    <w:rsid w:val="006353E2"/>
    <w:rsid w:val="006353E4"/>
    <w:rsid w:val="006354FB"/>
    <w:rsid w:val="00635529"/>
    <w:rsid w:val="0063558D"/>
    <w:rsid w:val="006357E4"/>
    <w:rsid w:val="00635A11"/>
    <w:rsid w:val="00635B5E"/>
    <w:rsid w:val="00635EE5"/>
    <w:rsid w:val="00635EEB"/>
    <w:rsid w:val="00636081"/>
    <w:rsid w:val="00636189"/>
    <w:rsid w:val="006363D5"/>
    <w:rsid w:val="0063652C"/>
    <w:rsid w:val="006365A7"/>
    <w:rsid w:val="006366EE"/>
    <w:rsid w:val="00636713"/>
    <w:rsid w:val="0063693F"/>
    <w:rsid w:val="006369E3"/>
    <w:rsid w:val="00636A95"/>
    <w:rsid w:val="00636C08"/>
    <w:rsid w:val="00636D00"/>
    <w:rsid w:val="00636D7A"/>
    <w:rsid w:val="00636D8E"/>
    <w:rsid w:val="00636E42"/>
    <w:rsid w:val="00636FBB"/>
    <w:rsid w:val="0063704A"/>
    <w:rsid w:val="00637098"/>
    <w:rsid w:val="006371C0"/>
    <w:rsid w:val="006373D3"/>
    <w:rsid w:val="00637499"/>
    <w:rsid w:val="00637530"/>
    <w:rsid w:val="00637550"/>
    <w:rsid w:val="00637743"/>
    <w:rsid w:val="00637955"/>
    <w:rsid w:val="00637A56"/>
    <w:rsid w:val="00637F4F"/>
    <w:rsid w:val="00640187"/>
    <w:rsid w:val="00640255"/>
    <w:rsid w:val="006402A5"/>
    <w:rsid w:val="0064031A"/>
    <w:rsid w:val="00640486"/>
    <w:rsid w:val="0064051F"/>
    <w:rsid w:val="00640549"/>
    <w:rsid w:val="006406BD"/>
    <w:rsid w:val="00640719"/>
    <w:rsid w:val="00640738"/>
    <w:rsid w:val="006407EF"/>
    <w:rsid w:val="00640938"/>
    <w:rsid w:val="00640AEF"/>
    <w:rsid w:val="00640BE7"/>
    <w:rsid w:val="00640CC0"/>
    <w:rsid w:val="00640E0E"/>
    <w:rsid w:val="00640E83"/>
    <w:rsid w:val="00640F13"/>
    <w:rsid w:val="00640F56"/>
    <w:rsid w:val="00640FC9"/>
    <w:rsid w:val="00641148"/>
    <w:rsid w:val="006413D6"/>
    <w:rsid w:val="00641862"/>
    <w:rsid w:val="0064186C"/>
    <w:rsid w:val="00641B6F"/>
    <w:rsid w:val="00641B7F"/>
    <w:rsid w:val="00641DFF"/>
    <w:rsid w:val="00641E59"/>
    <w:rsid w:val="00641EA7"/>
    <w:rsid w:val="00642016"/>
    <w:rsid w:val="006423A4"/>
    <w:rsid w:val="006424CC"/>
    <w:rsid w:val="006424DC"/>
    <w:rsid w:val="0064254D"/>
    <w:rsid w:val="006425BC"/>
    <w:rsid w:val="006425D0"/>
    <w:rsid w:val="00642636"/>
    <w:rsid w:val="00642A7D"/>
    <w:rsid w:val="00642AD1"/>
    <w:rsid w:val="00642AD6"/>
    <w:rsid w:val="00642B85"/>
    <w:rsid w:val="00642DAB"/>
    <w:rsid w:val="00642E40"/>
    <w:rsid w:val="00642EB0"/>
    <w:rsid w:val="00642EFE"/>
    <w:rsid w:val="00642F7B"/>
    <w:rsid w:val="006430F6"/>
    <w:rsid w:val="006431C0"/>
    <w:rsid w:val="00643402"/>
    <w:rsid w:val="00643597"/>
    <w:rsid w:val="006438F1"/>
    <w:rsid w:val="00643B46"/>
    <w:rsid w:val="00643C9F"/>
    <w:rsid w:val="00643E41"/>
    <w:rsid w:val="00643ED7"/>
    <w:rsid w:val="006440BC"/>
    <w:rsid w:val="00644167"/>
    <w:rsid w:val="006441FF"/>
    <w:rsid w:val="00644202"/>
    <w:rsid w:val="006442D2"/>
    <w:rsid w:val="006446CC"/>
    <w:rsid w:val="006446E5"/>
    <w:rsid w:val="006446ED"/>
    <w:rsid w:val="00644892"/>
    <w:rsid w:val="006449BE"/>
    <w:rsid w:val="006449EE"/>
    <w:rsid w:val="006449FF"/>
    <w:rsid w:val="00644E3D"/>
    <w:rsid w:val="006450AA"/>
    <w:rsid w:val="006450B9"/>
    <w:rsid w:val="00645419"/>
    <w:rsid w:val="00645443"/>
    <w:rsid w:val="006454AC"/>
    <w:rsid w:val="00645708"/>
    <w:rsid w:val="00645816"/>
    <w:rsid w:val="00645934"/>
    <w:rsid w:val="00645960"/>
    <w:rsid w:val="00645A66"/>
    <w:rsid w:val="00645C11"/>
    <w:rsid w:val="00645DE5"/>
    <w:rsid w:val="00645E21"/>
    <w:rsid w:val="0064605C"/>
    <w:rsid w:val="006461AF"/>
    <w:rsid w:val="0064656C"/>
    <w:rsid w:val="00646627"/>
    <w:rsid w:val="0064666C"/>
    <w:rsid w:val="006466A1"/>
    <w:rsid w:val="00646802"/>
    <w:rsid w:val="006468C3"/>
    <w:rsid w:val="006468C6"/>
    <w:rsid w:val="00646A91"/>
    <w:rsid w:val="00646CCF"/>
    <w:rsid w:val="00646D5A"/>
    <w:rsid w:val="00646D97"/>
    <w:rsid w:val="00646E4A"/>
    <w:rsid w:val="00647270"/>
    <w:rsid w:val="006472AE"/>
    <w:rsid w:val="006473ED"/>
    <w:rsid w:val="0064768F"/>
    <w:rsid w:val="006476D4"/>
    <w:rsid w:val="00647703"/>
    <w:rsid w:val="00647A65"/>
    <w:rsid w:val="00647AA6"/>
    <w:rsid w:val="00647B0D"/>
    <w:rsid w:val="00647C0A"/>
    <w:rsid w:val="00647CD0"/>
    <w:rsid w:val="00647E41"/>
    <w:rsid w:val="00647F24"/>
    <w:rsid w:val="00647FD3"/>
    <w:rsid w:val="00647FF0"/>
    <w:rsid w:val="00650180"/>
    <w:rsid w:val="00650213"/>
    <w:rsid w:val="0065024E"/>
    <w:rsid w:val="00650519"/>
    <w:rsid w:val="006508C4"/>
    <w:rsid w:val="0065096A"/>
    <w:rsid w:val="00650A25"/>
    <w:rsid w:val="00650E04"/>
    <w:rsid w:val="00650EE4"/>
    <w:rsid w:val="00650F19"/>
    <w:rsid w:val="00650FF4"/>
    <w:rsid w:val="00651122"/>
    <w:rsid w:val="006511A6"/>
    <w:rsid w:val="006511E0"/>
    <w:rsid w:val="00651217"/>
    <w:rsid w:val="006512CB"/>
    <w:rsid w:val="00651318"/>
    <w:rsid w:val="00651391"/>
    <w:rsid w:val="006513C8"/>
    <w:rsid w:val="006515A4"/>
    <w:rsid w:val="0065173B"/>
    <w:rsid w:val="006517D7"/>
    <w:rsid w:val="00651ADA"/>
    <w:rsid w:val="00651B36"/>
    <w:rsid w:val="00651D37"/>
    <w:rsid w:val="00651D70"/>
    <w:rsid w:val="00651DF7"/>
    <w:rsid w:val="00651E53"/>
    <w:rsid w:val="00651E82"/>
    <w:rsid w:val="00651E9A"/>
    <w:rsid w:val="00652188"/>
    <w:rsid w:val="006521F1"/>
    <w:rsid w:val="00652469"/>
    <w:rsid w:val="00652489"/>
    <w:rsid w:val="00652496"/>
    <w:rsid w:val="006524EB"/>
    <w:rsid w:val="006525A5"/>
    <w:rsid w:val="006525CA"/>
    <w:rsid w:val="0065298F"/>
    <w:rsid w:val="00652B22"/>
    <w:rsid w:val="00652B2D"/>
    <w:rsid w:val="00652B30"/>
    <w:rsid w:val="00652C98"/>
    <w:rsid w:val="00652C9B"/>
    <w:rsid w:val="00652CDD"/>
    <w:rsid w:val="00652F3F"/>
    <w:rsid w:val="00653031"/>
    <w:rsid w:val="00653085"/>
    <w:rsid w:val="006530CF"/>
    <w:rsid w:val="00653158"/>
    <w:rsid w:val="006531F8"/>
    <w:rsid w:val="006532CB"/>
    <w:rsid w:val="0065336D"/>
    <w:rsid w:val="00653432"/>
    <w:rsid w:val="0065354C"/>
    <w:rsid w:val="0065361E"/>
    <w:rsid w:val="0065371B"/>
    <w:rsid w:val="006538B9"/>
    <w:rsid w:val="00653926"/>
    <w:rsid w:val="0065394C"/>
    <w:rsid w:val="0065399C"/>
    <w:rsid w:val="006539D9"/>
    <w:rsid w:val="00653CA6"/>
    <w:rsid w:val="00653D38"/>
    <w:rsid w:val="00653E97"/>
    <w:rsid w:val="006541FC"/>
    <w:rsid w:val="00654417"/>
    <w:rsid w:val="006545C9"/>
    <w:rsid w:val="0065463E"/>
    <w:rsid w:val="006546CC"/>
    <w:rsid w:val="006549A1"/>
    <w:rsid w:val="00654A5B"/>
    <w:rsid w:val="00654B00"/>
    <w:rsid w:val="00654B35"/>
    <w:rsid w:val="00654BFA"/>
    <w:rsid w:val="00654BFD"/>
    <w:rsid w:val="00654D90"/>
    <w:rsid w:val="00654DFB"/>
    <w:rsid w:val="00654E65"/>
    <w:rsid w:val="00654EDF"/>
    <w:rsid w:val="00655229"/>
    <w:rsid w:val="00655372"/>
    <w:rsid w:val="0065539B"/>
    <w:rsid w:val="006554EF"/>
    <w:rsid w:val="00655579"/>
    <w:rsid w:val="0065566B"/>
    <w:rsid w:val="006556BC"/>
    <w:rsid w:val="006556FC"/>
    <w:rsid w:val="0065573A"/>
    <w:rsid w:val="006557F6"/>
    <w:rsid w:val="0065597B"/>
    <w:rsid w:val="0065598D"/>
    <w:rsid w:val="006559C5"/>
    <w:rsid w:val="00655A13"/>
    <w:rsid w:val="00655A88"/>
    <w:rsid w:val="00655C73"/>
    <w:rsid w:val="00655CD8"/>
    <w:rsid w:val="00655CEA"/>
    <w:rsid w:val="00655D10"/>
    <w:rsid w:val="00655E46"/>
    <w:rsid w:val="00655E4E"/>
    <w:rsid w:val="00656224"/>
    <w:rsid w:val="0065623D"/>
    <w:rsid w:val="00656331"/>
    <w:rsid w:val="0065640C"/>
    <w:rsid w:val="00656434"/>
    <w:rsid w:val="006565E4"/>
    <w:rsid w:val="00656776"/>
    <w:rsid w:val="00656833"/>
    <w:rsid w:val="00656918"/>
    <w:rsid w:val="00656AEC"/>
    <w:rsid w:val="00656B6D"/>
    <w:rsid w:val="00656C03"/>
    <w:rsid w:val="00656D2A"/>
    <w:rsid w:val="00656D41"/>
    <w:rsid w:val="00656DA2"/>
    <w:rsid w:val="00656DCC"/>
    <w:rsid w:val="00656DFD"/>
    <w:rsid w:val="00656E1F"/>
    <w:rsid w:val="00656EB5"/>
    <w:rsid w:val="0065722F"/>
    <w:rsid w:val="0065743F"/>
    <w:rsid w:val="0065756E"/>
    <w:rsid w:val="0065764E"/>
    <w:rsid w:val="00657A56"/>
    <w:rsid w:val="00657ADC"/>
    <w:rsid w:val="00657B19"/>
    <w:rsid w:val="00657BB3"/>
    <w:rsid w:val="00657C1D"/>
    <w:rsid w:val="00657C5C"/>
    <w:rsid w:val="00657D9E"/>
    <w:rsid w:val="00657DE5"/>
    <w:rsid w:val="00657EFE"/>
    <w:rsid w:val="006601BA"/>
    <w:rsid w:val="006601D0"/>
    <w:rsid w:val="00660240"/>
    <w:rsid w:val="0066026A"/>
    <w:rsid w:val="00660299"/>
    <w:rsid w:val="006604B0"/>
    <w:rsid w:val="00660506"/>
    <w:rsid w:val="006605D3"/>
    <w:rsid w:val="00660774"/>
    <w:rsid w:val="006607E0"/>
    <w:rsid w:val="00660875"/>
    <w:rsid w:val="006608CD"/>
    <w:rsid w:val="0066097F"/>
    <w:rsid w:val="00660B06"/>
    <w:rsid w:val="00660B11"/>
    <w:rsid w:val="00660B73"/>
    <w:rsid w:val="00660C95"/>
    <w:rsid w:val="00660CE9"/>
    <w:rsid w:val="00660D51"/>
    <w:rsid w:val="00660FD5"/>
    <w:rsid w:val="006610B9"/>
    <w:rsid w:val="006610C1"/>
    <w:rsid w:val="0066110F"/>
    <w:rsid w:val="00661378"/>
    <w:rsid w:val="0066139C"/>
    <w:rsid w:val="006613D8"/>
    <w:rsid w:val="006614DD"/>
    <w:rsid w:val="00661616"/>
    <w:rsid w:val="006616C4"/>
    <w:rsid w:val="00661814"/>
    <w:rsid w:val="00661A24"/>
    <w:rsid w:val="00661A40"/>
    <w:rsid w:val="00661A98"/>
    <w:rsid w:val="00661A9C"/>
    <w:rsid w:val="00661AE1"/>
    <w:rsid w:val="00661CBE"/>
    <w:rsid w:val="00661D17"/>
    <w:rsid w:val="00661E17"/>
    <w:rsid w:val="00661E75"/>
    <w:rsid w:val="00662134"/>
    <w:rsid w:val="006624EB"/>
    <w:rsid w:val="006625E7"/>
    <w:rsid w:val="0066274D"/>
    <w:rsid w:val="00662949"/>
    <w:rsid w:val="00662970"/>
    <w:rsid w:val="00662A44"/>
    <w:rsid w:val="00662ADD"/>
    <w:rsid w:val="00662B90"/>
    <w:rsid w:val="00662E36"/>
    <w:rsid w:val="006630A7"/>
    <w:rsid w:val="00663275"/>
    <w:rsid w:val="0066332E"/>
    <w:rsid w:val="0066337B"/>
    <w:rsid w:val="00663581"/>
    <w:rsid w:val="006636FD"/>
    <w:rsid w:val="0066371E"/>
    <w:rsid w:val="00663762"/>
    <w:rsid w:val="00663942"/>
    <w:rsid w:val="00663998"/>
    <w:rsid w:val="00663A36"/>
    <w:rsid w:val="00663B5F"/>
    <w:rsid w:val="00663BA0"/>
    <w:rsid w:val="00663BB0"/>
    <w:rsid w:val="00663EF0"/>
    <w:rsid w:val="006640EA"/>
    <w:rsid w:val="0066427D"/>
    <w:rsid w:val="0066448A"/>
    <w:rsid w:val="0066466F"/>
    <w:rsid w:val="006646BB"/>
    <w:rsid w:val="00664A5F"/>
    <w:rsid w:val="00664CA5"/>
    <w:rsid w:val="00664CDD"/>
    <w:rsid w:val="00664CF4"/>
    <w:rsid w:val="00664D50"/>
    <w:rsid w:val="00664D81"/>
    <w:rsid w:val="00664DF0"/>
    <w:rsid w:val="00664E1B"/>
    <w:rsid w:val="00664E41"/>
    <w:rsid w:val="00664F90"/>
    <w:rsid w:val="00664FEA"/>
    <w:rsid w:val="00664FFA"/>
    <w:rsid w:val="0066507B"/>
    <w:rsid w:val="00665273"/>
    <w:rsid w:val="0066537B"/>
    <w:rsid w:val="00665445"/>
    <w:rsid w:val="006654C8"/>
    <w:rsid w:val="00665956"/>
    <w:rsid w:val="006659BA"/>
    <w:rsid w:val="00665A1E"/>
    <w:rsid w:val="00665A36"/>
    <w:rsid w:val="00665CA9"/>
    <w:rsid w:val="00665CDA"/>
    <w:rsid w:val="00665EEA"/>
    <w:rsid w:val="00665F92"/>
    <w:rsid w:val="0066629D"/>
    <w:rsid w:val="006662DA"/>
    <w:rsid w:val="006663BD"/>
    <w:rsid w:val="00666436"/>
    <w:rsid w:val="00666500"/>
    <w:rsid w:val="00666664"/>
    <w:rsid w:val="0066667C"/>
    <w:rsid w:val="006666C1"/>
    <w:rsid w:val="006666DA"/>
    <w:rsid w:val="00666746"/>
    <w:rsid w:val="00666870"/>
    <w:rsid w:val="0066692B"/>
    <w:rsid w:val="00666986"/>
    <w:rsid w:val="00666A53"/>
    <w:rsid w:val="00666A7D"/>
    <w:rsid w:val="00666B23"/>
    <w:rsid w:val="00666C32"/>
    <w:rsid w:val="00666C37"/>
    <w:rsid w:val="00666D74"/>
    <w:rsid w:val="00666DB1"/>
    <w:rsid w:val="00666F1E"/>
    <w:rsid w:val="0066700C"/>
    <w:rsid w:val="00667082"/>
    <w:rsid w:val="00667167"/>
    <w:rsid w:val="0066718C"/>
    <w:rsid w:val="00667217"/>
    <w:rsid w:val="006673E6"/>
    <w:rsid w:val="006674DE"/>
    <w:rsid w:val="0066755E"/>
    <w:rsid w:val="00667707"/>
    <w:rsid w:val="0066790A"/>
    <w:rsid w:val="00667A90"/>
    <w:rsid w:val="00667B60"/>
    <w:rsid w:val="00667B7B"/>
    <w:rsid w:val="00667BF8"/>
    <w:rsid w:val="00667DC2"/>
    <w:rsid w:val="00667E09"/>
    <w:rsid w:val="00667E51"/>
    <w:rsid w:val="00667E5B"/>
    <w:rsid w:val="00667F83"/>
    <w:rsid w:val="006702B3"/>
    <w:rsid w:val="006702ED"/>
    <w:rsid w:val="006703FC"/>
    <w:rsid w:val="0067045A"/>
    <w:rsid w:val="006704E6"/>
    <w:rsid w:val="006706C7"/>
    <w:rsid w:val="0067080B"/>
    <w:rsid w:val="0067085A"/>
    <w:rsid w:val="00670877"/>
    <w:rsid w:val="00670919"/>
    <w:rsid w:val="0067094B"/>
    <w:rsid w:val="00670A7D"/>
    <w:rsid w:val="00670AE3"/>
    <w:rsid w:val="00670D97"/>
    <w:rsid w:val="00670ECC"/>
    <w:rsid w:val="00671048"/>
    <w:rsid w:val="00671140"/>
    <w:rsid w:val="006711EF"/>
    <w:rsid w:val="00671230"/>
    <w:rsid w:val="00671318"/>
    <w:rsid w:val="006714CA"/>
    <w:rsid w:val="006714EE"/>
    <w:rsid w:val="0067166A"/>
    <w:rsid w:val="006716A3"/>
    <w:rsid w:val="00671964"/>
    <w:rsid w:val="0067197F"/>
    <w:rsid w:val="00671AE8"/>
    <w:rsid w:val="00671B0A"/>
    <w:rsid w:val="00671D58"/>
    <w:rsid w:val="00671DA3"/>
    <w:rsid w:val="00671E2B"/>
    <w:rsid w:val="00671E39"/>
    <w:rsid w:val="00671F53"/>
    <w:rsid w:val="00671F60"/>
    <w:rsid w:val="00672119"/>
    <w:rsid w:val="006722AC"/>
    <w:rsid w:val="0067239B"/>
    <w:rsid w:val="0067251A"/>
    <w:rsid w:val="006726A9"/>
    <w:rsid w:val="0067285F"/>
    <w:rsid w:val="00672B19"/>
    <w:rsid w:val="00672B53"/>
    <w:rsid w:val="00672BDA"/>
    <w:rsid w:val="00672DB5"/>
    <w:rsid w:val="00672E01"/>
    <w:rsid w:val="00673169"/>
    <w:rsid w:val="006732D3"/>
    <w:rsid w:val="0067335D"/>
    <w:rsid w:val="006734C6"/>
    <w:rsid w:val="00673749"/>
    <w:rsid w:val="006737C9"/>
    <w:rsid w:val="00673881"/>
    <w:rsid w:val="006739F0"/>
    <w:rsid w:val="00673A39"/>
    <w:rsid w:val="00673C5B"/>
    <w:rsid w:val="00673D5F"/>
    <w:rsid w:val="00673E44"/>
    <w:rsid w:val="00673EF5"/>
    <w:rsid w:val="00673F64"/>
    <w:rsid w:val="00674035"/>
    <w:rsid w:val="006740BD"/>
    <w:rsid w:val="006740FB"/>
    <w:rsid w:val="0067434B"/>
    <w:rsid w:val="0067439D"/>
    <w:rsid w:val="00674643"/>
    <w:rsid w:val="00674755"/>
    <w:rsid w:val="0067483F"/>
    <w:rsid w:val="00674923"/>
    <w:rsid w:val="00674B47"/>
    <w:rsid w:val="00674C31"/>
    <w:rsid w:val="00674C8E"/>
    <w:rsid w:val="00674D1C"/>
    <w:rsid w:val="00674D48"/>
    <w:rsid w:val="00674DF6"/>
    <w:rsid w:val="0067501B"/>
    <w:rsid w:val="006750EF"/>
    <w:rsid w:val="0067513B"/>
    <w:rsid w:val="00675197"/>
    <w:rsid w:val="0067538F"/>
    <w:rsid w:val="0067568E"/>
    <w:rsid w:val="00675716"/>
    <w:rsid w:val="00675729"/>
    <w:rsid w:val="00675795"/>
    <w:rsid w:val="00675851"/>
    <w:rsid w:val="00675982"/>
    <w:rsid w:val="00675A7F"/>
    <w:rsid w:val="00675AC8"/>
    <w:rsid w:val="00675AEB"/>
    <w:rsid w:val="00675B34"/>
    <w:rsid w:val="00675E4C"/>
    <w:rsid w:val="00675F06"/>
    <w:rsid w:val="00675FB5"/>
    <w:rsid w:val="00675FDE"/>
    <w:rsid w:val="00676012"/>
    <w:rsid w:val="006762DC"/>
    <w:rsid w:val="00676396"/>
    <w:rsid w:val="00676514"/>
    <w:rsid w:val="006766C3"/>
    <w:rsid w:val="006766DC"/>
    <w:rsid w:val="00676779"/>
    <w:rsid w:val="006767D6"/>
    <w:rsid w:val="00676B4B"/>
    <w:rsid w:val="00676B4E"/>
    <w:rsid w:val="00676B84"/>
    <w:rsid w:val="00676BB0"/>
    <w:rsid w:val="00676CBD"/>
    <w:rsid w:val="006770C0"/>
    <w:rsid w:val="006770FA"/>
    <w:rsid w:val="00677149"/>
    <w:rsid w:val="006772B1"/>
    <w:rsid w:val="00677346"/>
    <w:rsid w:val="006774B2"/>
    <w:rsid w:val="0067751B"/>
    <w:rsid w:val="006778B9"/>
    <w:rsid w:val="00677B47"/>
    <w:rsid w:val="00677BAD"/>
    <w:rsid w:val="00677CA1"/>
    <w:rsid w:val="00677E92"/>
    <w:rsid w:val="00677F0B"/>
    <w:rsid w:val="00677F87"/>
    <w:rsid w:val="00677F92"/>
    <w:rsid w:val="006800E0"/>
    <w:rsid w:val="0068012D"/>
    <w:rsid w:val="00680410"/>
    <w:rsid w:val="00680532"/>
    <w:rsid w:val="00680559"/>
    <w:rsid w:val="00680578"/>
    <w:rsid w:val="006805CE"/>
    <w:rsid w:val="006805E0"/>
    <w:rsid w:val="00680651"/>
    <w:rsid w:val="006806D4"/>
    <w:rsid w:val="00680B08"/>
    <w:rsid w:val="00680B71"/>
    <w:rsid w:val="00680E2D"/>
    <w:rsid w:val="00680E30"/>
    <w:rsid w:val="00680E4C"/>
    <w:rsid w:val="006810D8"/>
    <w:rsid w:val="006811A9"/>
    <w:rsid w:val="006812F3"/>
    <w:rsid w:val="00681335"/>
    <w:rsid w:val="00681417"/>
    <w:rsid w:val="00681500"/>
    <w:rsid w:val="006817F1"/>
    <w:rsid w:val="00681888"/>
    <w:rsid w:val="0068196E"/>
    <w:rsid w:val="00681A11"/>
    <w:rsid w:val="00681AE7"/>
    <w:rsid w:val="00681AFE"/>
    <w:rsid w:val="00681B59"/>
    <w:rsid w:val="00681BF4"/>
    <w:rsid w:val="00681C56"/>
    <w:rsid w:val="00681E42"/>
    <w:rsid w:val="00681FF6"/>
    <w:rsid w:val="00682082"/>
    <w:rsid w:val="006821FB"/>
    <w:rsid w:val="0068227B"/>
    <w:rsid w:val="00682283"/>
    <w:rsid w:val="00682298"/>
    <w:rsid w:val="00682538"/>
    <w:rsid w:val="0068297C"/>
    <w:rsid w:val="006829C2"/>
    <w:rsid w:val="00682EB9"/>
    <w:rsid w:val="00682F87"/>
    <w:rsid w:val="00683046"/>
    <w:rsid w:val="006830F6"/>
    <w:rsid w:val="006831F6"/>
    <w:rsid w:val="0068323B"/>
    <w:rsid w:val="006832A6"/>
    <w:rsid w:val="0068333D"/>
    <w:rsid w:val="00683344"/>
    <w:rsid w:val="006833E3"/>
    <w:rsid w:val="00683694"/>
    <w:rsid w:val="006836B7"/>
    <w:rsid w:val="006836CB"/>
    <w:rsid w:val="006836DB"/>
    <w:rsid w:val="00683799"/>
    <w:rsid w:val="00683B68"/>
    <w:rsid w:val="00683B9A"/>
    <w:rsid w:val="00683C1E"/>
    <w:rsid w:val="00683D17"/>
    <w:rsid w:val="00683ED4"/>
    <w:rsid w:val="00684051"/>
    <w:rsid w:val="00684792"/>
    <w:rsid w:val="00684B12"/>
    <w:rsid w:val="00684C9A"/>
    <w:rsid w:val="00684FAC"/>
    <w:rsid w:val="00685144"/>
    <w:rsid w:val="006851AF"/>
    <w:rsid w:val="006851FC"/>
    <w:rsid w:val="0068527E"/>
    <w:rsid w:val="0068528D"/>
    <w:rsid w:val="00685353"/>
    <w:rsid w:val="0068537C"/>
    <w:rsid w:val="006853E1"/>
    <w:rsid w:val="006854DF"/>
    <w:rsid w:val="0068554A"/>
    <w:rsid w:val="0068556E"/>
    <w:rsid w:val="00685615"/>
    <w:rsid w:val="0068561E"/>
    <w:rsid w:val="006856DC"/>
    <w:rsid w:val="006857BF"/>
    <w:rsid w:val="006858AB"/>
    <w:rsid w:val="00685A38"/>
    <w:rsid w:val="00685B74"/>
    <w:rsid w:val="00685B7A"/>
    <w:rsid w:val="00685E1E"/>
    <w:rsid w:val="00685E7F"/>
    <w:rsid w:val="00685ED0"/>
    <w:rsid w:val="00685F92"/>
    <w:rsid w:val="0068613A"/>
    <w:rsid w:val="006862B7"/>
    <w:rsid w:val="006863D1"/>
    <w:rsid w:val="00686477"/>
    <w:rsid w:val="006865C4"/>
    <w:rsid w:val="00686694"/>
    <w:rsid w:val="006866CC"/>
    <w:rsid w:val="0068673D"/>
    <w:rsid w:val="00686973"/>
    <w:rsid w:val="00686AC2"/>
    <w:rsid w:val="00686B89"/>
    <w:rsid w:val="00686DF8"/>
    <w:rsid w:val="00687158"/>
    <w:rsid w:val="006871CC"/>
    <w:rsid w:val="006871D3"/>
    <w:rsid w:val="0068720E"/>
    <w:rsid w:val="0068741F"/>
    <w:rsid w:val="00687673"/>
    <w:rsid w:val="0068773B"/>
    <w:rsid w:val="006878EB"/>
    <w:rsid w:val="006900DC"/>
    <w:rsid w:val="00690113"/>
    <w:rsid w:val="006901C1"/>
    <w:rsid w:val="00690308"/>
    <w:rsid w:val="006905D1"/>
    <w:rsid w:val="00690A34"/>
    <w:rsid w:val="00690ADA"/>
    <w:rsid w:val="00690CCD"/>
    <w:rsid w:val="00690CCF"/>
    <w:rsid w:val="00690CE0"/>
    <w:rsid w:val="00690D12"/>
    <w:rsid w:val="00690FCC"/>
    <w:rsid w:val="00690FFA"/>
    <w:rsid w:val="0069119B"/>
    <w:rsid w:val="00691223"/>
    <w:rsid w:val="00691224"/>
    <w:rsid w:val="00691454"/>
    <w:rsid w:val="00691485"/>
    <w:rsid w:val="006914CA"/>
    <w:rsid w:val="006915D2"/>
    <w:rsid w:val="00691719"/>
    <w:rsid w:val="0069181E"/>
    <w:rsid w:val="0069196E"/>
    <w:rsid w:val="00691A05"/>
    <w:rsid w:val="00691A99"/>
    <w:rsid w:val="00691AE9"/>
    <w:rsid w:val="00691B7B"/>
    <w:rsid w:val="00691C4B"/>
    <w:rsid w:val="00691C61"/>
    <w:rsid w:val="00691CBB"/>
    <w:rsid w:val="00691DB1"/>
    <w:rsid w:val="00691DC7"/>
    <w:rsid w:val="00691DCA"/>
    <w:rsid w:val="00691E73"/>
    <w:rsid w:val="006920CD"/>
    <w:rsid w:val="00692115"/>
    <w:rsid w:val="006921AA"/>
    <w:rsid w:val="0069221D"/>
    <w:rsid w:val="00692253"/>
    <w:rsid w:val="0069234A"/>
    <w:rsid w:val="0069236B"/>
    <w:rsid w:val="00692504"/>
    <w:rsid w:val="006925C1"/>
    <w:rsid w:val="0069273F"/>
    <w:rsid w:val="006927AF"/>
    <w:rsid w:val="00692958"/>
    <w:rsid w:val="00692965"/>
    <w:rsid w:val="00692BED"/>
    <w:rsid w:val="00692D28"/>
    <w:rsid w:val="00692EEE"/>
    <w:rsid w:val="00692F65"/>
    <w:rsid w:val="00692FD5"/>
    <w:rsid w:val="00693093"/>
    <w:rsid w:val="00693431"/>
    <w:rsid w:val="0069358A"/>
    <w:rsid w:val="006935D2"/>
    <w:rsid w:val="0069365F"/>
    <w:rsid w:val="0069366F"/>
    <w:rsid w:val="006936E9"/>
    <w:rsid w:val="0069371C"/>
    <w:rsid w:val="00693802"/>
    <w:rsid w:val="00693812"/>
    <w:rsid w:val="00693992"/>
    <w:rsid w:val="00693B4A"/>
    <w:rsid w:val="00693D6B"/>
    <w:rsid w:val="00693E71"/>
    <w:rsid w:val="006940D6"/>
    <w:rsid w:val="006941C7"/>
    <w:rsid w:val="006942E3"/>
    <w:rsid w:val="006945AC"/>
    <w:rsid w:val="0069469A"/>
    <w:rsid w:val="006946C8"/>
    <w:rsid w:val="006946CB"/>
    <w:rsid w:val="00694737"/>
    <w:rsid w:val="0069474B"/>
    <w:rsid w:val="0069482E"/>
    <w:rsid w:val="00694924"/>
    <w:rsid w:val="00694995"/>
    <w:rsid w:val="00694E5A"/>
    <w:rsid w:val="00694F64"/>
    <w:rsid w:val="00694F7B"/>
    <w:rsid w:val="006950CB"/>
    <w:rsid w:val="00695105"/>
    <w:rsid w:val="00695111"/>
    <w:rsid w:val="0069511A"/>
    <w:rsid w:val="0069533B"/>
    <w:rsid w:val="006954AF"/>
    <w:rsid w:val="0069579A"/>
    <w:rsid w:val="006958CB"/>
    <w:rsid w:val="0069598D"/>
    <w:rsid w:val="006959D7"/>
    <w:rsid w:val="00695A6C"/>
    <w:rsid w:val="00695BBB"/>
    <w:rsid w:val="00695D78"/>
    <w:rsid w:val="00695E17"/>
    <w:rsid w:val="00695F95"/>
    <w:rsid w:val="00696006"/>
    <w:rsid w:val="006963D5"/>
    <w:rsid w:val="00696752"/>
    <w:rsid w:val="006967EF"/>
    <w:rsid w:val="00696871"/>
    <w:rsid w:val="00696892"/>
    <w:rsid w:val="006969B0"/>
    <w:rsid w:val="00696A83"/>
    <w:rsid w:val="00696D41"/>
    <w:rsid w:val="00696D97"/>
    <w:rsid w:val="0069711F"/>
    <w:rsid w:val="006972FF"/>
    <w:rsid w:val="006976CD"/>
    <w:rsid w:val="00697795"/>
    <w:rsid w:val="00697841"/>
    <w:rsid w:val="00697933"/>
    <w:rsid w:val="0069799E"/>
    <w:rsid w:val="006979AF"/>
    <w:rsid w:val="00697D48"/>
    <w:rsid w:val="006A021D"/>
    <w:rsid w:val="006A0318"/>
    <w:rsid w:val="006A03A7"/>
    <w:rsid w:val="006A0490"/>
    <w:rsid w:val="006A04A2"/>
    <w:rsid w:val="006A0544"/>
    <w:rsid w:val="006A06EF"/>
    <w:rsid w:val="006A0926"/>
    <w:rsid w:val="006A093A"/>
    <w:rsid w:val="006A0976"/>
    <w:rsid w:val="006A0A44"/>
    <w:rsid w:val="006A0B7A"/>
    <w:rsid w:val="006A0B8C"/>
    <w:rsid w:val="006A0BC5"/>
    <w:rsid w:val="006A0CB6"/>
    <w:rsid w:val="006A0FE7"/>
    <w:rsid w:val="006A1072"/>
    <w:rsid w:val="006A1299"/>
    <w:rsid w:val="006A129E"/>
    <w:rsid w:val="006A1332"/>
    <w:rsid w:val="006A1566"/>
    <w:rsid w:val="006A16A1"/>
    <w:rsid w:val="006A16C4"/>
    <w:rsid w:val="006A1B7C"/>
    <w:rsid w:val="006A1C7D"/>
    <w:rsid w:val="006A1D66"/>
    <w:rsid w:val="006A1F31"/>
    <w:rsid w:val="006A2099"/>
    <w:rsid w:val="006A20AF"/>
    <w:rsid w:val="006A238C"/>
    <w:rsid w:val="006A2418"/>
    <w:rsid w:val="006A255D"/>
    <w:rsid w:val="006A25AE"/>
    <w:rsid w:val="006A26E4"/>
    <w:rsid w:val="006A2EB9"/>
    <w:rsid w:val="006A2F20"/>
    <w:rsid w:val="006A2F9C"/>
    <w:rsid w:val="006A302A"/>
    <w:rsid w:val="006A30D7"/>
    <w:rsid w:val="006A3159"/>
    <w:rsid w:val="006A3338"/>
    <w:rsid w:val="006A33A4"/>
    <w:rsid w:val="006A37C4"/>
    <w:rsid w:val="006A38F3"/>
    <w:rsid w:val="006A38F5"/>
    <w:rsid w:val="006A39AB"/>
    <w:rsid w:val="006A3CA0"/>
    <w:rsid w:val="006A3D94"/>
    <w:rsid w:val="006A3E63"/>
    <w:rsid w:val="006A3E9C"/>
    <w:rsid w:val="006A4022"/>
    <w:rsid w:val="006A4135"/>
    <w:rsid w:val="006A419B"/>
    <w:rsid w:val="006A41ED"/>
    <w:rsid w:val="006A4390"/>
    <w:rsid w:val="006A4693"/>
    <w:rsid w:val="006A4832"/>
    <w:rsid w:val="006A4846"/>
    <w:rsid w:val="006A4B7C"/>
    <w:rsid w:val="006A4C30"/>
    <w:rsid w:val="006A52BD"/>
    <w:rsid w:val="006A52E5"/>
    <w:rsid w:val="006A571F"/>
    <w:rsid w:val="006A5787"/>
    <w:rsid w:val="006A58EE"/>
    <w:rsid w:val="006A5B24"/>
    <w:rsid w:val="006A5BD9"/>
    <w:rsid w:val="006A5D9A"/>
    <w:rsid w:val="006A5DD7"/>
    <w:rsid w:val="006A5EDF"/>
    <w:rsid w:val="006A5FA2"/>
    <w:rsid w:val="006A602D"/>
    <w:rsid w:val="006A6175"/>
    <w:rsid w:val="006A61C0"/>
    <w:rsid w:val="006A6328"/>
    <w:rsid w:val="006A63BD"/>
    <w:rsid w:val="006A6517"/>
    <w:rsid w:val="006A65B9"/>
    <w:rsid w:val="006A6602"/>
    <w:rsid w:val="006A6612"/>
    <w:rsid w:val="006A669E"/>
    <w:rsid w:val="006A6723"/>
    <w:rsid w:val="006A6854"/>
    <w:rsid w:val="006A6986"/>
    <w:rsid w:val="006A6BED"/>
    <w:rsid w:val="006A6C85"/>
    <w:rsid w:val="006A6D3E"/>
    <w:rsid w:val="006A6F87"/>
    <w:rsid w:val="006A703E"/>
    <w:rsid w:val="006A704D"/>
    <w:rsid w:val="006A70D8"/>
    <w:rsid w:val="006A74E3"/>
    <w:rsid w:val="006A75CB"/>
    <w:rsid w:val="006A77D3"/>
    <w:rsid w:val="006A783E"/>
    <w:rsid w:val="006A793D"/>
    <w:rsid w:val="006A794B"/>
    <w:rsid w:val="006A79D4"/>
    <w:rsid w:val="006A7A52"/>
    <w:rsid w:val="006A7A97"/>
    <w:rsid w:val="006A7BAA"/>
    <w:rsid w:val="006A7C2A"/>
    <w:rsid w:val="006A7CAC"/>
    <w:rsid w:val="006A7E04"/>
    <w:rsid w:val="006A7F58"/>
    <w:rsid w:val="006AF860"/>
    <w:rsid w:val="006B0018"/>
    <w:rsid w:val="006B0163"/>
    <w:rsid w:val="006B0238"/>
    <w:rsid w:val="006B0399"/>
    <w:rsid w:val="006B04FC"/>
    <w:rsid w:val="006B05A1"/>
    <w:rsid w:val="006B0784"/>
    <w:rsid w:val="006B0829"/>
    <w:rsid w:val="006B095E"/>
    <w:rsid w:val="006B0A49"/>
    <w:rsid w:val="006B0B0A"/>
    <w:rsid w:val="006B0C38"/>
    <w:rsid w:val="006B0CF4"/>
    <w:rsid w:val="006B0E46"/>
    <w:rsid w:val="006B0EE0"/>
    <w:rsid w:val="006B0FF8"/>
    <w:rsid w:val="006B0FFF"/>
    <w:rsid w:val="006B114C"/>
    <w:rsid w:val="006B13AE"/>
    <w:rsid w:val="006B1628"/>
    <w:rsid w:val="006B1659"/>
    <w:rsid w:val="006B19BF"/>
    <w:rsid w:val="006B1A20"/>
    <w:rsid w:val="006B1A96"/>
    <w:rsid w:val="006B1B01"/>
    <w:rsid w:val="006B1C5E"/>
    <w:rsid w:val="006B1F29"/>
    <w:rsid w:val="006B1F4D"/>
    <w:rsid w:val="006B1F91"/>
    <w:rsid w:val="006B21FA"/>
    <w:rsid w:val="006B246F"/>
    <w:rsid w:val="006B24B8"/>
    <w:rsid w:val="006B254B"/>
    <w:rsid w:val="006B2699"/>
    <w:rsid w:val="006B269E"/>
    <w:rsid w:val="006B2862"/>
    <w:rsid w:val="006B29B9"/>
    <w:rsid w:val="006B29C8"/>
    <w:rsid w:val="006B2B56"/>
    <w:rsid w:val="006B2D23"/>
    <w:rsid w:val="006B2D44"/>
    <w:rsid w:val="006B2DE1"/>
    <w:rsid w:val="006B2E65"/>
    <w:rsid w:val="006B2EE4"/>
    <w:rsid w:val="006B2F77"/>
    <w:rsid w:val="006B3067"/>
    <w:rsid w:val="006B30E1"/>
    <w:rsid w:val="006B3192"/>
    <w:rsid w:val="006B31F9"/>
    <w:rsid w:val="006B32D1"/>
    <w:rsid w:val="006B36AA"/>
    <w:rsid w:val="006B3763"/>
    <w:rsid w:val="006B3857"/>
    <w:rsid w:val="006B387D"/>
    <w:rsid w:val="006B3A8C"/>
    <w:rsid w:val="006B3E9B"/>
    <w:rsid w:val="006B4024"/>
    <w:rsid w:val="006B4098"/>
    <w:rsid w:val="006B40E5"/>
    <w:rsid w:val="006B438B"/>
    <w:rsid w:val="006B46F5"/>
    <w:rsid w:val="006B4710"/>
    <w:rsid w:val="006B485E"/>
    <w:rsid w:val="006B49D4"/>
    <w:rsid w:val="006B4B65"/>
    <w:rsid w:val="006B4C2E"/>
    <w:rsid w:val="006B4CEE"/>
    <w:rsid w:val="006B4D4C"/>
    <w:rsid w:val="006B4DAD"/>
    <w:rsid w:val="006B4FDD"/>
    <w:rsid w:val="006B509B"/>
    <w:rsid w:val="006B510A"/>
    <w:rsid w:val="006B51D7"/>
    <w:rsid w:val="006B5269"/>
    <w:rsid w:val="006B5322"/>
    <w:rsid w:val="006B5360"/>
    <w:rsid w:val="006B566A"/>
    <w:rsid w:val="006B58B0"/>
    <w:rsid w:val="006B5C86"/>
    <w:rsid w:val="006B5D66"/>
    <w:rsid w:val="006B5D89"/>
    <w:rsid w:val="006B602C"/>
    <w:rsid w:val="006B6127"/>
    <w:rsid w:val="006B620F"/>
    <w:rsid w:val="006B6224"/>
    <w:rsid w:val="006B62C4"/>
    <w:rsid w:val="006B638A"/>
    <w:rsid w:val="006B63E2"/>
    <w:rsid w:val="006B6413"/>
    <w:rsid w:val="006B656A"/>
    <w:rsid w:val="006B6597"/>
    <w:rsid w:val="006B66A6"/>
    <w:rsid w:val="006B6A87"/>
    <w:rsid w:val="006B6ABA"/>
    <w:rsid w:val="006B6ACD"/>
    <w:rsid w:val="006B6BD5"/>
    <w:rsid w:val="006B6BFC"/>
    <w:rsid w:val="006B6CDC"/>
    <w:rsid w:val="006B6CE3"/>
    <w:rsid w:val="006B6CED"/>
    <w:rsid w:val="006B6CEF"/>
    <w:rsid w:val="006B6D62"/>
    <w:rsid w:val="006B6E95"/>
    <w:rsid w:val="006B7028"/>
    <w:rsid w:val="006B7059"/>
    <w:rsid w:val="006B709E"/>
    <w:rsid w:val="006B70C9"/>
    <w:rsid w:val="006B7138"/>
    <w:rsid w:val="006B713C"/>
    <w:rsid w:val="006B71B7"/>
    <w:rsid w:val="006B71C0"/>
    <w:rsid w:val="006B7439"/>
    <w:rsid w:val="006B7521"/>
    <w:rsid w:val="006B7525"/>
    <w:rsid w:val="006B767F"/>
    <w:rsid w:val="006B7821"/>
    <w:rsid w:val="006B78E6"/>
    <w:rsid w:val="006B7916"/>
    <w:rsid w:val="006B793A"/>
    <w:rsid w:val="006B7A9B"/>
    <w:rsid w:val="006B7B8E"/>
    <w:rsid w:val="006B7C2A"/>
    <w:rsid w:val="006B7C74"/>
    <w:rsid w:val="006B7DBF"/>
    <w:rsid w:val="006B7E31"/>
    <w:rsid w:val="006C0168"/>
    <w:rsid w:val="006C01EF"/>
    <w:rsid w:val="006C029F"/>
    <w:rsid w:val="006C05C9"/>
    <w:rsid w:val="006C0663"/>
    <w:rsid w:val="006C06DC"/>
    <w:rsid w:val="006C070C"/>
    <w:rsid w:val="006C0A58"/>
    <w:rsid w:val="006C0B45"/>
    <w:rsid w:val="006C0DE3"/>
    <w:rsid w:val="006C0EA2"/>
    <w:rsid w:val="006C0F44"/>
    <w:rsid w:val="006C1013"/>
    <w:rsid w:val="006C1066"/>
    <w:rsid w:val="006C1148"/>
    <w:rsid w:val="006C1252"/>
    <w:rsid w:val="006C125B"/>
    <w:rsid w:val="006C1266"/>
    <w:rsid w:val="006C1399"/>
    <w:rsid w:val="006C154E"/>
    <w:rsid w:val="006C15D6"/>
    <w:rsid w:val="006C1721"/>
    <w:rsid w:val="006C1A0A"/>
    <w:rsid w:val="006C1AD4"/>
    <w:rsid w:val="006C1B03"/>
    <w:rsid w:val="006C1DC6"/>
    <w:rsid w:val="006C1EDD"/>
    <w:rsid w:val="006C1F50"/>
    <w:rsid w:val="006C1F6C"/>
    <w:rsid w:val="006C20B2"/>
    <w:rsid w:val="006C2127"/>
    <w:rsid w:val="006C2135"/>
    <w:rsid w:val="006C226C"/>
    <w:rsid w:val="006C2443"/>
    <w:rsid w:val="006C2558"/>
    <w:rsid w:val="006C2643"/>
    <w:rsid w:val="006C2697"/>
    <w:rsid w:val="006C29D1"/>
    <w:rsid w:val="006C2C65"/>
    <w:rsid w:val="006C2E20"/>
    <w:rsid w:val="006C31DB"/>
    <w:rsid w:val="006C3501"/>
    <w:rsid w:val="006C3793"/>
    <w:rsid w:val="006C3872"/>
    <w:rsid w:val="006C38D1"/>
    <w:rsid w:val="006C391B"/>
    <w:rsid w:val="006C39D2"/>
    <w:rsid w:val="006C3E6B"/>
    <w:rsid w:val="006C4490"/>
    <w:rsid w:val="006C4572"/>
    <w:rsid w:val="006C47EC"/>
    <w:rsid w:val="006C4881"/>
    <w:rsid w:val="006C4A66"/>
    <w:rsid w:val="006C4AAF"/>
    <w:rsid w:val="006C4B75"/>
    <w:rsid w:val="006C4B8C"/>
    <w:rsid w:val="006C4BFF"/>
    <w:rsid w:val="006C4D26"/>
    <w:rsid w:val="006C4E47"/>
    <w:rsid w:val="006C4F6F"/>
    <w:rsid w:val="006C5007"/>
    <w:rsid w:val="006C500A"/>
    <w:rsid w:val="006C5055"/>
    <w:rsid w:val="006C531D"/>
    <w:rsid w:val="006C5464"/>
    <w:rsid w:val="006C55FF"/>
    <w:rsid w:val="006C56CB"/>
    <w:rsid w:val="006C5718"/>
    <w:rsid w:val="006C5798"/>
    <w:rsid w:val="006C57A8"/>
    <w:rsid w:val="006C5806"/>
    <w:rsid w:val="006C5929"/>
    <w:rsid w:val="006C59E3"/>
    <w:rsid w:val="006C59FA"/>
    <w:rsid w:val="006C5AE4"/>
    <w:rsid w:val="006C5CF7"/>
    <w:rsid w:val="006C5DDB"/>
    <w:rsid w:val="006C5DE6"/>
    <w:rsid w:val="006C5EDE"/>
    <w:rsid w:val="006C5FA8"/>
    <w:rsid w:val="006C6037"/>
    <w:rsid w:val="006C609C"/>
    <w:rsid w:val="006C616E"/>
    <w:rsid w:val="006C630B"/>
    <w:rsid w:val="006C6326"/>
    <w:rsid w:val="006C6328"/>
    <w:rsid w:val="006C633A"/>
    <w:rsid w:val="006C638B"/>
    <w:rsid w:val="006C64B0"/>
    <w:rsid w:val="006C64CD"/>
    <w:rsid w:val="006C6527"/>
    <w:rsid w:val="006C660F"/>
    <w:rsid w:val="006C6624"/>
    <w:rsid w:val="006C665A"/>
    <w:rsid w:val="006C66A2"/>
    <w:rsid w:val="006C696D"/>
    <w:rsid w:val="006C6B7E"/>
    <w:rsid w:val="006C6C4D"/>
    <w:rsid w:val="006C6FB0"/>
    <w:rsid w:val="006C6FF5"/>
    <w:rsid w:val="006C7017"/>
    <w:rsid w:val="006C70FF"/>
    <w:rsid w:val="006C7168"/>
    <w:rsid w:val="006C719D"/>
    <w:rsid w:val="006C751F"/>
    <w:rsid w:val="006C7624"/>
    <w:rsid w:val="006C7725"/>
    <w:rsid w:val="006C7746"/>
    <w:rsid w:val="006C7981"/>
    <w:rsid w:val="006C79CA"/>
    <w:rsid w:val="006C7BFD"/>
    <w:rsid w:val="006C7C30"/>
    <w:rsid w:val="006C7C41"/>
    <w:rsid w:val="006C7F94"/>
    <w:rsid w:val="006D00B6"/>
    <w:rsid w:val="006D0364"/>
    <w:rsid w:val="006D064C"/>
    <w:rsid w:val="006D0697"/>
    <w:rsid w:val="006D0BBF"/>
    <w:rsid w:val="006D0CBA"/>
    <w:rsid w:val="006D0D54"/>
    <w:rsid w:val="006D0DFE"/>
    <w:rsid w:val="006D0EC0"/>
    <w:rsid w:val="006D11F1"/>
    <w:rsid w:val="006D1205"/>
    <w:rsid w:val="006D1334"/>
    <w:rsid w:val="006D136F"/>
    <w:rsid w:val="006D1406"/>
    <w:rsid w:val="006D174C"/>
    <w:rsid w:val="006D1811"/>
    <w:rsid w:val="006D1B1B"/>
    <w:rsid w:val="006D1B44"/>
    <w:rsid w:val="006D1D24"/>
    <w:rsid w:val="006D1D46"/>
    <w:rsid w:val="006D1E68"/>
    <w:rsid w:val="006D1E85"/>
    <w:rsid w:val="006D2045"/>
    <w:rsid w:val="006D210A"/>
    <w:rsid w:val="006D218F"/>
    <w:rsid w:val="006D23F2"/>
    <w:rsid w:val="006D251C"/>
    <w:rsid w:val="006D2608"/>
    <w:rsid w:val="006D2718"/>
    <w:rsid w:val="006D2A7C"/>
    <w:rsid w:val="006D2A8B"/>
    <w:rsid w:val="006D2B10"/>
    <w:rsid w:val="006D2D41"/>
    <w:rsid w:val="006D2DF4"/>
    <w:rsid w:val="006D3031"/>
    <w:rsid w:val="006D30A3"/>
    <w:rsid w:val="006D3222"/>
    <w:rsid w:val="006D32ED"/>
    <w:rsid w:val="006D330B"/>
    <w:rsid w:val="006D347A"/>
    <w:rsid w:val="006D34BE"/>
    <w:rsid w:val="006D35D7"/>
    <w:rsid w:val="006D3682"/>
    <w:rsid w:val="006D386E"/>
    <w:rsid w:val="006D3FAD"/>
    <w:rsid w:val="006D3FBD"/>
    <w:rsid w:val="006D40BA"/>
    <w:rsid w:val="006D418F"/>
    <w:rsid w:val="006D424B"/>
    <w:rsid w:val="006D4279"/>
    <w:rsid w:val="006D42E5"/>
    <w:rsid w:val="006D4315"/>
    <w:rsid w:val="006D451E"/>
    <w:rsid w:val="006D458B"/>
    <w:rsid w:val="006D45E7"/>
    <w:rsid w:val="006D45F4"/>
    <w:rsid w:val="006D4644"/>
    <w:rsid w:val="006D46BE"/>
    <w:rsid w:val="006D47FB"/>
    <w:rsid w:val="006D49DC"/>
    <w:rsid w:val="006D49EB"/>
    <w:rsid w:val="006D4A20"/>
    <w:rsid w:val="006D4A38"/>
    <w:rsid w:val="006D4A61"/>
    <w:rsid w:val="006D4AD2"/>
    <w:rsid w:val="006D4BD1"/>
    <w:rsid w:val="006D4CBF"/>
    <w:rsid w:val="006D51AA"/>
    <w:rsid w:val="006D54B9"/>
    <w:rsid w:val="006D54FA"/>
    <w:rsid w:val="006D55BE"/>
    <w:rsid w:val="006D58A8"/>
    <w:rsid w:val="006D5904"/>
    <w:rsid w:val="006D5A89"/>
    <w:rsid w:val="006D5B6A"/>
    <w:rsid w:val="006D5CEB"/>
    <w:rsid w:val="006D5F2D"/>
    <w:rsid w:val="006D606A"/>
    <w:rsid w:val="006D622E"/>
    <w:rsid w:val="006D6732"/>
    <w:rsid w:val="006D67DE"/>
    <w:rsid w:val="006D6887"/>
    <w:rsid w:val="006D689C"/>
    <w:rsid w:val="006D69B6"/>
    <w:rsid w:val="006D6B79"/>
    <w:rsid w:val="006D6B9E"/>
    <w:rsid w:val="006D6E38"/>
    <w:rsid w:val="006D6FAF"/>
    <w:rsid w:val="006D7003"/>
    <w:rsid w:val="006D70D9"/>
    <w:rsid w:val="006D7140"/>
    <w:rsid w:val="006D7204"/>
    <w:rsid w:val="006D734D"/>
    <w:rsid w:val="006D7513"/>
    <w:rsid w:val="006D7570"/>
    <w:rsid w:val="006D766B"/>
    <w:rsid w:val="006D780C"/>
    <w:rsid w:val="006D7912"/>
    <w:rsid w:val="006D794D"/>
    <w:rsid w:val="006D79D8"/>
    <w:rsid w:val="006D7C59"/>
    <w:rsid w:val="006D7F03"/>
    <w:rsid w:val="006D7F13"/>
    <w:rsid w:val="006D7F8F"/>
    <w:rsid w:val="006D7FD3"/>
    <w:rsid w:val="006E0166"/>
    <w:rsid w:val="006E02E3"/>
    <w:rsid w:val="006E0312"/>
    <w:rsid w:val="006E036C"/>
    <w:rsid w:val="006E058E"/>
    <w:rsid w:val="006E060D"/>
    <w:rsid w:val="006E064A"/>
    <w:rsid w:val="006E0686"/>
    <w:rsid w:val="006E06B6"/>
    <w:rsid w:val="006E0750"/>
    <w:rsid w:val="006E07B2"/>
    <w:rsid w:val="006E07D5"/>
    <w:rsid w:val="006E087B"/>
    <w:rsid w:val="006E097A"/>
    <w:rsid w:val="006E0C6F"/>
    <w:rsid w:val="006E0C8C"/>
    <w:rsid w:val="006E0D04"/>
    <w:rsid w:val="006E0D49"/>
    <w:rsid w:val="006E0E0D"/>
    <w:rsid w:val="006E1072"/>
    <w:rsid w:val="006E1110"/>
    <w:rsid w:val="006E126E"/>
    <w:rsid w:val="006E1331"/>
    <w:rsid w:val="006E1413"/>
    <w:rsid w:val="006E1755"/>
    <w:rsid w:val="006E1854"/>
    <w:rsid w:val="006E1890"/>
    <w:rsid w:val="006E1B60"/>
    <w:rsid w:val="006E1C2A"/>
    <w:rsid w:val="006E1D76"/>
    <w:rsid w:val="006E1F3D"/>
    <w:rsid w:val="006E1F5F"/>
    <w:rsid w:val="006E1FF3"/>
    <w:rsid w:val="006E202A"/>
    <w:rsid w:val="006E22A2"/>
    <w:rsid w:val="006E22F2"/>
    <w:rsid w:val="006E233B"/>
    <w:rsid w:val="006E23D1"/>
    <w:rsid w:val="006E23DD"/>
    <w:rsid w:val="006E24A8"/>
    <w:rsid w:val="006E254B"/>
    <w:rsid w:val="006E26B9"/>
    <w:rsid w:val="006E26C6"/>
    <w:rsid w:val="006E2A1C"/>
    <w:rsid w:val="006E2AD3"/>
    <w:rsid w:val="006E2B88"/>
    <w:rsid w:val="006E2D1C"/>
    <w:rsid w:val="006E2D5E"/>
    <w:rsid w:val="006E2DFB"/>
    <w:rsid w:val="006E2EEC"/>
    <w:rsid w:val="006E34D5"/>
    <w:rsid w:val="006E3629"/>
    <w:rsid w:val="006E36FD"/>
    <w:rsid w:val="006E371F"/>
    <w:rsid w:val="006E38AD"/>
    <w:rsid w:val="006E39CE"/>
    <w:rsid w:val="006E39DE"/>
    <w:rsid w:val="006E3AA3"/>
    <w:rsid w:val="006E3C94"/>
    <w:rsid w:val="006E3D57"/>
    <w:rsid w:val="006E3DD8"/>
    <w:rsid w:val="006E3DEA"/>
    <w:rsid w:val="006E40F9"/>
    <w:rsid w:val="006E4342"/>
    <w:rsid w:val="006E4567"/>
    <w:rsid w:val="006E46AE"/>
    <w:rsid w:val="006E4718"/>
    <w:rsid w:val="006E4754"/>
    <w:rsid w:val="006E4767"/>
    <w:rsid w:val="006E47E0"/>
    <w:rsid w:val="006E47EF"/>
    <w:rsid w:val="006E4956"/>
    <w:rsid w:val="006E4983"/>
    <w:rsid w:val="006E4A8B"/>
    <w:rsid w:val="006E4B19"/>
    <w:rsid w:val="006E4B20"/>
    <w:rsid w:val="006E4B5D"/>
    <w:rsid w:val="006E4B78"/>
    <w:rsid w:val="006E4BB2"/>
    <w:rsid w:val="006E4BE4"/>
    <w:rsid w:val="006E4BF8"/>
    <w:rsid w:val="006E4DA5"/>
    <w:rsid w:val="006E4DD4"/>
    <w:rsid w:val="006E4E5B"/>
    <w:rsid w:val="006E4F87"/>
    <w:rsid w:val="006E4FE2"/>
    <w:rsid w:val="006E50E4"/>
    <w:rsid w:val="006E5333"/>
    <w:rsid w:val="006E551D"/>
    <w:rsid w:val="006E5681"/>
    <w:rsid w:val="006E5B2A"/>
    <w:rsid w:val="006E5BE3"/>
    <w:rsid w:val="006E5F23"/>
    <w:rsid w:val="006E5FB6"/>
    <w:rsid w:val="006E5FC0"/>
    <w:rsid w:val="006E6066"/>
    <w:rsid w:val="006E60CD"/>
    <w:rsid w:val="006E627B"/>
    <w:rsid w:val="006E642F"/>
    <w:rsid w:val="006E659B"/>
    <w:rsid w:val="006E65D0"/>
    <w:rsid w:val="006E66D9"/>
    <w:rsid w:val="006E672A"/>
    <w:rsid w:val="006E6752"/>
    <w:rsid w:val="006E682B"/>
    <w:rsid w:val="006E6A60"/>
    <w:rsid w:val="006E6BDD"/>
    <w:rsid w:val="006E6F3D"/>
    <w:rsid w:val="006E7064"/>
    <w:rsid w:val="006E71E1"/>
    <w:rsid w:val="006E7207"/>
    <w:rsid w:val="006E722C"/>
    <w:rsid w:val="006E743B"/>
    <w:rsid w:val="006E7454"/>
    <w:rsid w:val="006E78B3"/>
    <w:rsid w:val="006E7903"/>
    <w:rsid w:val="006E7AD8"/>
    <w:rsid w:val="006E7D28"/>
    <w:rsid w:val="006E7D2E"/>
    <w:rsid w:val="006E7D3F"/>
    <w:rsid w:val="006E7DCB"/>
    <w:rsid w:val="006E7F89"/>
    <w:rsid w:val="006F0056"/>
    <w:rsid w:val="006F032C"/>
    <w:rsid w:val="006F054D"/>
    <w:rsid w:val="006F07C3"/>
    <w:rsid w:val="006F0854"/>
    <w:rsid w:val="006F0A9A"/>
    <w:rsid w:val="006F0BF7"/>
    <w:rsid w:val="006F0CCA"/>
    <w:rsid w:val="006F0EF0"/>
    <w:rsid w:val="006F1141"/>
    <w:rsid w:val="006F1192"/>
    <w:rsid w:val="006F1288"/>
    <w:rsid w:val="006F129B"/>
    <w:rsid w:val="006F12DC"/>
    <w:rsid w:val="006F12F4"/>
    <w:rsid w:val="006F154E"/>
    <w:rsid w:val="006F16B8"/>
    <w:rsid w:val="006F19EF"/>
    <w:rsid w:val="006F1F86"/>
    <w:rsid w:val="006F2011"/>
    <w:rsid w:val="006F23EB"/>
    <w:rsid w:val="006F2418"/>
    <w:rsid w:val="006F2519"/>
    <w:rsid w:val="006F276D"/>
    <w:rsid w:val="006F2916"/>
    <w:rsid w:val="006F2946"/>
    <w:rsid w:val="006F2952"/>
    <w:rsid w:val="006F2A04"/>
    <w:rsid w:val="006F2AD3"/>
    <w:rsid w:val="006F2ADC"/>
    <w:rsid w:val="006F2BB6"/>
    <w:rsid w:val="006F2D3B"/>
    <w:rsid w:val="006F2E2E"/>
    <w:rsid w:val="006F2F85"/>
    <w:rsid w:val="006F329D"/>
    <w:rsid w:val="006F33A0"/>
    <w:rsid w:val="006F34ED"/>
    <w:rsid w:val="006F363D"/>
    <w:rsid w:val="006F3644"/>
    <w:rsid w:val="006F3666"/>
    <w:rsid w:val="006F3673"/>
    <w:rsid w:val="006F36AB"/>
    <w:rsid w:val="006F38D8"/>
    <w:rsid w:val="006F3BEE"/>
    <w:rsid w:val="006F3CF1"/>
    <w:rsid w:val="006F3D4B"/>
    <w:rsid w:val="006F3D60"/>
    <w:rsid w:val="006F3FC4"/>
    <w:rsid w:val="006F4148"/>
    <w:rsid w:val="006F4164"/>
    <w:rsid w:val="006F4180"/>
    <w:rsid w:val="006F434F"/>
    <w:rsid w:val="006F4379"/>
    <w:rsid w:val="006F43A5"/>
    <w:rsid w:val="006F43F9"/>
    <w:rsid w:val="006F4549"/>
    <w:rsid w:val="006F45C0"/>
    <w:rsid w:val="006F45E2"/>
    <w:rsid w:val="006F4619"/>
    <w:rsid w:val="006F4705"/>
    <w:rsid w:val="006F47E4"/>
    <w:rsid w:val="006F481E"/>
    <w:rsid w:val="006F4861"/>
    <w:rsid w:val="006F4959"/>
    <w:rsid w:val="006F49C1"/>
    <w:rsid w:val="006F4A68"/>
    <w:rsid w:val="006F4AD7"/>
    <w:rsid w:val="006F4ADC"/>
    <w:rsid w:val="006F4BC5"/>
    <w:rsid w:val="006F4CD7"/>
    <w:rsid w:val="006F4E26"/>
    <w:rsid w:val="006F50F5"/>
    <w:rsid w:val="006F5291"/>
    <w:rsid w:val="006F54C5"/>
    <w:rsid w:val="006F5551"/>
    <w:rsid w:val="006F57B0"/>
    <w:rsid w:val="006F586D"/>
    <w:rsid w:val="006F587C"/>
    <w:rsid w:val="006F59AA"/>
    <w:rsid w:val="006F5A20"/>
    <w:rsid w:val="006F5A39"/>
    <w:rsid w:val="006F5BCD"/>
    <w:rsid w:val="006F5EB5"/>
    <w:rsid w:val="006F601F"/>
    <w:rsid w:val="006F604B"/>
    <w:rsid w:val="006F62ED"/>
    <w:rsid w:val="006F62FF"/>
    <w:rsid w:val="006F65E6"/>
    <w:rsid w:val="006F666F"/>
    <w:rsid w:val="006F66B2"/>
    <w:rsid w:val="006F6777"/>
    <w:rsid w:val="006F679A"/>
    <w:rsid w:val="006F67A8"/>
    <w:rsid w:val="006F67B4"/>
    <w:rsid w:val="006F6914"/>
    <w:rsid w:val="006F6A1F"/>
    <w:rsid w:val="006F6A4F"/>
    <w:rsid w:val="006F6AC3"/>
    <w:rsid w:val="006F6B5C"/>
    <w:rsid w:val="006F6B92"/>
    <w:rsid w:val="006F6BDC"/>
    <w:rsid w:val="006F6DA5"/>
    <w:rsid w:val="006F6FCE"/>
    <w:rsid w:val="006F7007"/>
    <w:rsid w:val="006F7029"/>
    <w:rsid w:val="006F73F1"/>
    <w:rsid w:val="006F75BC"/>
    <w:rsid w:val="006F764D"/>
    <w:rsid w:val="006F77EE"/>
    <w:rsid w:val="006F7AF5"/>
    <w:rsid w:val="006F7BB1"/>
    <w:rsid w:val="006F7BB3"/>
    <w:rsid w:val="0070003A"/>
    <w:rsid w:val="00700080"/>
    <w:rsid w:val="00700185"/>
    <w:rsid w:val="007001E1"/>
    <w:rsid w:val="0070030B"/>
    <w:rsid w:val="007003C4"/>
    <w:rsid w:val="007007AD"/>
    <w:rsid w:val="00700803"/>
    <w:rsid w:val="0070081E"/>
    <w:rsid w:val="0070085E"/>
    <w:rsid w:val="007008CD"/>
    <w:rsid w:val="00700A65"/>
    <w:rsid w:val="00700A94"/>
    <w:rsid w:val="00700AEB"/>
    <w:rsid w:val="00700BD3"/>
    <w:rsid w:val="00700D37"/>
    <w:rsid w:val="00700DCC"/>
    <w:rsid w:val="00700F3E"/>
    <w:rsid w:val="007010B0"/>
    <w:rsid w:val="00701200"/>
    <w:rsid w:val="0070129D"/>
    <w:rsid w:val="00701329"/>
    <w:rsid w:val="007018B0"/>
    <w:rsid w:val="0070192E"/>
    <w:rsid w:val="00701E94"/>
    <w:rsid w:val="00701ED6"/>
    <w:rsid w:val="00701EE3"/>
    <w:rsid w:val="007020D1"/>
    <w:rsid w:val="00702115"/>
    <w:rsid w:val="007021BE"/>
    <w:rsid w:val="00702372"/>
    <w:rsid w:val="0070244A"/>
    <w:rsid w:val="00702489"/>
    <w:rsid w:val="00702655"/>
    <w:rsid w:val="007027DB"/>
    <w:rsid w:val="0070296C"/>
    <w:rsid w:val="00702A08"/>
    <w:rsid w:val="00702A94"/>
    <w:rsid w:val="00702C1D"/>
    <w:rsid w:val="00702E65"/>
    <w:rsid w:val="00702F2F"/>
    <w:rsid w:val="00702FBD"/>
    <w:rsid w:val="00702FC0"/>
    <w:rsid w:val="0070328A"/>
    <w:rsid w:val="007035EB"/>
    <w:rsid w:val="007036E9"/>
    <w:rsid w:val="00703700"/>
    <w:rsid w:val="007037C9"/>
    <w:rsid w:val="00703950"/>
    <w:rsid w:val="00703A8D"/>
    <w:rsid w:val="00703CF0"/>
    <w:rsid w:val="00703DDD"/>
    <w:rsid w:val="0070411F"/>
    <w:rsid w:val="0070430E"/>
    <w:rsid w:val="00704338"/>
    <w:rsid w:val="0070447F"/>
    <w:rsid w:val="00704484"/>
    <w:rsid w:val="0070450D"/>
    <w:rsid w:val="0070453E"/>
    <w:rsid w:val="00704575"/>
    <w:rsid w:val="00704595"/>
    <w:rsid w:val="0070464D"/>
    <w:rsid w:val="0070473B"/>
    <w:rsid w:val="0070478E"/>
    <w:rsid w:val="00704790"/>
    <w:rsid w:val="00704DFC"/>
    <w:rsid w:val="00704E16"/>
    <w:rsid w:val="007050A8"/>
    <w:rsid w:val="0070510E"/>
    <w:rsid w:val="007055F3"/>
    <w:rsid w:val="0070586C"/>
    <w:rsid w:val="007058B5"/>
    <w:rsid w:val="00705BB7"/>
    <w:rsid w:val="00705D80"/>
    <w:rsid w:val="00705E2B"/>
    <w:rsid w:val="00705E6B"/>
    <w:rsid w:val="00705F6D"/>
    <w:rsid w:val="00705F7A"/>
    <w:rsid w:val="00706069"/>
    <w:rsid w:val="0070610C"/>
    <w:rsid w:val="007061F6"/>
    <w:rsid w:val="0070622C"/>
    <w:rsid w:val="00706764"/>
    <w:rsid w:val="007067D7"/>
    <w:rsid w:val="0070682D"/>
    <w:rsid w:val="007069CA"/>
    <w:rsid w:val="00706AA1"/>
    <w:rsid w:val="00706AED"/>
    <w:rsid w:val="00706B15"/>
    <w:rsid w:val="00706E0E"/>
    <w:rsid w:val="0070708A"/>
    <w:rsid w:val="007070AC"/>
    <w:rsid w:val="007072DE"/>
    <w:rsid w:val="0070733F"/>
    <w:rsid w:val="007073FA"/>
    <w:rsid w:val="00707498"/>
    <w:rsid w:val="0070771E"/>
    <w:rsid w:val="00707735"/>
    <w:rsid w:val="0070781F"/>
    <w:rsid w:val="00707CBA"/>
    <w:rsid w:val="007101DC"/>
    <w:rsid w:val="00710420"/>
    <w:rsid w:val="00710689"/>
    <w:rsid w:val="00710764"/>
    <w:rsid w:val="007107DD"/>
    <w:rsid w:val="00710868"/>
    <w:rsid w:val="00710BD0"/>
    <w:rsid w:val="00710D05"/>
    <w:rsid w:val="00710E17"/>
    <w:rsid w:val="00710E5C"/>
    <w:rsid w:val="00711029"/>
    <w:rsid w:val="007110D4"/>
    <w:rsid w:val="007111F9"/>
    <w:rsid w:val="00711221"/>
    <w:rsid w:val="0071139E"/>
    <w:rsid w:val="0071147A"/>
    <w:rsid w:val="00711523"/>
    <w:rsid w:val="00711566"/>
    <w:rsid w:val="007115DE"/>
    <w:rsid w:val="007117B9"/>
    <w:rsid w:val="007117E8"/>
    <w:rsid w:val="00711C07"/>
    <w:rsid w:val="00711D08"/>
    <w:rsid w:val="00711E46"/>
    <w:rsid w:val="00711EA5"/>
    <w:rsid w:val="00712068"/>
    <w:rsid w:val="00712143"/>
    <w:rsid w:val="00712798"/>
    <w:rsid w:val="007127A4"/>
    <w:rsid w:val="0071287C"/>
    <w:rsid w:val="00712B2D"/>
    <w:rsid w:val="00712B5B"/>
    <w:rsid w:val="00712E0B"/>
    <w:rsid w:val="00712E60"/>
    <w:rsid w:val="00712FE3"/>
    <w:rsid w:val="007130A8"/>
    <w:rsid w:val="007130F8"/>
    <w:rsid w:val="00713217"/>
    <w:rsid w:val="00713297"/>
    <w:rsid w:val="00713298"/>
    <w:rsid w:val="007132B0"/>
    <w:rsid w:val="00713459"/>
    <w:rsid w:val="007137C3"/>
    <w:rsid w:val="007137C5"/>
    <w:rsid w:val="007137DF"/>
    <w:rsid w:val="007137EC"/>
    <w:rsid w:val="00713871"/>
    <w:rsid w:val="0071387D"/>
    <w:rsid w:val="00713883"/>
    <w:rsid w:val="00713A03"/>
    <w:rsid w:val="00713AB5"/>
    <w:rsid w:val="00713AB7"/>
    <w:rsid w:val="00713B44"/>
    <w:rsid w:val="00713CFE"/>
    <w:rsid w:val="00713CFF"/>
    <w:rsid w:val="00713DA7"/>
    <w:rsid w:val="00713E2A"/>
    <w:rsid w:val="00713EED"/>
    <w:rsid w:val="0071418A"/>
    <w:rsid w:val="0071420C"/>
    <w:rsid w:val="0071442E"/>
    <w:rsid w:val="007144A2"/>
    <w:rsid w:val="00714724"/>
    <w:rsid w:val="007147A2"/>
    <w:rsid w:val="007147B4"/>
    <w:rsid w:val="007148D5"/>
    <w:rsid w:val="00714A66"/>
    <w:rsid w:val="00714B0E"/>
    <w:rsid w:val="00714C1D"/>
    <w:rsid w:val="00714CC1"/>
    <w:rsid w:val="00714D71"/>
    <w:rsid w:val="00714EBB"/>
    <w:rsid w:val="007150E3"/>
    <w:rsid w:val="007150E8"/>
    <w:rsid w:val="007152BB"/>
    <w:rsid w:val="007152C7"/>
    <w:rsid w:val="007152D6"/>
    <w:rsid w:val="007153CF"/>
    <w:rsid w:val="00715417"/>
    <w:rsid w:val="007155EB"/>
    <w:rsid w:val="0071563F"/>
    <w:rsid w:val="007156AB"/>
    <w:rsid w:val="0071573B"/>
    <w:rsid w:val="0071574E"/>
    <w:rsid w:val="00715A1D"/>
    <w:rsid w:val="00715AB6"/>
    <w:rsid w:val="00715B1F"/>
    <w:rsid w:val="00715BC8"/>
    <w:rsid w:val="00715DA9"/>
    <w:rsid w:val="0071614A"/>
    <w:rsid w:val="0071619C"/>
    <w:rsid w:val="007161B4"/>
    <w:rsid w:val="0071635E"/>
    <w:rsid w:val="007164BF"/>
    <w:rsid w:val="007164DB"/>
    <w:rsid w:val="007165A1"/>
    <w:rsid w:val="007165FA"/>
    <w:rsid w:val="00716648"/>
    <w:rsid w:val="00716674"/>
    <w:rsid w:val="00716839"/>
    <w:rsid w:val="0071697F"/>
    <w:rsid w:val="00716B60"/>
    <w:rsid w:val="00716CAB"/>
    <w:rsid w:val="00716E1B"/>
    <w:rsid w:val="00716ECC"/>
    <w:rsid w:val="00716F80"/>
    <w:rsid w:val="00717139"/>
    <w:rsid w:val="0071714B"/>
    <w:rsid w:val="0071714E"/>
    <w:rsid w:val="007171E7"/>
    <w:rsid w:val="007172B2"/>
    <w:rsid w:val="00717329"/>
    <w:rsid w:val="007176C5"/>
    <w:rsid w:val="007176E4"/>
    <w:rsid w:val="007177E4"/>
    <w:rsid w:val="00717811"/>
    <w:rsid w:val="00717AD5"/>
    <w:rsid w:val="00717AFE"/>
    <w:rsid w:val="00717CE6"/>
    <w:rsid w:val="00717DD9"/>
    <w:rsid w:val="00717EB6"/>
    <w:rsid w:val="00717F1F"/>
    <w:rsid w:val="007200E6"/>
    <w:rsid w:val="007203B2"/>
    <w:rsid w:val="007203B5"/>
    <w:rsid w:val="007205A0"/>
    <w:rsid w:val="0072069E"/>
    <w:rsid w:val="007206C6"/>
    <w:rsid w:val="0072078C"/>
    <w:rsid w:val="007207EB"/>
    <w:rsid w:val="007208AE"/>
    <w:rsid w:val="00720B93"/>
    <w:rsid w:val="00720C0A"/>
    <w:rsid w:val="00721381"/>
    <w:rsid w:val="00721388"/>
    <w:rsid w:val="007213A3"/>
    <w:rsid w:val="007213E8"/>
    <w:rsid w:val="00721775"/>
    <w:rsid w:val="0072177B"/>
    <w:rsid w:val="007217F9"/>
    <w:rsid w:val="0072183A"/>
    <w:rsid w:val="0072196C"/>
    <w:rsid w:val="0072196F"/>
    <w:rsid w:val="00721AC0"/>
    <w:rsid w:val="00721CA4"/>
    <w:rsid w:val="00721E3A"/>
    <w:rsid w:val="00721E7B"/>
    <w:rsid w:val="00721F8E"/>
    <w:rsid w:val="0072207C"/>
    <w:rsid w:val="007220E4"/>
    <w:rsid w:val="00722394"/>
    <w:rsid w:val="007224EC"/>
    <w:rsid w:val="007225C6"/>
    <w:rsid w:val="0072264A"/>
    <w:rsid w:val="00722975"/>
    <w:rsid w:val="00722AA3"/>
    <w:rsid w:val="00722ACC"/>
    <w:rsid w:val="00722ADF"/>
    <w:rsid w:val="00722BDD"/>
    <w:rsid w:val="00722D47"/>
    <w:rsid w:val="00722DD0"/>
    <w:rsid w:val="00722E1F"/>
    <w:rsid w:val="00722FA0"/>
    <w:rsid w:val="00722FAA"/>
    <w:rsid w:val="0072307C"/>
    <w:rsid w:val="007230AA"/>
    <w:rsid w:val="007231CA"/>
    <w:rsid w:val="0072331D"/>
    <w:rsid w:val="0072346C"/>
    <w:rsid w:val="00723621"/>
    <w:rsid w:val="007236E1"/>
    <w:rsid w:val="007236E4"/>
    <w:rsid w:val="007238AE"/>
    <w:rsid w:val="0072393C"/>
    <w:rsid w:val="007239C0"/>
    <w:rsid w:val="007239E2"/>
    <w:rsid w:val="00723AEA"/>
    <w:rsid w:val="00723BE8"/>
    <w:rsid w:val="00723E90"/>
    <w:rsid w:val="00724263"/>
    <w:rsid w:val="00724507"/>
    <w:rsid w:val="0072452C"/>
    <w:rsid w:val="007245E2"/>
    <w:rsid w:val="00724616"/>
    <w:rsid w:val="00724683"/>
    <w:rsid w:val="00724760"/>
    <w:rsid w:val="0072480D"/>
    <w:rsid w:val="00724996"/>
    <w:rsid w:val="00724A05"/>
    <w:rsid w:val="00724B71"/>
    <w:rsid w:val="00724C49"/>
    <w:rsid w:val="00724D7C"/>
    <w:rsid w:val="00724D7F"/>
    <w:rsid w:val="00725033"/>
    <w:rsid w:val="00725089"/>
    <w:rsid w:val="0072519C"/>
    <w:rsid w:val="007251A1"/>
    <w:rsid w:val="007253F8"/>
    <w:rsid w:val="0072555B"/>
    <w:rsid w:val="00725562"/>
    <w:rsid w:val="00725669"/>
    <w:rsid w:val="00725750"/>
    <w:rsid w:val="007257AF"/>
    <w:rsid w:val="00725815"/>
    <w:rsid w:val="007258C0"/>
    <w:rsid w:val="00725A86"/>
    <w:rsid w:val="00725A8B"/>
    <w:rsid w:val="00725CF0"/>
    <w:rsid w:val="00725D84"/>
    <w:rsid w:val="00725D89"/>
    <w:rsid w:val="00725E31"/>
    <w:rsid w:val="00725EC6"/>
    <w:rsid w:val="00725F5B"/>
    <w:rsid w:val="00725F80"/>
    <w:rsid w:val="00725FB4"/>
    <w:rsid w:val="007260F5"/>
    <w:rsid w:val="0072611B"/>
    <w:rsid w:val="00726234"/>
    <w:rsid w:val="007263C2"/>
    <w:rsid w:val="007263C3"/>
    <w:rsid w:val="007265BB"/>
    <w:rsid w:val="007266AB"/>
    <w:rsid w:val="00726707"/>
    <w:rsid w:val="00726730"/>
    <w:rsid w:val="007267FC"/>
    <w:rsid w:val="0072684E"/>
    <w:rsid w:val="00726852"/>
    <w:rsid w:val="007269A5"/>
    <w:rsid w:val="00726AA2"/>
    <w:rsid w:val="00726BBA"/>
    <w:rsid w:val="00726E77"/>
    <w:rsid w:val="00726F92"/>
    <w:rsid w:val="00726FDB"/>
    <w:rsid w:val="00727002"/>
    <w:rsid w:val="00727162"/>
    <w:rsid w:val="0072738F"/>
    <w:rsid w:val="00727481"/>
    <w:rsid w:val="0072752B"/>
    <w:rsid w:val="007275D3"/>
    <w:rsid w:val="007275D9"/>
    <w:rsid w:val="00727611"/>
    <w:rsid w:val="00727687"/>
    <w:rsid w:val="007276F9"/>
    <w:rsid w:val="0072775C"/>
    <w:rsid w:val="0072794C"/>
    <w:rsid w:val="007279D7"/>
    <w:rsid w:val="00727C38"/>
    <w:rsid w:val="00727C73"/>
    <w:rsid w:val="00727D77"/>
    <w:rsid w:val="00727E73"/>
    <w:rsid w:val="00730058"/>
    <w:rsid w:val="00730156"/>
    <w:rsid w:val="007302C9"/>
    <w:rsid w:val="00730337"/>
    <w:rsid w:val="00730444"/>
    <w:rsid w:val="007305BB"/>
    <w:rsid w:val="007305BE"/>
    <w:rsid w:val="007305CC"/>
    <w:rsid w:val="007306A1"/>
    <w:rsid w:val="007307C8"/>
    <w:rsid w:val="007307E3"/>
    <w:rsid w:val="00730AA3"/>
    <w:rsid w:val="00730BB0"/>
    <w:rsid w:val="00730DDF"/>
    <w:rsid w:val="00730F27"/>
    <w:rsid w:val="00731013"/>
    <w:rsid w:val="0073129A"/>
    <w:rsid w:val="007313A3"/>
    <w:rsid w:val="007317A4"/>
    <w:rsid w:val="007317AF"/>
    <w:rsid w:val="007317E5"/>
    <w:rsid w:val="00731808"/>
    <w:rsid w:val="007319EA"/>
    <w:rsid w:val="00731A00"/>
    <w:rsid w:val="00731A19"/>
    <w:rsid w:val="00731B0C"/>
    <w:rsid w:val="00731B56"/>
    <w:rsid w:val="00731DBF"/>
    <w:rsid w:val="00731DFD"/>
    <w:rsid w:val="0073207E"/>
    <w:rsid w:val="0073209D"/>
    <w:rsid w:val="00732290"/>
    <w:rsid w:val="007322F2"/>
    <w:rsid w:val="00732454"/>
    <w:rsid w:val="007326BA"/>
    <w:rsid w:val="007326C6"/>
    <w:rsid w:val="00732800"/>
    <w:rsid w:val="00732BDA"/>
    <w:rsid w:val="00732C0D"/>
    <w:rsid w:val="00732CBF"/>
    <w:rsid w:val="00732E4D"/>
    <w:rsid w:val="007330AB"/>
    <w:rsid w:val="007330D5"/>
    <w:rsid w:val="0073318C"/>
    <w:rsid w:val="007334EB"/>
    <w:rsid w:val="00733502"/>
    <w:rsid w:val="0073358D"/>
    <w:rsid w:val="007335C8"/>
    <w:rsid w:val="007336BF"/>
    <w:rsid w:val="00733764"/>
    <w:rsid w:val="007337DC"/>
    <w:rsid w:val="00733D48"/>
    <w:rsid w:val="00733D76"/>
    <w:rsid w:val="00733D8F"/>
    <w:rsid w:val="00734252"/>
    <w:rsid w:val="0073428D"/>
    <w:rsid w:val="0073429F"/>
    <w:rsid w:val="0073436F"/>
    <w:rsid w:val="0073456B"/>
    <w:rsid w:val="007346FF"/>
    <w:rsid w:val="00734D61"/>
    <w:rsid w:val="00734DFF"/>
    <w:rsid w:val="00734E23"/>
    <w:rsid w:val="00735044"/>
    <w:rsid w:val="00735215"/>
    <w:rsid w:val="007353A0"/>
    <w:rsid w:val="007353FF"/>
    <w:rsid w:val="00735479"/>
    <w:rsid w:val="007358CF"/>
    <w:rsid w:val="0073597A"/>
    <w:rsid w:val="00735993"/>
    <w:rsid w:val="00735997"/>
    <w:rsid w:val="00735A51"/>
    <w:rsid w:val="00735AA9"/>
    <w:rsid w:val="00735BB8"/>
    <w:rsid w:val="00735C14"/>
    <w:rsid w:val="00735D3F"/>
    <w:rsid w:val="00735E90"/>
    <w:rsid w:val="00735EC3"/>
    <w:rsid w:val="00735F5D"/>
    <w:rsid w:val="00735FAF"/>
    <w:rsid w:val="00735FCB"/>
    <w:rsid w:val="00736343"/>
    <w:rsid w:val="00736559"/>
    <w:rsid w:val="007365B4"/>
    <w:rsid w:val="00736631"/>
    <w:rsid w:val="007366C5"/>
    <w:rsid w:val="0073670F"/>
    <w:rsid w:val="007367E6"/>
    <w:rsid w:val="00736A3C"/>
    <w:rsid w:val="00736AE0"/>
    <w:rsid w:val="00736B6B"/>
    <w:rsid w:val="00736BF8"/>
    <w:rsid w:val="00736D32"/>
    <w:rsid w:val="00736E15"/>
    <w:rsid w:val="00736E47"/>
    <w:rsid w:val="007370A4"/>
    <w:rsid w:val="007370D2"/>
    <w:rsid w:val="007372BF"/>
    <w:rsid w:val="0073753D"/>
    <w:rsid w:val="007376C7"/>
    <w:rsid w:val="00737799"/>
    <w:rsid w:val="0073781E"/>
    <w:rsid w:val="00737AC4"/>
    <w:rsid w:val="00737AD5"/>
    <w:rsid w:val="00737B35"/>
    <w:rsid w:val="00737F03"/>
    <w:rsid w:val="007400C9"/>
    <w:rsid w:val="0074012E"/>
    <w:rsid w:val="007403A4"/>
    <w:rsid w:val="007403EA"/>
    <w:rsid w:val="007404B4"/>
    <w:rsid w:val="00740622"/>
    <w:rsid w:val="0074080C"/>
    <w:rsid w:val="007408A1"/>
    <w:rsid w:val="00740A6C"/>
    <w:rsid w:val="00740A74"/>
    <w:rsid w:val="00740AD5"/>
    <w:rsid w:val="00740C0E"/>
    <w:rsid w:val="00740DDC"/>
    <w:rsid w:val="00740F25"/>
    <w:rsid w:val="0074107A"/>
    <w:rsid w:val="007411CA"/>
    <w:rsid w:val="0074121C"/>
    <w:rsid w:val="0074125D"/>
    <w:rsid w:val="0074127F"/>
    <w:rsid w:val="0074128D"/>
    <w:rsid w:val="00741312"/>
    <w:rsid w:val="00741417"/>
    <w:rsid w:val="00741498"/>
    <w:rsid w:val="00741522"/>
    <w:rsid w:val="007416EE"/>
    <w:rsid w:val="007417D9"/>
    <w:rsid w:val="00741807"/>
    <w:rsid w:val="0074183C"/>
    <w:rsid w:val="0074185D"/>
    <w:rsid w:val="00741AA5"/>
    <w:rsid w:val="00741AAE"/>
    <w:rsid w:val="00741CEC"/>
    <w:rsid w:val="00741E45"/>
    <w:rsid w:val="00741FBE"/>
    <w:rsid w:val="00741FFD"/>
    <w:rsid w:val="0074207A"/>
    <w:rsid w:val="00742135"/>
    <w:rsid w:val="00742273"/>
    <w:rsid w:val="0074228E"/>
    <w:rsid w:val="0074245B"/>
    <w:rsid w:val="0074248D"/>
    <w:rsid w:val="00742650"/>
    <w:rsid w:val="00742883"/>
    <w:rsid w:val="007428FE"/>
    <w:rsid w:val="007429A1"/>
    <w:rsid w:val="00742D2B"/>
    <w:rsid w:val="00742F54"/>
    <w:rsid w:val="0074323E"/>
    <w:rsid w:val="007432E6"/>
    <w:rsid w:val="0074333A"/>
    <w:rsid w:val="00743347"/>
    <w:rsid w:val="00743351"/>
    <w:rsid w:val="007433CC"/>
    <w:rsid w:val="00743568"/>
    <w:rsid w:val="007435AC"/>
    <w:rsid w:val="007435B5"/>
    <w:rsid w:val="00743753"/>
    <w:rsid w:val="007438BA"/>
    <w:rsid w:val="00743928"/>
    <w:rsid w:val="007439C5"/>
    <w:rsid w:val="00743A50"/>
    <w:rsid w:val="00743E29"/>
    <w:rsid w:val="00743EB4"/>
    <w:rsid w:val="00743EBD"/>
    <w:rsid w:val="00743F4B"/>
    <w:rsid w:val="00743FD2"/>
    <w:rsid w:val="00744089"/>
    <w:rsid w:val="007441EA"/>
    <w:rsid w:val="00744222"/>
    <w:rsid w:val="00744387"/>
    <w:rsid w:val="00744450"/>
    <w:rsid w:val="007445C4"/>
    <w:rsid w:val="0074471C"/>
    <w:rsid w:val="0074479D"/>
    <w:rsid w:val="00744822"/>
    <w:rsid w:val="00744A2C"/>
    <w:rsid w:val="00744B90"/>
    <w:rsid w:val="00744D80"/>
    <w:rsid w:val="00744DDE"/>
    <w:rsid w:val="00744E27"/>
    <w:rsid w:val="00744F71"/>
    <w:rsid w:val="00744F9F"/>
    <w:rsid w:val="00745061"/>
    <w:rsid w:val="0074519E"/>
    <w:rsid w:val="007451EF"/>
    <w:rsid w:val="007452A8"/>
    <w:rsid w:val="0074532F"/>
    <w:rsid w:val="007455F1"/>
    <w:rsid w:val="00745636"/>
    <w:rsid w:val="0074568F"/>
    <w:rsid w:val="007457C1"/>
    <w:rsid w:val="007457D2"/>
    <w:rsid w:val="0074593B"/>
    <w:rsid w:val="007459A7"/>
    <w:rsid w:val="007459D1"/>
    <w:rsid w:val="007459F2"/>
    <w:rsid w:val="00745AD5"/>
    <w:rsid w:val="00745BE7"/>
    <w:rsid w:val="00745C3D"/>
    <w:rsid w:val="00745C9B"/>
    <w:rsid w:val="00745DE6"/>
    <w:rsid w:val="00745E09"/>
    <w:rsid w:val="00745FA5"/>
    <w:rsid w:val="00746027"/>
    <w:rsid w:val="0074602E"/>
    <w:rsid w:val="00746386"/>
    <w:rsid w:val="007463C3"/>
    <w:rsid w:val="00746446"/>
    <w:rsid w:val="0074648F"/>
    <w:rsid w:val="00746599"/>
    <w:rsid w:val="00746860"/>
    <w:rsid w:val="00746965"/>
    <w:rsid w:val="00746A27"/>
    <w:rsid w:val="00746AC8"/>
    <w:rsid w:val="00746B9E"/>
    <w:rsid w:val="00746BBC"/>
    <w:rsid w:val="00746DA6"/>
    <w:rsid w:val="00746FE0"/>
    <w:rsid w:val="00747040"/>
    <w:rsid w:val="007471AD"/>
    <w:rsid w:val="0074728A"/>
    <w:rsid w:val="00747334"/>
    <w:rsid w:val="0074742D"/>
    <w:rsid w:val="007474E7"/>
    <w:rsid w:val="007475A2"/>
    <w:rsid w:val="007475E7"/>
    <w:rsid w:val="0074765C"/>
    <w:rsid w:val="00747675"/>
    <w:rsid w:val="007477D8"/>
    <w:rsid w:val="00747864"/>
    <w:rsid w:val="00747B78"/>
    <w:rsid w:val="00747E2B"/>
    <w:rsid w:val="00747F16"/>
    <w:rsid w:val="0075012B"/>
    <w:rsid w:val="00750183"/>
    <w:rsid w:val="00750241"/>
    <w:rsid w:val="00750242"/>
    <w:rsid w:val="007502A8"/>
    <w:rsid w:val="00750367"/>
    <w:rsid w:val="00750424"/>
    <w:rsid w:val="007504DF"/>
    <w:rsid w:val="007504FA"/>
    <w:rsid w:val="0075055A"/>
    <w:rsid w:val="00750614"/>
    <w:rsid w:val="007507A9"/>
    <w:rsid w:val="00750DBA"/>
    <w:rsid w:val="00750EB1"/>
    <w:rsid w:val="00750EB8"/>
    <w:rsid w:val="0075103B"/>
    <w:rsid w:val="0075105F"/>
    <w:rsid w:val="00751079"/>
    <w:rsid w:val="007510E1"/>
    <w:rsid w:val="00751178"/>
    <w:rsid w:val="007511D9"/>
    <w:rsid w:val="0075124C"/>
    <w:rsid w:val="007512D1"/>
    <w:rsid w:val="00751329"/>
    <w:rsid w:val="00751426"/>
    <w:rsid w:val="007514B4"/>
    <w:rsid w:val="0075166E"/>
    <w:rsid w:val="00751670"/>
    <w:rsid w:val="00751686"/>
    <w:rsid w:val="00751864"/>
    <w:rsid w:val="00751AC6"/>
    <w:rsid w:val="00751D4D"/>
    <w:rsid w:val="00751E2B"/>
    <w:rsid w:val="00751E7A"/>
    <w:rsid w:val="00751F18"/>
    <w:rsid w:val="00751FDC"/>
    <w:rsid w:val="00751FF0"/>
    <w:rsid w:val="007521D1"/>
    <w:rsid w:val="0075220A"/>
    <w:rsid w:val="00752363"/>
    <w:rsid w:val="0075236E"/>
    <w:rsid w:val="00752421"/>
    <w:rsid w:val="007526CE"/>
    <w:rsid w:val="00752807"/>
    <w:rsid w:val="007528E3"/>
    <w:rsid w:val="00752985"/>
    <w:rsid w:val="00752AB7"/>
    <w:rsid w:val="00752AFF"/>
    <w:rsid w:val="00752C3F"/>
    <w:rsid w:val="00752D5E"/>
    <w:rsid w:val="00752E2C"/>
    <w:rsid w:val="00752E50"/>
    <w:rsid w:val="00752E54"/>
    <w:rsid w:val="00753150"/>
    <w:rsid w:val="0075328E"/>
    <w:rsid w:val="00753366"/>
    <w:rsid w:val="007533BD"/>
    <w:rsid w:val="00753418"/>
    <w:rsid w:val="0075344A"/>
    <w:rsid w:val="007534F5"/>
    <w:rsid w:val="007534F7"/>
    <w:rsid w:val="00753560"/>
    <w:rsid w:val="0075370A"/>
    <w:rsid w:val="0075373C"/>
    <w:rsid w:val="00753851"/>
    <w:rsid w:val="00753A6F"/>
    <w:rsid w:val="00753ABF"/>
    <w:rsid w:val="00753C4A"/>
    <w:rsid w:val="00753FEC"/>
    <w:rsid w:val="007540A3"/>
    <w:rsid w:val="007541F8"/>
    <w:rsid w:val="00754397"/>
    <w:rsid w:val="0075444F"/>
    <w:rsid w:val="007544F7"/>
    <w:rsid w:val="00754529"/>
    <w:rsid w:val="00754558"/>
    <w:rsid w:val="007547DD"/>
    <w:rsid w:val="00754865"/>
    <w:rsid w:val="00754C33"/>
    <w:rsid w:val="00754D78"/>
    <w:rsid w:val="007550AF"/>
    <w:rsid w:val="007550B2"/>
    <w:rsid w:val="0075521E"/>
    <w:rsid w:val="007554D2"/>
    <w:rsid w:val="00755563"/>
    <w:rsid w:val="007556E7"/>
    <w:rsid w:val="00755783"/>
    <w:rsid w:val="007557E0"/>
    <w:rsid w:val="00755813"/>
    <w:rsid w:val="00755BD1"/>
    <w:rsid w:val="00755CC8"/>
    <w:rsid w:val="00755F12"/>
    <w:rsid w:val="00756247"/>
    <w:rsid w:val="00756288"/>
    <w:rsid w:val="007562B3"/>
    <w:rsid w:val="007567DA"/>
    <w:rsid w:val="00756A91"/>
    <w:rsid w:val="00756AAD"/>
    <w:rsid w:val="00756B8C"/>
    <w:rsid w:val="00756BAA"/>
    <w:rsid w:val="00756C84"/>
    <w:rsid w:val="00756D00"/>
    <w:rsid w:val="00756ED1"/>
    <w:rsid w:val="00757057"/>
    <w:rsid w:val="00757091"/>
    <w:rsid w:val="00757096"/>
    <w:rsid w:val="00757143"/>
    <w:rsid w:val="00757255"/>
    <w:rsid w:val="00757315"/>
    <w:rsid w:val="00757436"/>
    <w:rsid w:val="0075776E"/>
    <w:rsid w:val="00757A4D"/>
    <w:rsid w:val="00757BE2"/>
    <w:rsid w:val="00757C6D"/>
    <w:rsid w:val="00757CC2"/>
    <w:rsid w:val="00757DFF"/>
    <w:rsid w:val="00757EB1"/>
    <w:rsid w:val="00757F61"/>
    <w:rsid w:val="00757FAB"/>
    <w:rsid w:val="00760054"/>
    <w:rsid w:val="007600BA"/>
    <w:rsid w:val="0076015E"/>
    <w:rsid w:val="0076016B"/>
    <w:rsid w:val="00760268"/>
    <w:rsid w:val="0076031B"/>
    <w:rsid w:val="007605B9"/>
    <w:rsid w:val="007607D0"/>
    <w:rsid w:val="00760891"/>
    <w:rsid w:val="00760A26"/>
    <w:rsid w:val="00760A70"/>
    <w:rsid w:val="00760A82"/>
    <w:rsid w:val="00760A94"/>
    <w:rsid w:val="00760B18"/>
    <w:rsid w:val="00760C19"/>
    <w:rsid w:val="00760D20"/>
    <w:rsid w:val="00760EB1"/>
    <w:rsid w:val="00760F1A"/>
    <w:rsid w:val="00760F6E"/>
    <w:rsid w:val="00760FF0"/>
    <w:rsid w:val="00761115"/>
    <w:rsid w:val="007611DF"/>
    <w:rsid w:val="0076148F"/>
    <w:rsid w:val="007615D9"/>
    <w:rsid w:val="007616A0"/>
    <w:rsid w:val="0076197C"/>
    <w:rsid w:val="00761A4D"/>
    <w:rsid w:val="00761BF3"/>
    <w:rsid w:val="00761C87"/>
    <w:rsid w:val="00761CA2"/>
    <w:rsid w:val="00761DB3"/>
    <w:rsid w:val="00761DCA"/>
    <w:rsid w:val="00761F4E"/>
    <w:rsid w:val="00762003"/>
    <w:rsid w:val="00762095"/>
    <w:rsid w:val="007621B4"/>
    <w:rsid w:val="0076223B"/>
    <w:rsid w:val="00762264"/>
    <w:rsid w:val="007623E2"/>
    <w:rsid w:val="007624E6"/>
    <w:rsid w:val="0076256E"/>
    <w:rsid w:val="007625CD"/>
    <w:rsid w:val="00762815"/>
    <w:rsid w:val="00762955"/>
    <w:rsid w:val="0076295C"/>
    <w:rsid w:val="00762A11"/>
    <w:rsid w:val="00762AAD"/>
    <w:rsid w:val="00762AFB"/>
    <w:rsid w:val="00762D10"/>
    <w:rsid w:val="00762D8C"/>
    <w:rsid w:val="00762DDF"/>
    <w:rsid w:val="00763033"/>
    <w:rsid w:val="00763053"/>
    <w:rsid w:val="00763096"/>
    <w:rsid w:val="00763649"/>
    <w:rsid w:val="0076371C"/>
    <w:rsid w:val="007637C0"/>
    <w:rsid w:val="0076383F"/>
    <w:rsid w:val="007638EF"/>
    <w:rsid w:val="00763A09"/>
    <w:rsid w:val="00763A7F"/>
    <w:rsid w:val="00763D4B"/>
    <w:rsid w:val="007640CE"/>
    <w:rsid w:val="00764226"/>
    <w:rsid w:val="0076425C"/>
    <w:rsid w:val="007642F0"/>
    <w:rsid w:val="0076437E"/>
    <w:rsid w:val="0076442E"/>
    <w:rsid w:val="00764472"/>
    <w:rsid w:val="0076468E"/>
    <w:rsid w:val="00764B38"/>
    <w:rsid w:val="00764B8A"/>
    <w:rsid w:val="00764C08"/>
    <w:rsid w:val="00764C16"/>
    <w:rsid w:val="00764C2E"/>
    <w:rsid w:val="00764CB9"/>
    <w:rsid w:val="007650AA"/>
    <w:rsid w:val="007650BC"/>
    <w:rsid w:val="00765148"/>
    <w:rsid w:val="007652F6"/>
    <w:rsid w:val="00765605"/>
    <w:rsid w:val="00765632"/>
    <w:rsid w:val="00765678"/>
    <w:rsid w:val="00765897"/>
    <w:rsid w:val="00765B1E"/>
    <w:rsid w:val="00765DE7"/>
    <w:rsid w:val="007660A5"/>
    <w:rsid w:val="0076619E"/>
    <w:rsid w:val="0076622F"/>
    <w:rsid w:val="0076654E"/>
    <w:rsid w:val="00766583"/>
    <w:rsid w:val="00766697"/>
    <w:rsid w:val="00766B36"/>
    <w:rsid w:val="00766BFA"/>
    <w:rsid w:val="00766CCF"/>
    <w:rsid w:val="00766D01"/>
    <w:rsid w:val="00766E8F"/>
    <w:rsid w:val="00766EAF"/>
    <w:rsid w:val="00766ED7"/>
    <w:rsid w:val="00766F47"/>
    <w:rsid w:val="00767007"/>
    <w:rsid w:val="007670BC"/>
    <w:rsid w:val="007670F3"/>
    <w:rsid w:val="00767352"/>
    <w:rsid w:val="007673B0"/>
    <w:rsid w:val="0076745D"/>
    <w:rsid w:val="00767702"/>
    <w:rsid w:val="0076778D"/>
    <w:rsid w:val="007678E9"/>
    <w:rsid w:val="00767A92"/>
    <w:rsid w:val="00767AC3"/>
    <w:rsid w:val="00767C9A"/>
    <w:rsid w:val="00767CCF"/>
    <w:rsid w:val="00767FFD"/>
    <w:rsid w:val="00770107"/>
    <w:rsid w:val="00770250"/>
    <w:rsid w:val="00770260"/>
    <w:rsid w:val="007703BD"/>
    <w:rsid w:val="00770564"/>
    <w:rsid w:val="007707CC"/>
    <w:rsid w:val="007707F0"/>
    <w:rsid w:val="0077084A"/>
    <w:rsid w:val="007708C2"/>
    <w:rsid w:val="00770A23"/>
    <w:rsid w:val="00770AC0"/>
    <w:rsid w:val="00770E09"/>
    <w:rsid w:val="00770E6A"/>
    <w:rsid w:val="00770F3D"/>
    <w:rsid w:val="007710FD"/>
    <w:rsid w:val="00771236"/>
    <w:rsid w:val="0077160D"/>
    <w:rsid w:val="00771919"/>
    <w:rsid w:val="00771A67"/>
    <w:rsid w:val="00771B33"/>
    <w:rsid w:val="00771C30"/>
    <w:rsid w:val="00771D3A"/>
    <w:rsid w:val="00771E81"/>
    <w:rsid w:val="00771F52"/>
    <w:rsid w:val="0077206C"/>
    <w:rsid w:val="0077232D"/>
    <w:rsid w:val="0077233A"/>
    <w:rsid w:val="00772418"/>
    <w:rsid w:val="007727D1"/>
    <w:rsid w:val="0077295C"/>
    <w:rsid w:val="00772B6C"/>
    <w:rsid w:val="00772BEE"/>
    <w:rsid w:val="00772DEE"/>
    <w:rsid w:val="00772F91"/>
    <w:rsid w:val="007730F0"/>
    <w:rsid w:val="00773151"/>
    <w:rsid w:val="00773315"/>
    <w:rsid w:val="007733A9"/>
    <w:rsid w:val="007734E0"/>
    <w:rsid w:val="007737BD"/>
    <w:rsid w:val="00773883"/>
    <w:rsid w:val="007738E9"/>
    <w:rsid w:val="0077399E"/>
    <w:rsid w:val="00773DFC"/>
    <w:rsid w:val="00773EA9"/>
    <w:rsid w:val="00773F74"/>
    <w:rsid w:val="0077401A"/>
    <w:rsid w:val="00774121"/>
    <w:rsid w:val="007742D6"/>
    <w:rsid w:val="00774400"/>
    <w:rsid w:val="00774493"/>
    <w:rsid w:val="0077450C"/>
    <w:rsid w:val="0077457C"/>
    <w:rsid w:val="00774676"/>
    <w:rsid w:val="0077469D"/>
    <w:rsid w:val="0077494F"/>
    <w:rsid w:val="00774AA4"/>
    <w:rsid w:val="00774BB2"/>
    <w:rsid w:val="00774C91"/>
    <w:rsid w:val="00774CAE"/>
    <w:rsid w:val="00774DD1"/>
    <w:rsid w:val="00774E0E"/>
    <w:rsid w:val="00774E53"/>
    <w:rsid w:val="00774FD3"/>
    <w:rsid w:val="00774FE1"/>
    <w:rsid w:val="00775170"/>
    <w:rsid w:val="007751EE"/>
    <w:rsid w:val="0077520B"/>
    <w:rsid w:val="0077521F"/>
    <w:rsid w:val="007752B1"/>
    <w:rsid w:val="007752D8"/>
    <w:rsid w:val="0077533D"/>
    <w:rsid w:val="0077535F"/>
    <w:rsid w:val="00775402"/>
    <w:rsid w:val="00775462"/>
    <w:rsid w:val="00775527"/>
    <w:rsid w:val="007755E2"/>
    <w:rsid w:val="00775676"/>
    <w:rsid w:val="00775B9C"/>
    <w:rsid w:val="00775DE3"/>
    <w:rsid w:val="00775E83"/>
    <w:rsid w:val="00775F29"/>
    <w:rsid w:val="00775F9D"/>
    <w:rsid w:val="00776036"/>
    <w:rsid w:val="007760CD"/>
    <w:rsid w:val="00776167"/>
    <w:rsid w:val="0077616B"/>
    <w:rsid w:val="0077620B"/>
    <w:rsid w:val="007762F6"/>
    <w:rsid w:val="00776398"/>
    <w:rsid w:val="007763DD"/>
    <w:rsid w:val="00776458"/>
    <w:rsid w:val="007764B1"/>
    <w:rsid w:val="00776779"/>
    <w:rsid w:val="007767AE"/>
    <w:rsid w:val="00776BF7"/>
    <w:rsid w:val="00776C92"/>
    <w:rsid w:val="00776F77"/>
    <w:rsid w:val="00777161"/>
    <w:rsid w:val="00777184"/>
    <w:rsid w:val="007771F9"/>
    <w:rsid w:val="0077733F"/>
    <w:rsid w:val="00777579"/>
    <w:rsid w:val="0077759B"/>
    <w:rsid w:val="007778B5"/>
    <w:rsid w:val="00777980"/>
    <w:rsid w:val="00777A67"/>
    <w:rsid w:val="00777AD8"/>
    <w:rsid w:val="00777B54"/>
    <w:rsid w:val="00777B7F"/>
    <w:rsid w:val="00777C5F"/>
    <w:rsid w:val="00777D21"/>
    <w:rsid w:val="00777F04"/>
    <w:rsid w:val="00777F5C"/>
    <w:rsid w:val="00780131"/>
    <w:rsid w:val="00780164"/>
    <w:rsid w:val="007801B9"/>
    <w:rsid w:val="007802ED"/>
    <w:rsid w:val="0078035A"/>
    <w:rsid w:val="007805D5"/>
    <w:rsid w:val="00780631"/>
    <w:rsid w:val="00780707"/>
    <w:rsid w:val="00780793"/>
    <w:rsid w:val="007809C5"/>
    <w:rsid w:val="00780AB6"/>
    <w:rsid w:val="00780D0D"/>
    <w:rsid w:val="00780D4B"/>
    <w:rsid w:val="00780DB6"/>
    <w:rsid w:val="00780F91"/>
    <w:rsid w:val="00780FC0"/>
    <w:rsid w:val="007812ED"/>
    <w:rsid w:val="00781378"/>
    <w:rsid w:val="007814EC"/>
    <w:rsid w:val="0078157E"/>
    <w:rsid w:val="0078164B"/>
    <w:rsid w:val="007818E1"/>
    <w:rsid w:val="007819C6"/>
    <w:rsid w:val="00781A39"/>
    <w:rsid w:val="00781AED"/>
    <w:rsid w:val="00781AF4"/>
    <w:rsid w:val="00781B31"/>
    <w:rsid w:val="00781B50"/>
    <w:rsid w:val="00781BC9"/>
    <w:rsid w:val="00781BED"/>
    <w:rsid w:val="00781C11"/>
    <w:rsid w:val="00781E67"/>
    <w:rsid w:val="00781F22"/>
    <w:rsid w:val="00781F99"/>
    <w:rsid w:val="007820CB"/>
    <w:rsid w:val="00782571"/>
    <w:rsid w:val="007825AD"/>
    <w:rsid w:val="007826DA"/>
    <w:rsid w:val="00782757"/>
    <w:rsid w:val="007827F7"/>
    <w:rsid w:val="0078288E"/>
    <w:rsid w:val="0078291E"/>
    <w:rsid w:val="00782A01"/>
    <w:rsid w:val="00782AC1"/>
    <w:rsid w:val="00782E8F"/>
    <w:rsid w:val="007830D0"/>
    <w:rsid w:val="007831D9"/>
    <w:rsid w:val="0078321E"/>
    <w:rsid w:val="00783396"/>
    <w:rsid w:val="00783430"/>
    <w:rsid w:val="00783677"/>
    <w:rsid w:val="007836D7"/>
    <w:rsid w:val="007836E6"/>
    <w:rsid w:val="00783A69"/>
    <w:rsid w:val="00783AB7"/>
    <w:rsid w:val="00783BE1"/>
    <w:rsid w:val="00783C5E"/>
    <w:rsid w:val="00783E21"/>
    <w:rsid w:val="00783F7F"/>
    <w:rsid w:val="00783FCE"/>
    <w:rsid w:val="00784086"/>
    <w:rsid w:val="007840BE"/>
    <w:rsid w:val="007841E4"/>
    <w:rsid w:val="00784560"/>
    <w:rsid w:val="0078462F"/>
    <w:rsid w:val="007846C3"/>
    <w:rsid w:val="0078483F"/>
    <w:rsid w:val="00784889"/>
    <w:rsid w:val="0078495D"/>
    <w:rsid w:val="00784963"/>
    <w:rsid w:val="00784B69"/>
    <w:rsid w:val="00784DC0"/>
    <w:rsid w:val="00784E83"/>
    <w:rsid w:val="00784EF8"/>
    <w:rsid w:val="00784F1F"/>
    <w:rsid w:val="00785006"/>
    <w:rsid w:val="0078511E"/>
    <w:rsid w:val="00785216"/>
    <w:rsid w:val="00785258"/>
    <w:rsid w:val="00785533"/>
    <w:rsid w:val="007855EB"/>
    <w:rsid w:val="0078561E"/>
    <w:rsid w:val="0078570A"/>
    <w:rsid w:val="0078571D"/>
    <w:rsid w:val="00785753"/>
    <w:rsid w:val="00785818"/>
    <w:rsid w:val="007859D1"/>
    <w:rsid w:val="00785A6C"/>
    <w:rsid w:val="00785ABE"/>
    <w:rsid w:val="00785ACD"/>
    <w:rsid w:val="00785BD9"/>
    <w:rsid w:val="00785D91"/>
    <w:rsid w:val="00785DB9"/>
    <w:rsid w:val="00785E6A"/>
    <w:rsid w:val="00785F5C"/>
    <w:rsid w:val="00786009"/>
    <w:rsid w:val="007860F1"/>
    <w:rsid w:val="0078628C"/>
    <w:rsid w:val="00786383"/>
    <w:rsid w:val="00786434"/>
    <w:rsid w:val="0078676E"/>
    <w:rsid w:val="0078681F"/>
    <w:rsid w:val="00786954"/>
    <w:rsid w:val="00786972"/>
    <w:rsid w:val="007869CF"/>
    <w:rsid w:val="007869F2"/>
    <w:rsid w:val="00786A69"/>
    <w:rsid w:val="00786AFD"/>
    <w:rsid w:val="00786B28"/>
    <w:rsid w:val="00786DF2"/>
    <w:rsid w:val="00786E2F"/>
    <w:rsid w:val="00786F08"/>
    <w:rsid w:val="00787558"/>
    <w:rsid w:val="0078763D"/>
    <w:rsid w:val="007876CD"/>
    <w:rsid w:val="007876D5"/>
    <w:rsid w:val="007876F7"/>
    <w:rsid w:val="007877CF"/>
    <w:rsid w:val="00787B7D"/>
    <w:rsid w:val="00787C29"/>
    <w:rsid w:val="00787F18"/>
    <w:rsid w:val="007900DF"/>
    <w:rsid w:val="0079017F"/>
    <w:rsid w:val="007903D5"/>
    <w:rsid w:val="007903F9"/>
    <w:rsid w:val="00790448"/>
    <w:rsid w:val="0079049C"/>
    <w:rsid w:val="007908C6"/>
    <w:rsid w:val="007908DD"/>
    <w:rsid w:val="00790A5C"/>
    <w:rsid w:val="00790AA0"/>
    <w:rsid w:val="00790AF6"/>
    <w:rsid w:val="00790B4B"/>
    <w:rsid w:val="00790BC0"/>
    <w:rsid w:val="00790EF3"/>
    <w:rsid w:val="00790F17"/>
    <w:rsid w:val="007914D0"/>
    <w:rsid w:val="007914DC"/>
    <w:rsid w:val="00791925"/>
    <w:rsid w:val="00791A9D"/>
    <w:rsid w:val="00791BA1"/>
    <w:rsid w:val="00791C7B"/>
    <w:rsid w:val="00792056"/>
    <w:rsid w:val="00792275"/>
    <w:rsid w:val="0079235B"/>
    <w:rsid w:val="00792375"/>
    <w:rsid w:val="007924F8"/>
    <w:rsid w:val="00792534"/>
    <w:rsid w:val="00792629"/>
    <w:rsid w:val="007926ED"/>
    <w:rsid w:val="0079278C"/>
    <w:rsid w:val="0079281F"/>
    <w:rsid w:val="0079295B"/>
    <w:rsid w:val="00792A17"/>
    <w:rsid w:val="00792B32"/>
    <w:rsid w:val="00792B4E"/>
    <w:rsid w:val="00792BA6"/>
    <w:rsid w:val="00792BCF"/>
    <w:rsid w:val="00792D97"/>
    <w:rsid w:val="00792DB3"/>
    <w:rsid w:val="00792E45"/>
    <w:rsid w:val="00792F3B"/>
    <w:rsid w:val="00793017"/>
    <w:rsid w:val="0079309D"/>
    <w:rsid w:val="00793350"/>
    <w:rsid w:val="00793380"/>
    <w:rsid w:val="00793452"/>
    <w:rsid w:val="00793698"/>
    <w:rsid w:val="00793766"/>
    <w:rsid w:val="007937B5"/>
    <w:rsid w:val="00793826"/>
    <w:rsid w:val="007939B8"/>
    <w:rsid w:val="00793A79"/>
    <w:rsid w:val="00793AFE"/>
    <w:rsid w:val="00793B8D"/>
    <w:rsid w:val="00793B9A"/>
    <w:rsid w:val="00793BA6"/>
    <w:rsid w:val="00793C76"/>
    <w:rsid w:val="00793C88"/>
    <w:rsid w:val="00793EC0"/>
    <w:rsid w:val="00794051"/>
    <w:rsid w:val="007940D2"/>
    <w:rsid w:val="007940E8"/>
    <w:rsid w:val="0079433E"/>
    <w:rsid w:val="0079438D"/>
    <w:rsid w:val="007943B4"/>
    <w:rsid w:val="0079445D"/>
    <w:rsid w:val="00794630"/>
    <w:rsid w:val="0079466B"/>
    <w:rsid w:val="007946CC"/>
    <w:rsid w:val="00794773"/>
    <w:rsid w:val="0079485C"/>
    <w:rsid w:val="007948CA"/>
    <w:rsid w:val="007949A6"/>
    <w:rsid w:val="00794A93"/>
    <w:rsid w:val="00794AFB"/>
    <w:rsid w:val="00794B21"/>
    <w:rsid w:val="00794D2C"/>
    <w:rsid w:val="00794F40"/>
    <w:rsid w:val="007951B1"/>
    <w:rsid w:val="0079529E"/>
    <w:rsid w:val="00795532"/>
    <w:rsid w:val="00795615"/>
    <w:rsid w:val="00795714"/>
    <w:rsid w:val="00795865"/>
    <w:rsid w:val="007959E3"/>
    <w:rsid w:val="00795A67"/>
    <w:rsid w:val="00795DD4"/>
    <w:rsid w:val="00795DFD"/>
    <w:rsid w:val="00796054"/>
    <w:rsid w:val="007960F2"/>
    <w:rsid w:val="0079612A"/>
    <w:rsid w:val="007963E7"/>
    <w:rsid w:val="0079657D"/>
    <w:rsid w:val="007966A9"/>
    <w:rsid w:val="007966DA"/>
    <w:rsid w:val="00796709"/>
    <w:rsid w:val="0079683F"/>
    <w:rsid w:val="00796883"/>
    <w:rsid w:val="007969CB"/>
    <w:rsid w:val="00796A7D"/>
    <w:rsid w:val="00796D36"/>
    <w:rsid w:val="00797094"/>
    <w:rsid w:val="007970E3"/>
    <w:rsid w:val="00797107"/>
    <w:rsid w:val="00797157"/>
    <w:rsid w:val="00797472"/>
    <w:rsid w:val="007976A5"/>
    <w:rsid w:val="00797747"/>
    <w:rsid w:val="007978BB"/>
    <w:rsid w:val="0079797C"/>
    <w:rsid w:val="00797988"/>
    <w:rsid w:val="00797AA5"/>
    <w:rsid w:val="00797E96"/>
    <w:rsid w:val="00797F5D"/>
    <w:rsid w:val="007A004B"/>
    <w:rsid w:val="007A0095"/>
    <w:rsid w:val="007A01EB"/>
    <w:rsid w:val="007A03A5"/>
    <w:rsid w:val="007A04E2"/>
    <w:rsid w:val="007A04EC"/>
    <w:rsid w:val="007A056B"/>
    <w:rsid w:val="007A0593"/>
    <w:rsid w:val="007A0721"/>
    <w:rsid w:val="007A08D6"/>
    <w:rsid w:val="007A098C"/>
    <w:rsid w:val="007A0CFA"/>
    <w:rsid w:val="007A0D35"/>
    <w:rsid w:val="007A0E2E"/>
    <w:rsid w:val="007A0F64"/>
    <w:rsid w:val="007A10A1"/>
    <w:rsid w:val="007A1148"/>
    <w:rsid w:val="007A11AF"/>
    <w:rsid w:val="007A11C1"/>
    <w:rsid w:val="007A1233"/>
    <w:rsid w:val="007A130D"/>
    <w:rsid w:val="007A13FB"/>
    <w:rsid w:val="007A1462"/>
    <w:rsid w:val="007A14DC"/>
    <w:rsid w:val="007A15EF"/>
    <w:rsid w:val="007A17C3"/>
    <w:rsid w:val="007A17D8"/>
    <w:rsid w:val="007A1810"/>
    <w:rsid w:val="007A18C4"/>
    <w:rsid w:val="007A1B94"/>
    <w:rsid w:val="007A1BA8"/>
    <w:rsid w:val="007A1C4C"/>
    <w:rsid w:val="007A1D7C"/>
    <w:rsid w:val="007A1DCB"/>
    <w:rsid w:val="007A1EA6"/>
    <w:rsid w:val="007A1ED7"/>
    <w:rsid w:val="007A201B"/>
    <w:rsid w:val="007A256C"/>
    <w:rsid w:val="007A25F9"/>
    <w:rsid w:val="007A27B3"/>
    <w:rsid w:val="007A2901"/>
    <w:rsid w:val="007A2918"/>
    <w:rsid w:val="007A295B"/>
    <w:rsid w:val="007A2A3E"/>
    <w:rsid w:val="007A2A6D"/>
    <w:rsid w:val="007A2CF0"/>
    <w:rsid w:val="007A2DF6"/>
    <w:rsid w:val="007A2E7D"/>
    <w:rsid w:val="007A2FAE"/>
    <w:rsid w:val="007A30D8"/>
    <w:rsid w:val="007A31DE"/>
    <w:rsid w:val="007A33AE"/>
    <w:rsid w:val="007A33F6"/>
    <w:rsid w:val="007A340E"/>
    <w:rsid w:val="007A363C"/>
    <w:rsid w:val="007A3877"/>
    <w:rsid w:val="007A3975"/>
    <w:rsid w:val="007A39C1"/>
    <w:rsid w:val="007A39D9"/>
    <w:rsid w:val="007A3A09"/>
    <w:rsid w:val="007A3A50"/>
    <w:rsid w:val="007A3A92"/>
    <w:rsid w:val="007A3AB7"/>
    <w:rsid w:val="007A3BD9"/>
    <w:rsid w:val="007A3D29"/>
    <w:rsid w:val="007A3D2F"/>
    <w:rsid w:val="007A3D6E"/>
    <w:rsid w:val="007A3DB0"/>
    <w:rsid w:val="007A4069"/>
    <w:rsid w:val="007A41CC"/>
    <w:rsid w:val="007A42CE"/>
    <w:rsid w:val="007A459E"/>
    <w:rsid w:val="007A4963"/>
    <w:rsid w:val="007A496E"/>
    <w:rsid w:val="007A4979"/>
    <w:rsid w:val="007A4BDE"/>
    <w:rsid w:val="007A4F13"/>
    <w:rsid w:val="007A4F2D"/>
    <w:rsid w:val="007A4F80"/>
    <w:rsid w:val="007A4FD7"/>
    <w:rsid w:val="007A51C6"/>
    <w:rsid w:val="007A5354"/>
    <w:rsid w:val="007A5373"/>
    <w:rsid w:val="007A53FE"/>
    <w:rsid w:val="007A5494"/>
    <w:rsid w:val="007A5529"/>
    <w:rsid w:val="007A56CA"/>
    <w:rsid w:val="007A57B7"/>
    <w:rsid w:val="007A5809"/>
    <w:rsid w:val="007A5955"/>
    <w:rsid w:val="007A5ACC"/>
    <w:rsid w:val="007A5BB7"/>
    <w:rsid w:val="007A6070"/>
    <w:rsid w:val="007A65B8"/>
    <w:rsid w:val="007A67B6"/>
    <w:rsid w:val="007A6934"/>
    <w:rsid w:val="007A6BE3"/>
    <w:rsid w:val="007A6C16"/>
    <w:rsid w:val="007A6EFF"/>
    <w:rsid w:val="007A71AE"/>
    <w:rsid w:val="007A71C0"/>
    <w:rsid w:val="007A721B"/>
    <w:rsid w:val="007A72E4"/>
    <w:rsid w:val="007A732C"/>
    <w:rsid w:val="007A754E"/>
    <w:rsid w:val="007A75A0"/>
    <w:rsid w:val="007A77B1"/>
    <w:rsid w:val="007A7817"/>
    <w:rsid w:val="007A78A0"/>
    <w:rsid w:val="007A792D"/>
    <w:rsid w:val="007A7B18"/>
    <w:rsid w:val="007A7BAB"/>
    <w:rsid w:val="007A7C3E"/>
    <w:rsid w:val="007A7CDF"/>
    <w:rsid w:val="007A7E15"/>
    <w:rsid w:val="007A7FFC"/>
    <w:rsid w:val="007B00C2"/>
    <w:rsid w:val="007B0138"/>
    <w:rsid w:val="007B046F"/>
    <w:rsid w:val="007B0533"/>
    <w:rsid w:val="007B05BB"/>
    <w:rsid w:val="007B0647"/>
    <w:rsid w:val="007B0652"/>
    <w:rsid w:val="007B06AA"/>
    <w:rsid w:val="007B0837"/>
    <w:rsid w:val="007B092E"/>
    <w:rsid w:val="007B0BC4"/>
    <w:rsid w:val="007B0C1D"/>
    <w:rsid w:val="007B0E09"/>
    <w:rsid w:val="007B0E50"/>
    <w:rsid w:val="007B0E68"/>
    <w:rsid w:val="007B0F1B"/>
    <w:rsid w:val="007B0FC3"/>
    <w:rsid w:val="007B10F9"/>
    <w:rsid w:val="007B121C"/>
    <w:rsid w:val="007B1419"/>
    <w:rsid w:val="007B1421"/>
    <w:rsid w:val="007B1740"/>
    <w:rsid w:val="007B17E8"/>
    <w:rsid w:val="007B19A0"/>
    <w:rsid w:val="007B19FC"/>
    <w:rsid w:val="007B1B0F"/>
    <w:rsid w:val="007B1CEE"/>
    <w:rsid w:val="007B1DFB"/>
    <w:rsid w:val="007B1E05"/>
    <w:rsid w:val="007B21D1"/>
    <w:rsid w:val="007B23CD"/>
    <w:rsid w:val="007B2560"/>
    <w:rsid w:val="007B2659"/>
    <w:rsid w:val="007B2676"/>
    <w:rsid w:val="007B2682"/>
    <w:rsid w:val="007B293C"/>
    <w:rsid w:val="007B29E6"/>
    <w:rsid w:val="007B2B74"/>
    <w:rsid w:val="007B2D3A"/>
    <w:rsid w:val="007B2E45"/>
    <w:rsid w:val="007B2F5B"/>
    <w:rsid w:val="007B30E3"/>
    <w:rsid w:val="007B3168"/>
    <w:rsid w:val="007B31D3"/>
    <w:rsid w:val="007B31FA"/>
    <w:rsid w:val="007B3341"/>
    <w:rsid w:val="007B3412"/>
    <w:rsid w:val="007B34B4"/>
    <w:rsid w:val="007B351C"/>
    <w:rsid w:val="007B3775"/>
    <w:rsid w:val="007B38C9"/>
    <w:rsid w:val="007B3969"/>
    <w:rsid w:val="007B3BA7"/>
    <w:rsid w:val="007B3C01"/>
    <w:rsid w:val="007B3C3A"/>
    <w:rsid w:val="007B3CB2"/>
    <w:rsid w:val="007B3D3E"/>
    <w:rsid w:val="007B3D6C"/>
    <w:rsid w:val="007B3F57"/>
    <w:rsid w:val="007B3FED"/>
    <w:rsid w:val="007B43A4"/>
    <w:rsid w:val="007B43BE"/>
    <w:rsid w:val="007B44C5"/>
    <w:rsid w:val="007B459E"/>
    <w:rsid w:val="007B462E"/>
    <w:rsid w:val="007B4738"/>
    <w:rsid w:val="007B4A14"/>
    <w:rsid w:val="007B4ACE"/>
    <w:rsid w:val="007B4B00"/>
    <w:rsid w:val="007B4B4C"/>
    <w:rsid w:val="007B4B5E"/>
    <w:rsid w:val="007B4BCC"/>
    <w:rsid w:val="007B4CB1"/>
    <w:rsid w:val="007B4E5B"/>
    <w:rsid w:val="007B4F0D"/>
    <w:rsid w:val="007B52D4"/>
    <w:rsid w:val="007B5331"/>
    <w:rsid w:val="007B5413"/>
    <w:rsid w:val="007B54A4"/>
    <w:rsid w:val="007B56ED"/>
    <w:rsid w:val="007B57AC"/>
    <w:rsid w:val="007B5878"/>
    <w:rsid w:val="007B5BE6"/>
    <w:rsid w:val="007B5C05"/>
    <w:rsid w:val="007B5E62"/>
    <w:rsid w:val="007B5F63"/>
    <w:rsid w:val="007B624D"/>
    <w:rsid w:val="007B6407"/>
    <w:rsid w:val="007B685B"/>
    <w:rsid w:val="007B6863"/>
    <w:rsid w:val="007B6BE1"/>
    <w:rsid w:val="007B6ED8"/>
    <w:rsid w:val="007B7028"/>
    <w:rsid w:val="007B704E"/>
    <w:rsid w:val="007B7109"/>
    <w:rsid w:val="007B7425"/>
    <w:rsid w:val="007B751D"/>
    <w:rsid w:val="007B76DC"/>
    <w:rsid w:val="007B7709"/>
    <w:rsid w:val="007B787E"/>
    <w:rsid w:val="007B7C2C"/>
    <w:rsid w:val="007B7D1C"/>
    <w:rsid w:val="007B7F0E"/>
    <w:rsid w:val="007C0055"/>
    <w:rsid w:val="007C0180"/>
    <w:rsid w:val="007C03B6"/>
    <w:rsid w:val="007C04BB"/>
    <w:rsid w:val="007C04F4"/>
    <w:rsid w:val="007C0554"/>
    <w:rsid w:val="007C0798"/>
    <w:rsid w:val="007C091D"/>
    <w:rsid w:val="007C0999"/>
    <w:rsid w:val="007C0A36"/>
    <w:rsid w:val="007C0ACB"/>
    <w:rsid w:val="007C0AE4"/>
    <w:rsid w:val="007C0BCD"/>
    <w:rsid w:val="007C0BF7"/>
    <w:rsid w:val="007C0D15"/>
    <w:rsid w:val="007C0F59"/>
    <w:rsid w:val="007C118F"/>
    <w:rsid w:val="007C1348"/>
    <w:rsid w:val="007C15A6"/>
    <w:rsid w:val="007C15EF"/>
    <w:rsid w:val="007C1664"/>
    <w:rsid w:val="007C177F"/>
    <w:rsid w:val="007C17BB"/>
    <w:rsid w:val="007C1B61"/>
    <w:rsid w:val="007C1C1C"/>
    <w:rsid w:val="007C1CC9"/>
    <w:rsid w:val="007C1D48"/>
    <w:rsid w:val="007C1E42"/>
    <w:rsid w:val="007C1F60"/>
    <w:rsid w:val="007C209D"/>
    <w:rsid w:val="007C230A"/>
    <w:rsid w:val="007C2379"/>
    <w:rsid w:val="007C238E"/>
    <w:rsid w:val="007C23E8"/>
    <w:rsid w:val="007C250A"/>
    <w:rsid w:val="007C2522"/>
    <w:rsid w:val="007C25A1"/>
    <w:rsid w:val="007C2678"/>
    <w:rsid w:val="007C26B4"/>
    <w:rsid w:val="007C2867"/>
    <w:rsid w:val="007C28A4"/>
    <w:rsid w:val="007C2B7B"/>
    <w:rsid w:val="007C2C6B"/>
    <w:rsid w:val="007C2E4A"/>
    <w:rsid w:val="007C2E61"/>
    <w:rsid w:val="007C2E64"/>
    <w:rsid w:val="007C2FD1"/>
    <w:rsid w:val="007C2FE1"/>
    <w:rsid w:val="007C2FED"/>
    <w:rsid w:val="007C307B"/>
    <w:rsid w:val="007C30B1"/>
    <w:rsid w:val="007C3144"/>
    <w:rsid w:val="007C324B"/>
    <w:rsid w:val="007C33D9"/>
    <w:rsid w:val="007C34DE"/>
    <w:rsid w:val="007C3513"/>
    <w:rsid w:val="007C35C6"/>
    <w:rsid w:val="007C375E"/>
    <w:rsid w:val="007C37CE"/>
    <w:rsid w:val="007C3A25"/>
    <w:rsid w:val="007C3AF2"/>
    <w:rsid w:val="007C3C22"/>
    <w:rsid w:val="007C3C4B"/>
    <w:rsid w:val="007C3D9E"/>
    <w:rsid w:val="007C3DD7"/>
    <w:rsid w:val="007C4007"/>
    <w:rsid w:val="007C4020"/>
    <w:rsid w:val="007C4039"/>
    <w:rsid w:val="007C4150"/>
    <w:rsid w:val="007C41AF"/>
    <w:rsid w:val="007C42BC"/>
    <w:rsid w:val="007C439F"/>
    <w:rsid w:val="007C4498"/>
    <w:rsid w:val="007C44F7"/>
    <w:rsid w:val="007C44FA"/>
    <w:rsid w:val="007C4568"/>
    <w:rsid w:val="007C4588"/>
    <w:rsid w:val="007C4789"/>
    <w:rsid w:val="007C4C76"/>
    <w:rsid w:val="007C4D58"/>
    <w:rsid w:val="007C4D6B"/>
    <w:rsid w:val="007C4D75"/>
    <w:rsid w:val="007C4EB5"/>
    <w:rsid w:val="007C4F3B"/>
    <w:rsid w:val="007C5017"/>
    <w:rsid w:val="007C5475"/>
    <w:rsid w:val="007C54C6"/>
    <w:rsid w:val="007C557B"/>
    <w:rsid w:val="007C5587"/>
    <w:rsid w:val="007C56DC"/>
    <w:rsid w:val="007C56E4"/>
    <w:rsid w:val="007C59DB"/>
    <w:rsid w:val="007C5EBD"/>
    <w:rsid w:val="007C6025"/>
    <w:rsid w:val="007C6048"/>
    <w:rsid w:val="007C6093"/>
    <w:rsid w:val="007C6433"/>
    <w:rsid w:val="007C65AD"/>
    <w:rsid w:val="007C65F3"/>
    <w:rsid w:val="007C66BE"/>
    <w:rsid w:val="007C695E"/>
    <w:rsid w:val="007C69D9"/>
    <w:rsid w:val="007C6A48"/>
    <w:rsid w:val="007C6B13"/>
    <w:rsid w:val="007C6BC2"/>
    <w:rsid w:val="007C7129"/>
    <w:rsid w:val="007C715F"/>
    <w:rsid w:val="007C72D3"/>
    <w:rsid w:val="007C73A9"/>
    <w:rsid w:val="007C73E5"/>
    <w:rsid w:val="007C73ED"/>
    <w:rsid w:val="007C748D"/>
    <w:rsid w:val="007C74A1"/>
    <w:rsid w:val="007C7889"/>
    <w:rsid w:val="007C7A3A"/>
    <w:rsid w:val="007C7B48"/>
    <w:rsid w:val="007C7BF4"/>
    <w:rsid w:val="007C7C5D"/>
    <w:rsid w:val="007C7D18"/>
    <w:rsid w:val="007C7D1C"/>
    <w:rsid w:val="007C7D4C"/>
    <w:rsid w:val="007C7E4C"/>
    <w:rsid w:val="007D00AF"/>
    <w:rsid w:val="007D00B1"/>
    <w:rsid w:val="007D0246"/>
    <w:rsid w:val="007D0248"/>
    <w:rsid w:val="007D029D"/>
    <w:rsid w:val="007D0469"/>
    <w:rsid w:val="007D0699"/>
    <w:rsid w:val="007D07F7"/>
    <w:rsid w:val="007D0866"/>
    <w:rsid w:val="007D0868"/>
    <w:rsid w:val="007D0E12"/>
    <w:rsid w:val="007D0EA8"/>
    <w:rsid w:val="007D0ED7"/>
    <w:rsid w:val="007D0EED"/>
    <w:rsid w:val="007D0FDA"/>
    <w:rsid w:val="007D0FE9"/>
    <w:rsid w:val="007D10F3"/>
    <w:rsid w:val="007D16FC"/>
    <w:rsid w:val="007D1795"/>
    <w:rsid w:val="007D17B8"/>
    <w:rsid w:val="007D1BE3"/>
    <w:rsid w:val="007D1D35"/>
    <w:rsid w:val="007D1EAC"/>
    <w:rsid w:val="007D1ED0"/>
    <w:rsid w:val="007D1EF3"/>
    <w:rsid w:val="007D1EFF"/>
    <w:rsid w:val="007D1F97"/>
    <w:rsid w:val="007D1FD4"/>
    <w:rsid w:val="007D20CC"/>
    <w:rsid w:val="007D2136"/>
    <w:rsid w:val="007D21E8"/>
    <w:rsid w:val="007D23A7"/>
    <w:rsid w:val="007D25A4"/>
    <w:rsid w:val="007D25C4"/>
    <w:rsid w:val="007D2616"/>
    <w:rsid w:val="007D2765"/>
    <w:rsid w:val="007D287F"/>
    <w:rsid w:val="007D28FF"/>
    <w:rsid w:val="007D294A"/>
    <w:rsid w:val="007D2A37"/>
    <w:rsid w:val="007D2A8E"/>
    <w:rsid w:val="007D2C46"/>
    <w:rsid w:val="007D2C64"/>
    <w:rsid w:val="007D2C75"/>
    <w:rsid w:val="007D2CBB"/>
    <w:rsid w:val="007D2F36"/>
    <w:rsid w:val="007D2FBD"/>
    <w:rsid w:val="007D3094"/>
    <w:rsid w:val="007D3174"/>
    <w:rsid w:val="007D31B2"/>
    <w:rsid w:val="007D3223"/>
    <w:rsid w:val="007D335C"/>
    <w:rsid w:val="007D3373"/>
    <w:rsid w:val="007D34CD"/>
    <w:rsid w:val="007D3531"/>
    <w:rsid w:val="007D35B3"/>
    <w:rsid w:val="007D39C6"/>
    <w:rsid w:val="007D3CAD"/>
    <w:rsid w:val="007D3D03"/>
    <w:rsid w:val="007D3F24"/>
    <w:rsid w:val="007D3F2B"/>
    <w:rsid w:val="007D3F41"/>
    <w:rsid w:val="007D406F"/>
    <w:rsid w:val="007D40DF"/>
    <w:rsid w:val="007D4161"/>
    <w:rsid w:val="007D416D"/>
    <w:rsid w:val="007D4268"/>
    <w:rsid w:val="007D4414"/>
    <w:rsid w:val="007D445A"/>
    <w:rsid w:val="007D44DE"/>
    <w:rsid w:val="007D44F4"/>
    <w:rsid w:val="007D45F2"/>
    <w:rsid w:val="007D4820"/>
    <w:rsid w:val="007D48AA"/>
    <w:rsid w:val="007D4956"/>
    <w:rsid w:val="007D4981"/>
    <w:rsid w:val="007D4D4C"/>
    <w:rsid w:val="007D4EB8"/>
    <w:rsid w:val="007D4FD3"/>
    <w:rsid w:val="007D5036"/>
    <w:rsid w:val="007D50A4"/>
    <w:rsid w:val="007D517D"/>
    <w:rsid w:val="007D51E7"/>
    <w:rsid w:val="007D528B"/>
    <w:rsid w:val="007D52AC"/>
    <w:rsid w:val="007D53CC"/>
    <w:rsid w:val="007D53D2"/>
    <w:rsid w:val="007D553B"/>
    <w:rsid w:val="007D55EA"/>
    <w:rsid w:val="007D5635"/>
    <w:rsid w:val="007D5762"/>
    <w:rsid w:val="007D5803"/>
    <w:rsid w:val="007D5843"/>
    <w:rsid w:val="007D5890"/>
    <w:rsid w:val="007D5977"/>
    <w:rsid w:val="007D5C3E"/>
    <w:rsid w:val="007D5D81"/>
    <w:rsid w:val="007D6063"/>
    <w:rsid w:val="007D60F0"/>
    <w:rsid w:val="007D65A0"/>
    <w:rsid w:val="007D66B2"/>
    <w:rsid w:val="007D6975"/>
    <w:rsid w:val="007D6A9C"/>
    <w:rsid w:val="007D6BEB"/>
    <w:rsid w:val="007D6BF3"/>
    <w:rsid w:val="007D6ED9"/>
    <w:rsid w:val="007D6EDD"/>
    <w:rsid w:val="007D6F39"/>
    <w:rsid w:val="007D6F3A"/>
    <w:rsid w:val="007D710B"/>
    <w:rsid w:val="007D7199"/>
    <w:rsid w:val="007D73AC"/>
    <w:rsid w:val="007D740F"/>
    <w:rsid w:val="007D7435"/>
    <w:rsid w:val="007D75B7"/>
    <w:rsid w:val="007D7849"/>
    <w:rsid w:val="007D7B03"/>
    <w:rsid w:val="007D7B59"/>
    <w:rsid w:val="007D7C7E"/>
    <w:rsid w:val="007D7D60"/>
    <w:rsid w:val="007D7DFF"/>
    <w:rsid w:val="007D7E24"/>
    <w:rsid w:val="007E01D3"/>
    <w:rsid w:val="007E01D9"/>
    <w:rsid w:val="007E0314"/>
    <w:rsid w:val="007E057F"/>
    <w:rsid w:val="007E0666"/>
    <w:rsid w:val="007E06B7"/>
    <w:rsid w:val="007E07A6"/>
    <w:rsid w:val="007E083D"/>
    <w:rsid w:val="007E091D"/>
    <w:rsid w:val="007E0A5E"/>
    <w:rsid w:val="007E0C70"/>
    <w:rsid w:val="007E0C9E"/>
    <w:rsid w:val="007E0D48"/>
    <w:rsid w:val="007E0D59"/>
    <w:rsid w:val="007E0D76"/>
    <w:rsid w:val="007E0DE8"/>
    <w:rsid w:val="007E0EDC"/>
    <w:rsid w:val="007E103A"/>
    <w:rsid w:val="007E105B"/>
    <w:rsid w:val="007E13B8"/>
    <w:rsid w:val="007E1596"/>
    <w:rsid w:val="007E163C"/>
    <w:rsid w:val="007E178D"/>
    <w:rsid w:val="007E1861"/>
    <w:rsid w:val="007E1AF6"/>
    <w:rsid w:val="007E1B0E"/>
    <w:rsid w:val="007E1B7E"/>
    <w:rsid w:val="007E1BB9"/>
    <w:rsid w:val="007E1CC0"/>
    <w:rsid w:val="007E1D63"/>
    <w:rsid w:val="007E1F0C"/>
    <w:rsid w:val="007E2036"/>
    <w:rsid w:val="007E219F"/>
    <w:rsid w:val="007E21A5"/>
    <w:rsid w:val="007E23AA"/>
    <w:rsid w:val="007E278E"/>
    <w:rsid w:val="007E2C00"/>
    <w:rsid w:val="007E2C48"/>
    <w:rsid w:val="007E2CEF"/>
    <w:rsid w:val="007E2E8A"/>
    <w:rsid w:val="007E2EE7"/>
    <w:rsid w:val="007E2F1E"/>
    <w:rsid w:val="007E309E"/>
    <w:rsid w:val="007E30C6"/>
    <w:rsid w:val="007E30E3"/>
    <w:rsid w:val="007E3104"/>
    <w:rsid w:val="007E3107"/>
    <w:rsid w:val="007E3174"/>
    <w:rsid w:val="007E32EC"/>
    <w:rsid w:val="007E337A"/>
    <w:rsid w:val="007E3426"/>
    <w:rsid w:val="007E342D"/>
    <w:rsid w:val="007E34C4"/>
    <w:rsid w:val="007E35B4"/>
    <w:rsid w:val="007E39CB"/>
    <w:rsid w:val="007E3AB4"/>
    <w:rsid w:val="007E3B92"/>
    <w:rsid w:val="007E3C8A"/>
    <w:rsid w:val="007E3D61"/>
    <w:rsid w:val="007E4262"/>
    <w:rsid w:val="007E4276"/>
    <w:rsid w:val="007E428A"/>
    <w:rsid w:val="007E4343"/>
    <w:rsid w:val="007E4490"/>
    <w:rsid w:val="007E4658"/>
    <w:rsid w:val="007E4708"/>
    <w:rsid w:val="007E473C"/>
    <w:rsid w:val="007E4A53"/>
    <w:rsid w:val="007E4C5D"/>
    <w:rsid w:val="007E4D98"/>
    <w:rsid w:val="007E4E19"/>
    <w:rsid w:val="007E4E34"/>
    <w:rsid w:val="007E4EB3"/>
    <w:rsid w:val="007E4F6C"/>
    <w:rsid w:val="007E4FF3"/>
    <w:rsid w:val="007E517B"/>
    <w:rsid w:val="007E5220"/>
    <w:rsid w:val="007E5391"/>
    <w:rsid w:val="007E53EB"/>
    <w:rsid w:val="007E5402"/>
    <w:rsid w:val="007E5479"/>
    <w:rsid w:val="007E5489"/>
    <w:rsid w:val="007E54C1"/>
    <w:rsid w:val="007E55D6"/>
    <w:rsid w:val="007E567D"/>
    <w:rsid w:val="007E5685"/>
    <w:rsid w:val="007E56AB"/>
    <w:rsid w:val="007E5B96"/>
    <w:rsid w:val="007E5BD4"/>
    <w:rsid w:val="007E5C5D"/>
    <w:rsid w:val="007E5C6A"/>
    <w:rsid w:val="007E5CC6"/>
    <w:rsid w:val="007E5D82"/>
    <w:rsid w:val="007E5E85"/>
    <w:rsid w:val="007E5EFF"/>
    <w:rsid w:val="007E6066"/>
    <w:rsid w:val="007E6185"/>
    <w:rsid w:val="007E6245"/>
    <w:rsid w:val="007E627E"/>
    <w:rsid w:val="007E631B"/>
    <w:rsid w:val="007E6320"/>
    <w:rsid w:val="007E639C"/>
    <w:rsid w:val="007E64BC"/>
    <w:rsid w:val="007E6513"/>
    <w:rsid w:val="007E6526"/>
    <w:rsid w:val="007E655A"/>
    <w:rsid w:val="007E69F1"/>
    <w:rsid w:val="007E6A9E"/>
    <w:rsid w:val="007E6B70"/>
    <w:rsid w:val="007E6CE5"/>
    <w:rsid w:val="007E6DD6"/>
    <w:rsid w:val="007E6FC7"/>
    <w:rsid w:val="007E70AB"/>
    <w:rsid w:val="007E7319"/>
    <w:rsid w:val="007E73A8"/>
    <w:rsid w:val="007E7414"/>
    <w:rsid w:val="007E7416"/>
    <w:rsid w:val="007E7472"/>
    <w:rsid w:val="007E7595"/>
    <w:rsid w:val="007E767C"/>
    <w:rsid w:val="007E76B5"/>
    <w:rsid w:val="007E7731"/>
    <w:rsid w:val="007E7788"/>
    <w:rsid w:val="007E77E6"/>
    <w:rsid w:val="007E7A05"/>
    <w:rsid w:val="007E7AEC"/>
    <w:rsid w:val="007E7D89"/>
    <w:rsid w:val="007E7E4F"/>
    <w:rsid w:val="007E7E62"/>
    <w:rsid w:val="007E7E77"/>
    <w:rsid w:val="007E7FD1"/>
    <w:rsid w:val="007E7FFD"/>
    <w:rsid w:val="007F001C"/>
    <w:rsid w:val="007F0030"/>
    <w:rsid w:val="007F00C6"/>
    <w:rsid w:val="007F0111"/>
    <w:rsid w:val="007F011C"/>
    <w:rsid w:val="007F0318"/>
    <w:rsid w:val="007F03C1"/>
    <w:rsid w:val="007F04DB"/>
    <w:rsid w:val="007F0538"/>
    <w:rsid w:val="007F0566"/>
    <w:rsid w:val="007F08EB"/>
    <w:rsid w:val="007F094A"/>
    <w:rsid w:val="007F0C86"/>
    <w:rsid w:val="007F0DED"/>
    <w:rsid w:val="007F0DF7"/>
    <w:rsid w:val="007F0E56"/>
    <w:rsid w:val="007F0E81"/>
    <w:rsid w:val="007F1124"/>
    <w:rsid w:val="007F1359"/>
    <w:rsid w:val="007F1363"/>
    <w:rsid w:val="007F16FB"/>
    <w:rsid w:val="007F1786"/>
    <w:rsid w:val="007F1906"/>
    <w:rsid w:val="007F1995"/>
    <w:rsid w:val="007F1B58"/>
    <w:rsid w:val="007F1E26"/>
    <w:rsid w:val="007F1E93"/>
    <w:rsid w:val="007F1EC9"/>
    <w:rsid w:val="007F1F56"/>
    <w:rsid w:val="007F230C"/>
    <w:rsid w:val="007F258D"/>
    <w:rsid w:val="007F25EA"/>
    <w:rsid w:val="007F2760"/>
    <w:rsid w:val="007F28DA"/>
    <w:rsid w:val="007F2A0B"/>
    <w:rsid w:val="007F2A60"/>
    <w:rsid w:val="007F2AA1"/>
    <w:rsid w:val="007F2B17"/>
    <w:rsid w:val="007F2B40"/>
    <w:rsid w:val="007F2B90"/>
    <w:rsid w:val="007F2C88"/>
    <w:rsid w:val="007F2D79"/>
    <w:rsid w:val="007F2DE3"/>
    <w:rsid w:val="007F32B5"/>
    <w:rsid w:val="007F33F9"/>
    <w:rsid w:val="007F3566"/>
    <w:rsid w:val="007F36CA"/>
    <w:rsid w:val="007F3710"/>
    <w:rsid w:val="007F373B"/>
    <w:rsid w:val="007F3840"/>
    <w:rsid w:val="007F384F"/>
    <w:rsid w:val="007F3973"/>
    <w:rsid w:val="007F3A27"/>
    <w:rsid w:val="007F3A8F"/>
    <w:rsid w:val="007F3B58"/>
    <w:rsid w:val="007F3BBF"/>
    <w:rsid w:val="007F3BEE"/>
    <w:rsid w:val="007F3C49"/>
    <w:rsid w:val="007F3CC2"/>
    <w:rsid w:val="007F3D37"/>
    <w:rsid w:val="007F3D57"/>
    <w:rsid w:val="007F3E8A"/>
    <w:rsid w:val="007F409F"/>
    <w:rsid w:val="007F414D"/>
    <w:rsid w:val="007F416F"/>
    <w:rsid w:val="007F4324"/>
    <w:rsid w:val="007F463F"/>
    <w:rsid w:val="007F46DB"/>
    <w:rsid w:val="007F4799"/>
    <w:rsid w:val="007F47F5"/>
    <w:rsid w:val="007F4860"/>
    <w:rsid w:val="007F4964"/>
    <w:rsid w:val="007F4A13"/>
    <w:rsid w:val="007F4B01"/>
    <w:rsid w:val="007F4D9D"/>
    <w:rsid w:val="007F4DF0"/>
    <w:rsid w:val="007F4E04"/>
    <w:rsid w:val="007F5058"/>
    <w:rsid w:val="007F51A1"/>
    <w:rsid w:val="007F523A"/>
    <w:rsid w:val="007F54EA"/>
    <w:rsid w:val="007F55DE"/>
    <w:rsid w:val="007F5618"/>
    <w:rsid w:val="007F571A"/>
    <w:rsid w:val="007F579F"/>
    <w:rsid w:val="007F5893"/>
    <w:rsid w:val="007F5D0D"/>
    <w:rsid w:val="007F5D6F"/>
    <w:rsid w:val="007F5E42"/>
    <w:rsid w:val="007F5E50"/>
    <w:rsid w:val="007F5E8F"/>
    <w:rsid w:val="007F5F04"/>
    <w:rsid w:val="007F601F"/>
    <w:rsid w:val="007F6037"/>
    <w:rsid w:val="007F605B"/>
    <w:rsid w:val="007F6105"/>
    <w:rsid w:val="007F650B"/>
    <w:rsid w:val="007F654E"/>
    <w:rsid w:val="007F6B85"/>
    <w:rsid w:val="007F6BEA"/>
    <w:rsid w:val="007F6C1D"/>
    <w:rsid w:val="007F6C2B"/>
    <w:rsid w:val="007F7043"/>
    <w:rsid w:val="007F708E"/>
    <w:rsid w:val="007F70F9"/>
    <w:rsid w:val="007F711D"/>
    <w:rsid w:val="007F7156"/>
    <w:rsid w:val="007F716E"/>
    <w:rsid w:val="007F720D"/>
    <w:rsid w:val="007F7576"/>
    <w:rsid w:val="007F76D2"/>
    <w:rsid w:val="007F7990"/>
    <w:rsid w:val="007F7BEB"/>
    <w:rsid w:val="007F7E1E"/>
    <w:rsid w:val="007F7EE7"/>
    <w:rsid w:val="00800004"/>
    <w:rsid w:val="00800268"/>
    <w:rsid w:val="0080027E"/>
    <w:rsid w:val="00800354"/>
    <w:rsid w:val="00800418"/>
    <w:rsid w:val="0080045A"/>
    <w:rsid w:val="0080054C"/>
    <w:rsid w:val="008005C4"/>
    <w:rsid w:val="008005D8"/>
    <w:rsid w:val="00800924"/>
    <w:rsid w:val="00800967"/>
    <w:rsid w:val="00800A1D"/>
    <w:rsid w:val="00800B6F"/>
    <w:rsid w:val="00800BED"/>
    <w:rsid w:val="00800C22"/>
    <w:rsid w:val="00800C5C"/>
    <w:rsid w:val="00800D4B"/>
    <w:rsid w:val="00800DF7"/>
    <w:rsid w:val="00800EB4"/>
    <w:rsid w:val="00800ED4"/>
    <w:rsid w:val="00801028"/>
    <w:rsid w:val="00801088"/>
    <w:rsid w:val="0080128E"/>
    <w:rsid w:val="008012EE"/>
    <w:rsid w:val="00801395"/>
    <w:rsid w:val="008013B7"/>
    <w:rsid w:val="008014EC"/>
    <w:rsid w:val="008015DF"/>
    <w:rsid w:val="008018FA"/>
    <w:rsid w:val="00801BAC"/>
    <w:rsid w:val="00801C3F"/>
    <w:rsid w:val="00801DE7"/>
    <w:rsid w:val="00801DF6"/>
    <w:rsid w:val="0080206B"/>
    <w:rsid w:val="00802118"/>
    <w:rsid w:val="0080216D"/>
    <w:rsid w:val="0080239B"/>
    <w:rsid w:val="008023AE"/>
    <w:rsid w:val="0080255D"/>
    <w:rsid w:val="00802720"/>
    <w:rsid w:val="0080273E"/>
    <w:rsid w:val="0080278F"/>
    <w:rsid w:val="008028F5"/>
    <w:rsid w:val="00802954"/>
    <w:rsid w:val="0080299B"/>
    <w:rsid w:val="00802AAD"/>
    <w:rsid w:val="00802B1D"/>
    <w:rsid w:val="00802E61"/>
    <w:rsid w:val="00802E6A"/>
    <w:rsid w:val="00803084"/>
    <w:rsid w:val="0080308C"/>
    <w:rsid w:val="0080315D"/>
    <w:rsid w:val="0080317C"/>
    <w:rsid w:val="00803399"/>
    <w:rsid w:val="008035A6"/>
    <w:rsid w:val="00803645"/>
    <w:rsid w:val="00803656"/>
    <w:rsid w:val="008036CF"/>
    <w:rsid w:val="0080378B"/>
    <w:rsid w:val="008038C7"/>
    <w:rsid w:val="0080392B"/>
    <w:rsid w:val="00803A3C"/>
    <w:rsid w:val="00803AEB"/>
    <w:rsid w:val="00803B75"/>
    <w:rsid w:val="00803BE5"/>
    <w:rsid w:val="00803F19"/>
    <w:rsid w:val="00803F31"/>
    <w:rsid w:val="00803FFA"/>
    <w:rsid w:val="00804175"/>
    <w:rsid w:val="008041C3"/>
    <w:rsid w:val="008041F7"/>
    <w:rsid w:val="008042A2"/>
    <w:rsid w:val="008042CA"/>
    <w:rsid w:val="008042CF"/>
    <w:rsid w:val="008043A7"/>
    <w:rsid w:val="008043B2"/>
    <w:rsid w:val="00804416"/>
    <w:rsid w:val="0080458A"/>
    <w:rsid w:val="008045A6"/>
    <w:rsid w:val="008045F6"/>
    <w:rsid w:val="0080464B"/>
    <w:rsid w:val="0080490A"/>
    <w:rsid w:val="00804911"/>
    <w:rsid w:val="008049BD"/>
    <w:rsid w:val="008049F6"/>
    <w:rsid w:val="00804A1D"/>
    <w:rsid w:val="00804AE2"/>
    <w:rsid w:val="00804B0B"/>
    <w:rsid w:val="00804B9B"/>
    <w:rsid w:val="00804EF4"/>
    <w:rsid w:val="008050F4"/>
    <w:rsid w:val="00805298"/>
    <w:rsid w:val="008053AF"/>
    <w:rsid w:val="008054B2"/>
    <w:rsid w:val="008054E6"/>
    <w:rsid w:val="0080553F"/>
    <w:rsid w:val="0080559D"/>
    <w:rsid w:val="008058E2"/>
    <w:rsid w:val="008058FD"/>
    <w:rsid w:val="00805B24"/>
    <w:rsid w:val="00805C9D"/>
    <w:rsid w:val="00805D31"/>
    <w:rsid w:val="00805E0F"/>
    <w:rsid w:val="00805FB7"/>
    <w:rsid w:val="00806028"/>
    <w:rsid w:val="0080609F"/>
    <w:rsid w:val="0080610D"/>
    <w:rsid w:val="00806182"/>
    <w:rsid w:val="008061CB"/>
    <w:rsid w:val="00806450"/>
    <w:rsid w:val="008067AA"/>
    <w:rsid w:val="008069E1"/>
    <w:rsid w:val="00806AB6"/>
    <w:rsid w:val="00806C55"/>
    <w:rsid w:val="00806EB7"/>
    <w:rsid w:val="00806F6C"/>
    <w:rsid w:val="00806FBF"/>
    <w:rsid w:val="00807096"/>
    <w:rsid w:val="0080728A"/>
    <w:rsid w:val="008072AE"/>
    <w:rsid w:val="0080731A"/>
    <w:rsid w:val="00807361"/>
    <w:rsid w:val="008074F9"/>
    <w:rsid w:val="008076CA"/>
    <w:rsid w:val="00807AEF"/>
    <w:rsid w:val="00807C21"/>
    <w:rsid w:val="00807D18"/>
    <w:rsid w:val="00807D78"/>
    <w:rsid w:val="00807DA9"/>
    <w:rsid w:val="00807E20"/>
    <w:rsid w:val="00807F0F"/>
    <w:rsid w:val="0081009B"/>
    <w:rsid w:val="008102ED"/>
    <w:rsid w:val="00810308"/>
    <w:rsid w:val="00810387"/>
    <w:rsid w:val="0081043F"/>
    <w:rsid w:val="00810594"/>
    <w:rsid w:val="00810792"/>
    <w:rsid w:val="0081085A"/>
    <w:rsid w:val="008108E8"/>
    <w:rsid w:val="00810B0D"/>
    <w:rsid w:val="00810B39"/>
    <w:rsid w:val="00810C47"/>
    <w:rsid w:val="00810CE8"/>
    <w:rsid w:val="00810CFF"/>
    <w:rsid w:val="00810DCC"/>
    <w:rsid w:val="00810DE4"/>
    <w:rsid w:val="0081110D"/>
    <w:rsid w:val="00811327"/>
    <w:rsid w:val="00811354"/>
    <w:rsid w:val="00811425"/>
    <w:rsid w:val="008114E8"/>
    <w:rsid w:val="00811698"/>
    <w:rsid w:val="008118EC"/>
    <w:rsid w:val="00811AD8"/>
    <w:rsid w:val="00811B70"/>
    <w:rsid w:val="00811B7C"/>
    <w:rsid w:val="00811D62"/>
    <w:rsid w:val="00812105"/>
    <w:rsid w:val="0081216B"/>
    <w:rsid w:val="008121AB"/>
    <w:rsid w:val="00812375"/>
    <w:rsid w:val="00812524"/>
    <w:rsid w:val="0081256F"/>
    <w:rsid w:val="008127F1"/>
    <w:rsid w:val="0081287D"/>
    <w:rsid w:val="00812AED"/>
    <w:rsid w:val="00812BAD"/>
    <w:rsid w:val="00812BFC"/>
    <w:rsid w:val="00812D03"/>
    <w:rsid w:val="00812D25"/>
    <w:rsid w:val="00812D2D"/>
    <w:rsid w:val="00812D6A"/>
    <w:rsid w:val="00812E03"/>
    <w:rsid w:val="00812F22"/>
    <w:rsid w:val="008131AA"/>
    <w:rsid w:val="00813445"/>
    <w:rsid w:val="008135F6"/>
    <w:rsid w:val="00813600"/>
    <w:rsid w:val="008136F8"/>
    <w:rsid w:val="008136FA"/>
    <w:rsid w:val="008137B7"/>
    <w:rsid w:val="00813BDC"/>
    <w:rsid w:val="00813BF0"/>
    <w:rsid w:val="00813C1D"/>
    <w:rsid w:val="00813DA4"/>
    <w:rsid w:val="00813E1E"/>
    <w:rsid w:val="00813E4A"/>
    <w:rsid w:val="00813FD3"/>
    <w:rsid w:val="00814016"/>
    <w:rsid w:val="00814053"/>
    <w:rsid w:val="00814329"/>
    <w:rsid w:val="00814330"/>
    <w:rsid w:val="00814383"/>
    <w:rsid w:val="008143DE"/>
    <w:rsid w:val="0081451F"/>
    <w:rsid w:val="00814682"/>
    <w:rsid w:val="008146C0"/>
    <w:rsid w:val="008147DF"/>
    <w:rsid w:val="008147E7"/>
    <w:rsid w:val="00814819"/>
    <w:rsid w:val="00814834"/>
    <w:rsid w:val="00814856"/>
    <w:rsid w:val="0081485D"/>
    <w:rsid w:val="00814952"/>
    <w:rsid w:val="00814A4C"/>
    <w:rsid w:val="00814B9B"/>
    <w:rsid w:val="00814CEC"/>
    <w:rsid w:val="00814E22"/>
    <w:rsid w:val="00814EE6"/>
    <w:rsid w:val="00814EF5"/>
    <w:rsid w:val="00814F33"/>
    <w:rsid w:val="00814FE0"/>
    <w:rsid w:val="0081502D"/>
    <w:rsid w:val="0081509E"/>
    <w:rsid w:val="008151D3"/>
    <w:rsid w:val="0081521F"/>
    <w:rsid w:val="008153FB"/>
    <w:rsid w:val="0081544D"/>
    <w:rsid w:val="00815456"/>
    <w:rsid w:val="00815489"/>
    <w:rsid w:val="008154A2"/>
    <w:rsid w:val="008154FD"/>
    <w:rsid w:val="00815500"/>
    <w:rsid w:val="00815513"/>
    <w:rsid w:val="0081576A"/>
    <w:rsid w:val="008157BE"/>
    <w:rsid w:val="00815844"/>
    <w:rsid w:val="0081589E"/>
    <w:rsid w:val="008158B9"/>
    <w:rsid w:val="008158E2"/>
    <w:rsid w:val="00815CB1"/>
    <w:rsid w:val="00815DA1"/>
    <w:rsid w:val="00815DE5"/>
    <w:rsid w:val="0081617F"/>
    <w:rsid w:val="00816353"/>
    <w:rsid w:val="008164DC"/>
    <w:rsid w:val="0081667C"/>
    <w:rsid w:val="008169DE"/>
    <w:rsid w:val="00816A52"/>
    <w:rsid w:val="00816AE5"/>
    <w:rsid w:val="00816B01"/>
    <w:rsid w:val="00816E97"/>
    <w:rsid w:val="00816FF5"/>
    <w:rsid w:val="0081712A"/>
    <w:rsid w:val="0081715A"/>
    <w:rsid w:val="008174F8"/>
    <w:rsid w:val="0081765A"/>
    <w:rsid w:val="008176CB"/>
    <w:rsid w:val="008176F0"/>
    <w:rsid w:val="008178E0"/>
    <w:rsid w:val="008179C2"/>
    <w:rsid w:val="00817B69"/>
    <w:rsid w:val="00817BE6"/>
    <w:rsid w:val="00817D3F"/>
    <w:rsid w:val="00817E62"/>
    <w:rsid w:val="00817F1A"/>
    <w:rsid w:val="0082020A"/>
    <w:rsid w:val="008202F4"/>
    <w:rsid w:val="008203E9"/>
    <w:rsid w:val="008204D4"/>
    <w:rsid w:val="008205B5"/>
    <w:rsid w:val="00820733"/>
    <w:rsid w:val="008209AD"/>
    <w:rsid w:val="00820A80"/>
    <w:rsid w:val="00820AA0"/>
    <w:rsid w:val="00820AB1"/>
    <w:rsid w:val="00820EC9"/>
    <w:rsid w:val="00821042"/>
    <w:rsid w:val="00821095"/>
    <w:rsid w:val="008210A2"/>
    <w:rsid w:val="00821217"/>
    <w:rsid w:val="0082123E"/>
    <w:rsid w:val="00821303"/>
    <w:rsid w:val="0082133C"/>
    <w:rsid w:val="0082134D"/>
    <w:rsid w:val="008213B9"/>
    <w:rsid w:val="00821470"/>
    <w:rsid w:val="0082158F"/>
    <w:rsid w:val="00821744"/>
    <w:rsid w:val="00821911"/>
    <w:rsid w:val="00821B42"/>
    <w:rsid w:val="00821C21"/>
    <w:rsid w:val="00821D89"/>
    <w:rsid w:val="00822118"/>
    <w:rsid w:val="008222DC"/>
    <w:rsid w:val="0082236C"/>
    <w:rsid w:val="008223AB"/>
    <w:rsid w:val="008223F9"/>
    <w:rsid w:val="008224C7"/>
    <w:rsid w:val="00822513"/>
    <w:rsid w:val="0082252A"/>
    <w:rsid w:val="00822551"/>
    <w:rsid w:val="008225B7"/>
    <w:rsid w:val="008227A5"/>
    <w:rsid w:val="00822927"/>
    <w:rsid w:val="00822946"/>
    <w:rsid w:val="00822B3A"/>
    <w:rsid w:val="00822D17"/>
    <w:rsid w:val="00822D8C"/>
    <w:rsid w:val="008230DB"/>
    <w:rsid w:val="00823177"/>
    <w:rsid w:val="0082329F"/>
    <w:rsid w:val="00823415"/>
    <w:rsid w:val="0082344F"/>
    <w:rsid w:val="00823525"/>
    <w:rsid w:val="00823839"/>
    <w:rsid w:val="008239EE"/>
    <w:rsid w:val="008239F4"/>
    <w:rsid w:val="008239FA"/>
    <w:rsid w:val="00823A4F"/>
    <w:rsid w:val="00823A90"/>
    <w:rsid w:val="00823C42"/>
    <w:rsid w:val="00823CD8"/>
    <w:rsid w:val="0082405A"/>
    <w:rsid w:val="00824245"/>
    <w:rsid w:val="00824563"/>
    <w:rsid w:val="0082462A"/>
    <w:rsid w:val="00824683"/>
    <w:rsid w:val="008246D4"/>
    <w:rsid w:val="00824761"/>
    <w:rsid w:val="008247FD"/>
    <w:rsid w:val="008248D1"/>
    <w:rsid w:val="00824980"/>
    <w:rsid w:val="00824A4A"/>
    <w:rsid w:val="00824A6C"/>
    <w:rsid w:val="00824AF2"/>
    <w:rsid w:val="00824BE6"/>
    <w:rsid w:val="00824CA3"/>
    <w:rsid w:val="00824DB6"/>
    <w:rsid w:val="00824DC0"/>
    <w:rsid w:val="00824E0E"/>
    <w:rsid w:val="00825162"/>
    <w:rsid w:val="00825260"/>
    <w:rsid w:val="008252C0"/>
    <w:rsid w:val="0082571F"/>
    <w:rsid w:val="00825778"/>
    <w:rsid w:val="00825949"/>
    <w:rsid w:val="00825A37"/>
    <w:rsid w:val="00825C52"/>
    <w:rsid w:val="00825DA5"/>
    <w:rsid w:val="00825DA6"/>
    <w:rsid w:val="00825EE9"/>
    <w:rsid w:val="00826038"/>
    <w:rsid w:val="008261BB"/>
    <w:rsid w:val="00826269"/>
    <w:rsid w:val="0082628F"/>
    <w:rsid w:val="008262C4"/>
    <w:rsid w:val="0082632A"/>
    <w:rsid w:val="008264F3"/>
    <w:rsid w:val="00826559"/>
    <w:rsid w:val="0082662C"/>
    <w:rsid w:val="0082672F"/>
    <w:rsid w:val="00826824"/>
    <w:rsid w:val="008268D8"/>
    <w:rsid w:val="00826950"/>
    <w:rsid w:val="008269CB"/>
    <w:rsid w:val="00826B77"/>
    <w:rsid w:val="00826C84"/>
    <w:rsid w:val="00826DAD"/>
    <w:rsid w:val="00826DBD"/>
    <w:rsid w:val="00826EA7"/>
    <w:rsid w:val="0082720D"/>
    <w:rsid w:val="00827582"/>
    <w:rsid w:val="0082764E"/>
    <w:rsid w:val="00827667"/>
    <w:rsid w:val="008277F2"/>
    <w:rsid w:val="00827805"/>
    <w:rsid w:val="00827809"/>
    <w:rsid w:val="00827812"/>
    <w:rsid w:val="00827D1D"/>
    <w:rsid w:val="00827D44"/>
    <w:rsid w:val="00827DE3"/>
    <w:rsid w:val="00827E9B"/>
    <w:rsid w:val="00830061"/>
    <w:rsid w:val="00830123"/>
    <w:rsid w:val="008305A6"/>
    <w:rsid w:val="00830622"/>
    <w:rsid w:val="0083062F"/>
    <w:rsid w:val="008307B8"/>
    <w:rsid w:val="008308A5"/>
    <w:rsid w:val="00830925"/>
    <w:rsid w:val="00830981"/>
    <w:rsid w:val="00830BD9"/>
    <w:rsid w:val="00830E52"/>
    <w:rsid w:val="00830E93"/>
    <w:rsid w:val="00830FA4"/>
    <w:rsid w:val="00831046"/>
    <w:rsid w:val="0083112B"/>
    <w:rsid w:val="00831278"/>
    <w:rsid w:val="00831391"/>
    <w:rsid w:val="008315D7"/>
    <w:rsid w:val="008315EA"/>
    <w:rsid w:val="008317CB"/>
    <w:rsid w:val="00831857"/>
    <w:rsid w:val="008319E8"/>
    <w:rsid w:val="00831C16"/>
    <w:rsid w:val="00831C7E"/>
    <w:rsid w:val="00831C7F"/>
    <w:rsid w:val="00831C83"/>
    <w:rsid w:val="00831C85"/>
    <w:rsid w:val="00831CFF"/>
    <w:rsid w:val="00831D06"/>
    <w:rsid w:val="00831D2F"/>
    <w:rsid w:val="00831D78"/>
    <w:rsid w:val="00831D9E"/>
    <w:rsid w:val="00831EE0"/>
    <w:rsid w:val="00831FDE"/>
    <w:rsid w:val="00831FEE"/>
    <w:rsid w:val="00832020"/>
    <w:rsid w:val="0083205C"/>
    <w:rsid w:val="00832147"/>
    <w:rsid w:val="00832153"/>
    <w:rsid w:val="00832187"/>
    <w:rsid w:val="008322D5"/>
    <w:rsid w:val="00832496"/>
    <w:rsid w:val="00832522"/>
    <w:rsid w:val="00832649"/>
    <w:rsid w:val="00832982"/>
    <w:rsid w:val="00832A69"/>
    <w:rsid w:val="00832C86"/>
    <w:rsid w:val="00832D8C"/>
    <w:rsid w:val="00832F65"/>
    <w:rsid w:val="00833026"/>
    <w:rsid w:val="0083306B"/>
    <w:rsid w:val="008330BC"/>
    <w:rsid w:val="00833114"/>
    <w:rsid w:val="00833297"/>
    <w:rsid w:val="0083330E"/>
    <w:rsid w:val="0083341D"/>
    <w:rsid w:val="0083355A"/>
    <w:rsid w:val="00833576"/>
    <w:rsid w:val="008336F6"/>
    <w:rsid w:val="00833C48"/>
    <w:rsid w:val="00833C4E"/>
    <w:rsid w:val="00833C63"/>
    <w:rsid w:val="00833C87"/>
    <w:rsid w:val="00833D1C"/>
    <w:rsid w:val="00833EA2"/>
    <w:rsid w:val="008341ED"/>
    <w:rsid w:val="008343F7"/>
    <w:rsid w:val="00834613"/>
    <w:rsid w:val="00834707"/>
    <w:rsid w:val="008347D2"/>
    <w:rsid w:val="008348B5"/>
    <w:rsid w:val="00834929"/>
    <w:rsid w:val="00834A26"/>
    <w:rsid w:val="00834BF7"/>
    <w:rsid w:val="00834C03"/>
    <w:rsid w:val="00834D1E"/>
    <w:rsid w:val="00834D63"/>
    <w:rsid w:val="00834DB4"/>
    <w:rsid w:val="00835052"/>
    <w:rsid w:val="0083532A"/>
    <w:rsid w:val="0083565D"/>
    <w:rsid w:val="008356B6"/>
    <w:rsid w:val="00835709"/>
    <w:rsid w:val="00835963"/>
    <w:rsid w:val="0083598E"/>
    <w:rsid w:val="00835A12"/>
    <w:rsid w:val="00835AA1"/>
    <w:rsid w:val="00835B35"/>
    <w:rsid w:val="00835CA0"/>
    <w:rsid w:val="00835DAC"/>
    <w:rsid w:val="00835E2E"/>
    <w:rsid w:val="00835E60"/>
    <w:rsid w:val="00835EF3"/>
    <w:rsid w:val="00836078"/>
    <w:rsid w:val="008360FE"/>
    <w:rsid w:val="008361D1"/>
    <w:rsid w:val="008361FE"/>
    <w:rsid w:val="008364FD"/>
    <w:rsid w:val="0083667D"/>
    <w:rsid w:val="008368F7"/>
    <w:rsid w:val="0083694E"/>
    <w:rsid w:val="008369FC"/>
    <w:rsid w:val="00836BBB"/>
    <w:rsid w:val="00836BC4"/>
    <w:rsid w:val="00836CC1"/>
    <w:rsid w:val="00836DED"/>
    <w:rsid w:val="00836E57"/>
    <w:rsid w:val="00836F4E"/>
    <w:rsid w:val="00836FCE"/>
    <w:rsid w:val="00837177"/>
    <w:rsid w:val="008374B9"/>
    <w:rsid w:val="008376D7"/>
    <w:rsid w:val="008376EA"/>
    <w:rsid w:val="008378D9"/>
    <w:rsid w:val="008378F1"/>
    <w:rsid w:val="00837938"/>
    <w:rsid w:val="00837AB3"/>
    <w:rsid w:val="00837BD7"/>
    <w:rsid w:val="00837CAD"/>
    <w:rsid w:val="00837D08"/>
    <w:rsid w:val="00837E96"/>
    <w:rsid w:val="00837F61"/>
    <w:rsid w:val="0084005E"/>
    <w:rsid w:val="00840101"/>
    <w:rsid w:val="00840132"/>
    <w:rsid w:val="00840501"/>
    <w:rsid w:val="0084053C"/>
    <w:rsid w:val="00840540"/>
    <w:rsid w:val="00840AA2"/>
    <w:rsid w:val="00840B11"/>
    <w:rsid w:val="00840B23"/>
    <w:rsid w:val="00840BEE"/>
    <w:rsid w:val="00840DD3"/>
    <w:rsid w:val="00840DD5"/>
    <w:rsid w:val="00840F07"/>
    <w:rsid w:val="00840F38"/>
    <w:rsid w:val="00840F5E"/>
    <w:rsid w:val="00841046"/>
    <w:rsid w:val="0084109E"/>
    <w:rsid w:val="0084116B"/>
    <w:rsid w:val="008411DC"/>
    <w:rsid w:val="0084121E"/>
    <w:rsid w:val="00841311"/>
    <w:rsid w:val="0084132B"/>
    <w:rsid w:val="00841478"/>
    <w:rsid w:val="008414A8"/>
    <w:rsid w:val="008416A0"/>
    <w:rsid w:val="008416A7"/>
    <w:rsid w:val="008416F7"/>
    <w:rsid w:val="0084175D"/>
    <w:rsid w:val="00841763"/>
    <w:rsid w:val="008418C5"/>
    <w:rsid w:val="00841B86"/>
    <w:rsid w:val="00841BA4"/>
    <w:rsid w:val="00841BB8"/>
    <w:rsid w:val="00841CB7"/>
    <w:rsid w:val="00841CCD"/>
    <w:rsid w:val="00841D7D"/>
    <w:rsid w:val="00841E41"/>
    <w:rsid w:val="00841F1B"/>
    <w:rsid w:val="008421B2"/>
    <w:rsid w:val="00842261"/>
    <w:rsid w:val="00842318"/>
    <w:rsid w:val="008425AF"/>
    <w:rsid w:val="008425EB"/>
    <w:rsid w:val="00842601"/>
    <w:rsid w:val="00842700"/>
    <w:rsid w:val="0084291D"/>
    <w:rsid w:val="00842970"/>
    <w:rsid w:val="008429B7"/>
    <w:rsid w:val="00842A25"/>
    <w:rsid w:val="00842AE4"/>
    <w:rsid w:val="00842D50"/>
    <w:rsid w:val="00842DAA"/>
    <w:rsid w:val="008431D1"/>
    <w:rsid w:val="0084322D"/>
    <w:rsid w:val="00843471"/>
    <w:rsid w:val="008434FA"/>
    <w:rsid w:val="00843532"/>
    <w:rsid w:val="0084375C"/>
    <w:rsid w:val="008437BE"/>
    <w:rsid w:val="008438FE"/>
    <w:rsid w:val="00843C68"/>
    <w:rsid w:val="00843CC5"/>
    <w:rsid w:val="00843D8B"/>
    <w:rsid w:val="00843E3C"/>
    <w:rsid w:val="00843F7A"/>
    <w:rsid w:val="00843FA1"/>
    <w:rsid w:val="00844192"/>
    <w:rsid w:val="0084430B"/>
    <w:rsid w:val="00844326"/>
    <w:rsid w:val="00844358"/>
    <w:rsid w:val="008444E6"/>
    <w:rsid w:val="008447DF"/>
    <w:rsid w:val="008448A9"/>
    <w:rsid w:val="00844936"/>
    <w:rsid w:val="00844A74"/>
    <w:rsid w:val="00844B16"/>
    <w:rsid w:val="00844BE0"/>
    <w:rsid w:val="00844C6F"/>
    <w:rsid w:val="00844EE7"/>
    <w:rsid w:val="00845063"/>
    <w:rsid w:val="00845387"/>
    <w:rsid w:val="00845430"/>
    <w:rsid w:val="0084544E"/>
    <w:rsid w:val="0084559C"/>
    <w:rsid w:val="008459F2"/>
    <w:rsid w:val="00845A55"/>
    <w:rsid w:val="00845A84"/>
    <w:rsid w:val="00845CC4"/>
    <w:rsid w:val="00845CC7"/>
    <w:rsid w:val="00845CD0"/>
    <w:rsid w:val="00845D6F"/>
    <w:rsid w:val="00845F91"/>
    <w:rsid w:val="00846046"/>
    <w:rsid w:val="00846068"/>
    <w:rsid w:val="0084623B"/>
    <w:rsid w:val="00846251"/>
    <w:rsid w:val="008462C4"/>
    <w:rsid w:val="0084643E"/>
    <w:rsid w:val="00846444"/>
    <w:rsid w:val="0084661C"/>
    <w:rsid w:val="008467A7"/>
    <w:rsid w:val="0084683C"/>
    <w:rsid w:val="008469B6"/>
    <w:rsid w:val="008469CE"/>
    <w:rsid w:val="00846A68"/>
    <w:rsid w:val="00846C9E"/>
    <w:rsid w:val="00846CFE"/>
    <w:rsid w:val="0084700B"/>
    <w:rsid w:val="00847061"/>
    <w:rsid w:val="00847066"/>
    <w:rsid w:val="00847177"/>
    <w:rsid w:val="008476AD"/>
    <w:rsid w:val="008476E9"/>
    <w:rsid w:val="00847871"/>
    <w:rsid w:val="008478A1"/>
    <w:rsid w:val="0084792D"/>
    <w:rsid w:val="008479B4"/>
    <w:rsid w:val="00847A01"/>
    <w:rsid w:val="00847A8E"/>
    <w:rsid w:val="00847AFC"/>
    <w:rsid w:val="00847D34"/>
    <w:rsid w:val="00847DB9"/>
    <w:rsid w:val="00847DCA"/>
    <w:rsid w:val="00847F29"/>
    <w:rsid w:val="00850092"/>
    <w:rsid w:val="0085028F"/>
    <w:rsid w:val="008502BD"/>
    <w:rsid w:val="00850462"/>
    <w:rsid w:val="008504EB"/>
    <w:rsid w:val="0085050F"/>
    <w:rsid w:val="00850589"/>
    <w:rsid w:val="008508FC"/>
    <w:rsid w:val="00850A96"/>
    <w:rsid w:val="00850C5B"/>
    <w:rsid w:val="00850D50"/>
    <w:rsid w:val="00850D8A"/>
    <w:rsid w:val="00850DBA"/>
    <w:rsid w:val="00850DD9"/>
    <w:rsid w:val="00850E06"/>
    <w:rsid w:val="00851064"/>
    <w:rsid w:val="0085118A"/>
    <w:rsid w:val="00851195"/>
    <w:rsid w:val="0085124A"/>
    <w:rsid w:val="008512B4"/>
    <w:rsid w:val="008513CB"/>
    <w:rsid w:val="0085172F"/>
    <w:rsid w:val="008518F5"/>
    <w:rsid w:val="00851902"/>
    <w:rsid w:val="008519D2"/>
    <w:rsid w:val="00851A45"/>
    <w:rsid w:val="00851E22"/>
    <w:rsid w:val="00851E3E"/>
    <w:rsid w:val="00851E6D"/>
    <w:rsid w:val="008521C7"/>
    <w:rsid w:val="008521FC"/>
    <w:rsid w:val="0085220E"/>
    <w:rsid w:val="0085232E"/>
    <w:rsid w:val="0085236D"/>
    <w:rsid w:val="00852523"/>
    <w:rsid w:val="0085254A"/>
    <w:rsid w:val="00852569"/>
    <w:rsid w:val="008526EA"/>
    <w:rsid w:val="0085286D"/>
    <w:rsid w:val="00852AF7"/>
    <w:rsid w:val="00852C40"/>
    <w:rsid w:val="00852E7F"/>
    <w:rsid w:val="00852EE3"/>
    <w:rsid w:val="00852F91"/>
    <w:rsid w:val="008530BF"/>
    <w:rsid w:val="0085330F"/>
    <w:rsid w:val="00853366"/>
    <w:rsid w:val="008533C0"/>
    <w:rsid w:val="00853491"/>
    <w:rsid w:val="00853585"/>
    <w:rsid w:val="00853688"/>
    <w:rsid w:val="008538B5"/>
    <w:rsid w:val="00853931"/>
    <w:rsid w:val="00853A5A"/>
    <w:rsid w:val="00853D94"/>
    <w:rsid w:val="008542F3"/>
    <w:rsid w:val="00854415"/>
    <w:rsid w:val="00854581"/>
    <w:rsid w:val="008545C7"/>
    <w:rsid w:val="00854A40"/>
    <w:rsid w:val="00854A85"/>
    <w:rsid w:val="00854AE5"/>
    <w:rsid w:val="00854B3E"/>
    <w:rsid w:val="00854BCF"/>
    <w:rsid w:val="00854C15"/>
    <w:rsid w:val="00854C3F"/>
    <w:rsid w:val="00854C7F"/>
    <w:rsid w:val="00854CC4"/>
    <w:rsid w:val="00854D7B"/>
    <w:rsid w:val="00854F33"/>
    <w:rsid w:val="00855009"/>
    <w:rsid w:val="008550F2"/>
    <w:rsid w:val="0085511D"/>
    <w:rsid w:val="0085522B"/>
    <w:rsid w:val="00855405"/>
    <w:rsid w:val="00855446"/>
    <w:rsid w:val="00855508"/>
    <w:rsid w:val="00855599"/>
    <w:rsid w:val="0085559F"/>
    <w:rsid w:val="00855683"/>
    <w:rsid w:val="00855840"/>
    <w:rsid w:val="008559D5"/>
    <w:rsid w:val="00855AB1"/>
    <w:rsid w:val="00855ACF"/>
    <w:rsid w:val="00855B56"/>
    <w:rsid w:val="00855C06"/>
    <w:rsid w:val="00855C42"/>
    <w:rsid w:val="00855D87"/>
    <w:rsid w:val="00855DAA"/>
    <w:rsid w:val="00855E5E"/>
    <w:rsid w:val="00855F91"/>
    <w:rsid w:val="00855FE5"/>
    <w:rsid w:val="0085638C"/>
    <w:rsid w:val="008563AF"/>
    <w:rsid w:val="008565BC"/>
    <w:rsid w:val="00856624"/>
    <w:rsid w:val="0085663B"/>
    <w:rsid w:val="008566F3"/>
    <w:rsid w:val="00856713"/>
    <w:rsid w:val="00856814"/>
    <w:rsid w:val="00856DD0"/>
    <w:rsid w:val="00856E59"/>
    <w:rsid w:val="008571E2"/>
    <w:rsid w:val="0085733B"/>
    <w:rsid w:val="00857545"/>
    <w:rsid w:val="008575C5"/>
    <w:rsid w:val="00857888"/>
    <w:rsid w:val="00857B0B"/>
    <w:rsid w:val="00857C92"/>
    <w:rsid w:val="00857DA3"/>
    <w:rsid w:val="0086007A"/>
    <w:rsid w:val="008600D7"/>
    <w:rsid w:val="008603E3"/>
    <w:rsid w:val="00860646"/>
    <w:rsid w:val="00860686"/>
    <w:rsid w:val="0086092F"/>
    <w:rsid w:val="00860A63"/>
    <w:rsid w:val="00860BAC"/>
    <w:rsid w:val="00860D0E"/>
    <w:rsid w:val="00860D39"/>
    <w:rsid w:val="00860DE3"/>
    <w:rsid w:val="00860FF6"/>
    <w:rsid w:val="00861045"/>
    <w:rsid w:val="0086117C"/>
    <w:rsid w:val="00861494"/>
    <w:rsid w:val="008614B2"/>
    <w:rsid w:val="00861688"/>
    <w:rsid w:val="008617D2"/>
    <w:rsid w:val="0086186F"/>
    <w:rsid w:val="00861A85"/>
    <w:rsid w:val="00861C58"/>
    <w:rsid w:val="00861E0B"/>
    <w:rsid w:val="00862058"/>
    <w:rsid w:val="0086207C"/>
    <w:rsid w:val="008620D4"/>
    <w:rsid w:val="008620E9"/>
    <w:rsid w:val="00862345"/>
    <w:rsid w:val="00862520"/>
    <w:rsid w:val="00862586"/>
    <w:rsid w:val="0086259F"/>
    <w:rsid w:val="00862724"/>
    <w:rsid w:val="0086283C"/>
    <w:rsid w:val="0086290A"/>
    <w:rsid w:val="0086292E"/>
    <w:rsid w:val="00862957"/>
    <w:rsid w:val="008629B1"/>
    <w:rsid w:val="00862A91"/>
    <w:rsid w:val="00862ADD"/>
    <w:rsid w:val="00862BBB"/>
    <w:rsid w:val="00862CF5"/>
    <w:rsid w:val="00862D3E"/>
    <w:rsid w:val="00862D4D"/>
    <w:rsid w:val="00862D81"/>
    <w:rsid w:val="00862E38"/>
    <w:rsid w:val="00862F06"/>
    <w:rsid w:val="00862FE4"/>
    <w:rsid w:val="00863128"/>
    <w:rsid w:val="00863207"/>
    <w:rsid w:val="008632AC"/>
    <w:rsid w:val="00863369"/>
    <w:rsid w:val="008633D6"/>
    <w:rsid w:val="00863419"/>
    <w:rsid w:val="0086347E"/>
    <w:rsid w:val="0086360F"/>
    <w:rsid w:val="0086375D"/>
    <w:rsid w:val="00863827"/>
    <w:rsid w:val="00863862"/>
    <w:rsid w:val="008638A0"/>
    <w:rsid w:val="0086399D"/>
    <w:rsid w:val="00863A92"/>
    <w:rsid w:val="00863C26"/>
    <w:rsid w:val="00863DB9"/>
    <w:rsid w:val="00863DEA"/>
    <w:rsid w:val="00863E5C"/>
    <w:rsid w:val="00863E91"/>
    <w:rsid w:val="00864156"/>
    <w:rsid w:val="0086415D"/>
    <w:rsid w:val="00864175"/>
    <w:rsid w:val="008643F7"/>
    <w:rsid w:val="0086441C"/>
    <w:rsid w:val="0086447F"/>
    <w:rsid w:val="0086453B"/>
    <w:rsid w:val="008645E9"/>
    <w:rsid w:val="00864666"/>
    <w:rsid w:val="0086468E"/>
    <w:rsid w:val="00864732"/>
    <w:rsid w:val="0086482C"/>
    <w:rsid w:val="00864901"/>
    <w:rsid w:val="00864A03"/>
    <w:rsid w:val="00864A51"/>
    <w:rsid w:val="00864B22"/>
    <w:rsid w:val="00864C08"/>
    <w:rsid w:val="00864D55"/>
    <w:rsid w:val="00864E04"/>
    <w:rsid w:val="0086502E"/>
    <w:rsid w:val="008651BC"/>
    <w:rsid w:val="008652C7"/>
    <w:rsid w:val="008653A9"/>
    <w:rsid w:val="0086547E"/>
    <w:rsid w:val="008657CF"/>
    <w:rsid w:val="00865813"/>
    <w:rsid w:val="0086583B"/>
    <w:rsid w:val="00865A54"/>
    <w:rsid w:val="00865AC5"/>
    <w:rsid w:val="00865C17"/>
    <w:rsid w:val="00865D77"/>
    <w:rsid w:val="00865DD3"/>
    <w:rsid w:val="00865DD5"/>
    <w:rsid w:val="00865E8D"/>
    <w:rsid w:val="00865EBD"/>
    <w:rsid w:val="00865FE2"/>
    <w:rsid w:val="0086617D"/>
    <w:rsid w:val="0086625E"/>
    <w:rsid w:val="00866285"/>
    <w:rsid w:val="008662AD"/>
    <w:rsid w:val="00866371"/>
    <w:rsid w:val="008663AB"/>
    <w:rsid w:val="00866830"/>
    <w:rsid w:val="0086683D"/>
    <w:rsid w:val="0086699B"/>
    <w:rsid w:val="008669B7"/>
    <w:rsid w:val="008669DC"/>
    <w:rsid w:val="00866A57"/>
    <w:rsid w:val="00866BFE"/>
    <w:rsid w:val="00866E5D"/>
    <w:rsid w:val="00867222"/>
    <w:rsid w:val="008672EE"/>
    <w:rsid w:val="0086732A"/>
    <w:rsid w:val="00867494"/>
    <w:rsid w:val="008674E7"/>
    <w:rsid w:val="00867730"/>
    <w:rsid w:val="008677C1"/>
    <w:rsid w:val="008677FF"/>
    <w:rsid w:val="0086784E"/>
    <w:rsid w:val="00867893"/>
    <w:rsid w:val="00867895"/>
    <w:rsid w:val="008678D3"/>
    <w:rsid w:val="00867935"/>
    <w:rsid w:val="008679EF"/>
    <w:rsid w:val="008679F7"/>
    <w:rsid w:val="00867A00"/>
    <w:rsid w:val="00867A34"/>
    <w:rsid w:val="00867DCC"/>
    <w:rsid w:val="00867DE2"/>
    <w:rsid w:val="00867E2F"/>
    <w:rsid w:val="00870182"/>
    <w:rsid w:val="0087029F"/>
    <w:rsid w:val="008702B6"/>
    <w:rsid w:val="00870388"/>
    <w:rsid w:val="008703EF"/>
    <w:rsid w:val="00870410"/>
    <w:rsid w:val="00870599"/>
    <w:rsid w:val="008705A7"/>
    <w:rsid w:val="0087061A"/>
    <w:rsid w:val="00870703"/>
    <w:rsid w:val="008708DF"/>
    <w:rsid w:val="00870B34"/>
    <w:rsid w:val="00870C52"/>
    <w:rsid w:val="00870CD4"/>
    <w:rsid w:val="00870ED7"/>
    <w:rsid w:val="00870FD0"/>
    <w:rsid w:val="00871091"/>
    <w:rsid w:val="00871106"/>
    <w:rsid w:val="00871163"/>
    <w:rsid w:val="00871221"/>
    <w:rsid w:val="008714A9"/>
    <w:rsid w:val="0087152A"/>
    <w:rsid w:val="008715DD"/>
    <w:rsid w:val="00871677"/>
    <w:rsid w:val="008716A5"/>
    <w:rsid w:val="00871716"/>
    <w:rsid w:val="0087180A"/>
    <w:rsid w:val="00871A24"/>
    <w:rsid w:val="00871A9F"/>
    <w:rsid w:val="00871C16"/>
    <w:rsid w:val="00871C2C"/>
    <w:rsid w:val="00871CF3"/>
    <w:rsid w:val="00871DDF"/>
    <w:rsid w:val="0087203F"/>
    <w:rsid w:val="008720AA"/>
    <w:rsid w:val="0087220E"/>
    <w:rsid w:val="0087232B"/>
    <w:rsid w:val="0087233A"/>
    <w:rsid w:val="00872477"/>
    <w:rsid w:val="00872554"/>
    <w:rsid w:val="008725A4"/>
    <w:rsid w:val="0087269C"/>
    <w:rsid w:val="00872710"/>
    <w:rsid w:val="008728E3"/>
    <w:rsid w:val="008728F2"/>
    <w:rsid w:val="00872B13"/>
    <w:rsid w:val="00872C6F"/>
    <w:rsid w:val="00872CE3"/>
    <w:rsid w:val="00872F77"/>
    <w:rsid w:val="00873069"/>
    <w:rsid w:val="0087307E"/>
    <w:rsid w:val="008730F1"/>
    <w:rsid w:val="00873152"/>
    <w:rsid w:val="00873317"/>
    <w:rsid w:val="00873437"/>
    <w:rsid w:val="0087364D"/>
    <w:rsid w:val="00873754"/>
    <w:rsid w:val="008739EF"/>
    <w:rsid w:val="00873C39"/>
    <w:rsid w:val="00873E4A"/>
    <w:rsid w:val="00873ED0"/>
    <w:rsid w:val="0087418A"/>
    <w:rsid w:val="008741AD"/>
    <w:rsid w:val="0087444C"/>
    <w:rsid w:val="00874510"/>
    <w:rsid w:val="0087453A"/>
    <w:rsid w:val="008745C2"/>
    <w:rsid w:val="008746E7"/>
    <w:rsid w:val="0087494E"/>
    <w:rsid w:val="00874995"/>
    <w:rsid w:val="00874B90"/>
    <w:rsid w:val="00874C0C"/>
    <w:rsid w:val="00874D21"/>
    <w:rsid w:val="00874DF5"/>
    <w:rsid w:val="00874E3D"/>
    <w:rsid w:val="00874E9F"/>
    <w:rsid w:val="00874EDE"/>
    <w:rsid w:val="00874FB4"/>
    <w:rsid w:val="00874FFC"/>
    <w:rsid w:val="00875117"/>
    <w:rsid w:val="0087511B"/>
    <w:rsid w:val="00875158"/>
    <w:rsid w:val="00875240"/>
    <w:rsid w:val="00875258"/>
    <w:rsid w:val="00875422"/>
    <w:rsid w:val="00875540"/>
    <w:rsid w:val="00875649"/>
    <w:rsid w:val="008756C8"/>
    <w:rsid w:val="00875800"/>
    <w:rsid w:val="008758CC"/>
    <w:rsid w:val="00875A31"/>
    <w:rsid w:val="00875B48"/>
    <w:rsid w:val="00875BEF"/>
    <w:rsid w:val="00875C75"/>
    <w:rsid w:val="00875CCA"/>
    <w:rsid w:val="00875D28"/>
    <w:rsid w:val="00875D4C"/>
    <w:rsid w:val="00875E56"/>
    <w:rsid w:val="00875FE3"/>
    <w:rsid w:val="008760F6"/>
    <w:rsid w:val="0087638C"/>
    <w:rsid w:val="0087647C"/>
    <w:rsid w:val="008764C2"/>
    <w:rsid w:val="008765CF"/>
    <w:rsid w:val="008765F8"/>
    <w:rsid w:val="008765FF"/>
    <w:rsid w:val="00876750"/>
    <w:rsid w:val="008767BE"/>
    <w:rsid w:val="0087695F"/>
    <w:rsid w:val="00876986"/>
    <w:rsid w:val="00876CD8"/>
    <w:rsid w:val="00876D69"/>
    <w:rsid w:val="00876DA9"/>
    <w:rsid w:val="00876EC2"/>
    <w:rsid w:val="00877028"/>
    <w:rsid w:val="00877177"/>
    <w:rsid w:val="008771AA"/>
    <w:rsid w:val="008771B1"/>
    <w:rsid w:val="00877585"/>
    <w:rsid w:val="0087758D"/>
    <w:rsid w:val="0087778A"/>
    <w:rsid w:val="0087789F"/>
    <w:rsid w:val="008778FF"/>
    <w:rsid w:val="00877A90"/>
    <w:rsid w:val="00877B63"/>
    <w:rsid w:val="00877C85"/>
    <w:rsid w:val="00877CBA"/>
    <w:rsid w:val="00877CCA"/>
    <w:rsid w:val="00877F99"/>
    <w:rsid w:val="00880025"/>
    <w:rsid w:val="00880048"/>
    <w:rsid w:val="008801EA"/>
    <w:rsid w:val="008803BC"/>
    <w:rsid w:val="008803DB"/>
    <w:rsid w:val="0088044A"/>
    <w:rsid w:val="008804A0"/>
    <w:rsid w:val="008806AF"/>
    <w:rsid w:val="008808F2"/>
    <w:rsid w:val="00880A96"/>
    <w:rsid w:val="00880B30"/>
    <w:rsid w:val="00880BA0"/>
    <w:rsid w:val="00880C63"/>
    <w:rsid w:val="00880EC9"/>
    <w:rsid w:val="00880FD9"/>
    <w:rsid w:val="0088102E"/>
    <w:rsid w:val="0088121F"/>
    <w:rsid w:val="0088152F"/>
    <w:rsid w:val="00881535"/>
    <w:rsid w:val="00881614"/>
    <w:rsid w:val="00881669"/>
    <w:rsid w:val="008816E1"/>
    <w:rsid w:val="0088192C"/>
    <w:rsid w:val="00881A11"/>
    <w:rsid w:val="00881A23"/>
    <w:rsid w:val="00881AE1"/>
    <w:rsid w:val="00881B36"/>
    <w:rsid w:val="00881F48"/>
    <w:rsid w:val="00882110"/>
    <w:rsid w:val="00882229"/>
    <w:rsid w:val="008822F5"/>
    <w:rsid w:val="00882526"/>
    <w:rsid w:val="00882701"/>
    <w:rsid w:val="00882768"/>
    <w:rsid w:val="00882829"/>
    <w:rsid w:val="00882891"/>
    <w:rsid w:val="008828BE"/>
    <w:rsid w:val="0088290D"/>
    <w:rsid w:val="00882987"/>
    <w:rsid w:val="00882992"/>
    <w:rsid w:val="008829E5"/>
    <w:rsid w:val="00882B82"/>
    <w:rsid w:val="00882C11"/>
    <w:rsid w:val="00882CCC"/>
    <w:rsid w:val="00882D69"/>
    <w:rsid w:val="00882E1D"/>
    <w:rsid w:val="00882EF1"/>
    <w:rsid w:val="00883178"/>
    <w:rsid w:val="00883651"/>
    <w:rsid w:val="008836A7"/>
    <w:rsid w:val="00883821"/>
    <w:rsid w:val="008838A1"/>
    <w:rsid w:val="0088398A"/>
    <w:rsid w:val="00883A48"/>
    <w:rsid w:val="00883C21"/>
    <w:rsid w:val="00883DAB"/>
    <w:rsid w:val="00883DC8"/>
    <w:rsid w:val="00883E1F"/>
    <w:rsid w:val="00883E59"/>
    <w:rsid w:val="00883EF2"/>
    <w:rsid w:val="00884099"/>
    <w:rsid w:val="008840FE"/>
    <w:rsid w:val="008841A4"/>
    <w:rsid w:val="008841FA"/>
    <w:rsid w:val="00884200"/>
    <w:rsid w:val="0088425A"/>
    <w:rsid w:val="00884284"/>
    <w:rsid w:val="00884881"/>
    <w:rsid w:val="00884A57"/>
    <w:rsid w:val="00884C3B"/>
    <w:rsid w:val="00884CFE"/>
    <w:rsid w:val="00884E44"/>
    <w:rsid w:val="00884EDE"/>
    <w:rsid w:val="00884F75"/>
    <w:rsid w:val="0088511F"/>
    <w:rsid w:val="00885130"/>
    <w:rsid w:val="00885282"/>
    <w:rsid w:val="00885335"/>
    <w:rsid w:val="00885368"/>
    <w:rsid w:val="00885430"/>
    <w:rsid w:val="0088545E"/>
    <w:rsid w:val="008855C1"/>
    <w:rsid w:val="008856B1"/>
    <w:rsid w:val="0088571E"/>
    <w:rsid w:val="008858F9"/>
    <w:rsid w:val="00885AD0"/>
    <w:rsid w:val="00885AD2"/>
    <w:rsid w:val="00885C67"/>
    <w:rsid w:val="00885E63"/>
    <w:rsid w:val="00885F39"/>
    <w:rsid w:val="00885FE5"/>
    <w:rsid w:val="0088602F"/>
    <w:rsid w:val="00886223"/>
    <w:rsid w:val="00886276"/>
    <w:rsid w:val="0088632A"/>
    <w:rsid w:val="00886359"/>
    <w:rsid w:val="00886449"/>
    <w:rsid w:val="00886491"/>
    <w:rsid w:val="00886532"/>
    <w:rsid w:val="00886AE7"/>
    <w:rsid w:val="00887010"/>
    <w:rsid w:val="008870EA"/>
    <w:rsid w:val="008870F6"/>
    <w:rsid w:val="0088716F"/>
    <w:rsid w:val="0088732B"/>
    <w:rsid w:val="008874EB"/>
    <w:rsid w:val="0088757E"/>
    <w:rsid w:val="008875D1"/>
    <w:rsid w:val="00887665"/>
    <w:rsid w:val="008876DD"/>
    <w:rsid w:val="00887751"/>
    <w:rsid w:val="00887853"/>
    <w:rsid w:val="00887AD0"/>
    <w:rsid w:val="00887C7C"/>
    <w:rsid w:val="00887EF5"/>
    <w:rsid w:val="00887F1C"/>
    <w:rsid w:val="0089000B"/>
    <w:rsid w:val="00890228"/>
    <w:rsid w:val="0089049B"/>
    <w:rsid w:val="00890568"/>
    <w:rsid w:val="008905A1"/>
    <w:rsid w:val="00890A1D"/>
    <w:rsid w:val="00890A62"/>
    <w:rsid w:val="00890B89"/>
    <w:rsid w:val="00890DEA"/>
    <w:rsid w:val="00890E38"/>
    <w:rsid w:val="00890E90"/>
    <w:rsid w:val="00890FB4"/>
    <w:rsid w:val="008912C8"/>
    <w:rsid w:val="008914C0"/>
    <w:rsid w:val="008914CA"/>
    <w:rsid w:val="00891595"/>
    <w:rsid w:val="008915D3"/>
    <w:rsid w:val="00891650"/>
    <w:rsid w:val="00891663"/>
    <w:rsid w:val="008918D0"/>
    <w:rsid w:val="00891A30"/>
    <w:rsid w:val="00891AC9"/>
    <w:rsid w:val="00891EA1"/>
    <w:rsid w:val="00891FCB"/>
    <w:rsid w:val="00891FE1"/>
    <w:rsid w:val="008920E4"/>
    <w:rsid w:val="008921FB"/>
    <w:rsid w:val="0089229E"/>
    <w:rsid w:val="00892357"/>
    <w:rsid w:val="0089246F"/>
    <w:rsid w:val="00892583"/>
    <w:rsid w:val="008925FD"/>
    <w:rsid w:val="00892694"/>
    <w:rsid w:val="00892C21"/>
    <w:rsid w:val="00892CF7"/>
    <w:rsid w:val="00892D4E"/>
    <w:rsid w:val="00892D54"/>
    <w:rsid w:val="00892F7A"/>
    <w:rsid w:val="00892F8F"/>
    <w:rsid w:val="00892FC8"/>
    <w:rsid w:val="00893014"/>
    <w:rsid w:val="00893293"/>
    <w:rsid w:val="00893342"/>
    <w:rsid w:val="00893365"/>
    <w:rsid w:val="008933FB"/>
    <w:rsid w:val="008934A9"/>
    <w:rsid w:val="008938AE"/>
    <w:rsid w:val="008938C4"/>
    <w:rsid w:val="00893A1D"/>
    <w:rsid w:val="00893A50"/>
    <w:rsid w:val="00893CD0"/>
    <w:rsid w:val="00893E47"/>
    <w:rsid w:val="00893F47"/>
    <w:rsid w:val="0089407E"/>
    <w:rsid w:val="008941D8"/>
    <w:rsid w:val="008941DA"/>
    <w:rsid w:val="0089431F"/>
    <w:rsid w:val="00894769"/>
    <w:rsid w:val="00894883"/>
    <w:rsid w:val="00894958"/>
    <w:rsid w:val="00894C17"/>
    <w:rsid w:val="00894CDF"/>
    <w:rsid w:val="00894D47"/>
    <w:rsid w:val="00894E60"/>
    <w:rsid w:val="00894F9C"/>
    <w:rsid w:val="0089510B"/>
    <w:rsid w:val="0089510D"/>
    <w:rsid w:val="00895153"/>
    <w:rsid w:val="0089536A"/>
    <w:rsid w:val="008953D6"/>
    <w:rsid w:val="008954D5"/>
    <w:rsid w:val="008955A6"/>
    <w:rsid w:val="0089563A"/>
    <w:rsid w:val="00895A19"/>
    <w:rsid w:val="00895D1F"/>
    <w:rsid w:val="00895E42"/>
    <w:rsid w:val="00895F21"/>
    <w:rsid w:val="00895F4E"/>
    <w:rsid w:val="00895F4F"/>
    <w:rsid w:val="00895F95"/>
    <w:rsid w:val="008960EB"/>
    <w:rsid w:val="008960EC"/>
    <w:rsid w:val="008962B0"/>
    <w:rsid w:val="00896312"/>
    <w:rsid w:val="00896376"/>
    <w:rsid w:val="008963D2"/>
    <w:rsid w:val="008964B5"/>
    <w:rsid w:val="00896700"/>
    <w:rsid w:val="0089672C"/>
    <w:rsid w:val="008967E1"/>
    <w:rsid w:val="00896839"/>
    <w:rsid w:val="0089693D"/>
    <w:rsid w:val="008969D1"/>
    <w:rsid w:val="00896B6D"/>
    <w:rsid w:val="00896D0C"/>
    <w:rsid w:val="00896DAD"/>
    <w:rsid w:val="00896DDB"/>
    <w:rsid w:val="00896F05"/>
    <w:rsid w:val="008972BC"/>
    <w:rsid w:val="00897438"/>
    <w:rsid w:val="008975E9"/>
    <w:rsid w:val="008975EF"/>
    <w:rsid w:val="0089764F"/>
    <w:rsid w:val="00897697"/>
    <w:rsid w:val="008978F6"/>
    <w:rsid w:val="008979CA"/>
    <w:rsid w:val="00897BC9"/>
    <w:rsid w:val="00897C59"/>
    <w:rsid w:val="00897C9F"/>
    <w:rsid w:val="00897F53"/>
    <w:rsid w:val="008A0262"/>
    <w:rsid w:val="008A0373"/>
    <w:rsid w:val="008A05B4"/>
    <w:rsid w:val="008A0638"/>
    <w:rsid w:val="008A063A"/>
    <w:rsid w:val="008A063B"/>
    <w:rsid w:val="008A06A0"/>
    <w:rsid w:val="008A0704"/>
    <w:rsid w:val="008A0A9B"/>
    <w:rsid w:val="008A0C17"/>
    <w:rsid w:val="008A0C74"/>
    <w:rsid w:val="008A0DEC"/>
    <w:rsid w:val="008A0E50"/>
    <w:rsid w:val="008A0E91"/>
    <w:rsid w:val="008A1124"/>
    <w:rsid w:val="008A135C"/>
    <w:rsid w:val="008A13A3"/>
    <w:rsid w:val="008A1408"/>
    <w:rsid w:val="008A140E"/>
    <w:rsid w:val="008A1467"/>
    <w:rsid w:val="008A1705"/>
    <w:rsid w:val="008A17FF"/>
    <w:rsid w:val="008A183A"/>
    <w:rsid w:val="008A1A08"/>
    <w:rsid w:val="008A1C59"/>
    <w:rsid w:val="008A1F77"/>
    <w:rsid w:val="008A20D0"/>
    <w:rsid w:val="008A21CA"/>
    <w:rsid w:val="008A2334"/>
    <w:rsid w:val="008A242D"/>
    <w:rsid w:val="008A27FF"/>
    <w:rsid w:val="008A297B"/>
    <w:rsid w:val="008A2A40"/>
    <w:rsid w:val="008A2A8D"/>
    <w:rsid w:val="008A2B32"/>
    <w:rsid w:val="008A2B77"/>
    <w:rsid w:val="008A2C29"/>
    <w:rsid w:val="008A2FDC"/>
    <w:rsid w:val="008A327C"/>
    <w:rsid w:val="008A3325"/>
    <w:rsid w:val="008A3381"/>
    <w:rsid w:val="008A34C5"/>
    <w:rsid w:val="008A3660"/>
    <w:rsid w:val="008A367C"/>
    <w:rsid w:val="008A380B"/>
    <w:rsid w:val="008A385F"/>
    <w:rsid w:val="008A38CA"/>
    <w:rsid w:val="008A38DC"/>
    <w:rsid w:val="008A3B3B"/>
    <w:rsid w:val="008A3B4D"/>
    <w:rsid w:val="008A3F63"/>
    <w:rsid w:val="008A437B"/>
    <w:rsid w:val="008A4416"/>
    <w:rsid w:val="008A45A7"/>
    <w:rsid w:val="008A473F"/>
    <w:rsid w:val="008A4796"/>
    <w:rsid w:val="008A47E9"/>
    <w:rsid w:val="008A48C9"/>
    <w:rsid w:val="008A4A64"/>
    <w:rsid w:val="008A4B14"/>
    <w:rsid w:val="008A4B73"/>
    <w:rsid w:val="008A4C34"/>
    <w:rsid w:val="008A4C38"/>
    <w:rsid w:val="008A4CA4"/>
    <w:rsid w:val="008A4D4A"/>
    <w:rsid w:val="008A4EBF"/>
    <w:rsid w:val="008A4F32"/>
    <w:rsid w:val="008A5022"/>
    <w:rsid w:val="008A54D9"/>
    <w:rsid w:val="008A5804"/>
    <w:rsid w:val="008A5A65"/>
    <w:rsid w:val="008A5B5A"/>
    <w:rsid w:val="008A5BA1"/>
    <w:rsid w:val="008A5E07"/>
    <w:rsid w:val="008A5EF9"/>
    <w:rsid w:val="008A5F1F"/>
    <w:rsid w:val="008A5F48"/>
    <w:rsid w:val="008A631D"/>
    <w:rsid w:val="008A63DF"/>
    <w:rsid w:val="008A6793"/>
    <w:rsid w:val="008A6C8F"/>
    <w:rsid w:val="008A6DAA"/>
    <w:rsid w:val="008A6FCA"/>
    <w:rsid w:val="008A72BA"/>
    <w:rsid w:val="008A7498"/>
    <w:rsid w:val="008A766E"/>
    <w:rsid w:val="008A76DB"/>
    <w:rsid w:val="008A7904"/>
    <w:rsid w:val="008A7943"/>
    <w:rsid w:val="008A7A2E"/>
    <w:rsid w:val="008A7B7E"/>
    <w:rsid w:val="008A7BC3"/>
    <w:rsid w:val="008A7DDC"/>
    <w:rsid w:val="008A7DFE"/>
    <w:rsid w:val="008A7E29"/>
    <w:rsid w:val="008A7E9A"/>
    <w:rsid w:val="008A7F07"/>
    <w:rsid w:val="008B0127"/>
    <w:rsid w:val="008B01AD"/>
    <w:rsid w:val="008B0252"/>
    <w:rsid w:val="008B0280"/>
    <w:rsid w:val="008B028C"/>
    <w:rsid w:val="008B02D8"/>
    <w:rsid w:val="008B0349"/>
    <w:rsid w:val="008B0444"/>
    <w:rsid w:val="008B04EB"/>
    <w:rsid w:val="008B05DF"/>
    <w:rsid w:val="008B06C7"/>
    <w:rsid w:val="008B06EA"/>
    <w:rsid w:val="008B0743"/>
    <w:rsid w:val="008B09EB"/>
    <w:rsid w:val="008B0CA9"/>
    <w:rsid w:val="008B10C0"/>
    <w:rsid w:val="008B10F0"/>
    <w:rsid w:val="008B11A0"/>
    <w:rsid w:val="008B1219"/>
    <w:rsid w:val="008B13E1"/>
    <w:rsid w:val="008B1415"/>
    <w:rsid w:val="008B1524"/>
    <w:rsid w:val="008B1725"/>
    <w:rsid w:val="008B1830"/>
    <w:rsid w:val="008B18DE"/>
    <w:rsid w:val="008B1AAF"/>
    <w:rsid w:val="008B1B75"/>
    <w:rsid w:val="008B1C04"/>
    <w:rsid w:val="008B1D3A"/>
    <w:rsid w:val="008B1E5F"/>
    <w:rsid w:val="008B2071"/>
    <w:rsid w:val="008B2074"/>
    <w:rsid w:val="008B20CB"/>
    <w:rsid w:val="008B2110"/>
    <w:rsid w:val="008B284F"/>
    <w:rsid w:val="008B2872"/>
    <w:rsid w:val="008B2985"/>
    <w:rsid w:val="008B2A08"/>
    <w:rsid w:val="008B2C36"/>
    <w:rsid w:val="008B2CDA"/>
    <w:rsid w:val="008B2DCB"/>
    <w:rsid w:val="008B2EFC"/>
    <w:rsid w:val="008B2F6A"/>
    <w:rsid w:val="008B3078"/>
    <w:rsid w:val="008B3205"/>
    <w:rsid w:val="008B330D"/>
    <w:rsid w:val="008B331E"/>
    <w:rsid w:val="008B3407"/>
    <w:rsid w:val="008B34BC"/>
    <w:rsid w:val="008B34F0"/>
    <w:rsid w:val="008B36BB"/>
    <w:rsid w:val="008B383A"/>
    <w:rsid w:val="008B390B"/>
    <w:rsid w:val="008B3AF9"/>
    <w:rsid w:val="008B3B3C"/>
    <w:rsid w:val="008B3BF6"/>
    <w:rsid w:val="008B3C64"/>
    <w:rsid w:val="008B3E1F"/>
    <w:rsid w:val="008B3E95"/>
    <w:rsid w:val="008B3E98"/>
    <w:rsid w:val="008B407C"/>
    <w:rsid w:val="008B40BB"/>
    <w:rsid w:val="008B41B5"/>
    <w:rsid w:val="008B421C"/>
    <w:rsid w:val="008B423C"/>
    <w:rsid w:val="008B44D8"/>
    <w:rsid w:val="008B4687"/>
    <w:rsid w:val="008B4915"/>
    <w:rsid w:val="008B4951"/>
    <w:rsid w:val="008B4999"/>
    <w:rsid w:val="008B4A28"/>
    <w:rsid w:val="008B4B3B"/>
    <w:rsid w:val="008B4B72"/>
    <w:rsid w:val="008B4B7F"/>
    <w:rsid w:val="008B4C9D"/>
    <w:rsid w:val="008B4CDC"/>
    <w:rsid w:val="008B4E6E"/>
    <w:rsid w:val="008B5039"/>
    <w:rsid w:val="008B50E0"/>
    <w:rsid w:val="008B5174"/>
    <w:rsid w:val="008B51B8"/>
    <w:rsid w:val="008B51C4"/>
    <w:rsid w:val="008B5314"/>
    <w:rsid w:val="008B5322"/>
    <w:rsid w:val="008B555E"/>
    <w:rsid w:val="008B5616"/>
    <w:rsid w:val="008B5714"/>
    <w:rsid w:val="008B574D"/>
    <w:rsid w:val="008B5809"/>
    <w:rsid w:val="008B5814"/>
    <w:rsid w:val="008B585E"/>
    <w:rsid w:val="008B5992"/>
    <w:rsid w:val="008B5AE6"/>
    <w:rsid w:val="008B5C4E"/>
    <w:rsid w:val="008B5D57"/>
    <w:rsid w:val="008B5FD2"/>
    <w:rsid w:val="008B5FDD"/>
    <w:rsid w:val="008B606A"/>
    <w:rsid w:val="008B61E6"/>
    <w:rsid w:val="008B624A"/>
    <w:rsid w:val="008B629B"/>
    <w:rsid w:val="008B62AE"/>
    <w:rsid w:val="008B658D"/>
    <w:rsid w:val="008B6653"/>
    <w:rsid w:val="008B66A8"/>
    <w:rsid w:val="008B66F6"/>
    <w:rsid w:val="008B6864"/>
    <w:rsid w:val="008B697D"/>
    <w:rsid w:val="008B6B36"/>
    <w:rsid w:val="008B6CD7"/>
    <w:rsid w:val="008B6DDD"/>
    <w:rsid w:val="008B6F87"/>
    <w:rsid w:val="008B70D6"/>
    <w:rsid w:val="008B7134"/>
    <w:rsid w:val="008B71F3"/>
    <w:rsid w:val="008B733F"/>
    <w:rsid w:val="008B73F3"/>
    <w:rsid w:val="008B73FD"/>
    <w:rsid w:val="008B7455"/>
    <w:rsid w:val="008B7462"/>
    <w:rsid w:val="008B74AF"/>
    <w:rsid w:val="008B74EF"/>
    <w:rsid w:val="008B74FF"/>
    <w:rsid w:val="008B75CB"/>
    <w:rsid w:val="008B77C4"/>
    <w:rsid w:val="008B7802"/>
    <w:rsid w:val="008B7A39"/>
    <w:rsid w:val="008B7BCD"/>
    <w:rsid w:val="008B7C13"/>
    <w:rsid w:val="008B7CFE"/>
    <w:rsid w:val="008C00B2"/>
    <w:rsid w:val="008C00F3"/>
    <w:rsid w:val="008C0167"/>
    <w:rsid w:val="008C028D"/>
    <w:rsid w:val="008C038D"/>
    <w:rsid w:val="008C03C5"/>
    <w:rsid w:val="008C040C"/>
    <w:rsid w:val="008C0607"/>
    <w:rsid w:val="008C094F"/>
    <w:rsid w:val="008C09CA"/>
    <w:rsid w:val="008C0A32"/>
    <w:rsid w:val="008C0D27"/>
    <w:rsid w:val="008C0F9D"/>
    <w:rsid w:val="008C0FEA"/>
    <w:rsid w:val="008C1001"/>
    <w:rsid w:val="008C1007"/>
    <w:rsid w:val="008C1079"/>
    <w:rsid w:val="008C12BA"/>
    <w:rsid w:val="008C13CC"/>
    <w:rsid w:val="008C13DB"/>
    <w:rsid w:val="008C15EF"/>
    <w:rsid w:val="008C1797"/>
    <w:rsid w:val="008C17E2"/>
    <w:rsid w:val="008C181D"/>
    <w:rsid w:val="008C187F"/>
    <w:rsid w:val="008C1A26"/>
    <w:rsid w:val="008C1ABD"/>
    <w:rsid w:val="008C1C2C"/>
    <w:rsid w:val="008C1F70"/>
    <w:rsid w:val="008C21C4"/>
    <w:rsid w:val="008C21DC"/>
    <w:rsid w:val="008C2242"/>
    <w:rsid w:val="008C226F"/>
    <w:rsid w:val="008C2502"/>
    <w:rsid w:val="008C2707"/>
    <w:rsid w:val="008C27C4"/>
    <w:rsid w:val="008C2AFC"/>
    <w:rsid w:val="008C2B5C"/>
    <w:rsid w:val="008C2C10"/>
    <w:rsid w:val="008C2C42"/>
    <w:rsid w:val="008C2C62"/>
    <w:rsid w:val="008C2C8F"/>
    <w:rsid w:val="008C2E50"/>
    <w:rsid w:val="008C2F05"/>
    <w:rsid w:val="008C2FE7"/>
    <w:rsid w:val="008C3091"/>
    <w:rsid w:val="008C30E2"/>
    <w:rsid w:val="008C31B7"/>
    <w:rsid w:val="008C34F9"/>
    <w:rsid w:val="008C3666"/>
    <w:rsid w:val="008C3826"/>
    <w:rsid w:val="008C383E"/>
    <w:rsid w:val="008C3A2E"/>
    <w:rsid w:val="008C3A3E"/>
    <w:rsid w:val="008C3B7F"/>
    <w:rsid w:val="008C3D85"/>
    <w:rsid w:val="008C3EC8"/>
    <w:rsid w:val="008C3ED4"/>
    <w:rsid w:val="008C3EF5"/>
    <w:rsid w:val="008C4483"/>
    <w:rsid w:val="008C44FC"/>
    <w:rsid w:val="008C46B4"/>
    <w:rsid w:val="008C4825"/>
    <w:rsid w:val="008C48B2"/>
    <w:rsid w:val="008C4995"/>
    <w:rsid w:val="008C4A19"/>
    <w:rsid w:val="008C4BB5"/>
    <w:rsid w:val="008C4C16"/>
    <w:rsid w:val="008C4CAD"/>
    <w:rsid w:val="008C4CBC"/>
    <w:rsid w:val="008C4F3A"/>
    <w:rsid w:val="008C4F45"/>
    <w:rsid w:val="008C5100"/>
    <w:rsid w:val="008C5258"/>
    <w:rsid w:val="008C5719"/>
    <w:rsid w:val="008C5960"/>
    <w:rsid w:val="008C5C62"/>
    <w:rsid w:val="008C5CDC"/>
    <w:rsid w:val="008C5D98"/>
    <w:rsid w:val="008C5E25"/>
    <w:rsid w:val="008C5EAD"/>
    <w:rsid w:val="008C5EDA"/>
    <w:rsid w:val="008C5F3C"/>
    <w:rsid w:val="008C6059"/>
    <w:rsid w:val="008C6197"/>
    <w:rsid w:val="008C64ED"/>
    <w:rsid w:val="008C64F5"/>
    <w:rsid w:val="008C6536"/>
    <w:rsid w:val="008C65BD"/>
    <w:rsid w:val="008C67CA"/>
    <w:rsid w:val="008C68C4"/>
    <w:rsid w:val="008C6B2F"/>
    <w:rsid w:val="008C6BAD"/>
    <w:rsid w:val="008C6C59"/>
    <w:rsid w:val="008C6C90"/>
    <w:rsid w:val="008C6DEE"/>
    <w:rsid w:val="008C6E60"/>
    <w:rsid w:val="008C6E68"/>
    <w:rsid w:val="008C6EBD"/>
    <w:rsid w:val="008C6EE4"/>
    <w:rsid w:val="008C6EFA"/>
    <w:rsid w:val="008C6F8C"/>
    <w:rsid w:val="008C704A"/>
    <w:rsid w:val="008C7110"/>
    <w:rsid w:val="008C7474"/>
    <w:rsid w:val="008C7482"/>
    <w:rsid w:val="008C74E3"/>
    <w:rsid w:val="008C74ED"/>
    <w:rsid w:val="008C7579"/>
    <w:rsid w:val="008C776C"/>
    <w:rsid w:val="008C77A2"/>
    <w:rsid w:val="008C77EC"/>
    <w:rsid w:val="008C7841"/>
    <w:rsid w:val="008C7959"/>
    <w:rsid w:val="008C799A"/>
    <w:rsid w:val="008C79AA"/>
    <w:rsid w:val="008C7A2F"/>
    <w:rsid w:val="008C7A37"/>
    <w:rsid w:val="008C7A56"/>
    <w:rsid w:val="008C7DD8"/>
    <w:rsid w:val="008C7E7C"/>
    <w:rsid w:val="008D003A"/>
    <w:rsid w:val="008D0307"/>
    <w:rsid w:val="008D04FE"/>
    <w:rsid w:val="008D0637"/>
    <w:rsid w:val="008D0772"/>
    <w:rsid w:val="008D078E"/>
    <w:rsid w:val="008D08FA"/>
    <w:rsid w:val="008D0973"/>
    <w:rsid w:val="008D0B69"/>
    <w:rsid w:val="008D0F6F"/>
    <w:rsid w:val="008D0F84"/>
    <w:rsid w:val="008D0F90"/>
    <w:rsid w:val="008D0F9A"/>
    <w:rsid w:val="008D0FC5"/>
    <w:rsid w:val="008D1036"/>
    <w:rsid w:val="008D1182"/>
    <w:rsid w:val="008D12C7"/>
    <w:rsid w:val="008D1454"/>
    <w:rsid w:val="008D161F"/>
    <w:rsid w:val="008D17E8"/>
    <w:rsid w:val="008D18B0"/>
    <w:rsid w:val="008D198B"/>
    <w:rsid w:val="008D1AAC"/>
    <w:rsid w:val="008D1D0C"/>
    <w:rsid w:val="008D1EA0"/>
    <w:rsid w:val="008D1F37"/>
    <w:rsid w:val="008D1F3A"/>
    <w:rsid w:val="008D21B6"/>
    <w:rsid w:val="008D2241"/>
    <w:rsid w:val="008D22E1"/>
    <w:rsid w:val="008D2700"/>
    <w:rsid w:val="008D27A6"/>
    <w:rsid w:val="008D27F6"/>
    <w:rsid w:val="008D2852"/>
    <w:rsid w:val="008D288D"/>
    <w:rsid w:val="008D2B6B"/>
    <w:rsid w:val="008D2C33"/>
    <w:rsid w:val="008D2DB1"/>
    <w:rsid w:val="008D2DE2"/>
    <w:rsid w:val="008D2E56"/>
    <w:rsid w:val="008D2EFD"/>
    <w:rsid w:val="008D2F9B"/>
    <w:rsid w:val="008D3059"/>
    <w:rsid w:val="008D3065"/>
    <w:rsid w:val="008D31CF"/>
    <w:rsid w:val="008D36F0"/>
    <w:rsid w:val="008D37DA"/>
    <w:rsid w:val="008D382E"/>
    <w:rsid w:val="008D38F8"/>
    <w:rsid w:val="008D3975"/>
    <w:rsid w:val="008D3A50"/>
    <w:rsid w:val="008D3BAC"/>
    <w:rsid w:val="008D3BAD"/>
    <w:rsid w:val="008D3E91"/>
    <w:rsid w:val="008D3EC7"/>
    <w:rsid w:val="008D3F05"/>
    <w:rsid w:val="008D3F3B"/>
    <w:rsid w:val="008D41CC"/>
    <w:rsid w:val="008D4366"/>
    <w:rsid w:val="008D451C"/>
    <w:rsid w:val="008D4736"/>
    <w:rsid w:val="008D476A"/>
    <w:rsid w:val="008D484B"/>
    <w:rsid w:val="008D4A62"/>
    <w:rsid w:val="008D4C1F"/>
    <w:rsid w:val="008D500F"/>
    <w:rsid w:val="008D5250"/>
    <w:rsid w:val="008D5368"/>
    <w:rsid w:val="008D546C"/>
    <w:rsid w:val="008D5643"/>
    <w:rsid w:val="008D56CB"/>
    <w:rsid w:val="008D5924"/>
    <w:rsid w:val="008D592F"/>
    <w:rsid w:val="008D5A3C"/>
    <w:rsid w:val="008D5ACC"/>
    <w:rsid w:val="008D5C07"/>
    <w:rsid w:val="008D5C1C"/>
    <w:rsid w:val="008D5DCC"/>
    <w:rsid w:val="008D5EFA"/>
    <w:rsid w:val="008D6236"/>
    <w:rsid w:val="008D624E"/>
    <w:rsid w:val="008D6279"/>
    <w:rsid w:val="008D62F1"/>
    <w:rsid w:val="008D6424"/>
    <w:rsid w:val="008D6436"/>
    <w:rsid w:val="008D6455"/>
    <w:rsid w:val="008D6A3F"/>
    <w:rsid w:val="008D6B69"/>
    <w:rsid w:val="008D6BBA"/>
    <w:rsid w:val="008D6BE8"/>
    <w:rsid w:val="008D6DD7"/>
    <w:rsid w:val="008D6E7F"/>
    <w:rsid w:val="008D6E90"/>
    <w:rsid w:val="008D7096"/>
    <w:rsid w:val="008D72D3"/>
    <w:rsid w:val="008D7396"/>
    <w:rsid w:val="008D7550"/>
    <w:rsid w:val="008D7582"/>
    <w:rsid w:val="008D7705"/>
    <w:rsid w:val="008D776F"/>
    <w:rsid w:val="008D7891"/>
    <w:rsid w:val="008D7B22"/>
    <w:rsid w:val="008D7C62"/>
    <w:rsid w:val="008D7C7B"/>
    <w:rsid w:val="008D7E89"/>
    <w:rsid w:val="008E03FA"/>
    <w:rsid w:val="008E03FD"/>
    <w:rsid w:val="008E05D7"/>
    <w:rsid w:val="008E05D9"/>
    <w:rsid w:val="008E0666"/>
    <w:rsid w:val="008E0814"/>
    <w:rsid w:val="008E087A"/>
    <w:rsid w:val="008E0AB0"/>
    <w:rsid w:val="008E0AE4"/>
    <w:rsid w:val="008E0C9A"/>
    <w:rsid w:val="008E0D2F"/>
    <w:rsid w:val="008E10D9"/>
    <w:rsid w:val="008E12DC"/>
    <w:rsid w:val="008E1332"/>
    <w:rsid w:val="008E1468"/>
    <w:rsid w:val="008E155C"/>
    <w:rsid w:val="008E165E"/>
    <w:rsid w:val="008E166D"/>
    <w:rsid w:val="008E16EA"/>
    <w:rsid w:val="008E17A5"/>
    <w:rsid w:val="008E182E"/>
    <w:rsid w:val="008E18FF"/>
    <w:rsid w:val="008E1BC5"/>
    <w:rsid w:val="008E1CC3"/>
    <w:rsid w:val="008E1F1C"/>
    <w:rsid w:val="008E1FEA"/>
    <w:rsid w:val="008E2139"/>
    <w:rsid w:val="008E219A"/>
    <w:rsid w:val="008E23BD"/>
    <w:rsid w:val="008E2584"/>
    <w:rsid w:val="008E25B9"/>
    <w:rsid w:val="008E26CC"/>
    <w:rsid w:val="008E2737"/>
    <w:rsid w:val="008E2759"/>
    <w:rsid w:val="008E27DF"/>
    <w:rsid w:val="008E2982"/>
    <w:rsid w:val="008E2A43"/>
    <w:rsid w:val="008E2AF9"/>
    <w:rsid w:val="008E2BA8"/>
    <w:rsid w:val="008E2C11"/>
    <w:rsid w:val="008E2C7C"/>
    <w:rsid w:val="008E2CAF"/>
    <w:rsid w:val="008E3001"/>
    <w:rsid w:val="008E334A"/>
    <w:rsid w:val="008E33D5"/>
    <w:rsid w:val="008E3415"/>
    <w:rsid w:val="008E34A0"/>
    <w:rsid w:val="008E34D9"/>
    <w:rsid w:val="008E36E8"/>
    <w:rsid w:val="008E37E6"/>
    <w:rsid w:val="008E38AF"/>
    <w:rsid w:val="008E3A9C"/>
    <w:rsid w:val="008E3C0C"/>
    <w:rsid w:val="008E3C0E"/>
    <w:rsid w:val="008E3F71"/>
    <w:rsid w:val="008E4058"/>
    <w:rsid w:val="008E40D1"/>
    <w:rsid w:val="008E41F8"/>
    <w:rsid w:val="008E4205"/>
    <w:rsid w:val="008E4224"/>
    <w:rsid w:val="008E43E0"/>
    <w:rsid w:val="008E453C"/>
    <w:rsid w:val="008E4546"/>
    <w:rsid w:val="008E4583"/>
    <w:rsid w:val="008E45B2"/>
    <w:rsid w:val="008E45F6"/>
    <w:rsid w:val="008E4630"/>
    <w:rsid w:val="008E46E8"/>
    <w:rsid w:val="008E4726"/>
    <w:rsid w:val="008E48DD"/>
    <w:rsid w:val="008E4B50"/>
    <w:rsid w:val="008E4B71"/>
    <w:rsid w:val="008E4BB8"/>
    <w:rsid w:val="008E4CEE"/>
    <w:rsid w:val="008E4FC6"/>
    <w:rsid w:val="008E5049"/>
    <w:rsid w:val="008E5164"/>
    <w:rsid w:val="008E51CB"/>
    <w:rsid w:val="008E51D3"/>
    <w:rsid w:val="008E51EE"/>
    <w:rsid w:val="008E56B5"/>
    <w:rsid w:val="008E5AE9"/>
    <w:rsid w:val="008E5AFD"/>
    <w:rsid w:val="008E5B1B"/>
    <w:rsid w:val="008E5BC3"/>
    <w:rsid w:val="008E5CE1"/>
    <w:rsid w:val="008E62DD"/>
    <w:rsid w:val="008E63D8"/>
    <w:rsid w:val="008E647A"/>
    <w:rsid w:val="008E64AD"/>
    <w:rsid w:val="008E64E5"/>
    <w:rsid w:val="008E653E"/>
    <w:rsid w:val="008E6583"/>
    <w:rsid w:val="008E6617"/>
    <w:rsid w:val="008E664F"/>
    <w:rsid w:val="008E67CE"/>
    <w:rsid w:val="008E690B"/>
    <w:rsid w:val="008E6959"/>
    <w:rsid w:val="008E6BFC"/>
    <w:rsid w:val="008E6D01"/>
    <w:rsid w:val="008E72B6"/>
    <w:rsid w:val="008E72DA"/>
    <w:rsid w:val="008E7344"/>
    <w:rsid w:val="008E7374"/>
    <w:rsid w:val="008E7393"/>
    <w:rsid w:val="008E74E9"/>
    <w:rsid w:val="008E7581"/>
    <w:rsid w:val="008E75BC"/>
    <w:rsid w:val="008E7640"/>
    <w:rsid w:val="008E7664"/>
    <w:rsid w:val="008E768A"/>
    <w:rsid w:val="008E7765"/>
    <w:rsid w:val="008E7829"/>
    <w:rsid w:val="008E7879"/>
    <w:rsid w:val="008E7A8B"/>
    <w:rsid w:val="008E7DF9"/>
    <w:rsid w:val="008E7FEE"/>
    <w:rsid w:val="008F00F0"/>
    <w:rsid w:val="008F0122"/>
    <w:rsid w:val="008F0169"/>
    <w:rsid w:val="008F0182"/>
    <w:rsid w:val="008F03ED"/>
    <w:rsid w:val="008F04B4"/>
    <w:rsid w:val="008F054C"/>
    <w:rsid w:val="008F059A"/>
    <w:rsid w:val="008F05A2"/>
    <w:rsid w:val="008F05B7"/>
    <w:rsid w:val="008F0623"/>
    <w:rsid w:val="008F078B"/>
    <w:rsid w:val="008F083B"/>
    <w:rsid w:val="008F0895"/>
    <w:rsid w:val="008F09E8"/>
    <w:rsid w:val="008F0A14"/>
    <w:rsid w:val="008F0A92"/>
    <w:rsid w:val="008F0B24"/>
    <w:rsid w:val="008F0C75"/>
    <w:rsid w:val="008F0CEF"/>
    <w:rsid w:val="008F0DC6"/>
    <w:rsid w:val="008F0E90"/>
    <w:rsid w:val="008F0EC8"/>
    <w:rsid w:val="008F0EE1"/>
    <w:rsid w:val="008F0FE7"/>
    <w:rsid w:val="008F1063"/>
    <w:rsid w:val="008F1279"/>
    <w:rsid w:val="008F1391"/>
    <w:rsid w:val="008F1434"/>
    <w:rsid w:val="008F145B"/>
    <w:rsid w:val="008F15F8"/>
    <w:rsid w:val="008F16EC"/>
    <w:rsid w:val="008F18A8"/>
    <w:rsid w:val="008F18E7"/>
    <w:rsid w:val="008F1952"/>
    <w:rsid w:val="008F19B1"/>
    <w:rsid w:val="008F1CF7"/>
    <w:rsid w:val="008F1E82"/>
    <w:rsid w:val="008F1EDC"/>
    <w:rsid w:val="008F1EF0"/>
    <w:rsid w:val="008F1F4B"/>
    <w:rsid w:val="008F1F8D"/>
    <w:rsid w:val="008F236F"/>
    <w:rsid w:val="008F2380"/>
    <w:rsid w:val="008F23CD"/>
    <w:rsid w:val="008F2476"/>
    <w:rsid w:val="008F248C"/>
    <w:rsid w:val="008F2748"/>
    <w:rsid w:val="008F2975"/>
    <w:rsid w:val="008F29C9"/>
    <w:rsid w:val="008F2A2F"/>
    <w:rsid w:val="008F2A87"/>
    <w:rsid w:val="008F2B27"/>
    <w:rsid w:val="008F2C1B"/>
    <w:rsid w:val="008F2D97"/>
    <w:rsid w:val="008F2F04"/>
    <w:rsid w:val="008F319B"/>
    <w:rsid w:val="008F3225"/>
    <w:rsid w:val="008F32AA"/>
    <w:rsid w:val="008F34B3"/>
    <w:rsid w:val="008F366E"/>
    <w:rsid w:val="008F37AF"/>
    <w:rsid w:val="008F3877"/>
    <w:rsid w:val="008F3983"/>
    <w:rsid w:val="008F3A6C"/>
    <w:rsid w:val="008F3A76"/>
    <w:rsid w:val="008F3CB3"/>
    <w:rsid w:val="008F3D55"/>
    <w:rsid w:val="008F3D64"/>
    <w:rsid w:val="008F3D88"/>
    <w:rsid w:val="008F3E17"/>
    <w:rsid w:val="008F409B"/>
    <w:rsid w:val="008F43E5"/>
    <w:rsid w:val="008F442C"/>
    <w:rsid w:val="008F44E2"/>
    <w:rsid w:val="008F44FC"/>
    <w:rsid w:val="008F4600"/>
    <w:rsid w:val="008F48B1"/>
    <w:rsid w:val="008F4997"/>
    <w:rsid w:val="008F4B1B"/>
    <w:rsid w:val="008F4C52"/>
    <w:rsid w:val="008F4CE1"/>
    <w:rsid w:val="008F4D4F"/>
    <w:rsid w:val="008F4DB4"/>
    <w:rsid w:val="008F4E46"/>
    <w:rsid w:val="008F4E83"/>
    <w:rsid w:val="008F4EF5"/>
    <w:rsid w:val="008F4F1E"/>
    <w:rsid w:val="008F50BC"/>
    <w:rsid w:val="008F5195"/>
    <w:rsid w:val="008F520E"/>
    <w:rsid w:val="008F5406"/>
    <w:rsid w:val="008F54C7"/>
    <w:rsid w:val="008F5537"/>
    <w:rsid w:val="008F5707"/>
    <w:rsid w:val="008F5839"/>
    <w:rsid w:val="008F58A3"/>
    <w:rsid w:val="008F5A55"/>
    <w:rsid w:val="008F5B06"/>
    <w:rsid w:val="008F5B7C"/>
    <w:rsid w:val="008F5BAF"/>
    <w:rsid w:val="008F5DDF"/>
    <w:rsid w:val="008F5FA3"/>
    <w:rsid w:val="008F6057"/>
    <w:rsid w:val="008F6079"/>
    <w:rsid w:val="008F627F"/>
    <w:rsid w:val="008F6388"/>
    <w:rsid w:val="008F659E"/>
    <w:rsid w:val="008F6656"/>
    <w:rsid w:val="008F67CA"/>
    <w:rsid w:val="008F680E"/>
    <w:rsid w:val="008F6880"/>
    <w:rsid w:val="008F689B"/>
    <w:rsid w:val="008F6B6C"/>
    <w:rsid w:val="008F6C19"/>
    <w:rsid w:val="008F6E15"/>
    <w:rsid w:val="008F6E7C"/>
    <w:rsid w:val="008F6EA5"/>
    <w:rsid w:val="008F6EB0"/>
    <w:rsid w:val="008F6EDF"/>
    <w:rsid w:val="008F6F26"/>
    <w:rsid w:val="008F6FB0"/>
    <w:rsid w:val="008F7061"/>
    <w:rsid w:val="008F7075"/>
    <w:rsid w:val="008F719F"/>
    <w:rsid w:val="008F71DF"/>
    <w:rsid w:val="008F73C3"/>
    <w:rsid w:val="008F746C"/>
    <w:rsid w:val="008F74AE"/>
    <w:rsid w:val="008F7B37"/>
    <w:rsid w:val="008F7CEE"/>
    <w:rsid w:val="008F7E2D"/>
    <w:rsid w:val="008F7EAD"/>
    <w:rsid w:val="008F7EF4"/>
    <w:rsid w:val="0090023E"/>
    <w:rsid w:val="009002C5"/>
    <w:rsid w:val="0090033E"/>
    <w:rsid w:val="00900453"/>
    <w:rsid w:val="009007A3"/>
    <w:rsid w:val="009008EE"/>
    <w:rsid w:val="009009CC"/>
    <w:rsid w:val="009009F5"/>
    <w:rsid w:val="00900A83"/>
    <w:rsid w:val="00900BC0"/>
    <w:rsid w:val="00900BD6"/>
    <w:rsid w:val="00900EA7"/>
    <w:rsid w:val="00901274"/>
    <w:rsid w:val="00901390"/>
    <w:rsid w:val="009013DA"/>
    <w:rsid w:val="009014A1"/>
    <w:rsid w:val="009014E0"/>
    <w:rsid w:val="00901832"/>
    <w:rsid w:val="00901975"/>
    <w:rsid w:val="00901AD9"/>
    <w:rsid w:val="00901B3D"/>
    <w:rsid w:val="00901CC0"/>
    <w:rsid w:val="00901D2F"/>
    <w:rsid w:val="00901D5B"/>
    <w:rsid w:val="00901E55"/>
    <w:rsid w:val="009021D9"/>
    <w:rsid w:val="00902382"/>
    <w:rsid w:val="0090260D"/>
    <w:rsid w:val="00902689"/>
    <w:rsid w:val="00902712"/>
    <w:rsid w:val="009027CA"/>
    <w:rsid w:val="00902946"/>
    <w:rsid w:val="00902A27"/>
    <w:rsid w:val="00902BDD"/>
    <w:rsid w:val="00902CE8"/>
    <w:rsid w:val="00902D2A"/>
    <w:rsid w:val="009032B5"/>
    <w:rsid w:val="009034F3"/>
    <w:rsid w:val="00903516"/>
    <w:rsid w:val="00903813"/>
    <w:rsid w:val="00903819"/>
    <w:rsid w:val="009039F3"/>
    <w:rsid w:val="00903B17"/>
    <w:rsid w:val="00903C6B"/>
    <w:rsid w:val="00903E4C"/>
    <w:rsid w:val="00903E5F"/>
    <w:rsid w:val="00904066"/>
    <w:rsid w:val="00904068"/>
    <w:rsid w:val="00904100"/>
    <w:rsid w:val="00904280"/>
    <w:rsid w:val="009042F5"/>
    <w:rsid w:val="00904302"/>
    <w:rsid w:val="0090454B"/>
    <w:rsid w:val="009045FE"/>
    <w:rsid w:val="00904761"/>
    <w:rsid w:val="009047EC"/>
    <w:rsid w:val="00904A9E"/>
    <w:rsid w:val="00904CA7"/>
    <w:rsid w:val="00904FB3"/>
    <w:rsid w:val="00905104"/>
    <w:rsid w:val="0090553E"/>
    <w:rsid w:val="009055E3"/>
    <w:rsid w:val="00905765"/>
    <w:rsid w:val="00905836"/>
    <w:rsid w:val="00905AAE"/>
    <w:rsid w:val="00905B24"/>
    <w:rsid w:val="00905D27"/>
    <w:rsid w:val="00905DB9"/>
    <w:rsid w:val="00905E91"/>
    <w:rsid w:val="00906071"/>
    <w:rsid w:val="009061B9"/>
    <w:rsid w:val="009062C7"/>
    <w:rsid w:val="00906352"/>
    <w:rsid w:val="0090639D"/>
    <w:rsid w:val="00906535"/>
    <w:rsid w:val="00906565"/>
    <w:rsid w:val="00906589"/>
    <w:rsid w:val="0090661D"/>
    <w:rsid w:val="00906672"/>
    <w:rsid w:val="009066A4"/>
    <w:rsid w:val="009066AB"/>
    <w:rsid w:val="009066EC"/>
    <w:rsid w:val="0090675D"/>
    <w:rsid w:val="009067EE"/>
    <w:rsid w:val="0090689A"/>
    <w:rsid w:val="00906A1E"/>
    <w:rsid w:val="00906BAD"/>
    <w:rsid w:val="00906C20"/>
    <w:rsid w:val="00906D32"/>
    <w:rsid w:val="00906DD2"/>
    <w:rsid w:val="00906F40"/>
    <w:rsid w:val="00907098"/>
    <w:rsid w:val="00907136"/>
    <w:rsid w:val="0090716C"/>
    <w:rsid w:val="0090723C"/>
    <w:rsid w:val="009073BB"/>
    <w:rsid w:val="009077D9"/>
    <w:rsid w:val="009078CC"/>
    <w:rsid w:val="00907984"/>
    <w:rsid w:val="00907BA0"/>
    <w:rsid w:val="00907C77"/>
    <w:rsid w:val="00907CA7"/>
    <w:rsid w:val="00907DC2"/>
    <w:rsid w:val="00907E73"/>
    <w:rsid w:val="00907ED5"/>
    <w:rsid w:val="00907EEF"/>
    <w:rsid w:val="00907F78"/>
    <w:rsid w:val="00907FE9"/>
    <w:rsid w:val="0091002C"/>
    <w:rsid w:val="0091017E"/>
    <w:rsid w:val="00910247"/>
    <w:rsid w:val="0091034D"/>
    <w:rsid w:val="00910356"/>
    <w:rsid w:val="0091035A"/>
    <w:rsid w:val="009103AF"/>
    <w:rsid w:val="0091040A"/>
    <w:rsid w:val="00910415"/>
    <w:rsid w:val="009104FE"/>
    <w:rsid w:val="00910566"/>
    <w:rsid w:val="009105CD"/>
    <w:rsid w:val="00910610"/>
    <w:rsid w:val="009108DF"/>
    <w:rsid w:val="00910B2D"/>
    <w:rsid w:val="00910B8C"/>
    <w:rsid w:val="00910C03"/>
    <w:rsid w:val="00910C0A"/>
    <w:rsid w:val="00910D01"/>
    <w:rsid w:val="00910ECC"/>
    <w:rsid w:val="00910F7D"/>
    <w:rsid w:val="00910FB5"/>
    <w:rsid w:val="00911106"/>
    <w:rsid w:val="00911117"/>
    <w:rsid w:val="00911127"/>
    <w:rsid w:val="009112F1"/>
    <w:rsid w:val="00911A5A"/>
    <w:rsid w:val="00911ABC"/>
    <w:rsid w:val="00911CAF"/>
    <w:rsid w:val="00911CF6"/>
    <w:rsid w:val="00911E47"/>
    <w:rsid w:val="0091217E"/>
    <w:rsid w:val="0091226F"/>
    <w:rsid w:val="00912290"/>
    <w:rsid w:val="0091230E"/>
    <w:rsid w:val="0091233F"/>
    <w:rsid w:val="009124B7"/>
    <w:rsid w:val="00912536"/>
    <w:rsid w:val="00912651"/>
    <w:rsid w:val="0091288D"/>
    <w:rsid w:val="0091294F"/>
    <w:rsid w:val="009129C4"/>
    <w:rsid w:val="00912A61"/>
    <w:rsid w:val="00912B6E"/>
    <w:rsid w:val="00912C21"/>
    <w:rsid w:val="00912CDC"/>
    <w:rsid w:val="00912CE8"/>
    <w:rsid w:val="00912CEB"/>
    <w:rsid w:val="00912D0E"/>
    <w:rsid w:val="00912D24"/>
    <w:rsid w:val="00912D39"/>
    <w:rsid w:val="00912F18"/>
    <w:rsid w:val="00912F84"/>
    <w:rsid w:val="00913004"/>
    <w:rsid w:val="00913180"/>
    <w:rsid w:val="00913370"/>
    <w:rsid w:val="0091344F"/>
    <w:rsid w:val="009135C4"/>
    <w:rsid w:val="00913643"/>
    <w:rsid w:val="00913789"/>
    <w:rsid w:val="00913806"/>
    <w:rsid w:val="009139C3"/>
    <w:rsid w:val="00913A58"/>
    <w:rsid w:val="00913DD0"/>
    <w:rsid w:val="00913F1E"/>
    <w:rsid w:val="009140B9"/>
    <w:rsid w:val="0091415F"/>
    <w:rsid w:val="00914399"/>
    <w:rsid w:val="00914445"/>
    <w:rsid w:val="009144D7"/>
    <w:rsid w:val="0091459D"/>
    <w:rsid w:val="00914632"/>
    <w:rsid w:val="00914A26"/>
    <w:rsid w:val="00914A89"/>
    <w:rsid w:val="00914AAD"/>
    <w:rsid w:val="00914C76"/>
    <w:rsid w:val="00914E31"/>
    <w:rsid w:val="00914EB4"/>
    <w:rsid w:val="00914F13"/>
    <w:rsid w:val="00914FB3"/>
    <w:rsid w:val="009151C7"/>
    <w:rsid w:val="0091520A"/>
    <w:rsid w:val="0091543B"/>
    <w:rsid w:val="00915482"/>
    <w:rsid w:val="00915550"/>
    <w:rsid w:val="00915647"/>
    <w:rsid w:val="009157CC"/>
    <w:rsid w:val="00915841"/>
    <w:rsid w:val="00915A6B"/>
    <w:rsid w:val="00915BD3"/>
    <w:rsid w:val="00915CB2"/>
    <w:rsid w:val="00915D01"/>
    <w:rsid w:val="00915D0F"/>
    <w:rsid w:val="00915DA6"/>
    <w:rsid w:val="00915EEE"/>
    <w:rsid w:val="00916016"/>
    <w:rsid w:val="00916030"/>
    <w:rsid w:val="009160FF"/>
    <w:rsid w:val="0091622A"/>
    <w:rsid w:val="009162AE"/>
    <w:rsid w:val="009162C9"/>
    <w:rsid w:val="00916462"/>
    <w:rsid w:val="00916685"/>
    <w:rsid w:val="00916727"/>
    <w:rsid w:val="00916979"/>
    <w:rsid w:val="009169AB"/>
    <w:rsid w:val="00916A3F"/>
    <w:rsid w:val="00916B63"/>
    <w:rsid w:val="00916B9B"/>
    <w:rsid w:val="00916CA5"/>
    <w:rsid w:val="00916CF1"/>
    <w:rsid w:val="00916E84"/>
    <w:rsid w:val="00916F74"/>
    <w:rsid w:val="0091700A"/>
    <w:rsid w:val="009170C0"/>
    <w:rsid w:val="0091713A"/>
    <w:rsid w:val="00917176"/>
    <w:rsid w:val="00917230"/>
    <w:rsid w:val="0091723E"/>
    <w:rsid w:val="00917533"/>
    <w:rsid w:val="0091758F"/>
    <w:rsid w:val="0091761E"/>
    <w:rsid w:val="00917706"/>
    <w:rsid w:val="0091775F"/>
    <w:rsid w:val="0091784F"/>
    <w:rsid w:val="009178A0"/>
    <w:rsid w:val="00917905"/>
    <w:rsid w:val="009179FA"/>
    <w:rsid w:val="00917A1A"/>
    <w:rsid w:val="00917B69"/>
    <w:rsid w:val="00917B6C"/>
    <w:rsid w:val="00917BB2"/>
    <w:rsid w:val="00917C43"/>
    <w:rsid w:val="00917F57"/>
    <w:rsid w:val="00920136"/>
    <w:rsid w:val="0092024E"/>
    <w:rsid w:val="0092028F"/>
    <w:rsid w:val="009202DE"/>
    <w:rsid w:val="0092044A"/>
    <w:rsid w:val="009204FB"/>
    <w:rsid w:val="0092057A"/>
    <w:rsid w:val="00920610"/>
    <w:rsid w:val="00920667"/>
    <w:rsid w:val="009208E0"/>
    <w:rsid w:val="0092098C"/>
    <w:rsid w:val="009209C2"/>
    <w:rsid w:val="009209DF"/>
    <w:rsid w:val="009209EC"/>
    <w:rsid w:val="00920B43"/>
    <w:rsid w:val="00920D02"/>
    <w:rsid w:val="00920D77"/>
    <w:rsid w:val="00920D7A"/>
    <w:rsid w:val="00920F43"/>
    <w:rsid w:val="0092109D"/>
    <w:rsid w:val="0092141B"/>
    <w:rsid w:val="00921775"/>
    <w:rsid w:val="009217A0"/>
    <w:rsid w:val="00921862"/>
    <w:rsid w:val="00921940"/>
    <w:rsid w:val="00921BC2"/>
    <w:rsid w:val="00921E13"/>
    <w:rsid w:val="00922078"/>
    <w:rsid w:val="009221C3"/>
    <w:rsid w:val="009221CD"/>
    <w:rsid w:val="0092248E"/>
    <w:rsid w:val="009224C8"/>
    <w:rsid w:val="00922760"/>
    <w:rsid w:val="0092283D"/>
    <w:rsid w:val="00922904"/>
    <w:rsid w:val="00922AF1"/>
    <w:rsid w:val="00922B56"/>
    <w:rsid w:val="00922BCE"/>
    <w:rsid w:val="00922C70"/>
    <w:rsid w:val="00922D20"/>
    <w:rsid w:val="00922D53"/>
    <w:rsid w:val="00922D96"/>
    <w:rsid w:val="00922FEA"/>
    <w:rsid w:val="00922FF4"/>
    <w:rsid w:val="00923484"/>
    <w:rsid w:val="0092349B"/>
    <w:rsid w:val="0092362C"/>
    <w:rsid w:val="00923651"/>
    <w:rsid w:val="00923705"/>
    <w:rsid w:val="0092372E"/>
    <w:rsid w:val="00923779"/>
    <w:rsid w:val="00923799"/>
    <w:rsid w:val="00923806"/>
    <w:rsid w:val="0092384E"/>
    <w:rsid w:val="00923A1D"/>
    <w:rsid w:val="00923A7D"/>
    <w:rsid w:val="00923A9B"/>
    <w:rsid w:val="00923B25"/>
    <w:rsid w:val="00923B26"/>
    <w:rsid w:val="00923B46"/>
    <w:rsid w:val="00923D1B"/>
    <w:rsid w:val="00923E00"/>
    <w:rsid w:val="00923EF6"/>
    <w:rsid w:val="009240A8"/>
    <w:rsid w:val="009241EF"/>
    <w:rsid w:val="0092464E"/>
    <w:rsid w:val="00924773"/>
    <w:rsid w:val="0092477D"/>
    <w:rsid w:val="009248E0"/>
    <w:rsid w:val="00924936"/>
    <w:rsid w:val="00924992"/>
    <w:rsid w:val="009249EE"/>
    <w:rsid w:val="00924BEB"/>
    <w:rsid w:val="00924CBD"/>
    <w:rsid w:val="00924CD0"/>
    <w:rsid w:val="00924DBA"/>
    <w:rsid w:val="00924DD2"/>
    <w:rsid w:val="00924E02"/>
    <w:rsid w:val="00924EEF"/>
    <w:rsid w:val="00924FA6"/>
    <w:rsid w:val="00925214"/>
    <w:rsid w:val="00925276"/>
    <w:rsid w:val="00925279"/>
    <w:rsid w:val="00925349"/>
    <w:rsid w:val="0092539C"/>
    <w:rsid w:val="009253A4"/>
    <w:rsid w:val="00925592"/>
    <w:rsid w:val="00925630"/>
    <w:rsid w:val="009256EA"/>
    <w:rsid w:val="0092575C"/>
    <w:rsid w:val="009257B0"/>
    <w:rsid w:val="0092587B"/>
    <w:rsid w:val="00925AFB"/>
    <w:rsid w:val="00925B62"/>
    <w:rsid w:val="00925C69"/>
    <w:rsid w:val="00925F0F"/>
    <w:rsid w:val="00925FCB"/>
    <w:rsid w:val="00925FD8"/>
    <w:rsid w:val="00925FDD"/>
    <w:rsid w:val="009261B5"/>
    <w:rsid w:val="009261E6"/>
    <w:rsid w:val="0092626F"/>
    <w:rsid w:val="00926447"/>
    <w:rsid w:val="0092644C"/>
    <w:rsid w:val="00926538"/>
    <w:rsid w:val="00926760"/>
    <w:rsid w:val="00926BF2"/>
    <w:rsid w:val="00926C07"/>
    <w:rsid w:val="00926D3B"/>
    <w:rsid w:val="00927048"/>
    <w:rsid w:val="00927310"/>
    <w:rsid w:val="0092740A"/>
    <w:rsid w:val="0092791D"/>
    <w:rsid w:val="009279D0"/>
    <w:rsid w:val="00927B0E"/>
    <w:rsid w:val="00927BFF"/>
    <w:rsid w:val="00927D2F"/>
    <w:rsid w:val="00927D82"/>
    <w:rsid w:val="00927E65"/>
    <w:rsid w:val="00927F1D"/>
    <w:rsid w:val="00930199"/>
    <w:rsid w:val="009302AE"/>
    <w:rsid w:val="0093052F"/>
    <w:rsid w:val="009305FE"/>
    <w:rsid w:val="0093064A"/>
    <w:rsid w:val="00930764"/>
    <w:rsid w:val="00930777"/>
    <w:rsid w:val="009307CF"/>
    <w:rsid w:val="009307DA"/>
    <w:rsid w:val="009307F2"/>
    <w:rsid w:val="0093091C"/>
    <w:rsid w:val="00930BD0"/>
    <w:rsid w:val="00930C38"/>
    <w:rsid w:val="0093123B"/>
    <w:rsid w:val="00931293"/>
    <w:rsid w:val="009312AB"/>
    <w:rsid w:val="009312FD"/>
    <w:rsid w:val="0093144A"/>
    <w:rsid w:val="0093149B"/>
    <w:rsid w:val="009318B9"/>
    <w:rsid w:val="009318D0"/>
    <w:rsid w:val="009319FE"/>
    <w:rsid w:val="00931A94"/>
    <w:rsid w:val="00931B2B"/>
    <w:rsid w:val="00931C62"/>
    <w:rsid w:val="00931CC3"/>
    <w:rsid w:val="00931D3D"/>
    <w:rsid w:val="00931DFC"/>
    <w:rsid w:val="00931E1C"/>
    <w:rsid w:val="00932029"/>
    <w:rsid w:val="00932069"/>
    <w:rsid w:val="009320C6"/>
    <w:rsid w:val="009320D0"/>
    <w:rsid w:val="00932205"/>
    <w:rsid w:val="00932334"/>
    <w:rsid w:val="00932419"/>
    <w:rsid w:val="009324C0"/>
    <w:rsid w:val="009324C8"/>
    <w:rsid w:val="0093259C"/>
    <w:rsid w:val="009326E8"/>
    <w:rsid w:val="0093288E"/>
    <w:rsid w:val="009329A8"/>
    <w:rsid w:val="00932BD4"/>
    <w:rsid w:val="00932C68"/>
    <w:rsid w:val="00932D4F"/>
    <w:rsid w:val="009330A2"/>
    <w:rsid w:val="0093337A"/>
    <w:rsid w:val="009333BB"/>
    <w:rsid w:val="00933525"/>
    <w:rsid w:val="00933619"/>
    <w:rsid w:val="0093380E"/>
    <w:rsid w:val="00933931"/>
    <w:rsid w:val="00933A39"/>
    <w:rsid w:val="00933ABA"/>
    <w:rsid w:val="00933BDD"/>
    <w:rsid w:val="00933CEB"/>
    <w:rsid w:val="00933E76"/>
    <w:rsid w:val="00934138"/>
    <w:rsid w:val="00934153"/>
    <w:rsid w:val="00934164"/>
    <w:rsid w:val="0093446C"/>
    <w:rsid w:val="0093449F"/>
    <w:rsid w:val="00934523"/>
    <w:rsid w:val="0093460D"/>
    <w:rsid w:val="0093470C"/>
    <w:rsid w:val="0093483A"/>
    <w:rsid w:val="009348AA"/>
    <w:rsid w:val="009348F3"/>
    <w:rsid w:val="0093496C"/>
    <w:rsid w:val="00934B84"/>
    <w:rsid w:val="00934C70"/>
    <w:rsid w:val="00934DE4"/>
    <w:rsid w:val="00934F87"/>
    <w:rsid w:val="00935007"/>
    <w:rsid w:val="0093508E"/>
    <w:rsid w:val="00935193"/>
    <w:rsid w:val="00935279"/>
    <w:rsid w:val="00935305"/>
    <w:rsid w:val="00935337"/>
    <w:rsid w:val="0093539F"/>
    <w:rsid w:val="00935551"/>
    <w:rsid w:val="009355B4"/>
    <w:rsid w:val="0093581C"/>
    <w:rsid w:val="00935A54"/>
    <w:rsid w:val="00935BD1"/>
    <w:rsid w:val="00935CA5"/>
    <w:rsid w:val="00935DA8"/>
    <w:rsid w:val="00935E97"/>
    <w:rsid w:val="0093600F"/>
    <w:rsid w:val="00936173"/>
    <w:rsid w:val="009362FB"/>
    <w:rsid w:val="0093635B"/>
    <w:rsid w:val="0093638C"/>
    <w:rsid w:val="009364B4"/>
    <w:rsid w:val="009364F2"/>
    <w:rsid w:val="00936588"/>
    <w:rsid w:val="00936656"/>
    <w:rsid w:val="00936664"/>
    <w:rsid w:val="00936685"/>
    <w:rsid w:val="00936702"/>
    <w:rsid w:val="009368C1"/>
    <w:rsid w:val="00936B49"/>
    <w:rsid w:val="00936CFB"/>
    <w:rsid w:val="00936DCF"/>
    <w:rsid w:val="00936E51"/>
    <w:rsid w:val="00937016"/>
    <w:rsid w:val="0093713E"/>
    <w:rsid w:val="0093726B"/>
    <w:rsid w:val="009373E0"/>
    <w:rsid w:val="009374EE"/>
    <w:rsid w:val="0093751C"/>
    <w:rsid w:val="00937755"/>
    <w:rsid w:val="0093779C"/>
    <w:rsid w:val="00937807"/>
    <w:rsid w:val="0093780A"/>
    <w:rsid w:val="00937826"/>
    <w:rsid w:val="009378D6"/>
    <w:rsid w:val="009379D4"/>
    <w:rsid w:val="00937A1B"/>
    <w:rsid w:val="00937CC3"/>
    <w:rsid w:val="00937D06"/>
    <w:rsid w:val="00937EB7"/>
    <w:rsid w:val="00937F08"/>
    <w:rsid w:val="00937F20"/>
    <w:rsid w:val="0094013E"/>
    <w:rsid w:val="009402F2"/>
    <w:rsid w:val="00940360"/>
    <w:rsid w:val="009403CA"/>
    <w:rsid w:val="009404CE"/>
    <w:rsid w:val="00940590"/>
    <w:rsid w:val="00940841"/>
    <w:rsid w:val="00940ADD"/>
    <w:rsid w:val="00940FBB"/>
    <w:rsid w:val="00940FDB"/>
    <w:rsid w:val="009410B2"/>
    <w:rsid w:val="00941231"/>
    <w:rsid w:val="00941517"/>
    <w:rsid w:val="00941589"/>
    <w:rsid w:val="009416A0"/>
    <w:rsid w:val="00941962"/>
    <w:rsid w:val="00941ABD"/>
    <w:rsid w:val="00941C2A"/>
    <w:rsid w:val="00941E2A"/>
    <w:rsid w:val="0094216D"/>
    <w:rsid w:val="009421D2"/>
    <w:rsid w:val="00942257"/>
    <w:rsid w:val="0094237A"/>
    <w:rsid w:val="0094244E"/>
    <w:rsid w:val="009425FC"/>
    <w:rsid w:val="00942721"/>
    <w:rsid w:val="009427E7"/>
    <w:rsid w:val="009428A9"/>
    <w:rsid w:val="0094293F"/>
    <w:rsid w:val="00942965"/>
    <w:rsid w:val="00942966"/>
    <w:rsid w:val="00942984"/>
    <w:rsid w:val="009429E9"/>
    <w:rsid w:val="009430DA"/>
    <w:rsid w:val="009433EE"/>
    <w:rsid w:val="00943635"/>
    <w:rsid w:val="00943794"/>
    <w:rsid w:val="00943814"/>
    <w:rsid w:val="00943942"/>
    <w:rsid w:val="00943A07"/>
    <w:rsid w:val="00943A82"/>
    <w:rsid w:val="00943C14"/>
    <w:rsid w:val="00943CAD"/>
    <w:rsid w:val="00943E48"/>
    <w:rsid w:val="00943E9E"/>
    <w:rsid w:val="00943F1D"/>
    <w:rsid w:val="00944000"/>
    <w:rsid w:val="00944068"/>
    <w:rsid w:val="00944409"/>
    <w:rsid w:val="00944521"/>
    <w:rsid w:val="009445A8"/>
    <w:rsid w:val="00944877"/>
    <w:rsid w:val="00944982"/>
    <w:rsid w:val="00944B48"/>
    <w:rsid w:val="00944C3F"/>
    <w:rsid w:val="00944EF8"/>
    <w:rsid w:val="00944F6C"/>
    <w:rsid w:val="00945076"/>
    <w:rsid w:val="009451E1"/>
    <w:rsid w:val="009453F5"/>
    <w:rsid w:val="0094549A"/>
    <w:rsid w:val="00945662"/>
    <w:rsid w:val="00945683"/>
    <w:rsid w:val="0094570F"/>
    <w:rsid w:val="0094576C"/>
    <w:rsid w:val="0094586F"/>
    <w:rsid w:val="0094595C"/>
    <w:rsid w:val="0094597A"/>
    <w:rsid w:val="009459E9"/>
    <w:rsid w:val="00945BB8"/>
    <w:rsid w:val="00945C18"/>
    <w:rsid w:val="00945C46"/>
    <w:rsid w:val="00945E2B"/>
    <w:rsid w:val="00945E9D"/>
    <w:rsid w:val="00945EEF"/>
    <w:rsid w:val="009460E5"/>
    <w:rsid w:val="00946163"/>
    <w:rsid w:val="00946235"/>
    <w:rsid w:val="0094637F"/>
    <w:rsid w:val="00946655"/>
    <w:rsid w:val="00946753"/>
    <w:rsid w:val="009467A7"/>
    <w:rsid w:val="00946813"/>
    <w:rsid w:val="00946935"/>
    <w:rsid w:val="0094693A"/>
    <w:rsid w:val="00946A7C"/>
    <w:rsid w:val="00946AF6"/>
    <w:rsid w:val="00946BE0"/>
    <w:rsid w:val="00946CD0"/>
    <w:rsid w:val="00946DFB"/>
    <w:rsid w:val="00946E3E"/>
    <w:rsid w:val="00946EAA"/>
    <w:rsid w:val="00946F67"/>
    <w:rsid w:val="00947010"/>
    <w:rsid w:val="0094706D"/>
    <w:rsid w:val="00947159"/>
    <w:rsid w:val="00947248"/>
    <w:rsid w:val="009474B5"/>
    <w:rsid w:val="009476C6"/>
    <w:rsid w:val="00947744"/>
    <w:rsid w:val="00947773"/>
    <w:rsid w:val="009477C2"/>
    <w:rsid w:val="009477CD"/>
    <w:rsid w:val="009477D7"/>
    <w:rsid w:val="009478BA"/>
    <w:rsid w:val="00947967"/>
    <w:rsid w:val="00947BEF"/>
    <w:rsid w:val="00947C84"/>
    <w:rsid w:val="00947CAE"/>
    <w:rsid w:val="00947D6C"/>
    <w:rsid w:val="00947DE1"/>
    <w:rsid w:val="00947EDE"/>
    <w:rsid w:val="00947F38"/>
    <w:rsid w:val="00947F41"/>
    <w:rsid w:val="00947F97"/>
    <w:rsid w:val="0095000E"/>
    <w:rsid w:val="00950050"/>
    <w:rsid w:val="009500CA"/>
    <w:rsid w:val="00950145"/>
    <w:rsid w:val="00950458"/>
    <w:rsid w:val="009505B2"/>
    <w:rsid w:val="0095073D"/>
    <w:rsid w:val="0095074D"/>
    <w:rsid w:val="00950805"/>
    <w:rsid w:val="009508C1"/>
    <w:rsid w:val="0095090A"/>
    <w:rsid w:val="00950992"/>
    <w:rsid w:val="009509B9"/>
    <w:rsid w:val="00950A1D"/>
    <w:rsid w:val="00950AC1"/>
    <w:rsid w:val="00950B7D"/>
    <w:rsid w:val="00950C81"/>
    <w:rsid w:val="00950DD8"/>
    <w:rsid w:val="00950E3B"/>
    <w:rsid w:val="00950EC4"/>
    <w:rsid w:val="00951098"/>
    <w:rsid w:val="0095112F"/>
    <w:rsid w:val="009512A3"/>
    <w:rsid w:val="0095136F"/>
    <w:rsid w:val="00951770"/>
    <w:rsid w:val="00951841"/>
    <w:rsid w:val="009518FC"/>
    <w:rsid w:val="00951953"/>
    <w:rsid w:val="00951BA2"/>
    <w:rsid w:val="00951BD6"/>
    <w:rsid w:val="00951DB2"/>
    <w:rsid w:val="00951DF8"/>
    <w:rsid w:val="00951FD0"/>
    <w:rsid w:val="00952024"/>
    <w:rsid w:val="00952127"/>
    <w:rsid w:val="00952152"/>
    <w:rsid w:val="009521AD"/>
    <w:rsid w:val="009523EA"/>
    <w:rsid w:val="00952604"/>
    <w:rsid w:val="0095272D"/>
    <w:rsid w:val="00952959"/>
    <w:rsid w:val="00952A34"/>
    <w:rsid w:val="00952B3C"/>
    <w:rsid w:val="00952E09"/>
    <w:rsid w:val="00952F53"/>
    <w:rsid w:val="00952FFB"/>
    <w:rsid w:val="00953006"/>
    <w:rsid w:val="00953271"/>
    <w:rsid w:val="0095332E"/>
    <w:rsid w:val="009533C2"/>
    <w:rsid w:val="00953924"/>
    <w:rsid w:val="00953ADC"/>
    <w:rsid w:val="00953AFE"/>
    <w:rsid w:val="00953B4D"/>
    <w:rsid w:val="00953F0D"/>
    <w:rsid w:val="00953FAD"/>
    <w:rsid w:val="0095421D"/>
    <w:rsid w:val="00954277"/>
    <w:rsid w:val="009543E7"/>
    <w:rsid w:val="00954565"/>
    <w:rsid w:val="00954575"/>
    <w:rsid w:val="0095458A"/>
    <w:rsid w:val="009548C8"/>
    <w:rsid w:val="009548FE"/>
    <w:rsid w:val="00954901"/>
    <w:rsid w:val="00954AF6"/>
    <w:rsid w:val="00954B56"/>
    <w:rsid w:val="00954BC1"/>
    <w:rsid w:val="00954C11"/>
    <w:rsid w:val="00954C65"/>
    <w:rsid w:val="00954DE2"/>
    <w:rsid w:val="009550F6"/>
    <w:rsid w:val="009552CC"/>
    <w:rsid w:val="00955338"/>
    <w:rsid w:val="00955476"/>
    <w:rsid w:val="009554DE"/>
    <w:rsid w:val="009555F7"/>
    <w:rsid w:val="00955656"/>
    <w:rsid w:val="00955670"/>
    <w:rsid w:val="009557BB"/>
    <w:rsid w:val="00955A28"/>
    <w:rsid w:val="00955A81"/>
    <w:rsid w:val="00955A95"/>
    <w:rsid w:val="00955B27"/>
    <w:rsid w:val="00955F63"/>
    <w:rsid w:val="00955F99"/>
    <w:rsid w:val="00956084"/>
    <w:rsid w:val="009562FA"/>
    <w:rsid w:val="009563AB"/>
    <w:rsid w:val="00956434"/>
    <w:rsid w:val="00956749"/>
    <w:rsid w:val="00956852"/>
    <w:rsid w:val="009568E8"/>
    <w:rsid w:val="00956972"/>
    <w:rsid w:val="00956D59"/>
    <w:rsid w:val="00956D68"/>
    <w:rsid w:val="00956DF0"/>
    <w:rsid w:val="00956E25"/>
    <w:rsid w:val="00956ED7"/>
    <w:rsid w:val="00956F25"/>
    <w:rsid w:val="00956FAB"/>
    <w:rsid w:val="0095704D"/>
    <w:rsid w:val="00957073"/>
    <w:rsid w:val="009571E6"/>
    <w:rsid w:val="009571F1"/>
    <w:rsid w:val="00957209"/>
    <w:rsid w:val="00957326"/>
    <w:rsid w:val="009573DA"/>
    <w:rsid w:val="009573DE"/>
    <w:rsid w:val="00957682"/>
    <w:rsid w:val="009576CE"/>
    <w:rsid w:val="0095779D"/>
    <w:rsid w:val="009578F0"/>
    <w:rsid w:val="00957916"/>
    <w:rsid w:val="00957A69"/>
    <w:rsid w:val="00957B4C"/>
    <w:rsid w:val="00957CBA"/>
    <w:rsid w:val="00957EB3"/>
    <w:rsid w:val="00957F02"/>
    <w:rsid w:val="009602EF"/>
    <w:rsid w:val="009603D8"/>
    <w:rsid w:val="0096045C"/>
    <w:rsid w:val="009606A0"/>
    <w:rsid w:val="0096074B"/>
    <w:rsid w:val="00960775"/>
    <w:rsid w:val="00960A83"/>
    <w:rsid w:val="00960ED0"/>
    <w:rsid w:val="0096103A"/>
    <w:rsid w:val="00961076"/>
    <w:rsid w:val="0096152F"/>
    <w:rsid w:val="009615DF"/>
    <w:rsid w:val="0096166C"/>
    <w:rsid w:val="00961A2F"/>
    <w:rsid w:val="00961A4D"/>
    <w:rsid w:val="00961A5B"/>
    <w:rsid w:val="00961B48"/>
    <w:rsid w:val="00961B9E"/>
    <w:rsid w:val="00961E1E"/>
    <w:rsid w:val="00961EB1"/>
    <w:rsid w:val="00962074"/>
    <w:rsid w:val="00962616"/>
    <w:rsid w:val="009627C0"/>
    <w:rsid w:val="00962804"/>
    <w:rsid w:val="009628CC"/>
    <w:rsid w:val="00962963"/>
    <w:rsid w:val="009629CA"/>
    <w:rsid w:val="00962BB6"/>
    <w:rsid w:val="00962C32"/>
    <w:rsid w:val="00962C8D"/>
    <w:rsid w:val="00962C9D"/>
    <w:rsid w:val="00962FCC"/>
    <w:rsid w:val="00962FF5"/>
    <w:rsid w:val="00963029"/>
    <w:rsid w:val="0096330F"/>
    <w:rsid w:val="00963320"/>
    <w:rsid w:val="00963507"/>
    <w:rsid w:val="00963655"/>
    <w:rsid w:val="0096370B"/>
    <w:rsid w:val="009637E8"/>
    <w:rsid w:val="0096381A"/>
    <w:rsid w:val="00963A70"/>
    <w:rsid w:val="00963AE5"/>
    <w:rsid w:val="00963B4D"/>
    <w:rsid w:val="00963E54"/>
    <w:rsid w:val="00963FFB"/>
    <w:rsid w:val="00964084"/>
    <w:rsid w:val="0096413C"/>
    <w:rsid w:val="00964167"/>
    <w:rsid w:val="00964274"/>
    <w:rsid w:val="009642AF"/>
    <w:rsid w:val="009642B2"/>
    <w:rsid w:val="009642E0"/>
    <w:rsid w:val="009642EA"/>
    <w:rsid w:val="009644E6"/>
    <w:rsid w:val="0096452F"/>
    <w:rsid w:val="00964535"/>
    <w:rsid w:val="0096457E"/>
    <w:rsid w:val="009645A7"/>
    <w:rsid w:val="009645CD"/>
    <w:rsid w:val="0096474C"/>
    <w:rsid w:val="009647F7"/>
    <w:rsid w:val="00964816"/>
    <w:rsid w:val="00964A17"/>
    <w:rsid w:val="00964AD8"/>
    <w:rsid w:val="00964B25"/>
    <w:rsid w:val="00964C39"/>
    <w:rsid w:val="00964C40"/>
    <w:rsid w:val="00964D0A"/>
    <w:rsid w:val="00964D37"/>
    <w:rsid w:val="00964D8C"/>
    <w:rsid w:val="00964DB8"/>
    <w:rsid w:val="00964DBE"/>
    <w:rsid w:val="00965055"/>
    <w:rsid w:val="009652BF"/>
    <w:rsid w:val="009653C9"/>
    <w:rsid w:val="00965431"/>
    <w:rsid w:val="009654D3"/>
    <w:rsid w:val="009654EB"/>
    <w:rsid w:val="00965504"/>
    <w:rsid w:val="00965536"/>
    <w:rsid w:val="0096561A"/>
    <w:rsid w:val="0096572F"/>
    <w:rsid w:val="0096575E"/>
    <w:rsid w:val="009657C9"/>
    <w:rsid w:val="0096589E"/>
    <w:rsid w:val="009658DC"/>
    <w:rsid w:val="009659A8"/>
    <w:rsid w:val="00965A5E"/>
    <w:rsid w:val="00965A78"/>
    <w:rsid w:val="00965C34"/>
    <w:rsid w:val="00965CD7"/>
    <w:rsid w:val="00965E37"/>
    <w:rsid w:val="00965E5F"/>
    <w:rsid w:val="00965F2D"/>
    <w:rsid w:val="0096602A"/>
    <w:rsid w:val="009661E3"/>
    <w:rsid w:val="00966282"/>
    <w:rsid w:val="009662A4"/>
    <w:rsid w:val="0096630A"/>
    <w:rsid w:val="0096646C"/>
    <w:rsid w:val="00966486"/>
    <w:rsid w:val="0096660B"/>
    <w:rsid w:val="00966898"/>
    <w:rsid w:val="00966920"/>
    <w:rsid w:val="0096695A"/>
    <w:rsid w:val="00966D31"/>
    <w:rsid w:val="00966D69"/>
    <w:rsid w:val="00966EDA"/>
    <w:rsid w:val="00966FE2"/>
    <w:rsid w:val="0096702D"/>
    <w:rsid w:val="00967050"/>
    <w:rsid w:val="009670C1"/>
    <w:rsid w:val="00967219"/>
    <w:rsid w:val="0096723E"/>
    <w:rsid w:val="009674C0"/>
    <w:rsid w:val="009674CA"/>
    <w:rsid w:val="009674E6"/>
    <w:rsid w:val="0096754D"/>
    <w:rsid w:val="009675D7"/>
    <w:rsid w:val="009675EC"/>
    <w:rsid w:val="0096780A"/>
    <w:rsid w:val="00967899"/>
    <w:rsid w:val="0096789F"/>
    <w:rsid w:val="00967BCE"/>
    <w:rsid w:val="00967BDB"/>
    <w:rsid w:val="00967CF4"/>
    <w:rsid w:val="00967E38"/>
    <w:rsid w:val="00967E52"/>
    <w:rsid w:val="0096ECC4"/>
    <w:rsid w:val="009700A3"/>
    <w:rsid w:val="0097029C"/>
    <w:rsid w:val="0097037F"/>
    <w:rsid w:val="00970475"/>
    <w:rsid w:val="00970574"/>
    <w:rsid w:val="009705BA"/>
    <w:rsid w:val="0097068E"/>
    <w:rsid w:val="00970935"/>
    <w:rsid w:val="00970961"/>
    <w:rsid w:val="00970965"/>
    <w:rsid w:val="00970BCF"/>
    <w:rsid w:val="00970CC1"/>
    <w:rsid w:val="00970E06"/>
    <w:rsid w:val="00970E21"/>
    <w:rsid w:val="00970F75"/>
    <w:rsid w:val="00971116"/>
    <w:rsid w:val="0097162D"/>
    <w:rsid w:val="009716E3"/>
    <w:rsid w:val="009718F2"/>
    <w:rsid w:val="00971962"/>
    <w:rsid w:val="009719A8"/>
    <w:rsid w:val="00971A4F"/>
    <w:rsid w:val="00971B64"/>
    <w:rsid w:val="00971F82"/>
    <w:rsid w:val="009720BF"/>
    <w:rsid w:val="009721E1"/>
    <w:rsid w:val="009725D9"/>
    <w:rsid w:val="009725EF"/>
    <w:rsid w:val="0097284F"/>
    <w:rsid w:val="00972998"/>
    <w:rsid w:val="009729D7"/>
    <w:rsid w:val="00972AE7"/>
    <w:rsid w:val="00972B0A"/>
    <w:rsid w:val="00972CA7"/>
    <w:rsid w:val="00972CBE"/>
    <w:rsid w:val="00972D04"/>
    <w:rsid w:val="00972E7E"/>
    <w:rsid w:val="00972F0A"/>
    <w:rsid w:val="0097316F"/>
    <w:rsid w:val="009731B0"/>
    <w:rsid w:val="009732CA"/>
    <w:rsid w:val="00973634"/>
    <w:rsid w:val="009736E6"/>
    <w:rsid w:val="0097388E"/>
    <w:rsid w:val="009738AF"/>
    <w:rsid w:val="009738EF"/>
    <w:rsid w:val="009738F3"/>
    <w:rsid w:val="009738FC"/>
    <w:rsid w:val="00973993"/>
    <w:rsid w:val="009739BA"/>
    <w:rsid w:val="00973BB7"/>
    <w:rsid w:val="00973BE7"/>
    <w:rsid w:val="00973E75"/>
    <w:rsid w:val="00973F55"/>
    <w:rsid w:val="00974142"/>
    <w:rsid w:val="00974231"/>
    <w:rsid w:val="009742E7"/>
    <w:rsid w:val="00974691"/>
    <w:rsid w:val="0097476F"/>
    <w:rsid w:val="00974A2D"/>
    <w:rsid w:val="00974A66"/>
    <w:rsid w:val="00974AAD"/>
    <w:rsid w:val="00974AED"/>
    <w:rsid w:val="00974B0F"/>
    <w:rsid w:val="00974BC2"/>
    <w:rsid w:val="00974C14"/>
    <w:rsid w:val="00974C68"/>
    <w:rsid w:val="00974D1A"/>
    <w:rsid w:val="00974D25"/>
    <w:rsid w:val="00974D91"/>
    <w:rsid w:val="00974E63"/>
    <w:rsid w:val="00975023"/>
    <w:rsid w:val="0097509C"/>
    <w:rsid w:val="009751B2"/>
    <w:rsid w:val="009751B8"/>
    <w:rsid w:val="009751CD"/>
    <w:rsid w:val="009752A2"/>
    <w:rsid w:val="009752AE"/>
    <w:rsid w:val="00975308"/>
    <w:rsid w:val="00975310"/>
    <w:rsid w:val="00975349"/>
    <w:rsid w:val="009753D6"/>
    <w:rsid w:val="0097542B"/>
    <w:rsid w:val="0097543D"/>
    <w:rsid w:val="009754BF"/>
    <w:rsid w:val="009754F1"/>
    <w:rsid w:val="00975544"/>
    <w:rsid w:val="0097558D"/>
    <w:rsid w:val="00975645"/>
    <w:rsid w:val="00975771"/>
    <w:rsid w:val="0097580C"/>
    <w:rsid w:val="0097588B"/>
    <w:rsid w:val="00975936"/>
    <w:rsid w:val="009759D6"/>
    <w:rsid w:val="009759F6"/>
    <w:rsid w:val="00975A54"/>
    <w:rsid w:val="00975BB4"/>
    <w:rsid w:val="00975BE9"/>
    <w:rsid w:val="00975C52"/>
    <w:rsid w:val="00975DA1"/>
    <w:rsid w:val="00975E47"/>
    <w:rsid w:val="0097606A"/>
    <w:rsid w:val="00976101"/>
    <w:rsid w:val="00976158"/>
    <w:rsid w:val="0097617E"/>
    <w:rsid w:val="009761F4"/>
    <w:rsid w:val="0097622B"/>
    <w:rsid w:val="00976278"/>
    <w:rsid w:val="009762A2"/>
    <w:rsid w:val="009762A7"/>
    <w:rsid w:val="009763BF"/>
    <w:rsid w:val="00976452"/>
    <w:rsid w:val="00976618"/>
    <w:rsid w:val="0097679B"/>
    <w:rsid w:val="00976841"/>
    <w:rsid w:val="0097688F"/>
    <w:rsid w:val="00976921"/>
    <w:rsid w:val="00976D86"/>
    <w:rsid w:val="00976E5C"/>
    <w:rsid w:val="00976F4B"/>
    <w:rsid w:val="009771BA"/>
    <w:rsid w:val="00977217"/>
    <w:rsid w:val="00977364"/>
    <w:rsid w:val="00977442"/>
    <w:rsid w:val="00977493"/>
    <w:rsid w:val="00977586"/>
    <w:rsid w:val="009776A2"/>
    <w:rsid w:val="00977746"/>
    <w:rsid w:val="00977890"/>
    <w:rsid w:val="00977896"/>
    <w:rsid w:val="00977AC7"/>
    <w:rsid w:val="00977B00"/>
    <w:rsid w:val="00977B93"/>
    <w:rsid w:val="00977D19"/>
    <w:rsid w:val="00977E1B"/>
    <w:rsid w:val="00977E33"/>
    <w:rsid w:val="00977E39"/>
    <w:rsid w:val="00977F84"/>
    <w:rsid w:val="00980150"/>
    <w:rsid w:val="009803D4"/>
    <w:rsid w:val="009803D8"/>
    <w:rsid w:val="00980492"/>
    <w:rsid w:val="00980707"/>
    <w:rsid w:val="00980708"/>
    <w:rsid w:val="009808E1"/>
    <w:rsid w:val="009808E4"/>
    <w:rsid w:val="00980988"/>
    <w:rsid w:val="00980D4D"/>
    <w:rsid w:val="00980DB0"/>
    <w:rsid w:val="00980DC9"/>
    <w:rsid w:val="00980E19"/>
    <w:rsid w:val="0098122B"/>
    <w:rsid w:val="009812F3"/>
    <w:rsid w:val="009813D8"/>
    <w:rsid w:val="00981719"/>
    <w:rsid w:val="00981A56"/>
    <w:rsid w:val="00981BD1"/>
    <w:rsid w:val="00981DA8"/>
    <w:rsid w:val="00982014"/>
    <w:rsid w:val="009820B8"/>
    <w:rsid w:val="009821BD"/>
    <w:rsid w:val="009822FD"/>
    <w:rsid w:val="00982866"/>
    <w:rsid w:val="00982876"/>
    <w:rsid w:val="00982890"/>
    <w:rsid w:val="00982940"/>
    <w:rsid w:val="00982961"/>
    <w:rsid w:val="009829B0"/>
    <w:rsid w:val="00982A2D"/>
    <w:rsid w:val="00982A5B"/>
    <w:rsid w:val="00982ACA"/>
    <w:rsid w:val="00982BCE"/>
    <w:rsid w:val="00982C10"/>
    <w:rsid w:val="00982DCD"/>
    <w:rsid w:val="00982F8A"/>
    <w:rsid w:val="00983006"/>
    <w:rsid w:val="00983043"/>
    <w:rsid w:val="009830D6"/>
    <w:rsid w:val="009832D7"/>
    <w:rsid w:val="0098340F"/>
    <w:rsid w:val="009834C9"/>
    <w:rsid w:val="00983695"/>
    <w:rsid w:val="00983770"/>
    <w:rsid w:val="00983875"/>
    <w:rsid w:val="0098397C"/>
    <w:rsid w:val="009839A9"/>
    <w:rsid w:val="00983D4F"/>
    <w:rsid w:val="00983FB6"/>
    <w:rsid w:val="009840A6"/>
    <w:rsid w:val="0098419C"/>
    <w:rsid w:val="009841B6"/>
    <w:rsid w:val="009842A4"/>
    <w:rsid w:val="0098457A"/>
    <w:rsid w:val="0098488F"/>
    <w:rsid w:val="009848D4"/>
    <w:rsid w:val="00984929"/>
    <w:rsid w:val="00984A0D"/>
    <w:rsid w:val="00984B9F"/>
    <w:rsid w:val="00984D27"/>
    <w:rsid w:val="00984EAE"/>
    <w:rsid w:val="00984F5E"/>
    <w:rsid w:val="0098513B"/>
    <w:rsid w:val="00985296"/>
    <w:rsid w:val="009853FE"/>
    <w:rsid w:val="00985450"/>
    <w:rsid w:val="009856B5"/>
    <w:rsid w:val="009856BF"/>
    <w:rsid w:val="009856F9"/>
    <w:rsid w:val="00985705"/>
    <w:rsid w:val="009858C2"/>
    <w:rsid w:val="009859B3"/>
    <w:rsid w:val="00985C19"/>
    <w:rsid w:val="00985C90"/>
    <w:rsid w:val="00985CC4"/>
    <w:rsid w:val="00985CE6"/>
    <w:rsid w:val="00985D77"/>
    <w:rsid w:val="00985FB5"/>
    <w:rsid w:val="0098601C"/>
    <w:rsid w:val="0098634E"/>
    <w:rsid w:val="00986435"/>
    <w:rsid w:val="00986454"/>
    <w:rsid w:val="00986728"/>
    <w:rsid w:val="0098672E"/>
    <w:rsid w:val="00986768"/>
    <w:rsid w:val="00986B80"/>
    <w:rsid w:val="00986BAA"/>
    <w:rsid w:val="00986BF9"/>
    <w:rsid w:val="00986C1B"/>
    <w:rsid w:val="00986CB8"/>
    <w:rsid w:val="00986E63"/>
    <w:rsid w:val="00986F95"/>
    <w:rsid w:val="00986FBE"/>
    <w:rsid w:val="00987009"/>
    <w:rsid w:val="00987123"/>
    <w:rsid w:val="00987147"/>
    <w:rsid w:val="009873E1"/>
    <w:rsid w:val="0098746A"/>
    <w:rsid w:val="009875E3"/>
    <w:rsid w:val="00987603"/>
    <w:rsid w:val="00987675"/>
    <w:rsid w:val="00987A12"/>
    <w:rsid w:val="00987AA0"/>
    <w:rsid w:val="00987E19"/>
    <w:rsid w:val="00987E2A"/>
    <w:rsid w:val="00987E49"/>
    <w:rsid w:val="00987E76"/>
    <w:rsid w:val="00987E79"/>
    <w:rsid w:val="00987F14"/>
    <w:rsid w:val="00987FCD"/>
    <w:rsid w:val="0099028B"/>
    <w:rsid w:val="009902FC"/>
    <w:rsid w:val="0099033C"/>
    <w:rsid w:val="00990528"/>
    <w:rsid w:val="0099053D"/>
    <w:rsid w:val="00990576"/>
    <w:rsid w:val="009909C7"/>
    <w:rsid w:val="00990C15"/>
    <w:rsid w:val="00990D77"/>
    <w:rsid w:val="00990F79"/>
    <w:rsid w:val="00990F99"/>
    <w:rsid w:val="009910A7"/>
    <w:rsid w:val="00991281"/>
    <w:rsid w:val="009913BF"/>
    <w:rsid w:val="00991844"/>
    <w:rsid w:val="009919F2"/>
    <w:rsid w:val="00991AF6"/>
    <w:rsid w:val="00991C48"/>
    <w:rsid w:val="00991CC4"/>
    <w:rsid w:val="00991DE8"/>
    <w:rsid w:val="00991F3A"/>
    <w:rsid w:val="00991F8C"/>
    <w:rsid w:val="00991F9C"/>
    <w:rsid w:val="00992082"/>
    <w:rsid w:val="00992096"/>
    <w:rsid w:val="0099217D"/>
    <w:rsid w:val="009924EB"/>
    <w:rsid w:val="0099267F"/>
    <w:rsid w:val="00992897"/>
    <w:rsid w:val="009928C9"/>
    <w:rsid w:val="0099293C"/>
    <w:rsid w:val="009929C9"/>
    <w:rsid w:val="00992A5D"/>
    <w:rsid w:val="00992A88"/>
    <w:rsid w:val="00992AAC"/>
    <w:rsid w:val="00992AB1"/>
    <w:rsid w:val="00992C1F"/>
    <w:rsid w:val="00992C54"/>
    <w:rsid w:val="00992CAB"/>
    <w:rsid w:val="00992FEA"/>
    <w:rsid w:val="00993038"/>
    <w:rsid w:val="0099304A"/>
    <w:rsid w:val="00993100"/>
    <w:rsid w:val="00993253"/>
    <w:rsid w:val="009932C2"/>
    <w:rsid w:val="0099330E"/>
    <w:rsid w:val="0099343D"/>
    <w:rsid w:val="009935D2"/>
    <w:rsid w:val="009935F7"/>
    <w:rsid w:val="0099368B"/>
    <w:rsid w:val="00993A73"/>
    <w:rsid w:val="00993ADD"/>
    <w:rsid w:val="00993C44"/>
    <w:rsid w:val="00993CEA"/>
    <w:rsid w:val="00993E0B"/>
    <w:rsid w:val="00993E7E"/>
    <w:rsid w:val="00993F2F"/>
    <w:rsid w:val="00993F4A"/>
    <w:rsid w:val="00993F6D"/>
    <w:rsid w:val="00993FE6"/>
    <w:rsid w:val="00994019"/>
    <w:rsid w:val="009941C3"/>
    <w:rsid w:val="00994223"/>
    <w:rsid w:val="009944B9"/>
    <w:rsid w:val="009944E1"/>
    <w:rsid w:val="00994638"/>
    <w:rsid w:val="009946B8"/>
    <w:rsid w:val="0099474B"/>
    <w:rsid w:val="0099486F"/>
    <w:rsid w:val="00994893"/>
    <w:rsid w:val="0099492C"/>
    <w:rsid w:val="00994A3A"/>
    <w:rsid w:val="00994B05"/>
    <w:rsid w:val="00994C98"/>
    <w:rsid w:val="00994CBD"/>
    <w:rsid w:val="00994E76"/>
    <w:rsid w:val="00994F0F"/>
    <w:rsid w:val="00994FF6"/>
    <w:rsid w:val="0099502D"/>
    <w:rsid w:val="00995080"/>
    <w:rsid w:val="00995117"/>
    <w:rsid w:val="009951C8"/>
    <w:rsid w:val="009951FE"/>
    <w:rsid w:val="00995232"/>
    <w:rsid w:val="00995305"/>
    <w:rsid w:val="00995388"/>
    <w:rsid w:val="0099570C"/>
    <w:rsid w:val="009958AC"/>
    <w:rsid w:val="009958FF"/>
    <w:rsid w:val="00995947"/>
    <w:rsid w:val="00995B2A"/>
    <w:rsid w:val="00995B7D"/>
    <w:rsid w:val="00995B96"/>
    <w:rsid w:val="00995C01"/>
    <w:rsid w:val="00995CE7"/>
    <w:rsid w:val="00996093"/>
    <w:rsid w:val="00996324"/>
    <w:rsid w:val="00996390"/>
    <w:rsid w:val="00996415"/>
    <w:rsid w:val="00996603"/>
    <w:rsid w:val="00996791"/>
    <w:rsid w:val="00996C77"/>
    <w:rsid w:val="00997043"/>
    <w:rsid w:val="00997217"/>
    <w:rsid w:val="0099740D"/>
    <w:rsid w:val="00997457"/>
    <w:rsid w:val="00997644"/>
    <w:rsid w:val="009976EC"/>
    <w:rsid w:val="009978E4"/>
    <w:rsid w:val="009979E8"/>
    <w:rsid w:val="00997A3C"/>
    <w:rsid w:val="00997B18"/>
    <w:rsid w:val="00997BBE"/>
    <w:rsid w:val="00997D47"/>
    <w:rsid w:val="00997F12"/>
    <w:rsid w:val="00997F72"/>
    <w:rsid w:val="00997FF0"/>
    <w:rsid w:val="009A00F0"/>
    <w:rsid w:val="009A0144"/>
    <w:rsid w:val="009A01B5"/>
    <w:rsid w:val="009A027A"/>
    <w:rsid w:val="009A0436"/>
    <w:rsid w:val="009A04AB"/>
    <w:rsid w:val="009A07C4"/>
    <w:rsid w:val="009A08F4"/>
    <w:rsid w:val="009A09B8"/>
    <w:rsid w:val="009A0AC2"/>
    <w:rsid w:val="009A0AE4"/>
    <w:rsid w:val="009A0B25"/>
    <w:rsid w:val="009A0C35"/>
    <w:rsid w:val="009A0D2C"/>
    <w:rsid w:val="009A0DC9"/>
    <w:rsid w:val="009A0E40"/>
    <w:rsid w:val="009A0E45"/>
    <w:rsid w:val="009A0E5D"/>
    <w:rsid w:val="009A1083"/>
    <w:rsid w:val="009A115F"/>
    <w:rsid w:val="009A11B3"/>
    <w:rsid w:val="009A11E7"/>
    <w:rsid w:val="009A1220"/>
    <w:rsid w:val="009A13BA"/>
    <w:rsid w:val="009A166A"/>
    <w:rsid w:val="009A1791"/>
    <w:rsid w:val="009A189F"/>
    <w:rsid w:val="009A1A5A"/>
    <w:rsid w:val="009A1A87"/>
    <w:rsid w:val="009A1AA6"/>
    <w:rsid w:val="009A1CBB"/>
    <w:rsid w:val="009A1E37"/>
    <w:rsid w:val="009A1EBB"/>
    <w:rsid w:val="009A2013"/>
    <w:rsid w:val="009A207B"/>
    <w:rsid w:val="009A215F"/>
    <w:rsid w:val="009A23BB"/>
    <w:rsid w:val="009A24BB"/>
    <w:rsid w:val="009A2766"/>
    <w:rsid w:val="009A27BC"/>
    <w:rsid w:val="009A2803"/>
    <w:rsid w:val="009A2932"/>
    <w:rsid w:val="009A2CBC"/>
    <w:rsid w:val="009A2D5C"/>
    <w:rsid w:val="009A2D6B"/>
    <w:rsid w:val="009A2E00"/>
    <w:rsid w:val="009A2E3C"/>
    <w:rsid w:val="009A2ECB"/>
    <w:rsid w:val="009A2ED8"/>
    <w:rsid w:val="009A2F3B"/>
    <w:rsid w:val="009A2FA5"/>
    <w:rsid w:val="009A30C9"/>
    <w:rsid w:val="009A3133"/>
    <w:rsid w:val="009A3208"/>
    <w:rsid w:val="009A3282"/>
    <w:rsid w:val="009A33C7"/>
    <w:rsid w:val="009A3450"/>
    <w:rsid w:val="009A3505"/>
    <w:rsid w:val="009A3557"/>
    <w:rsid w:val="009A36E1"/>
    <w:rsid w:val="009A37AF"/>
    <w:rsid w:val="009A37F0"/>
    <w:rsid w:val="009A391A"/>
    <w:rsid w:val="009A3B0D"/>
    <w:rsid w:val="009A3BCA"/>
    <w:rsid w:val="009A3BE7"/>
    <w:rsid w:val="009A3C0A"/>
    <w:rsid w:val="009A3DA6"/>
    <w:rsid w:val="009A3DB8"/>
    <w:rsid w:val="009A3EEB"/>
    <w:rsid w:val="009A4009"/>
    <w:rsid w:val="009A4409"/>
    <w:rsid w:val="009A44BD"/>
    <w:rsid w:val="009A4551"/>
    <w:rsid w:val="009A45EC"/>
    <w:rsid w:val="009A4636"/>
    <w:rsid w:val="009A4701"/>
    <w:rsid w:val="009A4731"/>
    <w:rsid w:val="009A474A"/>
    <w:rsid w:val="009A4802"/>
    <w:rsid w:val="009A4824"/>
    <w:rsid w:val="009A483A"/>
    <w:rsid w:val="009A493A"/>
    <w:rsid w:val="009A4961"/>
    <w:rsid w:val="009A4A94"/>
    <w:rsid w:val="009A4AB0"/>
    <w:rsid w:val="009A508E"/>
    <w:rsid w:val="009A5314"/>
    <w:rsid w:val="009A5360"/>
    <w:rsid w:val="009A54C8"/>
    <w:rsid w:val="009A54DD"/>
    <w:rsid w:val="009A5600"/>
    <w:rsid w:val="009A5751"/>
    <w:rsid w:val="009A57D1"/>
    <w:rsid w:val="009A58B7"/>
    <w:rsid w:val="009A5994"/>
    <w:rsid w:val="009A59D8"/>
    <w:rsid w:val="009A5AE1"/>
    <w:rsid w:val="009A5CAD"/>
    <w:rsid w:val="009A5EC2"/>
    <w:rsid w:val="009A624D"/>
    <w:rsid w:val="009A6263"/>
    <w:rsid w:val="009A6266"/>
    <w:rsid w:val="009A629E"/>
    <w:rsid w:val="009A63E6"/>
    <w:rsid w:val="009A6568"/>
    <w:rsid w:val="009A6591"/>
    <w:rsid w:val="009A65AE"/>
    <w:rsid w:val="009A6628"/>
    <w:rsid w:val="009A66FC"/>
    <w:rsid w:val="009A6713"/>
    <w:rsid w:val="009A67DE"/>
    <w:rsid w:val="009A6819"/>
    <w:rsid w:val="009A69B5"/>
    <w:rsid w:val="009A6AD9"/>
    <w:rsid w:val="009A6C28"/>
    <w:rsid w:val="009A6EBC"/>
    <w:rsid w:val="009A6EDB"/>
    <w:rsid w:val="009A6EE3"/>
    <w:rsid w:val="009A6FBE"/>
    <w:rsid w:val="009A6FDC"/>
    <w:rsid w:val="009A724F"/>
    <w:rsid w:val="009A73C7"/>
    <w:rsid w:val="009A7425"/>
    <w:rsid w:val="009A7523"/>
    <w:rsid w:val="009A770A"/>
    <w:rsid w:val="009A7846"/>
    <w:rsid w:val="009A78D6"/>
    <w:rsid w:val="009A7B0B"/>
    <w:rsid w:val="009A7B0C"/>
    <w:rsid w:val="009A7C2A"/>
    <w:rsid w:val="009A7D00"/>
    <w:rsid w:val="009A7D84"/>
    <w:rsid w:val="009A7E60"/>
    <w:rsid w:val="009A7EAE"/>
    <w:rsid w:val="009A7EDD"/>
    <w:rsid w:val="009A7F2C"/>
    <w:rsid w:val="009A7F8D"/>
    <w:rsid w:val="009B0030"/>
    <w:rsid w:val="009B00B1"/>
    <w:rsid w:val="009B01B6"/>
    <w:rsid w:val="009B0887"/>
    <w:rsid w:val="009B0A77"/>
    <w:rsid w:val="009B0CD7"/>
    <w:rsid w:val="009B0DC4"/>
    <w:rsid w:val="009B0F48"/>
    <w:rsid w:val="009B1026"/>
    <w:rsid w:val="009B1114"/>
    <w:rsid w:val="009B13BB"/>
    <w:rsid w:val="009B160E"/>
    <w:rsid w:val="009B167B"/>
    <w:rsid w:val="009B1744"/>
    <w:rsid w:val="009B179D"/>
    <w:rsid w:val="009B191A"/>
    <w:rsid w:val="009B194A"/>
    <w:rsid w:val="009B19B6"/>
    <w:rsid w:val="009B1A8D"/>
    <w:rsid w:val="009B1B8F"/>
    <w:rsid w:val="009B1CD3"/>
    <w:rsid w:val="009B1D46"/>
    <w:rsid w:val="009B1D68"/>
    <w:rsid w:val="009B1D86"/>
    <w:rsid w:val="009B1E56"/>
    <w:rsid w:val="009B1EB1"/>
    <w:rsid w:val="009B2096"/>
    <w:rsid w:val="009B2128"/>
    <w:rsid w:val="009B221B"/>
    <w:rsid w:val="009B225A"/>
    <w:rsid w:val="009B2322"/>
    <w:rsid w:val="009B239E"/>
    <w:rsid w:val="009B23B6"/>
    <w:rsid w:val="009B2540"/>
    <w:rsid w:val="009B2593"/>
    <w:rsid w:val="009B25B0"/>
    <w:rsid w:val="009B27B8"/>
    <w:rsid w:val="009B28D8"/>
    <w:rsid w:val="009B28DE"/>
    <w:rsid w:val="009B29E4"/>
    <w:rsid w:val="009B2A0F"/>
    <w:rsid w:val="009B2AA3"/>
    <w:rsid w:val="009B2B5F"/>
    <w:rsid w:val="009B2C8A"/>
    <w:rsid w:val="009B2CC5"/>
    <w:rsid w:val="009B2EA1"/>
    <w:rsid w:val="009B2FB4"/>
    <w:rsid w:val="009B3130"/>
    <w:rsid w:val="009B3308"/>
    <w:rsid w:val="009B3554"/>
    <w:rsid w:val="009B3565"/>
    <w:rsid w:val="009B364D"/>
    <w:rsid w:val="009B3A65"/>
    <w:rsid w:val="009B3C6B"/>
    <w:rsid w:val="009B3D94"/>
    <w:rsid w:val="009B3DF2"/>
    <w:rsid w:val="009B422A"/>
    <w:rsid w:val="009B427B"/>
    <w:rsid w:val="009B429F"/>
    <w:rsid w:val="009B43F3"/>
    <w:rsid w:val="009B4445"/>
    <w:rsid w:val="009B44EC"/>
    <w:rsid w:val="009B45C4"/>
    <w:rsid w:val="009B47CD"/>
    <w:rsid w:val="009B486F"/>
    <w:rsid w:val="009B48B2"/>
    <w:rsid w:val="009B49CB"/>
    <w:rsid w:val="009B4A70"/>
    <w:rsid w:val="009B4B6B"/>
    <w:rsid w:val="009B4F0A"/>
    <w:rsid w:val="009B4F68"/>
    <w:rsid w:val="009B4FE4"/>
    <w:rsid w:val="009B4FF0"/>
    <w:rsid w:val="009B50EC"/>
    <w:rsid w:val="009B5107"/>
    <w:rsid w:val="009B51C3"/>
    <w:rsid w:val="009B51E3"/>
    <w:rsid w:val="009B522B"/>
    <w:rsid w:val="009B5369"/>
    <w:rsid w:val="009B5446"/>
    <w:rsid w:val="009B562E"/>
    <w:rsid w:val="009B573F"/>
    <w:rsid w:val="009B575F"/>
    <w:rsid w:val="009B5804"/>
    <w:rsid w:val="009B588B"/>
    <w:rsid w:val="009B58CF"/>
    <w:rsid w:val="009B5988"/>
    <w:rsid w:val="009B59C0"/>
    <w:rsid w:val="009B5A49"/>
    <w:rsid w:val="009B5C83"/>
    <w:rsid w:val="009B5EC2"/>
    <w:rsid w:val="009B5EFB"/>
    <w:rsid w:val="009B6056"/>
    <w:rsid w:val="009B61A4"/>
    <w:rsid w:val="009B61E3"/>
    <w:rsid w:val="009B61E9"/>
    <w:rsid w:val="009B62BA"/>
    <w:rsid w:val="009B63BF"/>
    <w:rsid w:val="009B64C5"/>
    <w:rsid w:val="009B657D"/>
    <w:rsid w:val="009B679F"/>
    <w:rsid w:val="009B682A"/>
    <w:rsid w:val="009B68BA"/>
    <w:rsid w:val="009B68E0"/>
    <w:rsid w:val="009B6908"/>
    <w:rsid w:val="009B6A18"/>
    <w:rsid w:val="009B6C56"/>
    <w:rsid w:val="009B7139"/>
    <w:rsid w:val="009B7145"/>
    <w:rsid w:val="009B72A3"/>
    <w:rsid w:val="009B73F5"/>
    <w:rsid w:val="009B74D9"/>
    <w:rsid w:val="009B7579"/>
    <w:rsid w:val="009B75EE"/>
    <w:rsid w:val="009B772D"/>
    <w:rsid w:val="009B7955"/>
    <w:rsid w:val="009B7C1E"/>
    <w:rsid w:val="009B7DF7"/>
    <w:rsid w:val="009B7DFB"/>
    <w:rsid w:val="009B7EC6"/>
    <w:rsid w:val="009B7EEE"/>
    <w:rsid w:val="009B7FE8"/>
    <w:rsid w:val="009C01BF"/>
    <w:rsid w:val="009C01EE"/>
    <w:rsid w:val="009C02AE"/>
    <w:rsid w:val="009C02F7"/>
    <w:rsid w:val="009C03D0"/>
    <w:rsid w:val="009C0551"/>
    <w:rsid w:val="009C0742"/>
    <w:rsid w:val="009C0776"/>
    <w:rsid w:val="009C0852"/>
    <w:rsid w:val="009C09FD"/>
    <w:rsid w:val="009C0A2E"/>
    <w:rsid w:val="009C0ABE"/>
    <w:rsid w:val="009C0C4E"/>
    <w:rsid w:val="009C0C80"/>
    <w:rsid w:val="009C0CC7"/>
    <w:rsid w:val="009C0D2C"/>
    <w:rsid w:val="009C10B0"/>
    <w:rsid w:val="009C1123"/>
    <w:rsid w:val="009C119B"/>
    <w:rsid w:val="009C11CF"/>
    <w:rsid w:val="009C1216"/>
    <w:rsid w:val="009C130B"/>
    <w:rsid w:val="009C1321"/>
    <w:rsid w:val="009C14A8"/>
    <w:rsid w:val="009C14B2"/>
    <w:rsid w:val="009C1501"/>
    <w:rsid w:val="009C173C"/>
    <w:rsid w:val="009C1981"/>
    <w:rsid w:val="009C1A2E"/>
    <w:rsid w:val="009C1AF4"/>
    <w:rsid w:val="009C1C43"/>
    <w:rsid w:val="009C1DDD"/>
    <w:rsid w:val="009C1FE1"/>
    <w:rsid w:val="009C206A"/>
    <w:rsid w:val="009C20C1"/>
    <w:rsid w:val="009C20F0"/>
    <w:rsid w:val="009C20FB"/>
    <w:rsid w:val="009C217B"/>
    <w:rsid w:val="009C2346"/>
    <w:rsid w:val="009C27B0"/>
    <w:rsid w:val="009C2A1D"/>
    <w:rsid w:val="009C2C37"/>
    <w:rsid w:val="009C2CED"/>
    <w:rsid w:val="009C2D9E"/>
    <w:rsid w:val="009C2E02"/>
    <w:rsid w:val="009C2E05"/>
    <w:rsid w:val="009C2E4E"/>
    <w:rsid w:val="009C2F72"/>
    <w:rsid w:val="009C3066"/>
    <w:rsid w:val="009C31CE"/>
    <w:rsid w:val="009C32DD"/>
    <w:rsid w:val="009C34BE"/>
    <w:rsid w:val="009C3789"/>
    <w:rsid w:val="009C37C4"/>
    <w:rsid w:val="009C38F4"/>
    <w:rsid w:val="009C3985"/>
    <w:rsid w:val="009C3989"/>
    <w:rsid w:val="009C3B7C"/>
    <w:rsid w:val="009C3CCD"/>
    <w:rsid w:val="009C3E8D"/>
    <w:rsid w:val="009C4041"/>
    <w:rsid w:val="009C437A"/>
    <w:rsid w:val="009C46EC"/>
    <w:rsid w:val="009C4983"/>
    <w:rsid w:val="009C49B3"/>
    <w:rsid w:val="009C4DA4"/>
    <w:rsid w:val="009C4DEC"/>
    <w:rsid w:val="009C4DFB"/>
    <w:rsid w:val="009C4F32"/>
    <w:rsid w:val="009C4FCA"/>
    <w:rsid w:val="009C507A"/>
    <w:rsid w:val="009C5101"/>
    <w:rsid w:val="009C5232"/>
    <w:rsid w:val="009C5757"/>
    <w:rsid w:val="009C589C"/>
    <w:rsid w:val="009C58D2"/>
    <w:rsid w:val="009C59C8"/>
    <w:rsid w:val="009C5BE1"/>
    <w:rsid w:val="009C5D78"/>
    <w:rsid w:val="009C6069"/>
    <w:rsid w:val="009C619D"/>
    <w:rsid w:val="009C61AA"/>
    <w:rsid w:val="009C61E8"/>
    <w:rsid w:val="009C628C"/>
    <w:rsid w:val="009C63A4"/>
    <w:rsid w:val="009C64AF"/>
    <w:rsid w:val="009C6571"/>
    <w:rsid w:val="009C65EB"/>
    <w:rsid w:val="009C665C"/>
    <w:rsid w:val="009C66FC"/>
    <w:rsid w:val="009C6909"/>
    <w:rsid w:val="009C6A0D"/>
    <w:rsid w:val="009C6BEA"/>
    <w:rsid w:val="009C6C88"/>
    <w:rsid w:val="009C6D77"/>
    <w:rsid w:val="009C6F88"/>
    <w:rsid w:val="009C72B3"/>
    <w:rsid w:val="009C7437"/>
    <w:rsid w:val="009C74FF"/>
    <w:rsid w:val="009C75DF"/>
    <w:rsid w:val="009C75F4"/>
    <w:rsid w:val="009C7666"/>
    <w:rsid w:val="009C786D"/>
    <w:rsid w:val="009C78E8"/>
    <w:rsid w:val="009C7A05"/>
    <w:rsid w:val="009C7B34"/>
    <w:rsid w:val="009C7BD3"/>
    <w:rsid w:val="009C7D75"/>
    <w:rsid w:val="009C7E3E"/>
    <w:rsid w:val="009C7F9D"/>
    <w:rsid w:val="009D00D8"/>
    <w:rsid w:val="009D00E3"/>
    <w:rsid w:val="009D01AD"/>
    <w:rsid w:val="009D01BE"/>
    <w:rsid w:val="009D01EC"/>
    <w:rsid w:val="009D028E"/>
    <w:rsid w:val="009D04F3"/>
    <w:rsid w:val="009D053F"/>
    <w:rsid w:val="009D0574"/>
    <w:rsid w:val="009D0692"/>
    <w:rsid w:val="009D07CB"/>
    <w:rsid w:val="009D08F9"/>
    <w:rsid w:val="009D0924"/>
    <w:rsid w:val="009D0A2C"/>
    <w:rsid w:val="009D0A81"/>
    <w:rsid w:val="009D0A91"/>
    <w:rsid w:val="009D0C3B"/>
    <w:rsid w:val="009D0E15"/>
    <w:rsid w:val="009D0F64"/>
    <w:rsid w:val="009D1007"/>
    <w:rsid w:val="009D1194"/>
    <w:rsid w:val="009D11EC"/>
    <w:rsid w:val="009D1471"/>
    <w:rsid w:val="009D14A5"/>
    <w:rsid w:val="009D14C1"/>
    <w:rsid w:val="009D1533"/>
    <w:rsid w:val="009D1816"/>
    <w:rsid w:val="009D1877"/>
    <w:rsid w:val="009D18BB"/>
    <w:rsid w:val="009D1A5D"/>
    <w:rsid w:val="009D1A5F"/>
    <w:rsid w:val="009D1BFB"/>
    <w:rsid w:val="009D1DC3"/>
    <w:rsid w:val="009D1ED1"/>
    <w:rsid w:val="009D1FCD"/>
    <w:rsid w:val="009D20D7"/>
    <w:rsid w:val="009D21B4"/>
    <w:rsid w:val="009D2420"/>
    <w:rsid w:val="009D243E"/>
    <w:rsid w:val="009D24EE"/>
    <w:rsid w:val="009D25D9"/>
    <w:rsid w:val="009D2633"/>
    <w:rsid w:val="009D2653"/>
    <w:rsid w:val="009D2751"/>
    <w:rsid w:val="009D2799"/>
    <w:rsid w:val="009D27D5"/>
    <w:rsid w:val="009D28B8"/>
    <w:rsid w:val="009D28BF"/>
    <w:rsid w:val="009D2958"/>
    <w:rsid w:val="009D2B89"/>
    <w:rsid w:val="009D2BD0"/>
    <w:rsid w:val="009D2BE7"/>
    <w:rsid w:val="009D2C52"/>
    <w:rsid w:val="009D2C96"/>
    <w:rsid w:val="009D2CBE"/>
    <w:rsid w:val="009D2D41"/>
    <w:rsid w:val="009D2D5B"/>
    <w:rsid w:val="009D2EB0"/>
    <w:rsid w:val="009D311F"/>
    <w:rsid w:val="009D315F"/>
    <w:rsid w:val="009D31B2"/>
    <w:rsid w:val="009D36FF"/>
    <w:rsid w:val="009D3749"/>
    <w:rsid w:val="009D37B8"/>
    <w:rsid w:val="009D3977"/>
    <w:rsid w:val="009D39C4"/>
    <w:rsid w:val="009D3AC0"/>
    <w:rsid w:val="009D3E7C"/>
    <w:rsid w:val="009D4003"/>
    <w:rsid w:val="009D4161"/>
    <w:rsid w:val="009D41BD"/>
    <w:rsid w:val="009D423B"/>
    <w:rsid w:val="009D43A8"/>
    <w:rsid w:val="009D4421"/>
    <w:rsid w:val="009D44BD"/>
    <w:rsid w:val="009D474C"/>
    <w:rsid w:val="009D4B3C"/>
    <w:rsid w:val="009D4ED9"/>
    <w:rsid w:val="009D4EE7"/>
    <w:rsid w:val="009D50D2"/>
    <w:rsid w:val="009D5158"/>
    <w:rsid w:val="009D5399"/>
    <w:rsid w:val="009D543F"/>
    <w:rsid w:val="009D5516"/>
    <w:rsid w:val="009D5584"/>
    <w:rsid w:val="009D56BC"/>
    <w:rsid w:val="009D56FB"/>
    <w:rsid w:val="009D59D3"/>
    <w:rsid w:val="009D5A07"/>
    <w:rsid w:val="009D5A21"/>
    <w:rsid w:val="009D5A75"/>
    <w:rsid w:val="009D5AE4"/>
    <w:rsid w:val="009D5BBA"/>
    <w:rsid w:val="009D5BCA"/>
    <w:rsid w:val="009D5CBD"/>
    <w:rsid w:val="009D5DD4"/>
    <w:rsid w:val="009D5DEE"/>
    <w:rsid w:val="009D604F"/>
    <w:rsid w:val="009D6153"/>
    <w:rsid w:val="009D615D"/>
    <w:rsid w:val="009D622B"/>
    <w:rsid w:val="009D6386"/>
    <w:rsid w:val="009D6460"/>
    <w:rsid w:val="009D649B"/>
    <w:rsid w:val="009D64F8"/>
    <w:rsid w:val="009D6527"/>
    <w:rsid w:val="009D6787"/>
    <w:rsid w:val="009D6887"/>
    <w:rsid w:val="009D6B4A"/>
    <w:rsid w:val="009D6CDC"/>
    <w:rsid w:val="009D6E79"/>
    <w:rsid w:val="009D6F34"/>
    <w:rsid w:val="009D70B9"/>
    <w:rsid w:val="009D7141"/>
    <w:rsid w:val="009D735B"/>
    <w:rsid w:val="009D745B"/>
    <w:rsid w:val="009D75B3"/>
    <w:rsid w:val="009D7615"/>
    <w:rsid w:val="009D76A6"/>
    <w:rsid w:val="009D76B3"/>
    <w:rsid w:val="009D7740"/>
    <w:rsid w:val="009D7869"/>
    <w:rsid w:val="009D7898"/>
    <w:rsid w:val="009D7B4A"/>
    <w:rsid w:val="009D7C07"/>
    <w:rsid w:val="009D7C46"/>
    <w:rsid w:val="009E035F"/>
    <w:rsid w:val="009E03DD"/>
    <w:rsid w:val="009E0512"/>
    <w:rsid w:val="009E0862"/>
    <w:rsid w:val="009E0B81"/>
    <w:rsid w:val="009E0C54"/>
    <w:rsid w:val="009E0E4E"/>
    <w:rsid w:val="009E0EC3"/>
    <w:rsid w:val="009E1033"/>
    <w:rsid w:val="009E134F"/>
    <w:rsid w:val="009E1480"/>
    <w:rsid w:val="009E14F1"/>
    <w:rsid w:val="009E15AD"/>
    <w:rsid w:val="009E15CF"/>
    <w:rsid w:val="009E15FF"/>
    <w:rsid w:val="009E1610"/>
    <w:rsid w:val="009E17E9"/>
    <w:rsid w:val="009E1896"/>
    <w:rsid w:val="009E1996"/>
    <w:rsid w:val="009E1AA6"/>
    <w:rsid w:val="009E1AE7"/>
    <w:rsid w:val="009E1CB6"/>
    <w:rsid w:val="009E1F4D"/>
    <w:rsid w:val="009E2039"/>
    <w:rsid w:val="009E20AA"/>
    <w:rsid w:val="009E2117"/>
    <w:rsid w:val="009E2152"/>
    <w:rsid w:val="009E2159"/>
    <w:rsid w:val="009E243B"/>
    <w:rsid w:val="009E24B8"/>
    <w:rsid w:val="009E2743"/>
    <w:rsid w:val="009E28E7"/>
    <w:rsid w:val="009E294A"/>
    <w:rsid w:val="009E2AD4"/>
    <w:rsid w:val="009E2C55"/>
    <w:rsid w:val="009E2CCA"/>
    <w:rsid w:val="009E2E49"/>
    <w:rsid w:val="009E2F25"/>
    <w:rsid w:val="009E3157"/>
    <w:rsid w:val="009E3201"/>
    <w:rsid w:val="009E3284"/>
    <w:rsid w:val="009E3394"/>
    <w:rsid w:val="009E3398"/>
    <w:rsid w:val="009E366C"/>
    <w:rsid w:val="009E38C4"/>
    <w:rsid w:val="009E3972"/>
    <w:rsid w:val="009E39E0"/>
    <w:rsid w:val="009E3A2C"/>
    <w:rsid w:val="009E3AE7"/>
    <w:rsid w:val="009E3B08"/>
    <w:rsid w:val="009E3BB7"/>
    <w:rsid w:val="009E3E36"/>
    <w:rsid w:val="009E3EB7"/>
    <w:rsid w:val="009E3FD0"/>
    <w:rsid w:val="009E40E3"/>
    <w:rsid w:val="009E41AA"/>
    <w:rsid w:val="009E4310"/>
    <w:rsid w:val="009E441D"/>
    <w:rsid w:val="009E455E"/>
    <w:rsid w:val="009E4679"/>
    <w:rsid w:val="009E495A"/>
    <w:rsid w:val="009E49FF"/>
    <w:rsid w:val="009E4C44"/>
    <w:rsid w:val="009E4C4B"/>
    <w:rsid w:val="009E4C6D"/>
    <w:rsid w:val="009E4D5D"/>
    <w:rsid w:val="009E4D66"/>
    <w:rsid w:val="009E4DB7"/>
    <w:rsid w:val="009E4E97"/>
    <w:rsid w:val="009E4ED5"/>
    <w:rsid w:val="009E4F12"/>
    <w:rsid w:val="009E4F3E"/>
    <w:rsid w:val="009E4F92"/>
    <w:rsid w:val="009E50F9"/>
    <w:rsid w:val="009E5237"/>
    <w:rsid w:val="009E524C"/>
    <w:rsid w:val="009E5565"/>
    <w:rsid w:val="009E5576"/>
    <w:rsid w:val="009E55C1"/>
    <w:rsid w:val="009E5668"/>
    <w:rsid w:val="009E5894"/>
    <w:rsid w:val="009E5901"/>
    <w:rsid w:val="009E5B74"/>
    <w:rsid w:val="009E5C30"/>
    <w:rsid w:val="009E5C31"/>
    <w:rsid w:val="009E5CC6"/>
    <w:rsid w:val="009E5D12"/>
    <w:rsid w:val="009E5E8F"/>
    <w:rsid w:val="009E5F1B"/>
    <w:rsid w:val="009E5FDE"/>
    <w:rsid w:val="009E6002"/>
    <w:rsid w:val="009E61C2"/>
    <w:rsid w:val="009E6208"/>
    <w:rsid w:val="009E626E"/>
    <w:rsid w:val="009E6301"/>
    <w:rsid w:val="009E6336"/>
    <w:rsid w:val="009E6445"/>
    <w:rsid w:val="009E668C"/>
    <w:rsid w:val="009E66C0"/>
    <w:rsid w:val="009E671F"/>
    <w:rsid w:val="009E6978"/>
    <w:rsid w:val="009E6983"/>
    <w:rsid w:val="009E6B3B"/>
    <w:rsid w:val="009E6F87"/>
    <w:rsid w:val="009E74E0"/>
    <w:rsid w:val="009E7552"/>
    <w:rsid w:val="009E760C"/>
    <w:rsid w:val="009E761C"/>
    <w:rsid w:val="009E7B32"/>
    <w:rsid w:val="009E7BF4"/>
    <w:rsid w:val="009E7CA0"/>
    <w:rsid w:val="009E7D61"/>
    <w:rsid w:val="009E7F13"/>
    <w:rsid w:val="009E7F9E"/>
    <w:rsid w:val="009E7FA1"/>
    <w:rsid w:val="009F00D1"/>
    <w:rsid w:val="009F0245"/>
    <w:rsid w:val="009F0248"/>
    <w:rsid w:val="009F028E"/>
    <w:rsid w:val="009F0416"/>
    <w:rsid w:val="009F04F6"/>
    <w:rsid w:val="009F0574"/>
    <w:rsid w:val="009F0649"/>
    <w:rsid w:val="009F0654"/>
    <w:rsid w:val="009F0681"/>
    <w:rsid w:val="009F0913"/>
    <w:rsid w:val="009F0ABD"/>
    <w:rsid w:val="009F0C22"/>
    <w:rsid w:val="009F0F0A"/>
    <w:rsid w:val="009F0F23"/>
    <w:rsid w:val="009F0F33"/>
    <w:rsid w:val="009F10D0"/>
    <w:rsid w:val="009F164F"/>
    <w:rsid w:val="009F1697"/>
    <w:rsid w:val="009F1705"/>
    <w:rsid w:val="009F1B74"/>
    <w:rsid w:val="009F1B7D"/>
    <w:rsid w:val="009F1BDA"/>
    <w:rsid w:val="009F1C9C"/>
    <w:rsid w:val="009F1DAE"/>
    <w:rsid w:val="009F2076"/>
    <w:rsid w:val="009F2143"/>
    <w:rsid w:val="009F219E"/>
    <w:rsid w:val="009F2296"/>
    <w:rsid w:val="009F23EE"/>
    <w:rsid w:val="009F24F7"/>
    <w:rsid w:val="009F2501"/>
    <w:rsid w:val="009F263B"/>
    <w:rsid w:val="009F2775"/>
    <w:rsid w:val="009F277F"/>
    <w:rsid w:val="009F27F2"/>
    <w:rsid w:val="009F2843"/>
    <w:rsid w:val="009F2A8A"/>
    <w:rsid w:val="009F2B05"/>
    <w:rsid w:val="009F2B53"/>
    <w:rsid w:val="009F2B5C"/>
    <w:rsid w:val="009F2CB3"/>
    <w:rsid w:val="009F2D49"/>
    <w:rsid w:val="009F2D55"/>
    <w:rsid w:val="009F2D8E"/>
    <w:rsid w:val="009F2E8B"/>
    <w:rsid w:val="009F2F79"/>
    <w:rsid w:val="009F309F"/>
    <w:rsid w:val="009F3119"/>
    <w:rsid w:val="009F332F"/>
    <w:rsid w:val="009F339A"/>
    <w:rsid w:val="009F33B1"/>
    <w:rsid w:val="009F3453"/>
    <w:rsid w:val="009F35CA"/>
    <w:rsid w:val="009F36F5"/>
    <w:rsid w:val="009F3790"/>
    <w:rsid w:val="009F37B3"/>
    <w:rsid w:val="009F388D"/>
    <w:rsid w:val="009F38E7"/>
    <w:rsid w:val="009F3A01"/>
    <w:rsid w:val="009F3C24"/>
    <w:rsid w:val="009F3FED"/>
    <w:rsid w:val="009F4072"/>
    <w:rsid w:val="009F4263"/>
    <w:rsid w:val="009F42AE"/>
    <w:rsid w:val="009F42BB"/>
    <w:rsid w:val="009F438A"/>
    <w:rsid w:val="009F43CF"/>
    <w:rsid w:val="009F43E2"/>
    <w:rsid w:val="009F4401"/>
    <w:rsid w:val="009F4490"/>
    <w:rsid w:val="009F44B7"/>
    <w:rsid w:val="009F450B"/>
    <w:rsid w:val="009F47AE"/>
    <w:rsid w:val="009F47F9"/>
    <w:rsid w:val="009F4800"/>
    <w:rsid w:val="009F481B"/>
    <w:rsid w:val="009F4A15"/>
    <w:rsid w:val="009F4A92"/>
    <w:rsid w:val="009F4DFB"/>
    <w:rsid w:val="009F4F1D"/>
    <w:rsid w:val="009F5167"/>
    <w:rsid w:val="009F5331"/>
    <w:rsid w:val="009F5396"/>
    <w:rsid w:val="009F55A0"/>
    <w:rsid w:val="009F5694"/>
    <w:rsid w:val="009F57A9"/>
    <w:rsid w:val="009F5926"/>
    <w:rsid w:val="009F5ABB"/>
    <w:rsid w:val="009F5AC0"/>
    <w:rsid w:val="009F5DBB"/>
    <w:rsid w:val="009F5FD8"/>
    <w:rsid w:val="009F6049"/>
    <w:rsid w:val="009F60BE"/>
    <w:rsid w:val="009F60D8"/>
    <w:rsid w:val="009F647E"/>
    <w:rsid w:val="009F6483"/>
    <w:rsid w:val="009F64A5"/>
    <w:rsid w:val="009F64D8"/>
    <w:rsid w:val="009F66C1"/>
    <w:rsid w:val="009F67B0"/>
    <w:rsid w:val="009F6CE7"/>
    <w:rsid w:val="009F6E01"/>
    <w:rsid w:val="009F6E80"/>
    <w:rsid w:val="009F6FAE"/>
    <w:rsid w:val="009F6FF7"/>
    <w:rsid w:val="009F7194"/>
    <w:rsid w:val="009F71F2"/>
    <w:rsid w:val="009F72BE"/>
    <w:rsid w:val="009F72D8"/>
    <w:rsid w:val="009F7488"/>
    <w:rsid w:val="009F763D"/>
    <w:rsid w:val="009F7849"/>
    <w:rsid w:val="009F7B63"/>
    <w:rsid w:val="009F7D29"/>
    <w:rsid w:val="009F7D7B"/>
    <w:rsid w:val="009F7DFB"/>
    <w:rsid w:val="009F7EF4"/>
    <w:rsid w:val="00A0000C"/>
    <w:rsid w:val="00A001E7"/>
    <w:rsid w:val="00A00531"/>
    <w:rsid w:val="00A0070E"/>
    <w:rsid w:val="00A00ACC"/>
    <w:rsid w:val="00A00BC0"/>
    <w:rsid w:val="00A00C0B"/>
    <w:rsid w:val="00A00C1D"/>
    <w:rsid w:val="00A00C4E"/>
    <w:rsid w:val="00A00EE8"/>
    <w:rsid w:val="00A011EE"/>
    <w:rsid w:val="00A01288"/>
    <w:rsid w:val="00A012B7"/>
    <w:rsid w:val="00A01349"/>
    <w:rsid w:val="00A01357"/>
    <w:rsid w:val="00A0137A"/>
    <w:rsid w:val="00A014BA"/>
    <w:rsid w:val="00A014C2"/>
    <w:rsid w:val="00A016E7"/>
    <w:rsid w:val="00A017A2"/>
    <w:rsid w:val="00A017D7"/>
    <w:rsid w:val="00A01A12"/>
    <w:rsid w:val="00A01A74"/>
    <w:rsid w:val="00A01B04"/>
    <w:rsid w:val="00A01B83"/>
    <w:rsid w:val="00A01C95"/>
    <w:rsid w:val="00A01DB5"/>
    <w:rsid w:val="00A01F09"/>
    <w:rsid w:val="00A022D0"/>
    <w:rsid w:val="00A023A1"/>
    <w:rsid w:val="00A0249C"/>
    <w:rsid w:val="00A024A6"/>
    <w:rsid w:val="00A02550"/>
    <w:rsid w:val="00A026E9"/>
    <w:rsid w:val="00A02729"/>
    <w:rsid w:val="00A0278E"/>
    <w:rsid w:val="00A02890"/>
    <w:rsid w:val="00A028B4"/>
    <w:rsid w:val="00A028D0"/>
    <w:rsid w:val="00A02926"/>
    <w:rsid w:val="00A02AE8"/>
    <w:rsid w:val="00A02B3E"/>
    <w:rsid w:val="00A02BDC"/>
    <w:rsid w:val="00A02D63"/>
    <w:rsid w:val="00A02E1B"/>
    <w:rsid w:val="00A02E3F"/>
    <w:rsid w:val="00A02EA8"/>
    <w:rsid w:val="00A02EF0"/>
    <w:rsid w:val="00A03004"/>
    <w:rsid w:val="00A03093"/>
    <w:rsid w:val="00A0309A"/>
    <w:rsid w:val="00A03105"/>
    <w:rsid w:val="00A031C3"/>
    <w:rsid w:val="00A031CC"/>
    <w:rsid w:val="00A03221"/>
    <w:rsid w:val="00A0326F"/>
    <w:rsid w:val="00A03435"/>
    <w:rsid w:val="00A035A9"/>
    <w:rsid w:val="00A03828"/>
    <w:rsid w:val="00A038E2"/>
    <w:rsid w:val="00A03941"/>
    <w:rsid w:val="00A039FD"/>
    <w:rsid w:val="00A03BB4"/>
    <w:rsid w:val="00A041D2"/>
    <w:rsid w:val="00A04233"/>
    <w:rsid w:val="00A044DC"/>
    <w:rsid w:val="00A0461F"/>
    <w:rsid w:val="00A046C7"/>
    <w:rsid w:val="00A046E6"/>
    <w:rsid w:val="00A0477E"/>
    <w:rsid w:val="00A047D4"/>
    <w:rsid w:val="00A04EA9"/>
    <w:rsid w:val="00A05250"/>
    <w:rsid w:val="00A05301"/>
    <w:rsid w:val="00A053BD"/>
    <w:rsid w:val="00A0540C"/>
    <w:rsid w:val="00A05421"/>
    <w:rsid w:val="00A05715"/>
    <w:rsid w:val="00A05788"/>
    <w:rsid w:val="00A0596A"/>
    <w:rsid w:val="00A05AFB"/>
    <w:rsid w:val="00A05B29"/>
    <w:rsid w:val="00A05BA1"/>
    <w:rsid w:val="00A05D32"/>
    <w:rsid w:val="00A05E57"/>
    <w:rsid w:val="00A06031"/>
    <w:rsid w:val="00A06344"/>
    <w:rsid w:val="00A063AC"/>
    <w:rsid w:val="00A067B7"/>
    <w:rsid w:val="00A068E7"/>
    <w:rsid w:val="00A06933"/>
    <w:rsid w:val="00A06BF1"/>
    <w:rsid w:val="00A06C58"/>
    <w:rsid w:val="00A06F7A"/>
    <w:rsid w:val="00A070B6"/>
    <w:rsid w:val="00A07197"/>
    <w:rsid w:val="00A071FB"/>
    <w:rsid w:val="00A072D4"/>
    <w:rsid w:val="00A072EE"/>
    <w:rsid w:val="00A0741B"/>
    <w:rsid w:val="00A0747A"/>
    <w:rsid w:val="00A0748A"/>
    <w:rsid w:val="00A074DF"/>
    <w:rsid w:val="00A0751C"/>
    <w:rsid w:val="00A07995"/>
    <w:rsid w:val="00A07A4B"/>
    <w:rsid w:val="00A07C86"/>
    <w:rsid w:val="00A07CB2"/>
    <w:rsid w:val="00A07DE5"/>
    <w:rsid w:val="00A07DFE"/>
    <w:rsid w:val="00A07E9A"/>
    <w:rsid w:val="00A07EB1"/>
    <w:rsid w:val="00A07F40"/>
    <w:rsid w:val="00A0811D"/>
    <w:rsid w:val="00A10011"/>
    <w:rsid w:val="00A100E2"/>
    <w:rsid w:val="00A10107"/>
    <w:rsid w:val="00A101DC"/>
    <w:rsid w:val="00A10278"/>
    <w:rsid w:val="00A102FD"/>
    <w:rsid w:val="00A10582"/>
    <w:rsid w:val="00A105EE"/>
    <w:rsid w:val="00A106E0"/>
    <w:rsid w:val="00A10749"/>
    <w:rsid w:val="00A1097D"/>
    <w:rsid w:val="00A10992"/>
    <w:rsid w:val="00A10BBE"/>
    <w:rsid w:val="00A10D1B"/>
    <w:rsid w:val="00A10F25"/>
    <w:rsid w:val="00A110FD"/>
    <w:rsid w:val="00A11167"/>
    <w:rsid w:val="00A1123D"/>
    <w:rsid w:val="00A11291"/>
    <w:rsid w:val="00A1139B"/>
    <w:rsid w:val="00A113E3"/>
    <w:rsid w:val="00A114B0"/>
    <w:rsid w:val="00A114B9"/>
    <w:rsid w:val="00A115C5"/>
    <w:rsid w:val="00A11777"/>
    <w:rsid w:val="00A11944"/>
    <w:rsid w:val="00A1196F"/>
    <w:rsid w:val="00A11A76"/>
    <w:rsid w:val="00A11BC2"/>
    <w:rsid w:val="00A11C92"/>
    <w:rsid w:val="00A11D8A"/>
    <w:rsid w:val="00A11E41"/>
    <w:rsid w:val="00A11E48"/>
    <w:rsid w:val="00A11E53"/>
    <w:rsid w:val="00A11E68"/>
    <w:rsid w:val="00A11ECB"/>
    <w:rsid w:val="00A12124"/>
    <w:rsid w:val="00A12182"/>
    <w:rsid w:val="00A1223D"/>
    <w:rsid w:val="00A1232C"/>
    <w:rsid w:val="00A1265E"/>
    <w:rsid w:val="00A127D7"/>
    <w:rsid w:val="00A12848"/>
    <w:rsid w:val="00A12C1E"/>
    <w:rsid w:val="00A12E4C"/>
    <w:rsid w:val="00A12F51"/>
    <w:rsid w:val="00A130CC"/>
    <w:rsid w:val="00A131B9"/>
    <w:rsid w:val="00A134D1"/>
    <w:rsid w:val="00A134E5"/>
    <w:rsid w:val="00A134FD"/>
    <w:rsid w:val="00A1355E"/>
    <w:rsid w:val="00A13566"/>
    <w:rsid w:val="00A137B2"/>
    <w:rsid w:val="00A137B4"/>
    <w:rsid w:val="00A139CE"/>
    <w:rsid w:val="00A13BAF"/>
    <w:rsid w:val="00A13DDE"/>
    <w:rsid w:val="00A13EAE"/>
    <w:rsid w:val="00A13FB0"/>
    <w:rsid w:val="00A14135"/>
    <w:rsid w:val="00A141EE"/>
    <w:rsid w:val="00A14280"/>
    <w:rsid w:val="00A147C3"/>
    <w:rsid w:val="00A14985"/>
    <w:rsid w:val="00A14B65"/>
    <w:rsid w:val="00A14B8A"/>
    <w:rsid w:val="00A14BD9"/>
    <w:rsid w:val="00A14BFE"/>
    <w:rsid w:val="00A1511C"/>
    <w:rsid w:val="00A15480"/>
    <w:rsid w:val="00A154FF"/>
    <w:rsid w:val="00A1553B"/>
    <w:rsid w:val="00A155EC"/>
    <w:rsid w:val="00A157A1"/>
    <w:rsid w:val="00A15909"/>
    <w:rsid w:val="00A15A52"/>
    <w:rsid w:val="00A15B62"/>
    <w:rsid w:val="00A15B64"/>
    <w:rsid w:val="00A15BDD"/>
    <w:rsid w:val="00A15BF8"/>
    <w:rsid w:val="00A15BFD"/>
    <w:rsid w:val="00A15CAC"/>
    <w:rsid w:val="00A15CEE"/>
    <w:rsid w:val="00A15F21"/>
    <w:rsid w:val="00A15F48"/>
    <w:rsid w:val="00A15FC8"/>
    <w:rsid w:val="00A16028"/>
    <w:rsid w:val="00A160FB"/>
    <w:rsid w:val="00A16263"/>
    <w:rsid w:val="00A16275"/>
    <w:rsid w:val="00A162C6"/>
    <w:rsid w:val="00A16415"/>
    <w:rsid w:val="00A16562"/>
    <w:rsid w:val="00A1668C"/>
    <w:rsid w:val="00A166CA"/>
    <w:rsid w:val="00A16809"/>
    <w:rsid w:val="00A168E0"/>
    <w:rsid w:val="00A16921"/>
    <w:rsid w:val="00A1695C"/>
    <w:rsid w:val="00A16AAE"/>
    <w:rsid w:val="00A16B81"/>
    <w:rsid w:val="00A16D7E"/>
    <w:rsid w:val="00A16E7E"/>
    <w:rsid w:val="00A16F88"/>
    <w:rsid w:val="00A1709E"/>
    <w:rsid w:val="00A17695"/>
    <w:rsid w:val="00A1779E"/>
    <w:rsid w:val="00A178F3"/>
    <w:rsid w:val="00A17AC2"/>
    <w:rsid w:val="00A17B86"/>
    <w:rsid w:val="00A17B8A"/>
    <w:rsid w:val="00A17BCF"/>
    <w:rsid w:val="00A17C4E"/>
    <w:rsid w:val="00A17C88"/>
    <w:rsid w:val="00A17D99"/>
    <w:rsid w:val="00A17DEA"/>
    <w:rsid w:val="00A17EBF"/>
    <w:rsid w:val="00A201E1"/>
    <w:rsid w:val="00A202F4"/>
    <w:rsid w:val="00A2037E"/>
    <w:rsid w:val="00A205EB"/>
    <w:rsid w:val="00A2082D"/>
    <w:rsid w:val="00A20885"/>
    <w:rsid w:val="00A2098B"/>
    <w:rsid w:val="00A20D0A"/>
    <w:rsid w:val="00A20DF0"/>
    <w:rsid w:val="00A20DF1"/>
    <w:rsid w:val="00A20F9A"/>
    <w:rsid w:val="00A20FCF"/>
    <w:rsid w:val="00A21149"/>
    <w:rsid w:val="00A212DF"/>
    <w:rsid w:val="00A21406"/>
    <w:rsid w:val="00A216F3"/>
    <w:rsid w:val="00A21766"/>
    <w:rsid w:val="00A218DD"/>
    <w:rsid w:val="00A21B44"/>
    <w:rsid w:val="00A21C14"/>
    <w:rsid w:val="00A21C7C"/>
    <w:rsid w:val="00A21D3F"/>
    <w:rsid w:val="00A21DCD"/>
    <w:rsid w:val="00A22019"/>
    <w:rsid w:val="00A2207B"/>
    <w:rsid w:val="00A22154"/>
    <w:rsid w:val="00A22256"/>
    <w:rsid w:val="00A2237D"/>
    <w:rsid w:val="00A224B7"/>
    <w:rsid w:val="00A2258E"/>
    <w:rsid w:val="00A22642"/>
    <w:rsid w:val="00A2277C"/>
    <w:rsid w:val="00A22AED"/>
    <w:rsid w:val="00A22C3F"/>
    <w:rsid w:val="00A22D02"/>
    <w:rsid w:val="00A22F1F"/>
    <w:rsid w:val="00A23490"/>
    <w:rsid w:val="00A23569"/>
    <w:rsid w:val="00A2378C"/>
    <w:rsid w:val="00A238C1"/>
    <w:rsid w:val="00A23982"/>
    <w:rsid w:val="00A239EB"/>
    <w:rsid w:val="00A23AD1"/>
    <w:rsid w:val="00A23B45"/>
    <w:rsid w:val="00A23BD9"/>
    <w:rsid w:val="00A23CDB"/>
    <w:rsid w:val="00A23CF8"/>
    <w:rsid w:val="00A23D45"/>
    <w:rsid w:val="00A23F56"/>
    <w:rsid w:val="00A2412F"/>
    <w:rsid w:val="00A24243"/>
    <w:rsid w:val="00A2426D"/>
    <w:rsid w:val="00A2453D"/>
    <w:rsid w:val="00A24652"/>
    <w:rsid w:val="00A246D4"/>
    <w:rsid w:val="00A24A60"/>
    <w:rsid w:val="00A24B2B"/>
    <w:rsid w:val="00A24D16"/>
    <w:rsid w:val="00A24D7B"/>
    <w:rsid w:val="00A24E2D"/>
    <w:rsid w:val="00A24F20"/>
    <w:rsid w:val="00A24F49"/>
    <w:rsid w:val="00A25074"/>
    <w:rsid w:val="00A251A6"/>
    <w:rsid w:val="00A251FF"/>
    <w:rsid w:val="00A25408"/>
    <w:rsid w:val="00A254FB"/>
    <w:rsid w:val="00A25751"/>
    <w:rsid w:val="00A259C3"/>
    <w:rsid w:val="00A25B22"/>
    <w:rsid w:val="00A25CA3"/>
    <w:rsid w:val="00A25CA8"/>
    <w:rsid w:val="00A25CF9"/>
    <w:rsid w:val="00A25F4B"/>
    <w:rsid w:val="00A25FBF"/>
    <w:rsid w:val="00A25FE4"/>
    <w:rsid w:val="00A261A9"/>
    <w:rsid w:val="00A26218"/>
    <w:rsid w:val="00A26236"/>
    <w:rsid w:val="00A264CF"/>
    <w:rsid w:val="00A26572"/>
    <w:rsid w:val="00A2659F"/>
    <w:rsid w:val="00A26669"/>
    <w:rsid w:val="00A267AF"/>
    <w:rsid w:val="00A267F0"/>
    <w:rsid w:val="00A2688B"/>
    <w:rsid w:val="00A268C7"/>
    <w:rsid w:val="00A269AF"/>
    <w:rsid w:val="00A269BB"/>
    <w:rsid w:val="00A26B9D"/>
    <w:rsid w:val="00A26CB3"/>
    <w:rsid w:val="00A26D4F"/>
    <w:rsid w:val="00A26D92"/>
    <w:rsid w:val="00A26D95"/>
    <w:rsid w:val="00A26DE5"/>
    <w:rsid w:val="00A26E40"/>
    <w:rsid w:val="00A26E4B"/>
    <w:rsid w:val="00A26FFC"/>
    <w:rsid w:val="00A27046"/>
    <w:rsid w:val="00A270AE"/>
    <w:rsid w:val="00A270BC"/>
    <w:rsid w:val="00A271F5"/>
    <w:rsid w:val="00A2724A"/>
    <w:rsid w:val="00A2732A"/>
    <w:rsid w:val="00A274DE"/>
    <w:rsid w:val="00A27583"/>
    <w:rsid w:val="00A27758"/>
    <w:rsid w:val="00A278B1"/>
    <w:rsid w:val="00A279F2"/>
    <w:rsid w:val="00A27B09"/>
    <w:rsid w:val="00A27B27"/>
    <w:rsid w:val="00A27B4D"/>
    <w:rsid w:val="00A27BC6"/>
    <w:rsid w:val="00A27D4B"/>
    <w:rsid w:val="00A27F00"/>
    <w:rsid w:val="00A27FFA"/>
    <w:rsid w:val="00A30255"/>
    <w:rsid w:val="00A303C5"/>
    <w:rsid w:val="00A30608"/>
    <w:rsid w:val="00A3076D"/>
    <w:rsid w:val="00A308E0"/>
    <w:rsid w:val="00A3094E"/>
    <w:rsid w:val="00A30C14"/>
    <w:rsid w:val="00A30C61"/>
    <w:rsid w:val="00A30FED"/>
    <w:rsid w:val="00A31096"/>
    <w:rsid w:val="00A311B1"/>
    <w:rsid w:val="00A31246"/>
    <w:rsid w:val="00A312B8"/>
    <w:rsid w:val="00A312F8"/>
    <w:rsid w:val="00A31587"/>
    <w:rsid w:val="00A31690"/>
    <w:rsid w:val="00A316D4"/>
    <w:rsid w:val="00A31748"/>
    <w:rsid w:val="00A31819"/>
    <w:rsid w:val="00A31896"/>
    <w:rsid w:val="00A3189A"/>
    <w:rsid w:val="00A318C7"/>
    <w:rsid w:val="00A3196D"/>
    <w:rsid w:val="00A31986"/>
    <w:rsid w:val="00A319BA"/>
    <w:rsid w:val="00A319EE"/>
    <w:rsid w:val="00A31A99"/>
    <w:rsid w:val="00A31AC3"/>
    <w:rsid w:val="00A31AFD"/>
    <w:rsid w:val="00A31BD2"/>
    <w:rsid w:val="00A31CBB"/>
    <w:rsid w:val="00A31CE3"/>
    <w:rsid w:val="00A31F2C"/>
    <w:rsid w:val="00A32274"/>
    <w:rsid w:val="00A32290"/>
    <w:rsid w:val="00A32321"/>
    <w:rsid w:val="00A3252D"/>
    <w:rsid w:val="00A326C0"/>
    <w:rsid w:val="00A327C9"/>
    <w:rsid w:val="00A328C8"/>
    <w:rsid w:val="00A32955"/>
    <w:rsid w:val="00A32956"/>
    <w:rsid w:val="00A32AD4"/>
    <w:rsid w:val="00A32AED"/>
    <w:rsid w:val="00A32C7E"/>
    <w:rsid w:val="00A32DF3"/>
    <w:rsid w:val="00A32FD6"/>
    <w:rsid w:val="00A33070"/>
    <w:rsid w:val="00A3307E"/>
    <w:rsid w:val="00A3318D"/>
    <w:rsid w:val="00A332D7"/>
    <w:rsid w:val="00A332ED"/>
    <w:rsid w:val="00A33465"/>
    <w:rsid w:val="00A334C8"/>
    <w:rsid w:val="00A33523"/>
    <w:rsid w:val="00A33525"/>
    <w:rsid w:val="00A336F3"/>
    <w:rsid w:val="00A336FB"/>
    <w:rsid w:val="00A3375F"/>
    <w:rsid w:val="00A338C4"/>
    <w:rsid w:val="00A33970"/>
    <w:rsid w:val="00A339A2"/>
    <w:rsid w:val="00A33A4E"/>
    <w:rsid w:val="00A33D7F"/>
    <w:rsid w:val="00A33D8F"/>
    <w:rsid w:val="00A340C7"/>
    <w:rsid w:val="00A34189"/>
    <w:rsid w:val="00A341BD"/>
    <w:rsid w:val="00A342F8"/>
    <w:rsid w:val="00A3452C"/>
    <w:rsid w:val="00A345AA"/>
    <w:rsid w:val="00A34613"/>
    <w:rsid w:val="00A347C3"/>
    <w:rsid w:val="00A3483F"/>
    <w:rsid w:val="00A348BD"/>
    <w:rsid w:val="00A349BC"/>
    <w:rsid w:val="00A34B03"/>
    <w:rsid w:val="00A34B37"/>
    <w:rsid w:val="00A34C13"/>
    <w:rsid w:val="00A34C4E"/>
    <w:rsid w:val="00A34CB1"/>
    <w:rsid w:val="00A34CF5"/>
    <w:rsid w:val="00A34E63"/>
    <w:rsid w:val="00A35065"/>
    <w:rsid w:val="00A35178"/>
    <w:rsid w:val="00A35231"/>
    <w:rsid w:val="00A35232"/>
    <w:rsid w:val="00A35270"/>
    <w:rsid w:val="00A352B3"/>
    <w:rsid w:val="00A35322"/>
    <w:rsid w:val="00A35466"/>
    <w:rsid w:val="00A3549A"/>
    <w:rsid w:val="00A354C9"/>
    <w:rsid w:val="00A35512"/>
    <w:rsid w:val="00A35548"/>
    <w:rsid w:val="00A35580"/>
    <w:rsid w:val="00A3563B"/>
    <w:rsid w:val="00A35664"/>
    <w:rsid w:val="00A35768"/>
    <w:rsid w:val="00A35845"/>
    <w:rsid w:val="00A35920"/>
    <w:rsid w:val="00A35987"/>
    <w:rsid w:val="00A35BE8"/>
    <w:rsid w:val="00A35D4F"/>
    <w:rsid w:val="00A35DAC"/>
    <w:rsid w:val="00A35DF4"/>
    <w:rsid w:val="00A35F51"/>
    <w:rsid w:val="00A35FC3"/>
    <w:rsid w:val="00A360E8"/>
    <w:rsid w:val="00A360FE"/>
    <w:rsid w:val="00A361C0"/>
    <w:rsid w:val="00A362CC"/>
    <w:rsid w:val="00A36389"/>
    <w:rsid w:val="00A363F1"/>
    <w:rsid w:val="00A3649F"/>
    <w:rsid w:val="00A3651C"/>
    <w:rsid w:val="00A3674F"/>
    <w:rsid w:val="00A3685B"/>
    <w:rsid w:val="00A3692E"/>
    <w:rsid w:val="00A36941"/>
    <w:rsid w:val="00A36EAA"/>
    <w:rsid w:val="00A36FC3"/>
    <w:rsid w:val="00A3714E"/>
    <w:rsid w:val="00A37234"/>
    <w:rsid w:val="00A37257"/>
    <w:rsid w:val="00A37345"/>
    <w:rsid w:val="00A378C6"/>
    <w:rsid w:val="00A379C9"/>
    <w:rsid w:val="00A379EA"/>
    <w:rsid w:val="00A37BA8"/>
    <w:rsid w:val="00A37C98"/>
    <w:rsid w:val="00A37CAF"/>
    <w:rsid w:val="00A37CB4"/>
    <w:rsid w:val="00A37D14"/>
    <w:rsid w:val="00A37DA8"/>
    <w:rsid w:val="00A37E3C"/>
    <w:rsid w:val="00A37E94"/>
    <w:rsid w:val="00A37FD2"/>
    <w:rsid w:val="00A40206"/>
    <w:rsid w:val="00A40316"/>
    <w:rsid w:val="00A40348"/>
    <w:rsid w:val="00A40668"/>
    <w:rsid w:val="00A406AD"/>
    <w:rsid w:val="00A407DD"/>
    <w:rsid w:val="00A40845"/>
    <w:rsid w:val="00A408AB"/>
    <w:rsid w:val="00A4099C"/>
    <w:rsid w:val="00A40A76"/>
    <w:rsid w:val="00A40B6C"/>
    <w:rsid w:val="00A40BA5"/>
    <w:rsid w:val="00A40E4E"/>
    <w:rsid w:val="00A40E86"/>
    <w:rsid w:val="00A41327"/>
    <w:rsid w:val="00A4139C"/>
    <w:rsid w:val="00A41469"/>
    <w:rsid w:val="00A414CA"/>
    <w:rsid w:val="00A41525"/>
    <w:rsid w:val="00A415C1"/>
    <w:rsid w:val="00A4164A"/>
    <w:rsid w:val="00A41A66"/>
    <w:rsid w:val="00A41AC2"/>
    <w:rsid w:val="00A41AE2"/>
    <w:rsid w:val="00A41B5E"/>
    <w:rsid w:val="00A41C26"/>
    <w:rsid w:val="00A41DFD"/>
    <w:rsid w:val="00A41E57"/>
    <w:rsid w:val="00A41EEF"/>
    <w:rsid w:val="00A42048"/>
    <w:rsid w:val="00A4206A"/>
    <w:rsid w:val="00A421F3"/>
    <w:rsid w:val="00A42221"/>
    <w:rsid w:val="00A42252"/>
    <w:rsid w:val="00A42517"/>
    <w:rsid w:val="00A427AD"/>
    <w:rsid w:val="00A42B63"/>
    <w:rsid w:val="00A42D83"/>
    <w:rsid w:val="00A42EC5"/>
    <w:rsid w:val="00A430BA"/>
    <w:rsid w:val="00A4314A"/>
    <w:rsid w:val="00A43220"/>
    <w:rsid w:val="00A432C5"/>
    <w:rsid w:val="00A43300"/>
    <w:rsid w:val="00A43413"/>
    <w:rsid w:val="00A43421"/>
    <w:rsid w:val="00A434A1"/>
    <w:rsid w:val="00A434CC"/>
    <w:rsid w:val="00A43525"/>
    <w:rsid w:val="00A437A8"/>
    <w:rsid w:val="00A4389E"/>
    <w:rsid w:val="00A43CAE"/>
    <w:rsid w:val="00A43DA2"/>
    <w:rsid w:val="00A43DCE"/>
    <w:rsid w:val="00A442EE"/>
    <w:rsid w:val="00A4437C"/>
    <w:rsid w:val="00A444A8"/>
    <w:rsid w:val="00A445DF"/>
    <w:rsid w:val="00A44824"/>
    <w:rsid w:val="00A44954"/>
    <w:rsid w:val="00A44A08"/>
    <w:rsid w:val="00A44A2F"/>
    <w:rsid w:val="00A44F72"/>
    <w:rsid w:val="00A44FF8"/>
    <w:rsid w:val="00A450AA"/>
    <w:rsid w:val="00A45147"/>
    <w:rsid w:val="00A4520C"/>
    <w:rsid w:val="00A45291"/>
    <w:rsid w:val="00A4541A"/>
    <w:rsid w:val="00A4561D"/>
    <w:rsid w:val="00A45814"/>
    <w:rsid w:val="00A4586C"/>
    <w:rsid w:val="00A458EC"/>
    <w:rsid w:val="00A45A4A"/>
    <w:rsid w:val="00A45B4A"/>
    <w:rsid w:val="00A45B4F"/>
    <w:rsid w:val="00A45F43"/>
    <w:rsid w:val="00A4603B"/>
    <w:rsid w:val="00A460B3"/>
    <w:rsid w:val="00A461C9"/>
    <w:rsid w:val="00A46438"/>
    <w:rsid w:val="00A464BA"/>
    <w:rsid w:val="00A46504"/>
    <w:rsid w:val="00A46597"/>
    <w:rsid w:val="00A467FC"/>
    <w:rsid w:val="00A46860"/>
    <w:rsid w:val="00A469A5"/>
    <w:rsid w:val="00A46AEA"/>
    <w:rsid w:val="00A46B00"/>
    <w:rsid w:val="00A46B9A"/>
    <w:rsid w:val="00A46BEF"/>
    <w:rsid w:val="00A46CCE"/>
    <w:rsid w:val="00A46D6E"/>
    <w:rsid w:val="00A46ED0"/>
    <w:rsid w:val="00A46FAB"/>
    <w:rsid w:val="00A470D1"/>
    <w:rsid w:val="00A470DF"/>
    <w:rsid w:val="00A47127"/>
    <w:rsid w:val="00A474BE"/>
    <w:rsid w:val="00A474F6"/>
    <w:rsid w:val="00A47657"/>
    <w:rsid w:val="00A47670"/>
    <w:rsid w:val="00A47719"/>
    <w:rsid w:val="00A478EC"/>
    <w:rsid w:val="00A479C7"/>
    <w:rsid w:val="00A47A04"/>
    <w:rsid w:val="00A47AC4"/>
    <w:rsid w:val="00A47B98"/>
    <w:rsid w:val="00A47BE0"/>
    <w:rsid w:val="00A47C7E"/>
    <w:rsid w:val="00A47D86"/>
    <w:rsid w:val="00A47EB3"/>
    <w:rsid w:val="00A47EFB"/>
    <w:rsid w:val="00A5007C"/>
    <w:rsid w:val="00A500B9"/>
    <w:rsid w:val="00A50337"/>
    <w:rsid w:val="00A5053A"/>
    <w:rsid w:val="00A5077C"/>
    <w:rsid w:val="00A507A4"/>
    <w:rsid w:val="00A507EA"/>
    <w:rsid w:val="00A50927"/>
    <w:rsid w:val="00A5095E"/>
    <w:rsid w:val="00A509AB"/>
    <w:rsid w:val="00A509BD"/>
    <w:rsid w:val="00A509F2"/>
    <w:rsid w:val="00A50C6D"/>
    <w:rsid w:val="00A50C73"/>
    <w:rsid w:val="00A50C9F"/>
    <w:rsid w:val="00A50CC7"/>
    <w:rsid w:val="00A50D7A"/>
    <w:rsid w:val="00A50F7F"/>
    <w:rsid w:val="00A51035"/>
    <w:rsid w:val="00A510BD"/>
    <w:rsid w:val="00A51136"/>
    <w:rsid w:val="00A5184F"/>
    <w:rsid w:val="00A51966"/>
    <w:rsid w:val="00A519DC"/>
    <w:rsid w:val="00A51AEA"/>
    <w:rsid w:val="00A51BB2"/>
    <w:rsid w:val="00A51C42"/>
    <w:rsid w:val="00A51C65"/>
    <w:rsid w:val="00A51D09"/>
    <w:rsid w:val="00A51E79"/>
    <w:rsid w:val="00A51EC0"/>
    <w:rsid w:val="00A51EDA"/>
    <w:rsid w:val="00A51F3B"/>
    <w:rsid w:val="00A51FD1"/>
    <w:rsid w:val="00A51FD2"/>
    <w:rsid w:val="00A5200D"/>
    <w:rsid w:val="00A521C8"/>
    <w:rsid w:val="00A52259"/>
    <w:rsid w:val="00A52336"/>
    <w:rsid w:val="00A523E9"/>
    <w:rsid w:val="00A5243B"/>
    <w:rsid w:val="00A5257D"/>
    <w:rsid w:val="00A5266C"/>
    <w:rsid w:val="00A52815"/>
    <w:rsid w:val="00A5293A"/>
    <w:rsid w:val="00A529E2"/>
    <w:rsid w:val="00A52A1C"/>
    <w:rsid w:val="00A52C06"/>
    <w:rsid w:val="00A52D14"/>
    <w:rsid w:val="00A52D37"/>
    <w:rsid w:val="00A53049"/>
    <w:rsid w:val="00A5315E"/>
    <w:rsid w:val="00A531DF"/>
    <w:rsid w:val="00A5324D"/>
    <w:rsid w:val="00A53332"/>
    <w:rsid w:val="00A53425"/>
    <w:rsid w:val="00A53532"/>
    <w:rsid w:val="00A53561"/>
    <w:rsid w:val="00A535F8"/>
    <w:rsid w:val="00A53794"/>
    <w:rsid w:val="00A537A4"/>
    <w:rsid w:val="00A537FB"/>
    <w:rsid w:val="00A5390D"/>
    <w:rsid w:val="00A539D7"/>
    <w:rsid w:val="00A53AB0"/>
    <w:rsid w:val="00A53ABE"/>
    <w:rsid w:val="00A53C3E"/>
    <w:rsid w:val="00A53E65"/>
    <w:rsid w:val="00A53F23"/>
    <w:rsid w:val="00A540B8"/>
    <w:rsid w:val="00A54253"/>
    <w:rsid w:val="00A54277"/>
    <w:rsid w:val="00A54352"/>
    <w:rsid w:val="00A54576"/>
    <w:rsid w:val="00A546B5"/>
    <w:rsid w:val="00A54705"/>
    <w:rsid w:val="00A547F2"/>
    <w:rsid w:val="00A54866"/>
    <w:rsid w:val="00A54A27"/>
    <w:rsid w:val="00A54A6D"/>
    <w:rsid w:val="00A54AA9"/>
    <w:rsid w:val="00A54BE0"/>
    <w:rsid w:val="00A54C86"/>
    <w:rsid w:val="00A54E5D"/>
    <w:rsid w:val="00A55012"/>
    <w:rsid w:val="00A55167"/>
    <w:rsid w:val="00A55239"/>
    <w:rsid w:val="00A55381"/>
    <w:rsid w:val="00A554FA"/>
    <w:rsid w:val="00A555BE"/>
    <w:rsid w:val="00A55626"/>
    <w:rsid w:val="00A55647"/>
    <w:rsid w:val="00A5574C"/>
    <w:rsid w:val="00A5593D"/>
    <w:rsid w:val="00A55946"/>
    <w:rsid w:val="00A55A0D"/>
    <w:rsid w:val="00A55B12"/>
    <w:rsid w:val="00A55C69"/>
    <w:rsid w:val="00A55CAC"/>
    <w:rsid w:val="00A55CB3"/>
    <w:rsid w:val="00A55E50"/>
    <w:rsid w:val="00A55F03"/>
    <w:rsid w:val="00A55FB9"/>
    <w:rsid w:val="00A560B4"/>
    <w:rsid w:val="00A56118"/>
    <w:rsid w:val="00A5621D"/>
    <w:rsid w:val="00A56258"/>
    <w:rsid w:val="00A56439"/>
    <w:rsid w:val="00A5644C"/>
    <w:rsid w:val="00A56462"/>
    <w:rsid w:val="00A5647B"/>
    <w:rsid w:val="00A5649F"/>
    <w:rsid w:val="00A5653D"/>
    <w:rsid w:val="00A56655"/>
    <w:rsid w:val="00A567E3"/>
    <w:rsid w:val="00A56812"/>
    <w:rsid w:val="00A56980"/>
    <w:rsid w:val="00A56C91"/>
    <w:rsid w:val="00A56F84"/>
    <w:rsid w:val="00A5706E"/>
    <w:rsid w:val="00A570E5"/>
    <w:rsid w:val="00A572E6"/>
    <w:rsid w:val="00A573BE"/>
    <w:rsid w:val="00A573E0"/>
    <w:rsid w:val="00A57420"/>
    <w:rsid w:val="00A5748D"/>
    <w:rsid w:val="00A5763C"/>
    <w:rsid w:val="00A57698"/>
    <w:rsid w:val="00A576B2"/>
    <w:rsid w:val="00A579CD"/>
    <w:rsid w:val="00A57A81"/>
    <w:rsid w:val="00A57A82"/>
    <w:rsid w:val="00A57BF4"/>
    <w:rsid w:val="00A57C08"/>
    <w:rsid w:val="00A57C30"/>
    <w:rsid w:val="00A57C60"/>
    <w:rsid w:val="00A57C8E"/>
    <w:rsid w:val="00A57CE7"/>
    <w:rsid w:val="00A57CF3"/>
    <w:rsid w:val="00A57FA3"/>
    <w:rsid w:val="00A60072"/>
    <w:rsid w:val="00A6009B"/>
    <w:rsid w:val="00A60136"/>
    <w:rsid w:val="00A602B6"/>
    <w:rsid w:val="00A602BE"/>
    <w:rsid w:val="00A60343"/>
    <w:rsid w:val="00A606BC"/>
    <w:rsid w:val="00A608B7"/>
    <w:rsid w:val="00A608DC"/>
    <w:rsid w:val="00A6091F"/>
    <w:rsid w:val="00A60931"/>
    <w:rsid w:val="00A60B9A"/>
    <w:rsid w:val="00A60D45"/>
    <w:rsid w:val="00A60E56"/>
    <w:rsid w:val="00A60E72"/>
    <w:rsid w:val="00A60F94"/>
    <w:rsid w:val="00A6141B"/>
    <w:rsid w:val="00A61467"/>
    <w:rsid w:val="00A614F2"/>
    <w:rsid w:val="00A619F3"/>
    <w:rsid w:val="00A61BA6"/>
    <w:rsid w:val="00A61BE2"/>
    <w:rsid w:val="00A61F43"/>
    <w:rsid w:val="00A61F71"/>
    <w:rsid w:val="00A61F75"/>
    <w:rsid w:val="00A61F83"/>
    <w:rsid w:val="00A61F97"/>
    <w:rsid w:val="00A61FD9"/>
    <w:rsid w:val="00A61FE7"/>
    <w:rsid w:val="00A62542"/>
    <w:rsid w:val="00A625B7"/>
    <w:rsid w:val="00A625E3"/>
    <w:rsid w:val="00A62605"/>
    <w:rsid w:val="00A62653"/>
    <w:rsid w:val="00A628A4"/>
    <w:rsid w:val="00A6299B"/>
    <w:rsid w:val="00A62BDB"/>
    <w:rsid w:val="00A62CA1"/>
    <w:rsid w:val="00A62E47"/>
    <w:rsid w:val="00A630D8"/>
    <w:rsid w:val="00A6317A"/>
    <w:rsid w:val="00A6334F"/>
    <w:rsid w:val="00A636A6"/>
    <w:rsid w:val="00A63736"/>
    <w:rsid w:val="00A63759"/>
    <w:rsid w:val="00A6382D"/>
    <w:rsid w:val="00A638EC"/>
    <w:rsid w:val="00A63AC9"/>
    <w:rsid w:val="00A63AFC"/>
    <w:rsid w:val="00A63B5F"/>
    <w:rsid w:val="00A63D72"/>
    <w:rsid w:val="00A63EBF"/>
    <w:rsid w:val="00A63EC3"/>
    <w:rsid w:val="00A63FE3"/>
    <w:rsid w:val="00A6418A"/>
    <w:rsid w:val="00A641B7"/>
    <w:rsid w:val="00A64233"/>
    <w:rsid w:val="00A64250"/>
    <w:rsid w:val="00A64334"/>
    <w:rsid w:val="00A6433B"/>
    <w:rsid w:val="00A645BA"/>
    <w:rsid w:val="00A645D0"/>
    <w:rsid w:val="00A64659"/>
    <w:rsid w:val="00A646CF"/>
    <w:rsid w:val="00A6471D"/>
    <w:rsid w:val="00A6477A"/>
    <w:rsid w:val="00A6481E"/>
    <w:rsid w:val="00A6497A"/>
    <w:rsid w:val="00A64A0E"/>
    <w:rsid w:val="00A64C4C"/>
    <w:rsid w:val="00A64C5E"/>
    <w:rsid w:val="00A64D08"/>
    <w:rsid w:val="00A6502F"/>
    <w:rsid w:val="00A65125"/>
    <w:rsid w:val="00A65195"/>
    <w:rsid w:val="00A65199"/>
    <w:rsid w:val="00A6524B"/>
    <w:rsid w:val="00A652B4"/>
    <w:rsid w:val="00A65314"/>
    <w:rsid w:val="00A65374"/>
    <w:rsid w:val="00A65401"/>
    <w:rsid w:val="00A65463"/>
    <w:rsid w:val="00A6559D"/>
    <w:rsid w:val="00A655B5"/>
    <w:rsid w:val="00A65667"/>
    <w:rsid w:val="00A65684"/>
    <w:rsid w:val="00A657EB"/>
    <w:rsid w:val="00A6599A"/>
    <w:rsid w:val="00A65C09"/>
    <w:rsid w:val="00A65D23"/>
    <w:rsid w:val="00A66166"/>
    <w:rsid w:val="00A661A0"/>
    <w:rsid w:val="00A66383"/>
    <w:rsid w:val="00A66573"/>
    <w:rsid w:val="00A665FC"/>
    <w:rsid w:val="00A6676A"/>
    <w:rsid w:val="00A6683C"/>
    <w:rsid w:val="00A66873"/>
    <w:rsid w:val="00A6696F"/>
    <w:rsid w:val="00A669AB"/>
    <w:rsid w:val="00A66BE5"/>
    <w:rsid w:val="00A66D96"/>
    <w:rsid w:val="00A66D97"/>
    <w:rsid w:val="00A66E5D"/>
    <w:rsid w:val="00A66FD6"/>
    <w:rsid w:val="00A67067"/>
    <w:rsid w:val="00A670CA"/>
    <w:rsid w:val="00A670E4"/>
    <w:rsid w:val="00A6748D"/>
    <w:rsid w:val="00A67545"/>
    <w:rsid w:val="00A67629"/>
    <w:rsid w:val="00A677D4"/>
    <w:rsid w:val="00A677E2"/>
    <w:rsid w:val="00A67804"/>
    <w:rsid w:val="00A6784E"/>
    <w:rsid w:val="00A678E8"/>
    <w:rsid w:val="00A678ED"/>
    <w:rsid w:val="00A679D1"/>
    <w:rsid w:val="00A679DC"/>
    <w:rsid w:val="00A67C81"/>
    <w:rsid w:val="00A67C8D"/>
    <w:rsid w:val="00A67D32"/>
    <w:rsid w:val="00A70190"/>
    <w:rsid w:val="00A7024A"/>
    <w:rsid w:val="00A70600"/>
    <w:rsid w:val="00A70671"/>
    <w:rsid w:val="00A706EF"/>
    <w:rsid w:val="00A7098C"/>
    <w:rsid w:val="00A709A5"/>
    <w:rsid w:val="00A70A39"/>
    <w:rsid w:val="00A70B8D"/>
    <w:rsid w:val="00A70BD5"/>
    <w:rsid w:val="00A70CFC"/>
    <w:rsid w:val="00A70D11"/>
    <w:rsid w:val="00A70D86"/>
    <w:rsid w:val="00A70ECF"/>
    <w:rsid w:val="00A70F41"/>
    <w:rsid w:val="00A70F4E"/>
    <w:rsid w:val="00A70F8F"/>
    <w:rsid w:val="00A71074"/>
    <w:rsid w:val="00A71190"/>
    <w:rsid w:val="00A7127D"/>
    <w:rsid w:val="00A712BD"/>
    <w:rsid w:val="00A71784"/>
    <w:rsid w:val="00A719B8"/>
    <w:rsid w:val="00A71A0F"/>
    <w:rsid w:val="00A71B4A"/>
    <w:rsid w:val="00A71B5F"/>
    <w:rsid w:val="00A71C64"/>
    <w:rsid w:val="00A71D1A"/>
    <w:rsid w:val="00A71D64"/>
    <w:rsid w:val="00A71D9B"/>
    <w:rsid w:val="00A71E98"/>
    <w:rsid w:val="00A71EC3"/>
    <w:rsid w:val="00A72142"/>
    <w:rsid w:val="00A72269"/>
    <w:rsid w:val="00A7253D"/>
    <w:rsid w:val="00A7256A"/>
    <w:rsid w:val="00A72588"/>
    <w:rsid w:val="00A72667"/>
    <w:rsid w:val="00A726C6"/>
    <w:rsid w:val="00A727C2"/>
    <w:rsid w:val="00A728D3"/>
    <w:rsid w:val="00A7291F"/>
    <w:rsid w:val="00A72AE0"/>
    <w:rsid w:val="00A72B66"/>
    <w:rsid w:val="00A72CA4"/>
    <w:rsid w:val="00A72EA8"/>
    <w:rsid w:val="00A72F51"/>
    <w:rsid w:val="00A73555"/>
    <w:rsid w:val="00A73684"/>
    <w:rsid w:val="00A736C3"/>
    <w:rsid w:val="00A736D7"/>
    <w:rsid w:val="00A73BFA"/>
    <w:rsid w:val="00A74358"/>
    <w:rsid w:val="00A74472"/>
    <w:rsid w:val="00A744E0"/>
    <w:rsid w:val="00A74524"/>
    <w:rsid w:val="00A745FF"/>
    <w:rsid w:val="00A747D3"/>
    <w:rsid w:val="00A748FC"/>
    <w:rsid w:val="00A74C45"/>
    <w:rsid w:val="00A74C59"/>
    <w:rsid w:val="00A74DD1"/>
    <w:rsid w:val="00A74EA7"/>
    <w:rsid w:val="00A74EDF"/>
    <w:rsid w:val="00A74F66"/>
    <w:rsid w:val="00A74FBE"/>
    <w:rsid w:val="00A75286"/>
    <w:rsid w:val="00A7536C"/>
    <w:rsid w:val="00A75425"/>
    <w:rsid w:val="00A754A7"/>
    <w:rsid w:val="00A75689"/>
    <w:rsid w:val="00A758B5"/>
    <w:rsid w:val="00A75917"/>
    <w:rsid w:val="00A759D9"/>
    <w:rsid w:val="00A75A89"/>
    <w:rsid w:val="00A75B17"/>
    <w:rsid w:val="00A75BA7"/>
    <w:rsid w:val="00A75C5D"/>
    <w:rsid w:val="00A75D30"/>
    <w:rsid w:val="00A75F08"/>
    <w:rsid w:val="00A75F46"/>
    <w:rsid w:val="00A76044"/>
    <w:rsid w:val="00A760CB"/>
    <w:rsid w:val="00A7615B"/>
    <w:rsid w:val="00A76176"/>
    <w:rsid w:val="00A769A2"/>
    <w:rsid w:val="00A76A60"/>
    <w:rsid w:val="00A76AA0"/>
    <w:rsid w:val="00A76ADD"/>
    <w:rsid w:val="00A76B50"/>
    <w:rsid w:val="00A76BE8"/>
    <w:rsid w:val="00A76BFD"/>
    <w:rsid w:val="00A76D30"/>
    <w:rsid w:val="00A76E1F"/>
    <w:rsid w:val="00A76E82"/>
    <w:rsid w:val="00A76F6E"/>
    <w:rsid w:val="00A770B5"/>
    <w:rsid w:val="00A7710B"/>
    <w:rsid w:val="00A771BC"/>
    <w:rsid w:val="00A77234"/>
    <w:rsid w:val="00A77271"/>
    <w:rsid w:val="00A774C0"/>
    <w:rsid w:val="00A77A43"/>
    <w:rsid w:val="00A77A54"/>
    <w:rsid w:val="00A77B13"/>
    <w:rsid w:val="00A77C8C"/>
    <w:rsid w:val="00A77CB2"/>
    <w:rsid w:val="00A80000"/>
    <w:rsid w:val="00A80092"/>
    <w:rsid w:val="00A8009D"/>
    <w:rsid w:val="00A80112"/>
    <w:rsid w:val="00A8026C"/>
    <w:rsid w:val="00A80312"/>
    <w:rsid w:val="00A8034D"/>
    <w:rsid w:val="00A8044E"/>
    <w:rsid w:val="00A8062E"/>
    <w:rsid w:val="00A808F9"/>
    <w:rsid w:val="00A80913"/>
    <w:rsid w:val="00A80ABC"/>
    <w:rsid w:val="00A80C6F"/>
    <w:rsid w:val="00A80D00"/>
    <w:rsid w:val="00A80D4D"/>
    <w:rsid w:val="00A81014"/>
    <w:rsid w:val="00A8112C"/>
    <w:rsid w:val="00A811FA"/>
    <w:rsid w:val="00A812B3"/>
    <w:rsid w:val="00A814B5"/>
    <w:rsid w:val="00A814F1"/>
    <w:rsid w:val="00A816E1"/>
    <w:rsid w:val="00A81744"/>
    <w:rsid w:val="00A817D5"/>
    <w:rsid w:val="00A818E0"/>
    <w:rsid w:val="00A81B80"/>
    <w:rsid w:val="00A81D5E"/>
    <w:rsid w:val="00A8204E"/>
    <w:rsid w:val="00A82066"/>
    <w:rsid w:val="00A821D5"/>
    <w:rsid w:val="00A8221D"/>
    <w:rsid w:val="00A8232E"/>
    <w:rsid w:val="00A823D3"/>
    <w:rsid w:val="00A823EC"/>
    <w:rsid w:val="00A82823"/>
    <w:rsid w:val="00A82831"/>
    <w:rsid w:val="00A828FD"/>
    <w:rsid w:val="00A82AA7"/>
    <w:rsid w:val="00A82AAD"/>
    <w:rsid w:val="00A82D87"/>
    <w:rsid w:val="00A830FE"/>
    <w:rsid w:val="00A830FF"/>
    <w:rsid w:val="00A83158"/>
    <w:rsid w:val="00A83289"/>
    <w:rsid w:val="00A832AC"/>
    <w:rsid w:val="00A8342A"/>
    <w:rsid w:val="00A8359B"/>
    <w:rsid w:val="00A83603"/>
    <w:rsid w:val="00A83857"/>
    <w:rsid w:val="00A83AA1"/>
    <w:rsid w:val="00A83B01"/>
    <w:rsid w:val="00A83CA4"/>
    <w:rsid w:val="00A83CC3"/>
    <w:rsid w:val="00A83CE9"/>
    <w:rsid w:val="00A83E51"/>
    <w:rsid w:val="00A83F0B"/>
    <w:rsid w:val="00A84239"/>
    <w:rsid w:val="00A84315"/>
    <w:rsid w:val="00A84392"/>
    <w:rsid w:val="00A843EF"/>
    <w:rsid w:val="00A84461"/>
    <w:rsid w:val="00A845BE"/>
    <w:rsid w:val="00A84600"/>
    <w:rsid w:val="00A8463A"/>
    <w:rsid w:val="00A84650"/>
    <w:rsid w:val="00A847A6"/>
    <w:rsid w:val="00A84A87"/>
    <w:rsid w:val="00A84B72"/>
    <w:rsid w:val="00A84BDF"/>
    <w:rsid w:val="00A84D4B"/>
    <w:rsid w:val="00A84DF1"/>
    <w:rsid w:val="00A84EEC"/>
    <w:rsid w:val="00A84F2E"/>
    <w:rsid w:val="00A84F55"/>
    <w:rsid w:val="00A850F7"/>
    <w:rsid w:val="00A852E7"/>
    <w:rsid w:val="00A85452"/>
    <w:rsid w:val="00A854C9"/>
    <w:rsid w:val="00A855FC"/>
    <w:rsid w:val="00A8571B"/>
    <w:rsid w:val="00A857CF"/>
    <w:rsid w:val="00A85869"/>
    <w:rsid w:val="00A85905"/>
    <w:rsid w:val="00A85A0C"/>
    <w:rsid w:val="00A85A20"/>
    <w:rsid w:val="00A85BB3"/>
    <w:rsid w:val="00A85C41"/>
    <w:rsid w:val="00A85CA2"/>
    <w:rsid w:val="00A85DF8"/>
    <w:rsid w:val="00A85F5B"/>
    <w:rsid w:val="00A85FBB"/>
    <w:rsid w:val="00A85FBD"/>
    <w:rsid w:val="00A860CC"/>
    <w:rsid w:val="00A86283"/>
    <w:rsid w:val="00A86620"/>
    <w:rsid w:val="00A8673F"/>
    <w:rsid w:val="00A8689A"/>
    <w:rsid w:val="00A8691B"/>
    <w:rsid w:val="00A86996"/>
    <w:rsid w:val="00A86C3D"/>
    <w:rsid w:val="00A86C76"/>
    <w:rsid w:val="00A86D30"/>
    <w:rsid w:val="00A86E18"/>
    <w:rsid w:val="00A86EB8"/>
    <w:rsid w:val="00A8718E"/>
    <w:rsid w:val="00A8727B"/>
    <w:rsid w:val="00A8727F"/>
    <w:rsid w:val="00A87285"/>
    <w:rsid w:val="00A872F5"/>
    <w:rsid w:val="00A8731F"/>
    <w:rsid w:val="00A873DD"/>
    <w:rsid w:val="00A8740C"/>
    <w:rsid w:val="00A874F7"/>
    <w:rsid w:val="00A87564"/>
    <w:rsid w:val="00A875CB"/>
    <w:rsid w:val="00A876FD"/>
    <w:rsid w:val="00A879B9"/>
    <w:rsid w:val="00A87B31"/>
    <w:rsid w:val="00A87C40"/>
    <w:rsid w:val="00A87D7B"/>
    <w:rsid w:val="00A87DD9"/>
    <w:rsid w:val="00A87DE1"/>
    <w:rsid w:val="00A9007A"/>
    <w:rsid w:val="00A90265"/>
    <w:rsid w:val="00A90338"/>
    <w:rsid w:val="00A90356"/>
    <w:rsid w:val="00A90413"/>
    <w:rsid w:val="00A90642"/>
    <w:rsid w:val="00A90675"/>
    <w:rsid w:val="00A90683"/>
    <w:rsid w:val="00A90693"/>
    <w:rsid w:val="00A90720"/>
    <w:rsid w:val="00A907DA"/>
    <w:rsid w:val="00A908B9"/>
    <w:rsid w:val="00A90909"/>
    <w:rsid w:val="00A90959"/>
    <w:rsid w:val="00A909E8"/>
    <w:rsid w:val="00A90A08"/>
    <w:rsid w:val="00A90AC6"/>
    <w:rsid w:val="00A90AEE"/>
    <w:rsid w:val="00A90B3D"/>
    <w:rsid w:val="00A90BBB"/>
    <w:rsid w:val="00A90DA0"/>
    <w:rsid w:val="00A90DCE"/>
    <w:rsid w:val="00A90E1E"/>
    <w:rsid w:val="00A91029"/>
    <w:rsid w:val="00A91456"/>
    <w:rsid w:val="00A914AE"/>
    <w:rsid w:val="00A9150E"/>
    <w:rsid w:val="00A915AD"/>
    <w:rsid w:val="00A915C8"/>
    <w:rsid w:val="00A91604"/>
    <w:rsid w:val="00A91867"/>
    <w:rsid w:val="00A91B8B"/>
    <w:rsid w:val="00A91C28"/>
    <w:rsid w:val="00A91C93"/>
    <w:rsid w:val="00A91CB3"/>
    <w:rsid w:val="00A91D42"/>
    <w:rsid w:val="00A91DE2"/>
    <w:rsid w:val="00A920DF"/>
    <w:rsid w:val="00A92197"/>
    <w:rsid w:val="00A923C6"/>
    <w:rsid w:val="00A92409"/>
    <w:rsid w:val="00A9248E"/>
    <w:rsid w:val="00A92548"/>
    <w:rsid w:val="00A925C6"/>
    <w:rsid w:val="00A925FD"/>
    <w:rsid w:val="00A92673"/>
    <w:rsid w:val="00A927B0"/>
    <w:rsid w:val="00A92B00"/>
    <w:rsid w:val="00A92EFF"/>
    <w:rsid w:val="00A92F04"/>
    <w:rsid w:val="00A93021"/>
    <w:rsid w:val="00A93096"/>
    <w:rsid w:val="00A93303"/>
    <w:rsid w:val="00A93589"/>
    <w:rsid w:val="00A935C9"/>
    <w:rsid w:val="00A93913"/>
    <w:rsid w:val="00A93AE0"/>
    <w:rsid w:val="00A93AF8"/>
    <w:rsid w:val="00A93B64"/>
    <w:rsid w:val="00A93B88"/>
    <w:rsid w:val="00A93D7A"/>
    <w:rsid w:val="00A9401C"/>
    <w:rsid w:val="00A94143"/>
    <w:rsid w:val="00A94169"/>
    <w:rsid w:val="00A942E4"/>
    <w:rsid w:val="00A94441"/>
    <w:rsid w:val="00A945D9"/>
    <w:rsid w:val="00A94616"/>
    <w:rsid w:val="00A94739"/>
    <w:rsid w:val="00A9476A"/>
    <w:rsid w:val="00A948BA"/>
    <w:rsid w:val="00A948F9"/>
    <w:rsid w:val="00A94B3A"/>
    <w:rsid w:val="00A9516D"/>
    <w:rsid w:val="00A9531E"/>
    <w:rsid w:val="00A956B0"/>
    <w:rsid w:val="00A95719"/>
    <w:rsid w:val="00A95869"/>
    <w:rsid w:val="00A95879"/>
    <w:rsid w:val="00A959AD"/>
    <w:rsid w:val="00A95ABA"/>
    <w:rsid w:val="00A95AD2"/>
    <w:rsid w:val="00A95C01"/>
    <w:rsid w:val="00A95C31"/>
    <w:rsid w:val="00A95F39"/>
    <w:rsid w:val="00A96097"/>
    <w:rsid w:val="00A9632C"/>
    <w:rsid w:val="00A9633B"/>
    <w:rsid w:val="00A96428"/>
    <w:rsid w:val="00A9644F"/>
    <w:rsid w:val="00A96491"/>
    <w:rsid w:val="00A964AA"/>
    <w:rsid w:val="00A9665D"/>
    <w:rsid w:val="00A966C6"/>
    <w:rsid w:val="00A96779"/>
    <w:rsid w:val="00A967C8"/>
    <w:rsid w:val="00A96802"/>
    <w:rsid w:val="00A96A3F"/>
    <w:rsid w:val="00A96A67"/>
    <w:rsid w:val="00A96A77"/>
    <w:rsid w:val="00A96BFA"/>
    <w:rsid w:val="00A96D92"/>
    <w:rsid w:val="00A96EF9"/>
    <w:rsid w:val="00A971D9"/>
    <w:rsid w:val="00A974FD"/>
    <w:rsid w:val="00A9770E"/>
    <w:rsid w:val="00A9771D"/>
    <w:rsid w:val="00A97877"/>
    <w:rsid w:val="00A978BF"/>
    <w:rsid w:val="00A978F7"/>
    <w:rsid w:val="00A979A4"/>
    <w:rsid w:val="00A97B71"/>
    <w:rsid w:val="00A97DE9"/>
    <w:rsid w:val="00A97F20"/>
    <w:rsid w:val="00A97FC7"/>
    <w:rsid w:val="00A97FD0"/>
    <w:rsid w:val="00AA007F"/>
    <w:rsid w:val="00AA009E"/>
    <w:rsid w:val="00AA00CC"/>
    <w:rsid w:val="00AA00FA"/>
    <w:rsid w:val="00AA01A4"/>
    <w:rsid w:val="00AA033A"/>
    <w:rsid w:val="00AA0515"/>
    <w:rsid w:val="00AA079D"/>
    <w:rsid w:val="00AA0A11"/>
    <w:rsid w:val="00AA0C13"/>
    <w:rsid w:val="00AA0CE9"/>
    <w:rsid w:val="00AA0D32"/>
    <w:rsid w:val="00AA0F29"/>
    <w:rsid w:val="00AA1001"/>
    <w:rsid w:val="00AA10BB"/>
    <w:rsid w:val="00AA1263"/>
    <w:rsid w:val="00AA1398"/>
    <w:rsid w:val="00AA145D"/>
    <w:rsid w:val="00AA1499"/>
    <w:rsid w:val="00AA14E0"/>
    <w:rsid w:val="00AA14F1"/>
    <w:rsid w:val="00AA1679"/>
    <w:rsid w:val="00AA194D"/>
    <w:rsid w:val="00AA1C14"/>
    <w:rsid w:val="00AA1C1A"/>
    <w:rsid w:val="00AA1C5A"/>
    <w:rsid w:val="00AA1CC5"/>
    <w:rsid w:val="00AA1ED6"/>
    <w:rsid w:val="00AA1EE8"/>
    <w:rsid w:val="00AA2126"/>
    <w:rsid w:val="00AA213B"/>
    <w:rsid w:val="00AA2148"/>
    <w:rsid w:val="00AA226E"/>
    <w:rsid w:val="00AA23DE"/>
    <w:rsid w:val="00AA2441"/>
    <w:rsid w:val="00AA24BE"/>
    <w:rsid w:val="00AA257C"/>
    <w:rsid w:val="00AA25BC"/>
    <w:rsid w:val="00AA2A00"/>
    <w:rsid w:val="00AA2BCB"/>
    <w:rsid w:val="00AA2C79"/>
    <w:rsid w:val="00AA2EB3"/>
    <w:rsid w:val="00AA2F18"/>
    <w:rsid w:val="00AA303E"/>
    <w:rsid w:val="00AA31DB"/>
    <w:rsid w:val="00AA322D"/>
    <w:rsid w:val="00AA335D"/>
    <w:rsid w:val="00AA33AE"/>
    <w:rsid w:val="00AA364D"/>
    <w:rsid w:val="00AA36F3"/>
    <w:rsid w:val="00AA3A06"/>
    <w:rsid w:val="00AA3AD8"/>
    <w:rsid w:val="00AA3C07"/>
    <w:rsid w:val="00AA3C75"/>
    <w:rsid w:val="00AA3EAA"/>
    <w:rsid w:val="00AA3ECB"/>
    <w:rsid w:val="00AA3F6D"/>
    <w:rsid w:val="00AA4023"/>
    <w:rsid w:val="00AA403A"/>
    <w:rsid w:val="00AA4603"/>
    <w:rsid w:val="00AA461F"/>
    <w:rsid w:val="00AA467A"/>
    <w:rsid w:val="00AA467B"/>
    <w:rsid w:val="00AA46AE"/>
    <w:rsid w:val="00AA4874"/>
    <w:rsid w:val="00AA498A"/>
    <w:rsid w:val="00AA4A20"/>
    <w:rsid w:val="00AA4C9B"/>
    <w:rsid w:val="00AA4CEE"/>
    <w:rsid w:val="00AA4DE5"/>
    <w:rsid w:val="00AA4DEA"/>
    <w:rsid w:val="00AA4E2B"/>
    <w:rsid w:val="00AA4E46"/>
    <w:rsid w:val="00AA5005"/>
    <w:rsid w:val="00AA5208"/>
    <w:rsid w:val="00AA52B3"/>
    <w:rsid w:val="00AA5483"/>
    <w:rsid w:val="00AA55B6"/>
    <w:rsid w:val="00AA55B7"/>
    <w:rsid w:val="00AA5662"/>
    <w:rsid w:val="00AA5AB9"/>
    <w:rsid w:val="00AA5ABC"/>
    <w:rsid w:val="00AA5AD9"/>
    <w:rsid w:val="00AA5B45"/>
    <w:rsid w:val="00AA5BDD"/>
    <w:rsid w:val="00AA5CD9"/>
    <w:rsid w:val="00AA5E28"/>
    <w:rsid w:val="00AA5EF8"/>
    <w:rsid w:val="00AA5F29"/>
    <w:rsid w:val="00AA5FFF"/>
    <w:rsid w:val="00AA608D"/>
    <w:rsid w:val="00AA636C"/>
    <w:rsid w:val="00AA6418"/>
    <w:rsid w:val="00AA6475"/>
    <w:rsid w:val="00AA64A2"/>
    <w:rsid w:val="00AA64A7"/>
    <w:rsid w:val="00AA6543"/>
    <w:rsid w:val="00AA663B"/>
    <w:rsid w:val="00AA6718"/>
    <w:rsid w:val="00AA67CE"/>
    <w:rsid w:val="00AA68A9"/>
    <w:rsid w:val="00AA6974"/>
    <w:rsid w:val="00AA6D51"/>
    <w:rsid w:val="00AA6EF8"/>
    <w:rsid w:val="00AA6F7A"/>
    <w:rsid w:val="00AA6FAE"/>
    <w:rsid w:val="00AA6FD8"/>
    <w:rsid w:val="00AA7110"/>
    <w:rsid w:val="00AA72B3"/>
    <w:rsid w:val="00AA7502"/>
    <w:rsid w:val="00AA755B"/>
    <w:rsid w:val="00AA760F"/>
    <w:rsid w:val="00AA7670"/>
    <w:rsid w:val="00AA797B"/>
    <w:rsid w:val="00AA79FF"/>
    <w:rsid w:val="00AA7A99"/>
    <w:rsid w:val="00AA7B36"/>
    <w:rsid w:val="00AA7BB2"/>
    <w:rsid w:val="00AA7E2F"/>
    <w:rsid w:val="00AA7F75"/>
    <w:rsid w:val="00AA7F99"/>
    <w:rsid w:val="00AB00CC"/>
    <w:rsid w:val="00AB00CE"/>
    <w:rsid w:val="00AB0146"/>
    <w:rsid w:val="00AB015F"/>
    <w:rsid w:val="00AB017B"/>
    <w:rsid w:val="00AB01A3"/>
    <w:rsid w:val="00AB0527"/>
    <w:rsid w:val="00AB0555"/>
    <w:rsid w:val="00AB0731"/>
    <w:rsid w:val="00AB093E"/>
    <w:rsid w:val="00AB0BB1"/>
    <w:rsid w:val="00AB0FBF"/>
    <w:rsid w:val="00AB0FD2"/>
    <w:rsid w:val="00AB11DD"/>
    <w:rsid w:val="00AB1319"/>
    <w:rsid w:val="00AB14F6"/>
    <w:rsid w:val="00AB151F"/>
    <w:rsid w:val="00AB1525"/>
    <w:rsid w:val="00AB156D"/>
    <w:rsid w:val="00AB15FA"/>
    <w:rsid w:val="00AB1935"/>
    <w:rsid w:val="00AB1979"/>
    <w:rsid w:val="00AB19C7"/>
    <w:rsid w:val="00AB1AB2"/>
    <w:rsid w:val="00AB1AC3"/>
    <w:rsid w:val="00AB1BF8"/>
    <w:rsid w:val="00AB1C4A"/>
    <w:rsid w:val="00AB1C86"/>
    <w:rsid w:val="00AB1CFA"/>
    <w:rsid w:val="00AB1D59"/>
    <w:rsid w:val="00AB1E08"/>
    <w:rsid w:val="00AB205D"/>
    <w:rsid w:val="00AB2199"/>
    <w:rsid w:val="00AB21AD"/>
    <w:rsid w:val="00AB21C7"/>
    <w:rsid w:val="00AB2223"/>
    <w:rsid w:val="00AB2232"/>
    <w:rsid w:val="00AB226C"/>
    <w:rsid w:val="00AB23CA"/>
    <w:rsid w:val="00AB23CF"/>
    <w:rsid w:val="00AB2406"/>
    <w:rsid w:val="00AB240A"/>
    <w:rsid w:val="00AB257E"/>
    <w:rsid w:val="00AB2597"/>
    <w:rsid w:val="00AB2689"/>
    <w:rsid w:val="00AB290B"/>
    <w:rsid w:val="00AB2C14"/>
    <w:rsid w:val="00AB2D13"/>
    <w:rsid w:val="00AB2D24"/>
    <w:rsid w:val="00AB2E69"/>
    <w:rsid w:val="00AB2F48"/>
    <w:rsid w:val="00AB2F75"/>
    <w:rsid w:val="00AB2FF9"/>
    <w:rsid w:val="00AB3119"/>
    <w:rsid w:val="00AB3154"/>
    <w:rsid w:val="00AB321F"/>
    <w:rsid w:val="00AB3635"/>
    <w:rsid w:val="00AB3A17"/>
    <w:rsid w:val="00AB3A8B"/>
    <w:rsid w:val="00AB3B8D"/>
    <w:rsid w:val="00AB3BF3"/>
    <w:rsid w:val="00AB3F24"/>
    <w:rsid w:val="00AB4099"/>
    <w:rsid w:val="00AB411D"/>
    <w:rsid w:val="00AB4321"/>
    <w:rsid w:val="00AB44A9"/>
    <w:rsid w:val="00AB44E6"/>
    <w:rsid w:val="00AB4517"/>
    <w:rsid w:val="00AB4547"/>
    <w:rsid w:val="00AB472B"/>
    <w:rsid w:val="00AB476B"/>
    <w:rsid w:val="00AB47BE"/>
    <w:rsid w:val="00AB48EC"/>
    <w:rsid w:val="00AB490B"/>
    <w:rsid w:val="00AB4991"/>
    <w:rsid w:val="00AB499F"/>
    <w:rsid w:val="00AB4D11"/>
    <w:rsid w:val="00AB4D40"/>
    <w:rsid w:val="00AB4E84"/>
    <w:rsid w:val="00AB4EF2"/>
    <w:rsid w:val="00AB4EF6"/>
    <w:rsid w:val="00AB5069"/>
    <w:rsid w:val="00AB50E0"/>
    <w:rsid w:val="00AB51C2"/>
    <w:rsid w:val="00AB52E3"/>
    <w:rsid w:val="00AB557A"/>
    <w:rsid w:val="00AB582F"/>
    <w:rsid w:val="00AB59B5"/>
    <w:rsid w:val="00AB59E0"/>
    <w:rsid w:val="00AB5AF1"/>
    <w:rsid w:val="00AB5C11"/>
    <w:rsid w:val="00AB5C56"/>
    <w:rsid w:val="00AB5CF6"/>
    <w:rsid w:val="00AB5F09"/>
    <w:rsid w:val="00AB606A"/>
    <w:rsid w:val="00AB638F"/>
    <w:rsid w:val="00AB6601"/>
    <w:rsid w:val="00AB66B9"/>
    <w:rsid w:val="00AB677F"/>
    <w:rsid w:val="00AB686F"/>
    <w:rsid w:val="00AB687E"/>
    <w:rsid w:val="00AB69B5"/>
    <w:rsid w:val="00AB6A41"/>
    <w:rsid w:val="00AB6ADE"/>
    <w:rsid w:val="00AB6BF5"/>
    <w:rsid w:val="00AB6C66"/>
    <w:rsid w:val="00AB6CAD"/>
    <w:rsid w:val="00AB6D37"/>
    <w:rsid w:val="00AB6D44"/>
    <w:rsid w:val="00AB6E41"/>
    <w:rsid w:val="00AB6EE0"/>
    <w:rsid w:val="00AB7055"/>
    <w:rsid w:val="00AB7104"/>
    <w:rsid w:val="00AB76D5"/>
    <w:rsid w:val="00AB76D7"/>
    <w:rsid w:val="00AB778D"/>
    <w:rsid w:val="00AB79F2"/>
    <w:rsid w:val="00AB7A94"/>
    <w:rsid w:val="00AB7B2C"/>
    <w:rsid w:val="00AB7B96"/>
    <w:rsid w:val="00AB7D1C"/>
    <w:rsid w:val="00AB7DDF"/>
    <w:rsid w:val="00AB7ECE"/>
    <w:rsid w:val="00AB7EFD"/>
    <w:rsid w:val="00AC0209"/>
    <w:rsid w:val="00AC0280"/>
    <w:rsid w:val="00AC0340"/>
    <w:rsid w:val="00AC0404"/>
    <w:rsid w:val="00AC043E"/>
    <w:rsid w:val="00AC04B2"/>
    <w:rsid w:val="00AC0947"/>
    <w:rsid w:val="00AC0A6E"/>
    <w:rsid w:val="00AC0C25"/>
    <w:rsid w:val="00AC0C28"/>
    <w:rsid w:val="00AC0C7C"/>
    <w:rsid w:val="00AC0D13"/>
    <w:rsid w:val="00AC0D72"/>
    <w:rsid w:val="00AC0E02"/>
    <w:rsid w:val="00AC0E54"/>
    <w:rsid w:val="00AC0EB9"/>
    <w:rsid w:val="00AC0F3E"/>
    <w:rsid w:val="00AC1209"/>
    <w:rsid w:val="00AC133B"/>
    <w:rsid w:val="00AC1353"/>
    <w:rsid w:val="00AC1499"/>
    <w:rsid w:val="00AC19BE"/>
    <w:rsid w:val="00AC1B66"/>
    <w:rsid w:val="00AC1B76"/>
    <w:rsid w:val="00AC1D5E"/>
    <w:rsid w:val="00AC211C"/>
    <w:rsid w:val="00AC2156"/>
    <w:rsid w:val="00AC218E"/>
    <w:rsid w:val="00AC224D"/>
    <w:rsid w:val="00AC25A0"/>
    <w:rsid w:val="00AC264A"/>
    <w:rsid w:val="00AC2733"/>
    <w:rsid w:val="00AC278A"/>
    <w:rsid w:val="00AC2878"/>
    <w:rsid w:val="00AC290A"/>
    <w:rsid w:val="00AC2960"/>
    <w:rsid w:val="00AC2A67"/>
    <w:rsid w:val="00AC2A93"/>
    <w:rsid w:val="00AC2C15"/>
    <w:rsid w:val="00AC2CF9"/>
    <w:rsid w:val="00AC2E89"/>
    <w:rsid w:val="00AC2FEE"/>
    <w:rsid w:val="00AC3136"/>
    <w:rsid w:val="00AC3158"/>
    <w:rsid w:val="00AC3198"/>
    <w:rsid w:val="00AC3492"/>
    <w:rsid w:val="00AC3674"/>
    <w:rsid w:val="00AC374A"/>
    <w:rsid w:val="00AC374C"/>
    <w:rsid w:val="00AC3894"/>
    <w:rsid w:val="00AC3AE7"/>
    <w:rsid w:val="00AC3B1E"/>
    <w:rsid w:val="00AC3D0D"/>
    <w:rsid w:val="00AC3D43"/>
    <w:rsid w:val="00AC3EC5"/>
    <w:rsid w:val="00AC3ECC"/>
    <w:rsid w:val="00AC4052"/>
    <w:rsid w:val="00AC41C8"/>
    <w:rsid w:val="00AC428C"/>
    <w:rsid w:val="00AC43F1"/>
    <w:rsid w:val="00AC44BC"/>
    <w:rsid w:val="00AC45D9"/>
    <w:rsid w:val="00AC4705"/>
    <w:rsid w:val="00AC4816"/>
    <w:rsid w:val="00AC4830"/>
    <w:rsid w:val="00AC49C4"/>
    <w:rsid w:val="00AC4A81"/>
    <w:rsid w:val="00AC4B97"/>
    <w:rsid w:val="00AC4C55"/>
    <w:rsid w:val="00AC4CBC"/>
    <w:rsid w:val="00AC4D5F"/>
    <w:rsid w:val="00AC4DCF"/>
    <w:rsid w:val="00AC4E52"/>
    <w:rsid w:val="00AC4FE7"/>
    <w:rsid w:val="00AC4FF5"/>
    <w:rsid w:val="00AC5385"/>
    <w:rsid w:val="00AC5397"/>
    <w:rsid w:val="00AC54A0"/>
    <w:rsid w:val="00AC565D"/>
    <w:rsid w:val="00AC57CE"/>
    <w:rsid w:val="00AC57F9"/>
    <w:rsid w:val="00AC59B1"/>
    <w:rsid w:val="00AC5BD8"/>
    <w:rsid w:val="00AC5E4F"/>
    <w:rsid w:val="00AC607C"/>
    <w:rsid w:val="00AC64E9"/>
    <w:rsid w:val="00AC6501"/>
    <w:rsid w:val="00AC652D"/>
    <w:rsid w:val="00AC6621"/>
    <w:rsid w:val="00AC6854"/>
    <w:rsid w:val="00AC6A73"/>
    <w:rsid w:val="00AC6B48"/>
    <w:rsid w:val="00AC6B5A"/>
    <w:rsid w:val="00AC6D6B"/>
    <w:rsid w:val="00AC6E9B"/>
    <w:rsid w:val="00AC6EAF"/>
    <w:rsid w:val="00AC710D"/>
    <w:rsid w:val="00AC7169"/>
    <w:rsid w:val="00AC717A"/>
    <w:rsid w:val="00AC721C"/>
    <w:rsid w:val="00AC736C"/>
    <w:rsid w:val="00AC7696"/>
    <w:rsid w:val="00AC79C5"/>
    <w:rsid w:val="00AC7A50"/>
    <w:rsid w:val="00AC7B59"/>
    <w:rsid w:val="00AC7BB7"/>
    <w:rsid w:val="00AC7BD7"/>
    <w:rsid w:val="00AC7D08"/>
    <w:rsid w:val="00AC7D3B"/>
    <w:rsid w:val="00AC7E77"/>
    <w:rsid w:val="00AC7F46"/>
    <w:rsid w:val="00AC7FAB"/>
    <w:rsid w:val="00AD0084"/>
    <w:rsid w:val="00AD00D8"/>
    <w:rsid w:val="00AD0188"/>
    <w:rsid w:val="00AD020A"/>
    <w:rsid w:val="00AD026F"/>
    <w:rsid w:val="00AD027B"/>
    <w:rsid w:val="00AD02CE"/>
    <w:rsid w:val="00AD0425"/>
    <w:rsid w:val="00AD0541"/>
    <w:rsid w:val="00AD054F"/>
    <w:rsid w:val="00AD0596"/>
    <w:rsid w:val="00AD0AA8"/>
    <w:rsid w:val="00AD0C6A"/>
    <w:rsid w:val="00AD0CDE"/>
    <w:rsid w:val="00AD0DBD"/>
    <w:rsid w:val="00AD0DF1"/>
    <w:rsid w:val="00AD0EED"/>
    <w:rsid w:val="00AD0F8A"/>
    <w:rsid w:val="00AD0FDC"/>
    <w:rsid w:val="00AD1224"/>
    <w:rsid w:val="00AD12C6"/>
    <w:rsid w:val="00AD1300"/>
    <w:rsid w:val="00AD1412"/>
    <w:rsid w:val="00AD1464"/>
    <w:rsid w:val="00AD1517"/>
    <w:rsid w:val="00AD156F"/>
    <w:rsid w:val="00AD16F1"/>
    <w:rsid w:val="00AD19A1"/>
    <w:rsid w:val="00AD1B10"/>
    <w:rsid w:val="00AD1CED"/>
    <w:rsid w:val="00AD1E6C"/>
    <w:rsid w:val="00AD1F32"/>
    <w:rsid w:val="00AD202F"/>
    <w:rsid w:val="00AD2323"/>
    <w:rsid w:val="00AD241F"/>
    <w:rsid w:val="00AD25D5"/>
    <w:rsid w:val="00AD25E3"/>
    <w:rsid w:val="00AD260E"/>
    <w:rsid w:val="00AD2658"/>
    <w:rsid w:val="00AD27CF"/>
    <w:rsid w:val="00AD2B48"/>
    <w:rsid w:val="00AD2C76"/>
    <w:rsid w:val="00AD2CAE"/>
    <w:rsid w:val="00AD2F80"/>
    <w:rsid w:val="00AD3005"/>
    <w:rsid w:val="00AD301B"/>
    <w:rsid w:val="00AD30A6"/>
    <w:rsid w:val="00AD30F0"/>
    <w:rsid w:val="00AD31B5"/>
    <w:rsid w:val="00AD3248"/>
    <w:rsid w:val="00AD3264"/>
    <w:rsid w:val="00AD3539"/>
    <w:rsid w:val="00AD3742"/>
    <w:rsid w:val="00AD3762"/>
    <w:rsid w:val="00AD37A6"/>
    <w:rsid w:val="00AD3988"/>
    <w:rsid w:val="00AD39E9"/>
    <w:rsid w:val="00AD3B95"/>
    <w:rsid w:val="00AD3C03"/>
    <w:rsid w:val="00AD3D38"/>
    <w:rsid w:val="00AD3D50"/>
    <w:rsid w:val="00AD3F68"/>
    <w:rsid w:val="00AD401A"/>
    <w:rsid w:val="00AD4082"/>
    <w:rsid w:val="00AD4141"/>
    <w:rsid w:val="00AD4180"/>
    <w:rsid w:val="00AD41CA"/>
    <w:rsid w:val="00AD4329"/>
    <w:rsid w:val="00AD4345"/>
    <w:rsid w:val="00AD4485"/>
    <w:rsid w:val="00AD4629"/>
    <w:rsid w:val="00AD475F"/>
    <w:rsid w:val="00AD48ED"/>
    <w:rsid w:val="00AD4916"/>
    <w:rsid w:val="00AD49E9"/>
    <w:rsid w:val="00AD4A72"/>
    <w:rsid w:val="00AD4A82"/>
    <w:rsid w:val="00AD4B78"/>
    <w:rsid w:val="00AD4C15"/>
    <w:rsid w:val="00AD4F51"/>
    <w:rsid w:val="00AD5046"/>
    <w:rsid w:val="00AD5180"/>
    <w:rsid w:val="00AD52F9"/>
    <w:rsid w:val="00AD5317"/>
    <w:rsid w:val="00AD55C2"/>
    <w:rsid w:val="00AD5816"/>
    <w:rsid w:val="00AD58FC"/>
    <w:rsid w:val="00AD59B2"/>
    <w:rsid w:val="00AD5AA6"/>
    <w:rsid w:val="00AD5BE0"/>
    <w:rsid w:val="00AD5C4B"/>
    <w:rsid w:val="00AD5DA1"/>
    <w:rsid w:val="00AD5F2B"/>
    <w:rsid w:val="00AD6083"/>
    <w:rsid w:val="00AD614B"/>
    <w:rsid w:val="00AD6500"/>
    <w:rsid w:val="00AD65D7"/>
    <w:rsid w:val="00AD67A2"/>
    <w:rsid w:val="00AD6BA6"/>
    <w:rsid w:val="00AD6C73"/>
    <w:rsid w:val="00AD6CAF"/>
    <w:rsid w:val="00AD6E7A"/>
    <w:rsid w:val="00AD6FD6"/>
    <w:rsid w:val="00AD705C"/>
    <w:rsid w:val="00AD709C"/>
    <w:rsid w:val="00AD712E"/>
    <w:rsid w:val="00AD71A0"/>
    <w:rsid w:val="00AD7313"/>
    <w:rsid w:val="00AD73B0"/>
    <w:rsid w:val="00AD7492"/>
    <w:rsid w:val="00AD758F"/>
    <w:rsid w:val="00AD75FB"/>
    <w:rsid w:val="00AD76DC"/>
    <w:rsid w:val="00AD789B"/>
    <w:rsid w:val="00AD78B2"/>
    <w:rsid w:val="00AD7A1A"/>
    <w:rsid w:val="00AD7CBE"/>
    <w:rsid w:val="00AD7CD5"/>
    <w:rsid w:val="00AD7D8E"/>
    <w:rsid w:val="00AD7DBF"/>
    <w:rsid w:val="00AD7F66"/>
    <w:rsid w:val="00AE000E"/>
    <w:rsid w:val="00AE00FF"/>
    <w:rsid w:val="00AE01FC"/>
    <w:rsid w:val="00AE0216"/>
    <w:rsid w:val="00AE0375"/>
    <w:rsid w:val="00AE037A"/>
    <w:rsid w:val="00AE03CA"/>
    <w:rsid w:val="00AE0550"/>
    <w:rsid w:val="00AE05F5"/>
    <w:rsid w:val="00AE0625"/>
    <w:rsid w:val="00AE08FA"/>
    <w:rsid w:val="00AE092F"/>
    <w:rsid w:val="00AE0CD5"/>
    <w:rsid w:val="00AE0D90"/>
    <w:rsid w:val="00AE0DCD"/>
    <w:rsid w:val="00AE0DE6"/>
    <w:rsid w:val="00AE0E73"/>
    <w:rsid w:val="00AE0E78"/>
    <w:rsid w:val="00AE0E81"/>
    <w:rsid w:val="00AE10AB"/>
    <w:rsid w:val="00AE11E9"/>
    <w:rsid w:val="00AE1260"/>
    <w:rsid w:val="00AE1525"/>
    <w:rsid w:val="00AE1556"/>
    <w:rsid w:val="00AE16C5"/>
    <w:rsid w:val="00AE1770"/>
    <w:rsid w:val="00AE1A86"/>
    <w:rsid w:val="00AE1A89"/>
    <w:rsid w:val="00AE1D04"/>
    <w:rsid w:val="00AE1D43"/>
    <w:rsid w:val="00AE1DBB"/>
    <w:rsid w:val="00AE1F01"/>
    <w:rsid w:val="00AE1FA1"/>
    <w:rsid w:val="00AE204F"/>
    <w:rsid w:val="00AE2093"/>
    <w:rsid w:val="00AE20CF"/>
    <w:rsid w:val="00AE21E2"/>
    <w:rsid w:val="00AE2208"/>
    <w:rsid w:val="00AE2308"/>
    <w:rsid w:val="00AE26B8"/>
    <w:rsid w:val="00AE2701"/>
    <w:rsid w:val="00AE2725"/>
    <w:rsid w:val="00AE289A"/>
    <w:rsid w:val="00AE291A"/>
    <w:rsid w:val="00AE2ADF"/>
    <w:rsid w:val="00AE2BAD"/>
    <w:rsid w:val="00AE2C6B"/>
    <w:rsid w:val="00AE2C92"/>
    <w:rsid w:val="00AE2CDA"/>
    <w:rsid w:val="00AE2EF2"/>
    <w:rsid w:val="00AE2FBA"/>
    <w:rsid w:val="00AE301D"/>
    <w:rsid w:val="00AE3060"/>
    <w:rsid w:val="00AE320B"/>
    <w:rsid w:val="00AE3284"/>
    <w:rsid w:val="00AE3361"/>
    <w:rsid w:val="00AE349C"/>
    <w:rsid w:val="00AE35B6"/>
    <w:rsid w:val="00AE3719"/>
    <w:rsid w:val="00AE374C"/>
    <w:rsid w:val="00AE37BA"/>
    <w:rsid w:val="00AE399F"/>
    <w:rsid w:val="00AE3B83"/>
    <w:rsid w:val="00AE3CC1"/>
    <w:rsid w:val="00AE3D15"/>
    <w:rsid w:val="00AE4576"/>
    <w:rsid w:val="00AE45FB"/>
    <w:rsid w:val="00AE4608"/>
    <w:rsid w:val="00AE4640"/>
    <w:rsid w:val="00AE46A4"/>
    <w:rsid w:val="00AE473F"/>
    <w:rsid w:val="00AE47F1"/>
    <w:rsid w:val="00AE484F"/>
    <w:rsid w:val="00AE493E"/>
    <w:rsid w:val="00AE4C3A"/>
    <w:rsid w:val="00AE4F5D"/>
    <w:rsid w:val="00AE5047"/>
    <w:rsid w:val="00AE51D3"/>
    <w:rsid w:val="00AE527C"/>
    <w:rsid w:val="00AE5312"/>
    <w:rsid w:val="00AE535A"/>
    <w:rsid w:val="00AE5591"/>
    <w:rsid w:val="00AE56AF"/>
    <w:rsid w:val="00AE5A0F"/>
    <w:rsid w:val="00AE5A5C"/>
    <w:rsid w:val="00AE5AA6"/>
    <w:rsid w:val="00AE5AAB"/>
    <w:rsid w:val="00AE5ABD"/>
    <w:rsid w:val="00AE5C67"/>
    <w:rsid w:val="00AE5C7E"/>
    <w:rsid w:val="00AE5CE8"/>
    <w:rsid w:val="00AE5D73"/>
    <w:rsid w:val="00AE5DFA"/>
    <w:rsid w:val="00AE5E07"/>
    <w:rsid w:val="00AE5FAB"/>
    <w:rsid w:val="00AE5FE6"/>
    <w:rsid w:val="00AE63AC"/>
    <w:rsid w:val="00AE63B5"/>
    <w:rsid w:val="00AE64BE"/>
    <w:rsid w:val="00AE65E3"/>
    <w:rsid w:val="00AE661F"/>
    <w:rsid w:val="00AE67AB"/>
    <w:rsid w:val="00AE694C"/>
    <w:rsid w:val="00AE6987"/>
    <w:rsid w:val="00AE6C15"/>
    <w:rsid w:val="00AE6C59"/>
    <w:rsid w:val="00AE7241"/>
    <w:rsid w:val="00AE7245"/>
    <w:rsid w:val="00AE7296"/>
    <w:rsid w:val="00AE74BA"/>
    <w:rsid w:val="00AE74F6"/>
    <w:rsid w:val="00AE7535"/>
    <w:rsid w:val="00AE7B90"/>
    <w:rsid w:val="00AE7C8E"/>
    <w:rsid w:val="00AE7DDE"/>
    <w:rsid w:val="00AF00CE"/>
    <w:rsid w:val="00AF018E"/>
    <w:rsid w:val="00AF02F5"/>
    <w:rsid w:val="00AF0480"/>
    <w:rsid w:val="00AF050B"/>
    <w:rsid w:val="00AF07BE"/>
    <w:rsid w:val="00AF0821"/>
    <w:rsid w:val="00AF08BB"/>
    <w:rsid w:val="00AF08E8"/>
    <w:rsid w:val="00AF09D0"/>
    <w:rsid w:val="00AF09D5"/>
    <w:rsid w:val="00AF0A85"/>
    <w:rsid w:val="00AF0AE5"/>
    <w:rsid w:val="00AF0C08"/>
    <w:rsid w:val="00AF0C56"/>
    <w:rsid w:val="00AF0C9A"/>
    <w:rsid w:val="00AF0D8E"/>
    <w:rsid w:val="00AF110C"/>
    <w:rsid w:val="00AF119F"/>
    <w:rsid w:val="00AF1235"/>
    <w:rsid w:val="00AF1249"/>
    <w:rsid w:val="00AF14C0"/>
    <w:rsid w:val="00AF1592"/>
    <w:rsid w:val="00AF16D1"/>
    <w:rsid w:val="00AF173A"/>
    <w:rsid w:val="00AF174A"/>
    <w:rsid w:val="00AF191C"/>
    <w:rsid w:val="00AF1929"/>
    <w:rsid w:val="00AF1A9D"/>
    <w:rsid w:val="00AF1AC0"/>
    <w:rsid w:val="00AF1AE7"/>
    <w:rsid w:val="00AF1B31"/>
    <w:rsid w:val="00AF1E23"/>
    <w:rsid w:val="00AF1EA5"/>
    <w:rsid w:val="00AF1F96"/>
    <w:rsid w:val="00AF1FF4"/>
    <w:rsid w:val="00AF20C5"/>
    <w:rsid w:val="00AF20F6"/>
    <w:rsid w:val="00AF21A7"/>
    <w:rsid w:val="00AF22C2"/>
    <w:rsid w:val="00AF2322"/>
    <w:rsid w:val="00AF2406"/>
    <w:rsid w:val="00AF26B5"/>
    <w:rsid w:val="00AF27C2"/>
    <w:rsid w:val="00AF2857"/>
    <w:rsid w:val="00AF2D96"/>
    <w:rsid w:val="00AF2E0E"/>
    <w:rsid w:val="00AF2E60"/>
    <w:rsid w:val="00AF2E8A"/>
    <w:rsid w:val="00AF3091"/>
    <w:rsid w:val="00AF31E1"/>
    <w:rsid w:val="00AF3260"/>
    <w:rsid w:val="00AF32AB"/>
    <w:rsid w:val="00AF3334"/>
    <w:rsid w:val="00AF3394"/>
    <w:rsid w:val="00AF363B"/>
    <w:rsid w:val="00AF3652"/>
    <w:rsid w:val="00AF36DB"/>
    <w:rsid w:val="00AF375D"/>
    <w:rsid w:val="00AF37D2"/>
    <w:rsid w:val="00AF384B"/>
    <w:rsid w:val="00AF390F"/>
    <w:rsid w:val="00AF3A4C"/>
    <w:rsid w:val="00AF3D9D"/>
    <w:rsid w:val="00AF3E3A"/>
    <w:rsid w:val="00AF410F"/>
    <w:rsid w:val="00AF412A"/>
    <w:rsid w:val="00AF4165"/>
    <w:rsid w:val="00AF419B"/>
    <w:rsid w:val="00AF43CF"/>
    <w:rsid w:val="00AF443C"/>
    <w:rsid w:val="00AF469B"/>
    <w:rsid w:val="00AF4802"/>
    <w:rsid w:val="00AF480A"/>
    <w:rsid w:val="00AF488E"/>
    <w:rsid w:val="00AF4A23"/>
    <w:rsid w:val="00AF4B21"/>
    <w:rsid w:val="00AF4CE3"/>
    <w:rsid w:val="00AF4E23"/>
    <w:rsid w:val="00AF4F00"/>
    <w:rsid w:val="00AF4FB4"/>
    <w:rsid w:val="00AF503D"/>
    <w:rsid w:val="00AF5108"/>
    <w:rsid w:val="00AF515D"/>
    <w:rsid w:val="00AF51F7"/>
    <w:rsid w:val="00AF52F5"/>
    <w:rsid w:val="00AF543A"/>
    <w:rsid w:val="00AF5455"/>
    <w:rsid w:val="00AF5466"/>
    <w:rsid w:val="00AF55CE"/>
    <w:rsid w:val="00AF59B6"/>
    <w:rsid w:val="00AF59DF"/>
    <w:rsid w:val="00AF5BAD"/>
    <w:rsid w:val="00AF5CC6"/>
    <w:rsid w:val="00AF5EAE"/>
    <w:rsid w:val="00AF5F06"/>
    <w:rsid w:val="00AF602D"/>
    <w:rsid w:val="00AF60D6"/>
    <w:rsid w:val="00AF61E7"/>
    <w:rsid w:val="00AF62A3"/>
    <w:rsid w:val="00AF6436"/>
    <w:rsid w:val="00AF67FE"/>
    <w:rsid w:val="00AF6822"/>
    <w:rsid w:val="00AF695D"/>
    <w:rsid w:val="00AF6C37"/>
    <w:rsid w:val="00AF6CCA"/>
    <w:rsid w:val="00AF6D30"/>
    <w:rsid w:val="00AF71AF"/>
    <w:rsid w:val="00AF733D"/>
    <w:rsid w:val="00AF75A3"/>
    <w:rsid w:val="00AF762B"/>
    <w:rsid w:val="00AF7695"/>
    <w:rsid w:val="00AF78FA"/>
    <w:rsid w:val="00AF78FE"/>
    <w:rsid w:val="00AF7A70"/>
    <w:rsid w:val="00AF7AEF"/>
    <w:rsid w:val="00AF7BCA"/>
    <w:rsid w:val="00AF7FC3"/>
    <w:rsid w:val="00B0004B"/>
    <w:rsid w:val="00B00139"/>
    <w:rsid w:val="00B00151"/>
    <w:rsid w:val="00B0050D"/>
    <w:rsid w:val="00B00642"/>
    <w:rsid w:val="00B00870"/>
    <w:rsid w:val="00B008A3"/>
    <w:rsid w:val="00B008E7"/>
    <w:rsid w:val="00B00A9A"/>
    <w:rsid w:val="00B00DB5"/>
    <w:rsid w:val="00B00E99"/>
    <w:rsid w:val="00B00EA5"/>
    <w:rsid w:val="00B011B3"/>
    <w:rsid w:val="00B01215"/>
    <w:rsid w:val="00B0130D"/>
    <w:rsid w:val="00B0152B"/>
    <w:rsid w:val="00B0160B"/>
    <w:rsid w:val="00B01671"/>
    <w:rsid w:val="00B01738"/>
    <w:rsid w:val="00B019DE"/>
    <w:rsid w:val="00B01AB2"/>
    <w:rsid w:val="00B01BE4"/>
    <w:rsid w:val="00B01C83"/>
    <w:rsid w:val="00B01CBA"/>
    <w:rsid w:val="00B01E51"/>
    <w:rsid w:val="00B01FE2"/>
    <w:rsid w:val="00B02180"/>
    <w:rsid w:val="00B02523"/>
    <w:rsid w:val="00B02546"/>
    <w:rsid w:val="00B027C2"/>
    <w:rsid w:val="00B02816"/>
    <w:rsid w:val="00B028C6"/>
    <w:rsid w:val="00B029D5"/>
    <w:rsid w:val="00B02A16"/>
    <w:rsid w:val="00B02A36"/>
    <w:rsid w:val="00B02A73"/>
    <w:rsid w:val="00B02F09"/>
    <w:rsid w:val="00B02F70"/>
    <w:rsid w:val="00B02FCC"/>
    <w:rsid w:val="00B03114"/>
    <w:rsid w:val="00B03134"/>
    <w:rsid w:val="00B0323A"/>
    <w:rsid w:val="00B033B3"/>
    <w:rsid w:val="00B035C4"/>
    <w:rsid w:val="00B036CE"/>
    <w:rsid w:val="00B03893"/>
    <w:rsid w:val="00B03B70"/>
    <w:rsid w:val="00B03C0D"/>
    <w:rsid w:val="00B03D80"/>
    <w:rsid w:val="00B03FB6"/>
    <w:rsid w:val="00B03FCC"/>
    <w:rsid w:val="00B040B7"/>
    <w:rsid w:val="00B04140"/>
    <w:rsid w:val="00B04490"/>
    <w:rsid w:val="00B04697"/>
    <w:rsid w:val="00B0469E"/>
    <w:rsid w:val="00B0470E"/>
    <w:rsid w:val="00B04817"/>
    <w:rsid w:val="00B049FA"/>
    <w:rsid w:val="00B04DBE"/>
    <w:rsid w:val="00B04DD1"/>
    <w:rsid w:val="00B0512B"/>
    <w:rsid w:val="00B0515D"/>
    <w:rsid w:val="00B051A6"/>
    <w:rsid w:val="00B05437"/>
    <w:rsid w:val="00B05663"/>
    <w:rsid w:val="00B0572C"/>
    <w:rsid w:val="00B058D4"/>
    <w:rsid w:val="00B0597B"/>
    <w:rsid w:val="00B059F8"/>
    <w:rsid w:val="00B05BAC"/>
    <w:rsid w:val="00B05C06"/>
    <w:rsid w:val="00B05D00"/>
    <w:rsid w:val="00B05EDA"/>
    <w:rsid w:val="00B060D3"/>
    <w:rsid w:val="00B06165"/>
    <w:rsid w:val="00B062E3"/>
    <w:rsid w:val="00B0635F"/>
    <w:rsid w:val="00B063B5"/>
    <w:rsid w:val="00B065BD"/>
    <w:rsid w:val="00B067C8"/>
    <w:rsid w:val="00B06BB1"/>
    <w:rsid w:val="00B06D3C"/>
    <w:rsid w:val="00B06E0E"/>
    <w:rsid w:val="00B06FBB"/>
    <w:rsid w:val="00B07070"/>
    <w:rsid w:val="00B07289"/>
    <w:rsid w:val="00B07295"/>
    <w:rsid w:val="00B073FC"/>
    <w:rsid w:val="00B0753B"/>
    <w:rsid w:val="00B07607"/>
    <w:rsid w:val="00B0769E"/>
    <w:rsid w:val="00B077C5"/>
    <w:rsid w:val="00B07B7F"/>
    <w:rsid w:val="00B07C12"/>
    <w:rsid w:val="00B07F4F"/>
    <w:rsid w:val="00B1003A"/>
    <w:rsid w:val="00B10216"/>
    <w:rsid w:val="00B1024A"/>
    <w:rsid w:val="00B1030D"/>
    <w:rsid w:val="00B1033B"/>
    <w:rsid w:val="00B103AD"/>
    <w:rsid w:val="00B1050B"/>
    <w:rsid w:val="00B105F9"/>
    <w:rsid w:val="00B10660"/>
    <w:rsid w:val="00B106AB"/>
    <w:rsid w:val="00B107AE"/>
    <w:rsid w:val="00B10927"/>
    <w:rsid w:val="00B109B3"/>
    <w:rsid w:val="00B10AD3"/>
    <w:rsid w:val="00B10B55"/>
    <w:rsid w:val="00B10DA8"/>
    <w:rsid w:val="00B10DDE"/>
    <w:rsid w:val="00B1116D"/>
    <w:rsid w:val="00B11190"/>
    <w:rsid w:val="00B111BA"/>
    <w:rsid w:val="00B112AB"/>
    <w:rsid w:val="00B112BB"/>
    <w:rsid w:val="00B1131E"/>
    <w:rsid w:val="00B113CE"/>
    <w:rsid w:val="00B11413"/>
    <w:rsid w:val="00B11540"/>
    <w:rsid w:val="00B117A6"/>
    <w:rsid w:val="00B1195C"/>
    <w:rsid w:val="00B11995"/>
    <w:rsid w:val="00B11A16"/>
    <w:rsid w:val="00B11ADE"/>
    <w:rsid w:val="00B11ED0"/>
    <w:rsid w:val="00B11FA5"/>
    <w:rsid w:val="00B11FC0"/>
    <w:rsid w:val="00B1209C"/>
    <w:rsid w:val="00B1212F"/>
    <w:rsid w:val="00B12298"/>
    <w:rsid w:val="00B12377"/>
    <w:rsid w:val="00B12400"/>
    <w:rsid w:val="00B124C7"/>
    <w:rsid w:val="00B125A3"/>
    <w:rsid w:val="00B1274A"/>
    <w:rsid w:val="00B129C6"/>
    <w:rsid w:val="00B12BAD"/>
    <w:rsid w:val="00B12D56"/>
    <w:rsid w:val="00B12DB1"/>
    <w:rsid w:val="00B12DEE"/>
    <w:rsid w:val="00B12E56"/>
    <w:rsid w:val="00B12F5C"/>
    <w:rsid w:val="00B1312F"/>
    <w:rsid w:val="00B132E6"/>
    <w:rsid w:val="00B13304"/>
    <w:rsid w:val="00B133CA"/>
    <w:rsid w:val="00B1364A"/>
    <w:rsid w:val="00B1384B"/>
    <w:rsid w:val="00B13890"/>
    <w:rsid w:val="00B13DB5"/>
    <w:rsid w:val="00B13F11"/>
    <w:rsid w:val="00B13F73"/>
    <w:rsid w:val="00B13F9C"/>
    <w:rsid w:val="00B140D2"/>
    <w:rsid w:val="00B14170"/>
    <w:rsid w:val="00B141C4"/>
    <w:rsid w:val="00B141C8"/>
    <w:rsid w:val="00B141F2"/>
    <w:rsid w:val="00B14298"/>
    <w:rsid w:val="00B1447F"/>
    <w:rsid w:val="00B1455F"/>
    <w:rsid w:val="00B14824"/>
    <w:rsid w:val="00B14858"/>
    <w:rsid w:val="00B1498D"/>
    <w:rsid w:val="00B14A95"/>
    <w:rsid w:val="00B15213"/>
    <w:rsid w:val="00B152AC"/>
    <w:rsid w:val="00B15502"/>
    <w:rsid w:val="00B1565E"/>
    <w:rsid w:val="00B156D6"/>
    <w:rsid w:val="00B1576A"/>
    <w:rsid w:val="00B157F6"/>
    <w:rsid w:val="00B15885"/>
    <w:rsid w:val="00B15A81"/>
    <w:rsid w:val="00B15A8B"/>
    <w:rsid w:val="00B15B63"/>
    <w:rsid w:val="00B15C9F"/>
    <w:rsid w:val="00B15F93"/>
    <w:rsid w:val="00B16331"/>
    <w:rsid w:val="00B1634B"/>
    <w:rsid w:val="00B1639C"/>
    <w:rsid w:val="00B16450"/>
    <w:rsid w:val="00B16708"/>
    <w:rsid w:val="00B16780"/>
    <w:rsid w:val="00B168C7"/>
    <w:rsid w:val="00B168CE"/>
    <w:rsid w:val="00B169E2"/>
    <w:rsid w:val="00B16B05"/>
    <w:rsid w:val="00B16EE9"/>
    <w:rsid w:val="00B16FB4"/>
    <w:rsid w:val="00B1721B"/>
    <w:rsid w:val="00B1738A"/>
    <w:rsid w:val="00B173B2"/>
    <w:rsid w:val="00B173E1"/>
    <w:rsid w:val="00B175F3"/>
    <w:rsid w:val="00B1760B"/>
    <w:rsid w:val="00B176A0"/>
    <w:rsid w:val="00B1795C"/>
    <w:rsid w:val="00B17987"/>
    <w:rsid w:val="00B179E6"/>
    <w:rsid w:val="00B17BB2"/>
    <w:rsid w:val="00B17C97"/>
    <w:rsid w:val="00B17C99"/>
    <w:rsid w:val="00B17C9C"/>
    <w:rsid w:val="00B17CBC"/>
    <w:rsid w:val="00B17D44"/>
    <w:rsid w:val="00B17E03"/>
    <w:rsid w:val="00B17FC7"/>
    <w:rsid w:val="00B200FF"/>
    <w:rsid w:val="00B20311"/>
    <w:rsid w:val="00B2049A"/>
    <w:rsid w:val="00B207EA"/>
    <w:rsid w:val="00B20896"/>
    <w:rsid w:val="00B20AC0"/>
    <w:rsid w:val="00B20AF7"/>
    <w:rsid w:val="00B20D1D"/>
    <w:rsid w:val="00B20D29"/>
    <w:rsid w:val="00B20E4C"/>
    <w:rsid w:val="00B20F9F"/>
    <w:rsid w:val="00B212D8"/>
    <w:rsid w:val="00B2137C"/>
    <w:rsid w:val="00B214C5"/>
    <w:rsid w:val="00B21567"/>
    <w:rsid w:val="00B215F1"/>
    <w:rsid w:val="00B216B1"/>
    <w:rsid w:val="00B21766"/>
    <w:rsid w:val="00B21787"/>
    <w:rsid w:val="00B21793"/>
    <w:rsid w:val="00B21827"/>
    <w:rsid w:val="00B2183D"/>
    <w:rsid w:val="00B21A84"/>
    <w:rsid w:val="00B21AD3"/>
    <w:rsid w:val="00B21B8B"/>
    <w:rsid w:val="00B21C34"/>
    <w:rsid w:val="00B21D78"/>
    <w:rsid w:val="00B21F10"/>
    <w:rsid w:val="00B21FB6"/>
    <w:rsid w:val="00B22136"/>
    <w:rsid w:val="00B223D3"/>
    <w:rsid w:val="00B22622"/>
    <w:rsid w:val="00B22913"/>
    <w:rsid w:val="00B2299C"/>
    <w:rsid w:val="00B22A9D"/>
    <w:rsid w:val="00B22B49"/>
    <w:rsid w:val="00B22D45"/>
    <w:rsid w:val="00B22D4D"/>
    <w:rsid w:val="00B22DE3"/>
    <w:rsid w:val="00B22F49"/>
    <w:rsid w:val="00B22F4E"/>
    <w:rsid w:val="00B23007"/>
    <w:rsid w:val="00B232EA"/>
    <w:rsid w:val="00B23420"/>
    <w:rsid w:val="00B23497"/>
    <w:rsid w:val="00B23535"/>
    <w:rsid w:val="00B23822"/>
    <w:rsid w:val="00B23BDA"/>
    <w:rsid w:val="00B23BED"/>
    <w:rsid w:val="00B23C1D"/>
    <w:rsid w:val="00B23D46"/>
    <w:rsid w:val="00B23E06"/>
    <w:rsid w:val="00B23F3D"/>
    <w:rsid w:val="00B23F6E"/>
    <w:rsid w:val="00B23F8B"/>
    <w:rsid w:val="00B240E1"/>
    <w:rsid w:val="00B241A9"/>
    <w:rsid w:val="00B241F7"/>
    <w:rsid w:val="00B24242"/>
    <w:rsid w:val="00B243A3"/>
    <w:rsid w:val="00B243C2"/>
    <w:rsid w:val="00B24543"/>
    <w:rsid w:val="00B2457F"/>
    <w:rsid w:val="00B245C2"/>
    <w:rsid w:val="00B2487E"/>
    <w:rsid w:val="00B24B1E"/>
    <w:rsid w:val="00B24BD2"/>
    <w:rsid w:val="00B24DF1"/>
    <w:rsid w:val="00B24E52"/>
    <w:rsid w:val="00B24EA7"/>
    <w:rsid w:val="00B24F2F"/>
    <w:rsid w:val="00B24F4A"/>
    <w:rsid w:val="00B24F4B"/>
    <w:rsid w:val="00B24FB3"/>
    <w:rsid w:val="00B25055"/>
    <w:rsid w:val="00B25262"/>
    <w:rsid w:val="00B25269"/>
    <w:rsid w:val="00B253B8"/>
    <w:rsid w:val="00B253CD"/>
    <w:rsid w:val="00B254E0"/>
    <w:rsid w:val="00B25880"/>
    <w:rsid w:val="00B258A8"/>
    <w:rsid w:val="00B25A21"/>
    <w:rsid w:val="00B25A31"/>
    <w:rsid w:val="00B25BF4"/>
    <w:rsid w:val="00B25C3F"/>
    <w:rsid w:val="00B25F1C"/>
    <w:rsid w:val="00B25F60"/>
    <w:rsid w:val="00B260B3"/>
    <w:rsid w:val="00B2619B"/>
    <w:rsid w:val="00B26236"/>
    <w:rsid w:val="00B2642E"/>
    <w:rsid w:val="00B26804"/>
    <w:rsid w:val="00B268F6"/>
    <w:rsid w:val="00B269AB"/>
    <w:rsid w:val="00B26DA6"/>
    <w:rsid w:val="00B26E93"/>
    <w:rsid w:val="00B26F27"/>
    <w:rsid w:val="00B27030"/>
    <w:rsid w:val="00B270E2"/>
    <w:rsid w:val="00B27215"/>
    <w:rsid w:val="00B272DE"/>
    <w:rsid w:val="00B27301"/>
    <w:rsid w:val="00B27313"/>
    <w:rsid w:val="00B27368"/>
    <w:rsid w:val="00B273EF"/>
    <w:rsid w:val="00B274AB"/>
    <w:rsid w:val="00B2754E"/>
    <w:rsid w:val="00B27982"/>
    <w:rsid w:val="00B279D7"/>
    <w:rsid w:val="00B279E4"/>
    <w:rsid w:val="00B27A18"/>
    <w:rsid w:val="00B27B19"/>
    <w:rsid w:val="00B27C14"/>
    <w:rsid w:val="00B27E00"/>
    <w:rsid w:val="00B30009"/>
    <w:rsid w:val="00B301A2"/>
    <w:rsid w:val="00B301E5"/>
    <w:rsid w:val="00B3023F"/>
    <w:rsid w:val="00B304D0"/>
    <w:rsid w:val="00B304D3"/>
    <w:rsid w:val="00B3059B"/>
    <w:rsid w:val="00B305C3"/>
    <w:rsid w:val="00B305C7"/>
    <w:rsid w:val="00B30863"/>
    <w:rsid w:val="00B30953"/>
    <w:rsid w:val="00B3096D"/>
    <w:rsid w:val="00B30C0D"/>
    <w:rsid w:val="00B30DF3"/>
    <w:rsid w:val="00B30F2D"/>
    <w:rsid w:val="00B30F2F"/>
    <w:rsid w:val="00B31035"/>
    <w:rsid w:val="00B31115"/>
    <w:rsid w:val="00B3113F"/>
    <w:rsid w:val="00B31340"/>
    <w:rsid w:val="00B313A5"/>
    <w:rsid w:val="00B31491"/>
    <w:rsid w:val="00B31595"/>
    <w:rsid w:val="00B315C8"/>
    <w:rsid w:val="00B317E7"/>
    <w:rsid w:val="00B31C0A"/>
    <w:rsid w:val="00B31DAA"/>
    <w:rsid w:val="00B31F24"/>
    <w:rsid w:val="00B322F2"/>
    <w:rsid w:val="00B32355"/>
    <w:rsid w:val="00B323F7"/>
    <w:rsid w:val="00B324C3"/>
    <w:rsid w:val="00B32778"/>
    <w:rsid w:val="00B327BC"/>
    <w:rsid w:val="00B3280B"/>
    <w:rsid w:val="00B328C9"/>
    <w:rsid w:val="00B32945"/>
    <w:rsid w:val="00B32A96"/>
    <w:rsid w:val="00B32C8F"/>
    <w:rsid w:val="00B32DDF"/>
    <w:rsid w:val="00B32DE4"/>
    <w:rsid w:val="00B32FC1"/>
    <w:rsid w:val="00B32FF9"/>
    <w:rsid w:val="00B33069"/>
    <w:rsid w:val="00B330A1"/>
    <w:rsid w:val="00B33148"/>
    <w:rsid w:val="00B33187"/>
    <w:rsid w:val="00B33302"/>
    <w:rsid w:val="00B33332"/>
    <w:rsid w:val="00B33385"/>
    <w:rsid w:val="00B3355B"/>
    <w:rsid w:val="00B335F5"/>
    <w:rsid w:val="00B33714"/>
    <w:rsid w:val="00B3383E"/>
    <w:rsid w:val="00B3387D"/>
    <w:rsid w:val="00B3388C"/>
    <w:rsid w:val="00B339AA"/>
    <w:rsid w:val="00B339FC"/>
    <w:rsid w:val="00B33BEC"/>
    <w:rsid w:val="00B33CF6"/>
    <w:rsid w:val="00B33DC3"/>
    <w:rsid w:val="00B33F31"/>
    <w:rsid w:val="00B33F8B"/>
    <w:rsid w:val="00B3407F"/>
    <w:rsid w:val="00B3437E"/>
    <w:rsid w:val="00B343BA"/>
    <w:rsid w:val="00B3443B"/>
    <w:rsid w:val="00B3444B"/>
    <w:rsid w:val="00B34471"/>
    <w:rsid w:val="00B34480"/>
    <w:rsid w:val="00B3463B"/>
    <w:rsid w:val="00B34664"/>
    <w:rsid w:val="00B3473C"/>
    <w:rsid w:val="00B347FA"/>
    <w:rsid w:val="00B34A49"/>
    <w:rsid w:val="00B34B70"/>
    <w:rsid w:val="00B34BD0"/>
    <w:rsid w:val="00B34D4B"/>
    <w:rsid w:val="00B34E2A"/>
    <w:rsid w:val="00B350A8"/>
    <w:rsid w:val="00B35160"/>
    <w:rsid w:val="00B351C4"/>
    <w:rsid w:val="00B351D0"/>
    <w:rsid w:val="00B35377"/>
    <w:rsid w:val="00B3542D"/>
    <w:rsid w:val="00B35768"/>
    <w:rsid w:val="00B3579B"/>
    <w:rsid w:val="00B358F0"/>
    <w:rsid w:val="00B35931"/>
    <w:rsid w:val="00B35B18"/>
    <w:rsid w:val="00B35B79"/>
    <w:rsid w:val="00B35CC3"/>
    <w:rsid w:val="00B35EC2"/>
    <w:rsid w:val="00B36061"/>
    <w:rsid w:val="00B361A7"/>
    <w:rsid w:val="00B36388"/>
    <w:rsid w:val="00B36447"/>
    <w:rsid w:val="00B36475"/>
    <w:rsid w:val="00B3659A"/>
    <w:rsid w:val="00B365D4"/>
    <w:rsid w:val="00B366E4"/>
    <w:rsid w:val="00B367F9"/>
    <w:rsid w:val="00B369AC"/>
    <w:rsid w:val="00B369D9"/>
    <w:rsid w:val="00B36B06"/>
    <w:rsid w:val="00B36C8C"/>
    <w:rsid w:val="00B36E23"/>
    <w:rsid w:val="00B36F0E"/>
    <w:rsid w:val="00B36F21"/>
    <w:rsid w:val="00B3702C"/>
    <w:rsid w:val="00B370CF"/>
    <w:rsid w:val="00B37108"/>
    <w:rsid w:val="00B37152"/>
    <w:rsid w:val="00B37331"/>
    <w:rsid w:val="00B37423"/>
    <w:rsid w:val="00B37478"/>
    <w:rsid w:val="00B374D1"/>
    <w:rsid w:val="00B37597"/>
    <w:rsid w:val="00B377B0"/>
    <w:rsid w:val="00B377C1"/>
    <w:rsid w:val="00B37A87"/>
    <w:rsid w:val="00B37AA6"/>
    <w:rsid w:val="00B37DEC"/>
    <w:rsid w:val="00B37F4D"/>
    <w:rsid w:val="00B37F72"/>
    <w:rsid w:val="00B4004E"/>
    <w:rsid w:val="00B40077"/>
    <w:rsid w:val="00B400E4"/>
    <w:rsid w:val="00B40112"/>
    <w:rsid w:val="00B40127"/>
    <w:rsid w:val="00B403BC"/>
    <w:rsid w:val="00B40410"/>
    <w:rsid w:val="00B40478"/>
    <w:rsid w:val="00B40731"/>
    <w:rsid w:val="00B40733"/>
    <w:rsid w:val="00B407A0"/>
    <w:rsid w:val="00B4088B"/>
    <w:rsid w:val="00B4090C"/>
    <w:rsid w:val="00B40952"/>
    <w:rsid w:val="00B4095D"/>
    <w:rsid w:val="00B409D9"/>
    <w:rsid w:val="00B409F4"/>
    <w:rsid w:val="00B40D4C"/>
    <w:rsid w:val="00B40D8E"/>
    <w:rsid w:val="00B40D9A"/>
    <w:rsid w:val="00B40E03"/>
    <w:rsid w:val="00B4103C"/>
    <w:rsid w:val="00B410F0"/>
    <w:rsid w:val="00B413B0"/>
    <w:rsid w:val="00B413B7"/>
    <w:rsid w:val="00B417E1"/>
    <w:rsid w:val="00B4180C"/>
    <w:rsid w:val="00B418BE"/>
    <w:rsid w:val="00B41991"/>
    <w:rsid w:val="00B41A58"/>
    <w:rsid w:val="00B41AD6"/>
    <w:rsid w:val="00B41C8F"/>
    <w:rsid w:val="00B41D03"/>
    <w:rsid w:val="00B41D34"/>
    <w:rsid w:val="00B41EAF"/>
    <w:rsid w:val="00B41F81"/>
    <w:rsid w:val="00B42175"/>
    <w:rsid w:val="00B4224C"/>
    <w:rsid w:val="00B42282"/>
    <w:rsid w:val="00B4238A"/>
    <w:rsid w:val="00B4252F"/>
    <w:rsid w:val="00B42538"/>
    <w:rsid w:val="00B42884"/>
    <w:rsid w:val="00B428E0"/>
    <w:rsid w:val="00B429E7"/>
    <w:rsid w:val="00B42A01"/>
    <w:rsid w:val="00B42AF4"/>
    <w:rsid w:val="00B42C2B"/>
    <w:rsid w:val="00B42C2C"/>
    <w:rsid w:val="00B42C67"/>
    <w:rsid w:val="00B42DE9"/>
    <w:rsid w:val="00B42FD8"/>
    <w:rsid w:val="00B42FDA"/>
    <w:rsid w:val="00B4315D"/>
    <w:rsid w:val="00B431EC"/>
    <w:rsid w:val="00B432D0"/>
    <w:rsid w:val="00B4338B"/>
    <w:rsid w:val="00B434CB"/>
    <w:rsid w:val="00B43883"/>
    <w:rsid w:val="00B43914"/>
    <w:rsid w:val="00B4397D"/>
    <w:rsid w:val="00B439D5"/>
    <w:rsid w:val="00B43C16"/>
    <w:rsid w:val="00B43CF3"/>
    <w:rsid w:val="00B43CFC"/>
    <w:rsid w:val="00B43DAE"/>
    <w:rsid w:val="00B43DD0"/>
    <w:rsid w:val="00B43E1C"/>
    <w:rsid w:val="00B43E46"/>
    <w:rsid w:val="00B43F60"/>
    <w:rsid w:val="00B43FA7"/>
    <w:rsid w:val="00B44001"/>
    <w:rsid w:val="00B44244"/>
    <w:rsid w:val="00B445ED"/>
    <w:rsid w:val="00B44842"/>
    <w:rsid w:val="00B44A20"/>
    <w:rsid w:val="00B44A6D"/>
    <w:rsid w:val="00B44AF9"/>
    <w:rsid w:val="00B44B7C"/>
    <w:rsid w:val="00B44BA7"/>
    <w:rsid w:val="00B44CAD"/>
    <w:rsid w:val="00B44CD3"/>
    <w:rsid w:val="00B44EE4"/>
    <w:rsid w:val="00B44F24"/>
    <w:rsid w:val="00B4508F"/>
    <w:rsid w:val="00B45348"/>
    <w:rsid w:val="00B45450"/>
    <w:rsid w:val="00B4562B"/>
    <w:rsid w:val="00B456BC"/>
    <w:rsid w:val="00B459D6"/>
    <w:rsid w:val="00B45A5A"/>
    <w:rsid w:val="00B45C3D"/>
    <w:rsid w:val="00B45C57"/>
    <w:rsid w:val="00B45C77"/>
    <w:rsid w:val="00B45CE4"/>
    <w:rsid w:val="00B45CF4"/>
    <w:rsid w:val="00B45D4B"/>
    <w:rsid w:val="00B45E2E"/>
    <w:rsid w:val="00B45F74"/>
    <w:rsid w:val="00B4604C"/>
    <w:rsid w:val="00B4605E"/>
    <w:rsid w:val="00B4609E"/>
    <w:rsid w:val="00B464BF"/>
    <w:rsid w:val="00B467C2"/>
    <w:rsid w:val="00B46952"/>
    <w:rsid w:val="00B46979"/>
    <w:rsid w:val="00B469F5"/>
    <w:rsid w:val="00B46A03"/>
    <w:rsid w:val="00B46AAB"/>
    <w:rsid w:val="00B46B48"/>
    <w:rsid w:val="00B46C83"/>
    <w:rsid w:val="00B46CDC"/>
    <w:rsid w:val="00B46EF1"/>
    <w:rsid w:val="00B46F8D"/>
    <w:rsid w:val="00B46F96"/>
    <w:rsid w:val="00B471A7"/>
    <w:rsid w:val="00B4732D"/>
    <w:rsid w:val="00B4747C"/>
    <w:rsid w:val="00B474D8"/>
    <w:rsid w:val="00B476A1"/>
    <w:rsid w:val="00B47973"/>
    <w:rsid w:val="00B47995"/>
    <w:rsid w:val="00B479A8"/>
    <w:rsid w:val="00B47A85"/>
    <w:rsid w:val="00B47DEB"/>
    <w:rsid w:val="00B47F21"/>
    <w:rsid w:val="00B47F6D"/>
    <w:rsid w:val="00B5032B"/>
    <w:rsid w:val="00B50408"/>
    <w:rsid w:val="00B507C7"/>
    <w:rsid w:val="00B507CC"/>
    <w:rsid w:val="00B50A2E"/>
    <w:rsid w:val="00B50A34"/>
    <w:rsid w:val="00B50BA9"/>
    <w:rsid w:val="00B50C05"/>
    <w:rsid w:val="00B50CDE"/>
    <w:rsid w:val="00B50E33"/>
    <w:rsid w:val="00B510CA"/>
    <w:rsid w:val="00B510F0"/>
    <w:rsid w:val="00B511D9"/>
    <w:rsid w:val="00B511F0"/>
    <w:rsid w:val="00B5138F"/>
    <w:rsid w:val="00B514DA"/>
    <w:rsid w:val="00B5155D"/>
    <w:rsid w:val="00B516E0"/>
    <w:rsid w:val="00B5180E"/>
    <w:rsid w:val="00B519F8"/>
    <w:rsid w:val="00B51AFF"/>
    <w:rsid w:val="00B51B9D"/>
    <w:rsid w:val="00B51C95"/>
    <w:rsid w:val="00B51D06"/>
    <w:rsid w:val="00B51D2C"/>
    <w:rsid w:val="00B51DBF"/>
    <w:rsid w:val="00B51F65"/>
    <w:rsid w:val="00B5202D"/>
    <w:rsid w:val="00B52067"/>
    <w:rsid w:val="00B522CF"/>
    <w:rsid w:val="00B522D6"/>
    <w:rsid w:val="00B52371"/>
    <w:rsid w:val="00B52376"/>
    <w:rsid w:val="00B523F0"/>
    <w:rsid w:val="00B5244F"/>
    <w:rsid w:val="00B52482"/>
    <w:rsid w:val="00B52667"/>
    <w:rsid w:val="00B52686"/>
    <w:rsid w:val="00B526D8"/>
    <w:rsid w:val="00B527F0"/>
    <w:rsid w:val="00B52845"/>
    <w:rsid w:val="00B529A9"/>
    <w:rsid w:val="00B529BD"/>
    <w:rsid w:val="00B529C5"/>
    <w:rsid w:val="00B529EC"/>
    <w:rsid w:val="00B52A13"/>
    <w:rsid w:val="00B52B64"/>
    <w:rsid w:val="00B52BBE"/>
    <w:rsid w:val="00B52BF3"/>
    <w:rsid w:val="00B52D53"/>
    <w:rsid w:val="00B52D64"/>
    <w:rsid w:val="00B52E6B"/>
    <w:rsid w:val="00B53544"/>
    <w:rsid w:val="00B53ACE"/>
    <w:rsid w:val="00B53AFF"/>
    <w:rsid w:val="00B53C26"/>
    <w:rsid w:val="00B53D1B"/>
    <w:rsid w:val="00B53D9E"/>
    <w:rsid w:val="00B53DC5"/>
    <w:rsid w:val="00B5421E"/>
    <w:rsid w:val="00B5424F"/>
    <w:rsid w:val="00B542C9"/>
    <w:rsid w:val="00B54496"/>
    <w:rsid w:val="00B544E7"/>
    <w:rsid w:val="00B54513"/>
    <w:rsid w:val="00B54616"/>
    <w:rsid w:val="00B546BA"/>
    <w:rsid w:val="00B546E5"/>
    <w:rsid w:val="00B5479F"/>
    <w:rsid w:val="00B549E5"/>
    <w:rsid w:val="00B54A24"/>
    <w:rsid w:val="00B54A4F"/>
    <w:rsid w:val="00B54B9F"/>
    <w:rsid w:val="00B54BC2"/>
    <w:rsid w:val="00B54CD6"/>
    <w:rsid w:val="00B54D5A"/>
    <w:rsid w:val="00B54D7E"/>
    <w:rsid w:val="00B54F1E"/>
    <w:rsid w:val="00B54F2C"/>
    <w:rsid w:val="00B55071"/>
    <w:rsid w:val="00B5519A"/>
    <w:rsid w:val="00B5521A"/>
    <w:rsid w:val="00B55452"/>
    <w:rsid w:val="00B555D2"/>
    <w:rsid w:val="00B55640"/>
    <w:rsid w:val="00B55893"/>
    <w:rsid w:val="00B55895"/>
    <w:rsid w:val="00B558EF"/>
    <w:rsid w:val="00B55938"/>
    <w:rsid w:val="00B55990"/>
    <w:rsid w:val="00B55B24"/>
    <w:rsid w:val="00B55B57"/>
    <w:rsid w:val="00B55E5C"/>
    <w:rsid w:val="00B55E6C"/>
    <w:rsid w:val="00B56018"/>
    <w:rsid w:val="00B560AD"/>
    <w:rsid w:val="00B560F8"/>
    <w:rsid w:val="00B5619B"/>
    <w:rsid w:val="00B56245"/>
    <w:rsid w:val="00B5632A"/>
    <w:rsid w:val="00B567A7"/>
    <w:rsid w:val="00B568B2"/>
    <w:rsid w:val="00B5694E"/>
    <w:rsid w:val="00B569F6"/>
    <w:rsid w:val="00B56C3E"/>
    <w:rsid w:val="00B56C8C"/>
    <w:rsid w:val="00B56D34"/>
    <w:rsid w:val="00B56D5C"/>
    <w:rsid w:val="00B56D8B"/>
    <w:rsid w:val="00B56DDF"/>
    <w:rsid w:val="00B56F74"/>
    <w:rsid w:val="00B5711E"/>
    <w:rsid w:val="00B57314"/>
    <w:rsid w:val="00B57328"/>
    <w:rsid w:val="00B57433"/>
    <w:rsid w:val="00B575B7"/>
    <w:rsid w:val="00B576DE"/>
    <w:rsid w:val="00B57721"/>
    <w:rsid w:val="00B5772F"/>
    <w:rsid w:val="00B5783C"/>
    <w:rsid w:val="00B57841"/>
    <w:rsid w:val="00B57865"/>
    <w:rsid w:val="00B57884"/>
    <w:rsid w:val="00B578B9"/>
    <w:rsid w:val="00B57F87"/>
    <w:rsid w:val="00B57FD4"/>
    <w:rsid w:val="00B60077"/>
    <w:rsid w:val="00B60146"/>
    <w:rsid w:val="00B60262"/>
    <w:rsid w:val="00B603AC"/>
    <w:rsid w:val="00B60523"/>
    <w:rsid w:val="00B60802"/>
    <w:rsid w:val="00B6086D"/>
    <w:rsid w:val="00B608AF"/>
    <w:rsid w:val="00B609A1"/>
    <w:rsid w:val="00B60A0D"/>
    <w:rsid w:val="00B60A14"/>
    <w:rsid w:val="00B60BF5"/>
    <w:rsid w:val="00B60D58"/>
    <w:rsid w:val="00B60E10"/>
    <w:rsid w:val="00B60F62"/>
    <w:rsid w:val="00B61086"/>
    <w:rsid w:val="00B611F4"/>
    <w:rsid w:val="00B6151A"/>
    <w:rsid w:val="00B6163E"/>
    <w:rsid w:val="00B61708"/>
    <w:rsid w:val="00B61948"/>
    <w:rsid w:val="00B61AC8"/>
    <w:rsid w:val="00B61E71"/>
    <w:rsid w:val="00B61FB2"/>
    <w:rsid w:val="00B6205A"/>
    <w:rsid w:val="00B62153"/>
    <w:rsid w:val="00B62337"/>
    <w:rsid w:val="00B62493"/>
    <w:rsid w:val="00B626EC"/>
    <w:rsid w:val="00B627A9"/>
    <w:rsid w:val="00B62A29"/>
    <w:rsid w:val="00B62B16"/>
    <w:rsid w:val="00B62DB0"/>
    <w:rsid w:val="00B6307D"/>
    <w:rsid w:val="00B6311D"/>
    <w:rsid w:val="00B6316C"/>
    <w:rsid w:val="00B632E5"/>
    <w:rsid w:val="00B633C6"/>
    <w:rsid w:val="00B63496"/>
    <w:rsid w:val="00B6355B"/>
    <w:rsid w:val="00B6386D"/>
    <w:rsid w:val="00B63874"/>
    <w:rsid w:val="00B638D1"/>
    <w:rsid w:val="00B6393F"/>
    <w:rsid w:val="00B63A64"/>
    <w:rsid w:val="00B63B14"/>
    <w:rsid w:val="00B63B48"/>
    <w:rsid w:val="00B64174"/>
    <w:rsid w:val="00B64296"/>
    <w:rsid w:val="00B6438B"/>
    <w:rsid w:val="00B6464F"/>
    <w:rsid w:val="00B64974"/>
    <w:rsid w:val="00B64A2C"/>
    <w:rsid w:val="00B64A42"/>
    <w:rsid w:val="00B64B6D"/>
    <w:rsid w:val="00B64CBF"/>
    <w:rsid w:val="00B64DBD"/>
    <w:rsid w:val="00B64DE9"/>
    <w:rsid w:val="00B64E26"/>
    <w:rsid w:val="00B650C8"/>
    <w:rsid w:val="00B651A8"/>
    <w:rsid w:val="00B65258"/>
    <w:rsid w:val="00B652D3"/>
    <w:rsid w:val="00B65492"/>
    <w:rsid w:val="00B65599"/>
    <w:rsid w:val="00B656B7"/>
    <w:rsid w:val="00B65941"/>
    <w:rsid w:val="00B659CE"/>
    <w:rsid w:val="00B65A56"/>
    <w:rsid w:val="00B65ADD"/>
    <w:rsid w:val="00B65B13"/>
    <w:rsid w:val="00B65BAF"/>
    <w:rsid w:val="00B65D1D"/>
    <w:rsid w:val="00B65DEE"/>
    <w:rsid w:val="00B65F3E"/>
    <w:rsid w:val="00B65FBD"/>
    <w:rsid w:val="00B6605D"/>
    <w:rsid w:val="00B66080"/>
    <w:rsid w:val="00B66096"/>
    <w:rsid w:val="00B660CA"/>
    <w:rsid w:val="00B66117"/>
    <w:rsid w:val="00B6671F"/>
    <w:rsid w:val="00B6676A"/>
    <w:rsid w:val="00B66A12"/>
    <w:rsid w:val="00B66C89"/>
    <w:rsid w:val="00B66E46"/>
    <w:rsid w:val="00B670DD"/>
    <w:rsid w:val="00B6714A"/>
    <w:rsid w:val="00B671FD"/>
    <w:rsid w:val="00B672C1"/>
    <w:rsid w:val="00B67490"/>
    <w:rsid w:val="00B67561"/>
    <w:rsid w:val="00B67586"/>
    <w:rsid w:val="00B67AAB"/>
    <w:rsid w:val="00B67CAE"/>
    <w:rsid w:val="00B67EC3"/>
    <w:rsid w:val="00B67EEF"/>
    <w:rsid w:val="00B67F6D"/>
    <w:rsid w:val="00B67FD2"/>
    <w:rsid w:val="00B67FDF"/>
    <w:rsid w:val="00B67FE9"/>
    <w:rsid w:val="00B7009B"/>
    <w:rsid w:val="00B700E7"/>
    <w:rsid w:val="00B702DB"/>
    <w:rsid w:val="00B70343"/>
    <w:rsid w:val="00B7038A"/>
    <w:rsid w:val="00B7042D"/>
    <w:rsid w:val="00B704EF"/>
    <w:rsid w:val="00B7058F"/>
    <w:rsid w:val="00B70888"/>
    <w:rsid w:val="00B709B6"/>
    <w:rsid w:val="00B70A33"/>
    <w:rsid w:val="00B70C85"/>
    <w:rsid w:val="00B70D98"/>
    <w:rsid w:val="00B7114B"/>
    <w:rsid w:val="00B71202"/>
    <w:rsid w:val="00B714E4"/>
    <w:rsid w:val="00B7150B"/>
    <w:rsid w:val="00B716B0"/>
    <w:rsid w:val="00B716C8"/>
    <w:rsid w:val="00B716E4"/>
    <w:rsid w:val="00B716F7"/>
    <w:rsid w:val="00B716FE"/>
    <w:rsid w:val="00B717E3"/>
    <w:rsid w:val="00B717F9"/>
    <w:rsid w:val="00B7195F"/>
    <w:rsid w:val="00B71971"/>
    <w:rsid w:val="00B719B2"/>
    <w:rsid w:val="00B71A33"/>
    <w:rsid w:val="00B71AC3"/>
    <w:rsid w:val="00B71B96"/>
    <w:rsid w:val="00B71B9E"/>
    <w:rsid w:val="00B71DDF"/>
    <w:rsid w:val="00B720EA"/>
    <w:rsid w:val="00B72266"/>
    <w:rsid w:val="00B72415"/>
    <w:rsid w:val="00B724BF"/>
    <w:rsid w:val="00B724D9"/>
    <w:rsid w:val="00B72523"/>
    <w:rsid w:val="00B72574"/>
    <w:rsid w:val="00B726F4"/>
    <w:rsid w:val="00B7279F"/>
    <w:rsid w:val="00B727A9"/>
    <w:rsid w:val="00B727BD"/>
    <w:rsid w:val="00B728BF"/>
    <w:rsid w:val="00B7294A"/>
    <w:rsid w:val="00B72976"/>
    <w:rsid w:val="00B72A27"/>
    <w:rsid w:val="00B72C0D"/>
    <w:rsid w:val="00B72C42"/>
    <w:rsid w:val="00B72C81"/>
    <w:rsid w:val="00B72CA5"/>
    <w:rsid w:val="00B72D49"/>
    <w:rsid w:val="00B72E7E"/>
    <w:rsid w:val="00B72F1D"/>
    <w:rsid w:val="00B72F23"/>
    <w:rsid w:val="00B72F3E"/>
    <w:rsid w:val="00B72FE3"/>
    <w:rsid w:val="00B73047"/>
    <w:rsid w:val="00B730A6"/>
    <w:rsid w:val="00B73267"/>
    <w:rsid w:val="00B7354C"/>
    <w:rsid w:val="00B735F8"/>
    <w:rsid w:val="00B73761"/>
    <w:rsid w:val="00B737CB"/>
    <w:rsid w:val="00B738A1"/>
    <w:rsid w:val="00B73A1E"/>
    <w:rsid w:val="00B73BC0"/>
    <w:rsid w:val="00B73C70"/>
    <w:rsid w:val="00B73CDC"/>
    <w:rsid w:val="00B73DFF"/>
    <w:rsid w:val="00B73E59"/>
    <w:rsid w:val="00B73E93"/>
    <w:rsid w:val="00B73F14"/>
    <w:rsid w:val="00B73F5F"/>
    <w:rsid w:val="00B73FAF"/>
    <w:rsid w:val="00B740EE"/>
    <w:rsid w:val="00B741C2"/>
    <w:rsid w:val="00B74A1E"/>
    <w:rsid w:val="00B74B24"/>
    <w:rsid w:val="00B74BE3"/>
    <w:rsid w:val="00B74D71"/>
    <w:rsid w:val="00B74DC0"/>
    <w:rsid w:val="00B74EA4"/>
    <w:rsid w:val="00B74EE7"/>
    <w:rsid w:val="00B7500B"/>
    <w:rsid w:val="00B750A9"/>
    <w:rsid w:val="00B75119"/>
    <w:rsid w:val="00B7516D"/>
    <w:rsid w:val="00B752B4"/>
    <w:rsid w:val="00B7532F"/>
    <w:rsid w:val="00B75417"/>
    <w:rsid w:val="00B7546E"/>
    <w:rsid w:val="00B755A1"/>
    <w:rsid w:val="00B75708"/>
    <w:rsid w:val="00B75738"/>
    <w:rsid w:val="00B75937"/>
    <w:rsid w:val="00B75A76"/>
    <w:rsid w:val="00B75B8C"/>
    <w:rsid w:val="00B75BB6"/>
    <w:rsid w:val="00B75BBA"/>
    <w:rsid w:val="00B75DE4"/>
    <w:rsid w:val="00B75E3E"/>
    <w:rsid w:val="00B75EEE"/>
    <w:rsid w:val="00B75F39"/>
    <w:rsid w:val="00B762F8"/>
    <w:rsid w:val="00B763E2"/>
    <w:rsid w:val="00B76457"/>
    <w:rsid w:val="00B764D4"/>
    <w:rsid w:val="00B765FC"/>
    <w:rsid w:val="00B767B7"/>
    <w:rsid w:val="00B767BE"/>
    <w:rsid w:val="00B768D2"/>
    <w:rsid w:val="00B76B67"/>
    <w:rsid w:val="00B76B96"/>
    <w:rsid w:val="00B76DDA"/>
    <w:rsid w:val="00B76EB7"/>
    <w:rsid w:val="00B76EF9"/>
    <w:rsid w:val="00B7704D"/>
    <w:rsid w:val="00B771AE"/>
    <w:rsid w:val="00B7732F"/>
    <w:rsid w:val="00B77673"/>
    <w:rsid w:val="00B776DA"/>
    <w:rsid w:val="00B777CF"/>
    <w:rsid w:val="00B77808"/>
    <w:rsid w:val="00B77BC8"/>
    <w:rsid w:val="00B77DAF"/>
    <w:rsid w:val="00B77EBF"/>
    <w:rsid w:val="00B8022E"/>
    <w:rsid w:val="00B80455"/>
    <w:rsid w:val="00B8047B"/>
    <w:rsid w:val="00B804C9"/>
    <w:rsid w:val="00B8052F"/>
    <w:rsid w:val="00B8063E"/>
    <w:rsid w:val="00B806D5"/>
    <w:rsid w:val="00B80868"/>
    <w:rsid w:val="00B808AB"/>
    <w:rsid w:val="00B80961"/>
    <w:rsid w:val="00B80B6D"/>
    <w:rsid w:val="00B80D47"/>
    <w:rsid w:val="00B80D86"/>
    <w:rsid w:val="00B80DF0"/>
    <w:rsid w:val="00B80ECE"/>
    <w:rsid w:val="00B80F51"/>
    <w:rsid w:val="00B81031"/>
    <w:rsid w:val="00B81073"/>
    <w:rsid w:val="00B81099"/>
    <w:rsid w:val="00B81154"/>
    <w:rsid w:val="00B811E4"/>
    <w:rsid w:val="00B8133C"/>
    <w:rsid w:val="00B813E8"/>
    <w:rsid w:val="00B81598"/>
    <w:rsid w:val="00B81603"/>
    <w:rsid w:val="00B81851"/>
    <w:rsid w:val="00B818AB"/>
    <w:rsid w:val="00B818FD"/>
    <w:rsid w:val="00B81B23"/>
    <w:rsid w:val="00B81B71"/>
    <w:rsid w:val="00B81C82"/>
    <w:rsid w:val="00B81E01"/>
    <w:rsid w:val="00B81F72"/>
    <w:rsid w:val="00B8207E"/>
    <w:rsid w:val="00B8217C"/>
    <w:rsid w:val="00B824ED"/>
    <w:rsid w:val="00B8259C"/>
    <w:rsid w:val="00B826E7"/>
    <w:rsid w:val="00B8273A"/>
    <w:rsid w:val="00B8278D"/>
    <w:rsid w:val="00B82835"/>
    <w:rsid w:val="00B82AC3"/>
    <w:rsid w:val="00B82C1E"/>
    <w:rsid w:val="00B82DAA"/>
    <w:rsid w:val="00B82DED"/>
    <w:rsid w:val="00B82EC8"/>
    <w:rsid w:val="00B82F31"/>
    <w:rsid w:val="00B83017"/>
    <w:rsid w:val="00B83120"/>
    <w:rsid w:val="00B8322D"/>
    <w:rsid w:val="00B83378"/>
    <w:rsid w:val="00B833DF"/>
    <w:rsid w:val="00B83497"/>
    <w:rsid w:val="00B834CA"/>
    <w:rsid w:val="00B834FC"/>
    <w:rsid w:val="00B835CF"/>
    <w:rsid w:val="00B835D2"/>
    <w:rsid w:val="00B835D8"/>
    <w:rsid w:val="00B836B4"/>
    <w:rsid w:val="00B836EF"/>
    <w:rsid w:val="00B83843"/>
    <w:rsid w:val="00B83858"/>
    <w:rsid w:val="00B83888"/>
    <w:rsid w:val="00B839F6"/>
    <w:rsid w:val="00B83A6E"/>
    <w:rsid w:val="00B83A80"/>
    <w:rsid w:val="00B83AC9"/>
    <w:rsid w:val="00B83B27"/>
    <w:rsid w:val="00B83C5B"/>
    <w:rsid w:val="00B83D78"/>
    <w:rsid w:val="00B83D85"/>
    <w:rsid w:val="00B83EDC"/>
    <w:rsid w:val="00B83F4E"/>
    <w:rsid w:val="00B83FA1"/>
    <w:rsid w:val="00B840A6"/>
    <w:rsid w:val="00B84200"/>
    <w:rsid w:val="00B8429F"/>
    <w:rsid w:val="00B8436C"/>
    <w:rsid w:val="00B84431"/>
    <w:rsid w:val="00B84441"/>
    <w:rsid w:val="00B8447C"/>
    <w:rsid w:val="00B84488"/>
    <w:rsid w:val="00B845C8"/>
    <w:rsid w:val="00B84694"/>
    <w:rsid w:val="00B847D9"/>
    <w:rsid w:val="00B8493F"/>
    <w:rsid w:val="00B84DF0"/>
    <w:rsid w:val="00B84F1D"/>
    <w:rsid w:val="00B84F2E"/>
    <w:rsid w:val="00B84FF0"/>
    <w:rsid w:val="00B85170"/>
    <w:rsid w:val="00B85288"/>
    <w:rsid w:val="00B852A9"/>
    <w:rsid w:val="00B8530C"/>
    <w:rsid w:val="00B853FF"/>
    <w:rsid w:val="00B85505"/>
    <w:rsid w:val="00B8556A"/>
    <w:rsid w:val="00B8563B"/>
    <w:rsid w:val="00B85680"/>
    <w:rsid w:val="00B856CD"/>
    <w:rsid w:val="00B8570C"/>
    <w:rsid w:val="00B85771"/>
    <w:rsid w:val="00B857CD"/>
    <w:rsid w:val="00B858BF"/>
    <w:rsid w:val="00B858CF"/>
    <w:rsid w:val="00B858D4"/>
    <w:rsid w:val="00B85A07"/>
    <w:rsid w:val="00B85B09"/>
    <w:rsid w:val="00B85C82"/>
    <w:rsid w:val="00B85CC5"/>
    <w:rsid w:val="00B85EE9"/>
    <w:rsid w:val="00B85F9F"/>
    <w:rsid w:val="00B85FEA"/>
    <w:rsid w:val="00B86063"/>
    <w:rsid w:val="00B86195"/>
    <w:rsid w:val="00B86229"/>
    <w:rsid w:val="00B86432"/>
    <w:rsid w:val="00B86539"/>
    <w:rsid w:val="00B86668"/>
    <w:rsid w:val="00B8666C"/>
    <w:rsid w:val="00B86705"/>
    <w:rsid w:val="00B867C8"/>
    <w:rsid w:val="00B867DA"/>
    <w:rsid w:val="00B86911"/>
    <w:rsid w:val="00B86A32"/>
    <w:rsid w:val="00B86A58"/>
    <w:rsid w:val="00B86A90"/>
    <w:rsid w:val="00B86D26"/>
    <w:rsid w:val="00B86D7F"/>
    <w:rsid w:val="00B86DA9"/>
    <w:rsid w:val="00B86F80"/>
    <w:rsid w:val="00B87043"/>
    <w:rsid w:val="00B871BA"/>
    <w:rsid w:val="00B87206"/>
    <w:rsid w:val="00B87273"/>
    <w:rsid w:val="00B87300"/>
    <w:rsid w:val="00B87423"/>
    <w:rsid w:val="00B875ED"/>
    <w:rsid w:val="00B876CF"/>
    <w:rsid w:val="00B8775F"/>
    <w:rsid w:val="00B878B0"/>
    <w:rsid w:val="00B87B1F"/>
    <w:rsid w:val="00B87F67"/>
    <w:rsid w:val="00B902D1"/>
    <w:rsid w:val="00B90786"/>
    <w:rsid w:val="00B90941"/>
    <w:rsid w:val="00B909FF"/>
    <w:rsid w:val="00B90B33"/>
    <w:rsid w:val="00B90B88"/>
    <w:rsid w:val="00B90BD2"/>
    <w:rsid w:val="00B90C03"/>
    <w:rsid w:val="00B90C87"/>
    <w:rsid w:val="00B90E12"/>
    <w:rsid w:val="00B90E60"/>
    <w:rsid w:val="00B91000"/>
    <w:rsid w:val="00B910EB"/>
    <w:rsid w:val="00B9142A"/>
    <w:rsid w:val="00B914C6"/>
    <w:rsid w:val="00B91502"/>
    <w:rsid w:val="00B9152C"/>
    <w:rsid w:val="00B916A6"/>
    <w:rsid w:val="00B9171F"/>
    <w:rsid w:val="00B917A2"/>
    <w:rsid w:val="00B917A3"/>
    <w:rsid w:val="00B91803"/>
    <w:rsid w:val="00B91910"/>
    <w:rsid w:val="00B91A1F"/>
    <w:rsid w:val="00B91C06"/>
    <w:rsid w:val="00B91E07"/>
    <w:rsid w:val="00B91EF9"/>
    <w:rsid w:val="00B91F9D"/>
    <w:rsid w:val="00B92145"/>
    <w:rsid w:val="00B92587"/>
    <w:rsid w:val="00B9267A"/>
    <w:rsid w:val="00B92761"/>
    <w:rsid w:val="00B92783"/>
    <w:rsid w:val="00B9278F"/>
    <w:rsid w:val="00B927C3"/>
    <w:rsid w:val="00B927E7"/>
    <w:rsid w:val="00B92843"/>
    <w:rsid w:val="00B92874"/>
    <w:rsid w:val="00B92BBC"/>
    <w:rsid w:val="00B92CBA"/>
    <w:rsid w:val="00B92D43"/>
    <w:rsid w:val="00B92DBF"/>
    <w:rsid w:val="00B92E37"/>
    <w:rsid w:val="00B9302F"/>
    <w:rsid w:val="00B9315C"/>
    <w:rsid w:val="00B9328C"/>
    <w:rsid w:val="00B932C0"/>
    <w:rsid w:val="00B9332E"/>
    <w:rsid w:val="00B93590"/>
    <w:rsid w:val="00B93674"/>
    <w:rsid w:val="00B93843"/>
    <w:rsid w:val="00B93853"/>
    <w:rsid w:val="00B939BA"/>
    <w:rsid w:val="00B93B67"/>
    <w:rsid w:val="00B93D0C"/>
    <w:rsid w:val="00B93FDD"/>
    <w:rsid w:val="00B93FFF"/>
    <w:rsid w:val="00B94081"/>
    <w:rsid w:val="00B9414A"/>
    <w:rsid w:val="00B9417E"/>
    <w:rsid w:val="00B94374"/>
    <w:rsid w:val="00B944B5"/>
    <w:rsid w:val="00B94627"/>
    <w:rsid w:val="00B94766"/>
    <w:rsid w:val="00B94A4A"/>
    <w:rsid w:val="00B94AFC"/>
    <w:rsid w:val="00B94F82"/>
    <w:rsid w:val="00B94FA8"/>
    <w:rsid w:val="00B951ED"/>
    <w:rsid w:val="00B952F8"/>
    <w:rsid w:val="00B9532B"/>
    <w:rsid w:val="00B95557"/>
    <w:rsid w:val="00B955CA"/>
    <w:rsid w:val="00B957EC"/>
    <w:rsid w:val="00B95C8F"/>
    <w:rsid w:val="00B95D1D"/>
    <w:rsid w:val="00B95D64"/>
    <w:rsid w:val="00B95EA4"/>
    <w:rsid w:val="00B95F24"/>
    <w:rsid w:val="00B95F4C"/>
    <w:rsid w:val="00B960BD"/>
    <w:rsid w:val="00B96123"/>
    <w:rsid w:val="00B96155"/>
    <w:rsid w:val="00B9619E"/>
    <w:rsid w:val="00B9619F"/>
    <w:rsid w:val="00B961A1"/>
    <w:rsid w:val="00B96308"/>
    <w:rsid w:val="00B9630D"/>
    <w:rsid w:val="00B96375"/>
    <w:rsid w:val="00B96465"/>
    <w:rsid w:val="00B96502"/>
    <w:rsid w:val="00B965A9"/>
    <w:rsid w:val="00B966DD"/>
    <w:rsid w:val="00B967ED"/>
    <w:rsid w:val="00B96998"/>
    <w:rsid w:val="00B96A89"/>
    <w:rsid w:val="00B96A9D"/>
    <w:rsid w:val="00B96BCF"/>
    <w:rsid w:val="00B96DE6"/>
    <w:rsid w:val="00B96DEF"/>
    <w:rsid w:val="00B96FFD"/>
    <w:rsid w:val="00B970D4"/>
    <w:rsid w:val="00B9711D"/>
    <w:rsid w:val="00B97253"/>
    <w:rsid w:val="00B9771E"/>
    <w:rsid w:val="00B97964"/>
    <w:rsid w:val="00B97A74"/>
    <w:rsid w:val="00B97B9B"/>
    <w:rsid w:val="00B97C1A"/>
    <w:rsid w:val="00B97C77"/>
    <w:rsid w:val="00B97D07"/>
    <w:rsid w:val="00B97D87"/>
    <w:rsid w:val="00B97E2C"/>
    <w:rsid w:val="00B97EF0"/>
    <w:rsid w:val="00B97F0A"/>
    <w:rsid w:val="00B97F23"/>
    <w:rsid w:val="00B97F38"/>
    <w:rsid w:val="00BA00BA"/>
    <w:rsid w:val="00BA0167"/>
    <w:rsid w:val="00BA01C0"/>
    <w:rsid w:val="00BA0381"/>
    <w:rsid w:val="00BA0585"/>
    <w:rsid w:val="00BA05E5"/>
    <w:rsid w:val="00BA0618"/>
    <w:rsid w:val="00BA081B"/>
    <w:rsid w:val="00BA0932"/>
    <w:rsid w:val="00BA0953"/>
    <w:rsid w:val="00BA09A9"/>
    <w:rsid w:val="00BA09E9"/>
    <w:rsid w:val="00BA0A34"/>
    <w:rsid w:val="00BA0A91"/>
    <w:rsid w:val="00BA0B38"/>
    <w:rsid w:val="00BA0BAB"/>
    <w:rsid w:val="00BA0CE2"/>
    <w:rsid w:val="00BA0CEB"/>
    <w:rsid w:val="00BA0D09"/>
    <w:rsid w:val="00BA0D78"/>
    <w:rsid w:val="00BA1042"/>
    <w:rsid w:val="00BA11CA"/>
    <w:rsid w:val="00BA129D"/>
    <w:rsid w:val="00BA134C"/>
    <w:rsid w:val="00BA134D"/>
    <w:rsid w:val="00BA13A0"/>
    <w:rsid w:val="00BA13C5"/>
    <w:rsid w:val="00BA1438"/>
    <w:rsid w:val="00BA14AF"/>
    <w:rsid w:val="00BA164A"/>
    <w:rsid w:val="00BA171C"/>
    <w:rsid w:val="00BA174D"/>
    <w:rsid w:val="00BA17E8"/>
    <w:rsid w:val="00BA194E"/>
    <w:rsid w:val="00BA1988"/>
    <w:rsid w:val="00BA1A6B"/>
    <w:rsid w:val="00BA1AB5"/>
    <w:rsid w:val="00BA1AED"/>
    <w:rsid w:val="00BA1BE1"/>
    <w:rsid w:val="00BA1BE9"/>
    <w:rsid w:val="00BA1CEC"/>
    <w:rsid w:val="00BA1D59"/>
    <w:rsid w:val="00BA1DB1"/>
    <w:rsid w:val="00BA1F18"/>
    <w:rsid w:val="00BA1F57"/>
    <w:rsid w:val="00BA1F74"/>
    <w:rsid w:val="00BA2090"/>
    <w:rsid w:val="00BA22D3"/>
    <w:rsid w:val="00BA2366"/>
    <w:rsid w:val="00BA26D2"/>
    <w:rsid w:val="00BA272F"/>
    <w:rsid w:val="00BA27DD"/>
    <w:rsid w:val="00BA2D02"/>
    <w:rsid w:val="00BA2DA9"/>
    <w:rsid w:val="00BA2E2C"/>
    <w:rsid w:val="00BA2E39"/>
    <w:rsid w:val="00BA2E44"/>
    <w:rsid w:val="00BA2F8F"/>
    <w:rsid w:val="00BA3080"/>
    <w:rsid w:val="00BA3102"/>
    <w:rsid w:val="00BA3649"/>
    <w:rsid w:val="00BA3809"/>
    <w:rsid w:val="00BA3874"/>
    <w:rsid w:val="00BA3BB9"/>
    <w:rsid w:val="00BA3C12"/>
    <w:rsid w:val="00BA3C2A"/>
    <w:rsid w:val="00BA3D43"/>
    <w:rsid w:val="00BA4141"/>
    <w:rsid w:val="00BA41DE"/>
    <w:rsid w:val="00BA41F2"/>
    <w:rsid w:val="00BA4391"/>
    <w:rsid w:val="00BA4596"/>
    <w:rsid w:val="00BA466A"/>
    <w:rsid w:val="00BA46B2"/>
    <w:rsid w:val="00BA46E8"/>
    <w:rsid w:val="00BA47FD"/>
    <w:rsid w:val="00BA49AB"/>
    <w:rsid w:val="00BA4C29"/>
    <w:rsid w:val="00BA4C96"/>
    <w:rsid w:val="00BA4D1A"/>
    <w:rsid w:val="00BA4E9A"/>
    <w:rsid w:val="00BA4ED7"/>
    <w:rsid w:val="00BA4F61"/>
    <w:rsid w:val="00BA5027"/>
    <w:rsid w:val="00BA5106"/>
    <w:rsid w:val="00BA51B8"/>
    <w:rsid w:val="00BA5595"/>
    <w:rsid w:val="00BA55E4"/>
    <w:rsid w:val="00BA55F7"/>
    <w:rsid w:val="00BA5627"/>
    <w:rsid w:val="00BA58F8"/>
    <w:rsid w:val="00BA591A"/>
    <w:rsid w:val="00BA5C40"/>
    <w:rsid w:val="00BA5CE1"/>
    <w:rsid w:val="00BA5D14"/>
    <w:rsid w:val="00BA5D16"/>
    <w:rsid w:val="00BA5D43"/>
    <w:rsid w:val="00BA5DB0"/>
    <w:rsid w:val="00BA5ECE"/>
    <w:rsid w:val="00BA6170"/>
    <w:rsid w:val="00BA6456"/>
    <w:rsid w:val="00BA6475"/>
    <w:rsid w:val="00BA65CE"/>
    <w:rsid w:val="00BA66A7"/>
    <w:rsid w:val="00BA67B4"/>
    <w:rsid w:val="00BA683A"/>
    <w:rsid w:val="00BA68CE"/>
    <w:rsid w:val="00BA6A2D"/>
    <w:rsid w:val="00BA6A61"/>
    <w:rsid w:val="00BA6A74"/>
    <w:rsid w:val="00BA6A9A"/>
    <w:rsid w:val="00BA6B0C"/>
    <w:rsid w:val="00BA6B4E"/>
    <w:rsid w:val="00BA6CA4"/>
    <w:rsid w:val="00BA6D21"/>
    <w:rsid w:val="00BA6E3A"/>
    <w:rsid w:val="00BA6E63"/>
    <w:rsid w:val="00BA7001"/>
    <w:rsid w:val="00BA71B7"/>
    <w:rsid w:val="00BA7267"/>
    <w:rsid w:val="00BA739D"/>
    <w:rsid w:val="00BA73C6"/>
    <w:rsid w:val="00BA73FC"/>
    <w:rsid w:val="00BA7842"/>
    <w:rsid w:val="00BA7844"/>
    <w:rsid w:val="00BA7950"/>
    <w:rsid w:val="00BA7CF7"/>
    <w:rsid w:val="00BA7E62"/>
    <w:rsid w:val="00BA7F97"/>
    <w:rsid w:val="00BB0137"/>
    <w:rsid w:val="00BB0293"/>
    <w:rsid w:val="00BB0424"/>
    <w:rsid w:val="00BB051D"/>
    <w:rsid w:val="00BB05AD"/>
    <w:rsid w:val="00BB0884"/>
    <w:rsid w:val="00BB08A3"/>
    <w:rsid w:val="00BB093C"/>
    <w:rsid w:val="00BB0984"/>
    <w:rsid w:val="00BB0B29"/>
    <w:rsid w:val="00BB0B89"/>
    <w:rsid w:val="00BB0C50"/>
    <w:rsid w:val="00BB0C51"/>
    <w:rsid w:val="00BB0D20"/>
    <w:rsid w:val="00BB0DDD"/>
    <w:rsid w:val="00BB1021"/>
    <w:rsid w:val="00BB10E1"/>
    <w:rsid w:val="00BB1303"/>
    <w:rsid w:val="00BB135C"/>
    <w:rsid w:val="00BB13DC"/>
    <w:rsid w:val="00BB145D"/>
    <w:rsid w:val="00BB147F"/>
    <w:rsid w:val="00BB15ED"/>
    <w:rsid w:val="00BB168F"/>
    <w:rsid w:val="00BB16DE"/>
    <w:rsid w:val="00BB187A"/>
    <w:rsid w:val="00BB1C96"/>
    <w:rsid w:val="00BB1CB4"/>
    <w:rsid w:val="00BB1DC4"/>
    <w:rsid w:val="00BB1F14"/>
    <w:rsid w:val="00BB1FF8"/>
    <w:rsid w:val="00BB2003"/>
    <w:rsid w:val="00BB210E"/>
    <w:rsid w:val="00BB21FB"/>
    <w:rsid w:val="00BB2411"/>
    <w:rsid w:val="00BB2601"/>
    <w:rsid w:val="00BB2632"/>
    <w:rsid w:val="00BB26A3"/>
    <w:rsid w:val="00BB27A5"/>
    <w:rsid w:val="00BB2812"/>
    <w:rsid w:val="00BB2A38"/>
    <w:rsid w:val="00BB2A97"/>
    <w:rsid w:val="00BB2D98"/>
    <w:rsid w:val="00BB2E4D"/>
    <w:rsid w:val="00BB3020"/>
    <w:rsid w:val="00BB302F"/>
    <w:rsid w:val="00BB3088"/>
    <w:rsid w:val="00BB3093"/>
    <w:rsid w:val="00BB30AF"/>
    <w:rsid w:val="00BB30B9"/>
    <w:rsid w:val="00BB30C0"/>
    <w:rsid w:val="00BB31AC"/>
    <w:rsid w:val="00BB32A4"/>
    <w:rsid w:val="00BB3418"/>
    <w:rsid w:val="00BB34E2"/>
    <w:rsid w:val="00BB371B"/>
    <w:rsid w:val="00BB37B5"/>
    <w:rsid w:val="00BB3A3B"/>
    <w:rsid w:val="00BB3B7D"/>
    <w:rsid w:val="00BB3BC4"/>
    <w:rsid w:val="00BB3BEC"/>
    <w:rsid w:val="00BB3CA1"/>
    <w:rsid w:val="00BB3E7A"/>
    <w:rsid w:val="00BB3F6C"/>
    <w:rsid w:val="00BB407F"/>
    <w:rsid w:val="00BB42E8"/>
    <w:rsid w:val="00BB43B6"/>
    <w:rsid w:val="00BB454B"/>
    <w:rsid w:val="00BB46D2"/>
    <w:rsid w:val="00BB4857"/>
    <w:rsid w:val="00BB48DD"/>
    <w:rsid w:val="00BB49DC"/>
    <w:rsid w:val="00BB4A4B"/>
    <w:rsid w:val="00BB4ABA"/>
    <w:rsid w:val="00BB4F1C"/>
    <w:rsid w:val="00BB50AA"/>
    <w:rsid w:val="00BB5154"/>
    <w:rsid w:val="00BB51BE"/>
    <w:rsid w:val="00BB524A"/>
    <w:rsid w:val="00BB5256"/>
    <w:rsid w:val="00BB52DF"/>
    <w:rsid w:val="00BB5331"/>
    <w:rsid w:val="00BB557F"/>
    <w:rsid w:val="00BB5593"/>
    <w:rsid w:val="00BB559D"/>
    <w:rsid w:val="00BB580B"/>
    <w:rsid w:val="00BB59F8"/>
    <w:rsid w:val="00BB5A0E"/>
    <w:rsid w:val="00BB5A3F"/>
    <w:rsid w:val="00BB5CAC"/>
    <w:rsid w:val="00BB5CAE"/>
    <w:rsid w:val="00BB5CB5"/>
    <w:rsid w:val="00BB5D20"/>
    <w:rsid w:val="00BB5E2E"/>
    <w:rsid w:val="00BB5F35"/>
    <w:rsid w:val="00BB5FD1"/>
    <w:rsid w:val="00BB614C"/>
    <w:rsid w:val="00BB639D"/>
    <w:rsid w:val="00BB63A0"/>
    <w:rsid w:val="00BB642E"/>
    <w:rsid w:val="00BB66EB"/>
    <w:rsid w:val="00BB6ABE"/>
    <w:rsid w:val="00BB6C54"/>
    <w:rsid w:val="00BB6C57"/>
    <w:rsid w:val="00BB6DD0"/>
    <w:rsid w:val="00BB6FDD"/>
    <w:rsid w:val="00BB7084"/>
    <w:rsid w:val="00BB7620"/>
    <w:rsid w:val="00BB7791"/>
    <w:rsid w:val="00BB7824"/>
    <w:rsid w:val="00BB7917"/>
    <w:rsid w:val="00BB7A1E"/>
    <w:rsid w:val="00BB7A47"/>
    <w:rsid w:val="00BB7AB0"/>
    <w:rsid w:val="00BB7B2D"/>
    <w:rsid w:val="00BB7B4E"/>
    <w:rsid w:val="00BB7D21"/>
    <w:rsid w:val="00BB7D74"/>
    <w:rsid w:val="00BB7DC7"/>
    <w:rsid w:val="00BB7E96"/>
    <w:rsid w:val="00BC01D0"/>
    <w:rsid w:val="00BC0275"/>
    <w:rsid w:val="00BC049F"/>
    <w:rsid w:val="00BC0549"/>
    <w:rsid w:val="00BC06F6"/>
    <w:rsid w:val="00BC0773"/>
    <w:rsid w:val="00BC09C6"/>
    <w:rsid w:val="00BC0A31"/>
    <w:rsid w:val="00BC0B36"/>
    <w:rsid w:val="00BC0C6A"/>
    <w:rsid w:val="00BC0CAC"/>
    <w:rsid w:val="00BC0DF2"/>
    <w:rsid w:val="00BC0EE9"/>
    <w:rsid w:val="00BC0F87"/>
    <w:rsid w:val="00BC10BE"/>
    <w:rsid w:val="00BC11AD"/>
    <w:rsid w:val="00BC12B1"/>
    <w:rsid w:val="00BC15FC"/>
    <w:rsid w:val="00BC18DA"/>
    <w:rsid w:val="00BC1906"/>
    <w:rsid w:val="00BC1986"/>
    <w:rsid w:val="00BC1ACF"/>
    <w:rsid w:val="00BC1B82"/>
    <w:rsid w:val="00BC1BEE"/>
    <w:rsid w:val="00BC1C2E"/>
    <w:rsid w:val="00BC1D42"/>
    <w:rsid w:val="00BC1DA9"/>
    <w:rsid w:val="00BC1E2A"/>
    <w:rsid w:val="00BC1FBB"/>
    <w:rsid w:val="00BC2244"/>
    <w:rsid w:val="00BC225E"/>
    <w:rsid w:val="00BC227F"/>
    <w:rsid w:val="00BC22C1"/>
    <w:rsid w:val="00BC22D0"/>
    <w:rsid w:val="00BC2528"/>
    <w:rsid w:val="00BC2546"/>
    <w:rsid w:val="00BC2776"/>
    <w:rsid w:val="00BC27AC"/>
    <w:rsid w:val="00BC2801"/>
    <w:rsid w:val="00BC2875"/>
    <w:rsid w:val="00BC28C3"/>
    <w:rsid w:val="00BC28E0"/>
    <w:rsid w:val="00BC2C5A"/>
    <w:rsid w:val="00BC2D4E"/>
    <w:rsid w:val="00BC2DA9"/>
    <w:rsid w:val="00BC2E2C"/>
    <w:rsid w:val="00BC2FC3"/>
    <w:rsid w:val="00BC3102"/>
    <w:rsid w:val="00BC32DF"/>
    <w:rsid w:val="00BC33D1"/>
    <w:rsid w:val="00BC33EE"/>
    <w:rsid w:val="00BC352B"/>
    <w:rsid w:val="00BC3752"/>
    <w:rsid w:val="00BC3843"/>
    <w:rsid w:val="00BC39F8"/>
    <w:rsid w:val="00BC3A0D"/>
    <w:rsid w:val="00BC3A3A"/>
    <w:rsid w:val="00BC3E16"/>
    <w:rsid w:val="00BC3E59"/>
    <w:rsid w:val="00BC3EC7"/>
    <w:rsid w:val="00BC4088"/>
    <w:rsid w:val="00BC42C4"/>
    <w:rsid w:val="00BC440F"/>
    <w:rsid w:val="00BC46C0"/>
    <w:rsid w:val="00BC46C1"/>
    <w:rsid w:val="00BC48A1"/>
    <w:rsid w:val="00BC4956"/>
    <w:rsid w:val="00BC4961"/>
    <w:rsid w:val="00BC4A10"/>
    <w:rsid w:val="00BC4AA2"/>
    <w:rsid w:val="00BC4AD8"/>
    <w:rsid w:val="00BC4B8D"/>
    <w:rsid w:val="00BC4C2A"/>
    <w:rsid w:val="00BC4C46"/>
    <w:rsid w:val="00BC4DEC"/>
    <w:rsid w:val="00BC4E1F"/>
    <w:rsid w:val="00BC4EC4"/>
    <w:rsid w:val="00BC4ECE"/>
    <w:rsid w:val="00BC4ED2"/>
    <w:rsid w:val="00BC5247"/>
    <w:rsid w:val="00BC52B6"/>
    <w:rsid w:val="00BC54FD"/>
    <w:rsid w:val="00BC569A"/>
    <w:rsid w:val="00BC5841"/>
    <w:rsid w:val="00BC585A"/>
    <w:rsid w:val="00BC5861"/>
    <w:rsid w:val="00BC59BD"/>
    <w:rsid w:val="00BC5EA0"/>
    <w:rsid w:val="00BC6053"/>
    <w:rsid w:val="00BC6686"/>
    <w:rsid w:val="00BC6AAC"/>
    <w:rsid w:val="00BC6C9F"/>
    <w:rsid w:val="00BC6CC5"/>
    <w:rsid w:val="00BC6D1A"/>
    <w:rsid w:val="00BC6EBB"/>
    <w:rsid w:val="00BC7171"/>
    <w:rsid w:val="00BC71BA"/>
    <w:rsid w:val="00BC73A4"/>
    <w:rsid w:val="00BC73B8"/>
    <w:rsid w:val="00BC74EA"/>
    <w:rsid w:val="00BC75EC"/>
    <w:rsid w:val="00BC7718"/>
    <w:rsid w:val="00BC7A54"/>
    <w:rsid w:val="00BC7BE1"/>
    <w:rsid w:val="00BC7D4B"/>
    <w:rsid w:val="00BC7E8B"/>
    <w:rsid w:val="00BC7FD5"/>
    <w:rsid w:val="00BC7FDB"/>
    <w:rsid w:val="00BD00DD"/>
    <w:rsid w:val="00BD0192"/>
    <w:rsid w:val="00BD01A6"/>
    <w:rsid w:val="00BD022E"/>
    <w:rsid w:val="00BD037A"/>
    <w:rsid w:val="00BD04BD"/>
    <w:rsid w:val="00BD04C2"/>
    <w:rsid w:val="00BD06E9"/>
    <w:rsid w:val="00BD07C2"/>
    <w:rsid w:val="00BD08E4"/>
    <w:rsid w:val="00BD0917"/>
    <w:rsid w:val="00BD09A8"/>
    <w:rsid w:val="00BD0BF6"/>
    <w:rsid w:val="00BD0BFE"/>
    <w:rsid w:val="00BD0EDD"/>
    <w:rsid w:val="00BD10EB"/>
    <w:rsid w:val="00BD118E"/>
    <w:rsid w:val="00BD11D1"/>
    <w:rsid w:val="00BD11EC"/>
    <w:rsid w:val="00BD1263"/>
    <w:rsid w:val="00BD12FA"/>
    <w:rsid w:val="00BD133E"/>
    <w:rsid w:val="00BD13AB"/>
    <w:rsid w:val="00BD146A"/>
    <w:rsid w:val="00BD146B"/>
    <w:rsid w:val="00BD1482"/>
    <w:rsid w:val="00BD1851"/>
    <w:rsid w:val="00BD1887"/>
    <w:rsid w:val="00BD18DC"/>
    <w:rsid w:val="00BD18F0"/>
    <w:rsid w:val="00BD1914"/>
    <w:rsid w:val="00BD19C8"/>
    <w:rsid w:val="00BD1A93"/>
    <w:rsid w:val="00BD1D22"/>
    <w:rsid w:val="00BD1D40"/>
    <w:rsid w:val="00BD1F84"/>
    <w:rsid w:val="00BD2055"/>
    <w:rsid w:val="00BD20DD"/>
    <w:rsid w:val="00BD2619"/>
    <w:rsid w:val="00BD265A"/>
    <w:rsid w:val="00BD28E8"/>
    <w:rsid w:val="00BD29D7"/>
    <w:rsid w:val="00BD2A8F"/>
    <w:rsid w:val="00BD2DBB"/>
    <w:rsid w:val="00BD2FB9"/>
    <w:rsid w:val="00BD303D"/>
    <w:rsid w:val="00BD3088"/>
    <w:rsid w:val="00BD30F7"/>
    <w:rsid w:val="00BD32F6"/>
    <w:rsid w:val="00BD33AA"/>
    <w:rsid w:val="00BD33C2"/>
    <w:rsid w:val="00BD3531"/>
    <w:rsid w:val="00BD356C"/>
    <w:rsid w:val="00BD3CD2"/>
    <w:rsid w:val="00BD3DF8"/>
    <w:rsid w:val="00BD3E62"/>
    <w:rsid w:val="00BD4411"/>
    <w:rsid w:val="00BD448D"/>
    <w:rsid w:val="00BD4530"/>
    <w:rsid w:val="00BD4566"/>
    <w:rsid w:val="00BD45C8"/>
    <w:rsid w:val="00BD4685"/>
    <w:rsid w:val="00BD47FF"/>
    <w:rsid w:val="00BD48C2"/>
    <w:rsid w:val="00BD4967"/>
    <w:rsid w:val="00BD4DEA"/>
    <w:rsid w:val="00BD4E35"/>
    <w:rsid w:val="00BD4E71"/>
    <w:rsid w:val="00BD4F3B"/>
    <w:rsid w:val="00BD4F52"/>
    <w:rsid w:val="00BD4F56"/>
    <w:rsid w:val="00BD5015"/>
    <w:rsid w:val="00BD508E"/>
    <w:rsid w:val="00BD51D6"/>
    <w:rsid w:val="00BD52DC"/>
    <w:rsid w:val="00BD5509"/>
    <w:rsid w:val="00BD55C8"/>
    <w:rsid w:val="00BD55F7"/>
    <w:rsid w:val="00BD5734"/>
    <w:rsid w:val="00BD57BF"/>
    <w:rsid w:val="00BD57EC"/>
    <w:rsid w:val="00BD58C9"/>
    <w:rsid w:val="00BD59F4"/>
    <w:rsid w:val="00BD59FB"/>
    <w:rsid w:val="00BD5B28"/>
    <w:rsid w:val="00BD5B29"/>
    <w:rsid w:val="00BD5C5E"/>
    <w:rsid w:val="00BD5CBA"/>
    <w:rsid w:val="00BD5F36"/>
    <w:rsid w:val="00BD5F8A"/>
    <w:rsid w:val="00BD5FA4"/>
    <w:rsid w:val="00BD60BE"/>
    <w:rsid w:val="00BD60DA"/>
    <w:rsid w:val="00BD60E5"/>
    <w:rsid w:val="00BD611E"/>
    <w:rsid w:val="00BD61AB"/>
    <w:rsid w:val="00BD62CC"/>
    <w:rsid w:val="00BD63A2"/>
    <w:rsid w:val="00BD6483"/>
    <w:rsid w:val="00BD64CF"/>
    <w:rsid w:val="00BD6649"/>
    <w:rsid w:val="00BD6773"/>
    <w:rsid w:val="00BD6CED"/>
    <w:rsid w:val="00BD6DFE"/>
    <w:rsid w:val="00BD704E"/>
    <w:rsid w:val="00BD709E"/>
    <w:rsid w:val="00BD7122"/>
    <w:rsid w:val="00BD71F5"/>
    <w:rsid w:val="00BD7227"/>
    <w:rsid w:val="00BD7241"/>
    <w:rsid w:val="00BD72D8"/>
    <w:rsid w:val="00BD73BC"/>
    <w:rsid w:val="00BD76D2"/>
    <w:rsid w:val="00BD7724"/>
    <w:rsid w:val="00BD7785"/>
    <w:rsid w:val="00BD77ED"/>
    <w:rsid w:val="00BD7842"/>
    <w:rsid w:val="00BD795E"/>
    <w:rsid w:val="00BD7970"/>
    <w:rsid w:val="00BD79BF"/>
    <w:rsid w:val="00BD7B49"/>
    <w:rsid w:val="00BD7C76"/>
    <w:rsid w:val="00BD7CA5"/>
    <w:rsid w:val="00BD7D8F"/>
    <w:rsid w:val="00BD7ED6"/>
    <w:rsid w:val="00BD7F45"/>
    <w:rsid w:val="00BE0002"/>
    <w:rsid w:val="00BE0005"/>
    <w:rsid w:val="00BE0155"/>
    <w:rsid w:val="00BE0172"/>
    <w:rsid w:val="00BE01DD"/>
    <w:rsid w:val="00BE0392"/>
    <w:rsid w:val="00BE05FD"/>
    <w:rsid w:val="00BE0834"/>
    <w:rsid w:val="00BE0851"/>
    <w:rsid w:val="00BE08E0"/>
    <w:rsid w:val="00BE08E1"/>
    <w:rsid w:val="00BE0904"/>
    <w:rsid w:val="00BE0C09"/>
    <w:rsid w:val="00BE0D26"/>
    <w:rsid w:val="00BE0D69"/>
    <w:rsid w:val="00BE0D80"/>
    <w:rsid w:val="00BE0E07"/>
    <w:rsid w:val="00BE0F5A"/>
    <w:rsid w:val="00BE0F7D"/>
    <w:rsid w:val="00BE0F98"/>
    <w:rsid w:val="00BE0FEF"/>
    <w:rsid w:val="00BE106D"/>
    <w:rsid w:val="00BE10D9"/>
    <w:rsid w:val="00BE1114"/>
    <w:rsid w:val="00BE1183"/>
    <w:rsid w:val="00BE1213"/>
    <w:rsid w:val="00BE1215"/>
    <w:rsid w:val="00BE126F"/>
    <w:rsid w:val="00BE1297"/>
    <w:rsid w:val="00BE13A4"/>
    <w:rsid w:val="00BE13BD"/>
    <w:rsid w:val="00BE149E"/>
    <w:rsid w:val="00BE1511"/>
    <w:rsid w:val="00BE155B"/>
    <w:rsid w:val="00BE15BE"/>
    <w:rsid w:val="00BE1705"/>
    <w:rsid w:val="00BE173A"/>
    <w:rsid w:val="00BE1779"/>
    <w:rsid w:val="00BE197A"/>
    <w:rsid w:val="00BE1ADB"/>
    <w:rsid w:val="00BE1C1B"/>
    <w:rsid w:val="00BE1EF0"/>
    <w:rsid w:val="00BE1F3F"/>
    <w:rsid w:val="00BE23CB"/>
    <w:rsid w:val="00BE24D3"/>
    <w:rsid w:val="00BE259B"/>
    <w:rsid w:val="00BE266C"/>
    <w:rsid w:val="00BE26FF"/>
    <w:rsid w:val="00BE285E"/>
    <w:rsid w:val="00BE2BD4"/>
    <w:rsid w:val="00BE2CA4"/>
    <w:rsid w:val="00BE2E14"/>
    <w:rsid w:val="00BE2FA5"/>
    <w:rsid w:val="00BE3058"/>
    <w:rsid w:val="00BE30CB"/>
    <w:rsid w:val="00BE30DA"/>
    <w:rsid w:val="00BE30E7"/>
    <w:rsid w:val="00BE3173"/>
    <w:rsid w:val="00BE393F"/>
    <w:rsid w:val="00BE3963"/>
    <w:rsid w:val="00BE3A23"/>
    <w:rsid w:val="00BE3ABD"/>
    <w:rsid w:val="00BE3BAE"/>
    <w:rsid w:val="00BE3CC4"/>
    <w:rsid w:val="00BE3CE3"/>
    <w:rsid w:val="00BE3CE9"/>
    <w:rsid w:val="00BE3E24"/>
    <w:rsid w:val="00BE3EC5"/>
    <w:rsid w:val="00BE4350"/>
    <w:rsid w:val="00BE4762"/>
    <w:rsid w:val="00BE4765"/>
    <w:rsid w:val="00BE477C"/>
    <w:rsid w:val="00BE47BE"/>
    <w:rsid w:val="00BE4830"/>
    <w:rsid w:val="00BE4999"/>
    <w:rsid w:val="00BE49C9"/>
    <w:rsid w:val="00BE4A67"/>
    <w:rsid w:val="00BE4D81"/>
    <w:rsid w:val="00BE4F88"/>
    <w:rsid w:val="00BE504E"/>
    <w:rsid w:val="00BE511A"/>
    <w:rsid w:val="00BE5145"/>
    <w:rsid w:val="00BE5562"/>
    <w:rsid w:val="00BE55A5"/>
    <w:rsid w:val="00BE596C"/>
    <w:rsid w:val="00BE5BA4"/>
    <w:rsid w:val="00BE5BBB"/>
    <w:rsid w:val="00BE5C4E"/>
    <w:rsid w:val="00BE5CE8"/>
    <w:rsid w:val="00BE5E75"/>
    <w:rsid w:val="00BE6296"/>
    <w:rsid w:val="00BE630C"/>
    <w:rsid w:val="00BE637C"/>
    <w:rsid w:val="00BE63C4"/>
    <w:rsid w:val="00BE63FA"/>
    <w:rsid w:val="00BE6419"/>
    <w:rsid w:val="00BE6721"/>
    <w:rsid w:val="00BE674A"/>
    <w:rsid w:val="00BE6991"/>
    <w:rsid w:val="00BE69A4"/>
    <w:rsid w:val="00BE69D6"/>
    <w:rsid w:val="00BE69D8"/>
    <w:rsid w:val="00BE6A3A"/>
    <w:rsid w:val="00BE6ABF"/>
    <w:rsid w:val="00BE6DBA"/>
    <w:rsid w:val="00BE6DD0"/>
    <w:rsid w:val="00BE6E7D"/>
    <w:rsid w:val="00BE6E93"/>
    <w:rsid w:val="00BE7003"/>
    <w:rsid w:val="00BE7055"/>
    <w:rsid w:val="00BE7309"/>
    <w:rsid w:val="00BE7364"/>
    <w:rsid w:val="00BE7483"/>
    <w:rsid w:val="00BE75A5"/>
    <w:rsid w:val="00BE763A"/>
    <w:rsid w:val="00BE777E"/>
    <w:rsid w:val="00BE778B"/>
    <w:rsid w:val="00BE78D3"/>
    <w:rsid w:val="00BE7A7C"/>
    <w:rsid w:val="00BE7B09"/>
    <w:rsid w:val="00BE7BF7"/>
    <w:rsid w:val="00BE7ED2"/>
    <w:rsid w:val="00BF0178"/>
    <w:rsid w:val="00BF0648"/>
    <w:rsid w:val="00BF0665"/>
    <w:rsid w:val="00BF073D"/>
    <w:rsid w:val="00BF0749"/>
    <w:rsid w:val="00BF0785"/>
    <w:rsid w:val="00BF0855"/>
    <w:rsid w:val="00BF0C33"/>
    <w:rsid w:val="00BF0C46"/>
    <w:rsid w:val="00BF0DAB"/>
    <w:rsid w:val="00BF0E03"/>
    <w:rsid w:val="00BF0E5B"/>
    <w:rsid w:val="00BF0EE5"/>
    <w:rsid w:val="00BF1028"/>
    <w:rsid w:val="00BF11C1"/>
    <w:rsid w:val="00BF1291"/>
    <w:rsid w:val="00BF137A"/>
    <w:rsid w:val="00BF143A"/>
    <w:rsid w:val="00BF16A7"/>
    <w:rsid w:val="00BF1744"/>
    <w:rsid w:val="00BF178B"/>
    <w:rsid w:val="00BF18A7"/>
    <w:rsid w:val="00BF19B3"/>
    <w:rsid w:val="00BF1AD0"/>
    <w:rsid w:val="00BF1AF0"/>
    <w:rsid w:val="00BF1B45"/>
    <w:rsid w:val="00BF1C08"/>
    <w:rsid w:val="00BF1E33"/>
    <w:rsid w:val="00BF1F40"/>
    <w:rsid w:val="00BF1F76"/>
    <w:rsid w:val="00BF2049"/>
    <w:rsid w:val="00BF2137"/>
    <w:rsid w:val="00BF215F"/>
    <w:rsid w:val="00BF231F"/>
    <w:rsid w:val="00BF2483"/>
    <w:rsid w:val="00BF2554"/>
    <w:rsid w:val="00BF25E3"/>
    <w:rsid w:val="00BF2C8B"/>
    <w:rsid w:val="00BF2E98"/>
    <w:rsid w:val="00BF2F2B"/>
    <w:rsid w:val="00BF2F72"/>
    <w:rsid w:val="00BF2FC4"/>
    <w:rsid w:val="00BF3052"/>
    <w:rsid w:val="00BF311A"/>
    <w:rsid w:val="00BF35B7"/>
    <w:rsid w:val="00BF3700"/>
    <w:rsid w:val="00BF38E8"/>
    <w:rsid w:val="00BF3936"/>
    <w:rsid w:val="00BF396A"/>
    <w:rsid w:val="00BF3A5C"/>
    <w:rsid w:val="00BF3B0D"/>
    <w:rsid w:val="00BF3C82"/>
    <w:rsid w:val="00BF3E0D"/>
    <w:rsid w:val="00BF3E25"/>
    <w:rsid w:val="00BF3E5A"/>
    <w:rsid w:val="00BF3F9C"/>
    <w:rsid w:val="00BF3FE4"/>
    <w:rsid w:val="00BF4019"/>
    <w:rsid w:val="00BF4024"/>
    <w:rsid w:val="00BF43AE"/>
    <w:rsid w:val="00BF44FD"/>
    <w:rsid w:val="00BF4521"/>
    <w:rsid w:val="00BF4573"/>
    <w:rsid w:val="00BF478B"/>
    <w:rsid w:val="00BF4C5E"/>
    <w:rsid w:val="00BF4E68"/>
    <w:rsid w:val="00BF4F3A"/>
    <w:rsid w:val="00BF503B"/>
    <w:rsid w:val="00BF504F"/>
    <w:rsid w:val="00BF5061"/>
    <w:rsid w:val="00BF50A3"/>
    <w:rsid w:val="00BF516A"/>
    <w:rsid w:val="00BF518A"/>
    <w:rsid w:val="00BF52B1"/>
    <w:rsid w:val="00BF53D5"/>
    <w:rsid w:val="00BF560D"/>
    <w:rsid w:val="00BF5904"/>
    <w:rsid w:val="00BF5A3B"/>
    <w:rsid w:val="00BF5AE9"/>
    <w:rsid w:val="00BF5AF9"/>
    <w:rsid w:val="00BF5BC2"/>
    <w:rsid w:val="00BF5CB9"/>
    <w:rsid w:val="00BF5CCC"/>
    <w:rsid w:val="00BF5E07"/>
    <w:rsid w:val="00BF5F04"/>
    <w:rsid w:val="00BF658B"/>
    <w:rsid w:val="00BF66C1"/>
    <w:rsid w:val="00BF6909"/>
    <w:rsid w:val="00BF698A"/>
    <w:rsid w:val="00BF6CCD"/>
    <w:rsid w:val="00BF6D52"/>
    <w:rsid w:val="00BF6E14"/>
    <w:rsid w:val="00BF6E68"/>
    <w:rsid w:val="00BF6EA7"/>
    <w:rsid w:val="00BF723B"/>
    <w:rsid w:val="00BF7449"/>
    <w:rsid w:val="00BF757D"/>
    <w:rsid w:val="00BF75CB"/>
    <w:rsid w:val="00BF783B"/>
    <w:rsid w:val="00BF79BE"/>
    <w:rsid w:val="00BF79CD"/>
    <w:rsid w:val="00BF7A6C"/>
    <w:rsid w:val="00BF7CEC"/>
    <w:rsid w:val="00BF7D81"/>
    <w:rsid w:val="00C00090"/>
    <w:rsid w:val="00C000FD"/>
    <w:rsid w:val="00C00149"/>
    <w:rsid w:val="00C002B4"/>
    <w:rsid w:val="00C003A3"/>
    <w:rsid w:val="00C004B6"/>
    <w:rsid w:val="00C0060B"/>
    <w:rsid w:val="00C00763"/>
    <w:rsid w:val="00C0080D"/>
    <w:rsid w:val="00C0084E"/>
    <w:rsid w:val="00C00D6C"/>
    <w:rsid w:val="00C00D76"/>
    <w:rsid w:val="00C00ECF"/>
    <w:rsid w:val="00C01065"/>
    <w:rsid w:val="00C010B0"/>
    <w:rsid w:val="00C0111F"/>
    <w:rsid w:val="00C013C0"/>
    <w:rsid w:val="00C014BE"/>
    <w:rsid w:val="00C0155F"/>
    <w:rsid w:val="00C01563"/>
    <w:rsid w:val="00C0161A"/>
    <w:rsid w:val="00C0162F"/>
    <w:rsid w:val="00C01B77"/>
    <w:rsid w:val="00C01CA2"/>
    <w:rsid w:val="00C01D41"/>
    <w:rsid w:val="00C01DD8"/>
    <w:rsid w:val="00C01E1B"/>
    <w:rsid w:val="00C01E91"/>
    <w:rsid w:val="00C01F71"/>
    <w:rsid w:val="00C01F8B"/>
    <w:rsid w:val="00C01F9E"/>
    <w:rsid w:val="00C0216E"/>
    <w:rsid w:val="00C021EA"/>
    <w:rsid w:val="00C02338"/>
    <w:rsid w:val="00C02455"/>
    <w:rsid w:val="00C024C4"/>
    <w:rsid w:val="00C02500"/>
    <w:rsid w:val="00C02530"/>
    <w:rsid w:val="00C0274F"/>
    <w:rsid w:val="00C0283A"/>
    <w:rsid w:val="00C02858"/>
    <w:rsid w:val="00C0285B"/>
    <w:rsid w:val="00C0294E"/>
    <w:rsid w:val="00C02FA9"/>
    <w:rsid w:val="00C02FC8"/>
    <w:rsid w:val="00C03080"/>
    <w:rsid w:val="00C030A4"/>
    <w:rsid w:val="00C03151"/>
    <w:rsid w:val="00C031FD"/>
    <w:rsid w:val="00C033BF"/>
    <w:rsid w:val="00C0359C"/>
    <w:rsid w:val="00C03646"/>
    <w:rsid w:val="00C036AC"/>
    <w:rsid w:val="00C03765"/>
    <w:rsid w:val="00C0386D"/>
    <w:rsid w:val="00C03880"/>
    <w:rsid w:val="00C038F8"/>
    <w:rsid w:val="00C0391B"/>
    <w:rsid w:val="00C03998"/>
    <w:rsid w:val="00C03C2E"/>
    <w:rsid w:val="00C03C6E"/>
    <w:rsid w:val="00C03E5E"/>
    <w:rsid w:val="00C04281"/>
    <w:rsid w:val="00C043CE"/>
    <w:rsid w:val="00C04467"/>
    <w:rsid w:val="00C0448F"/>
    <w:rsid w:val="00C04714"/>
    <w:rsid w:val="00C04844"/>
    <w:rsid w:val="00C048B3"/>
    <w:rsid w:val="00C04922"/>
    <w:rsid w:val="00C04A5F"/>
    <w:rsid w:val="00C04BF2"/>
    <w:rsid w:val="00C04C05"/>
    <w:rsid w:val="00C04C39"/>
    <w:rsid w:val="00C04C77"/>
    <w:rsid w:val="00C04D5D"/>
    <w:rsid w:val="00C05292"/>
    <w:rsid w:val="00C05360"/>
    <w:rsid w:val="00C05923"/>
    <w:rsid w:val="00C05A74"/>
    <w:rsid w:val="00C05C0E"/>
    <w:rsid w:val="00C05C73"/>
    <w:rsid w:val="00C05D24"/>
    <w:rsid w:val="00C05DAD"/>
    <w:rsid w:val="00C05FE9"/>
    <w:rsid w:val="00C0617C"/>
    <w:rsid w:val="00C061FD"/>
    <w:rsid w:val="00C0626D"/>
    <w:rsid w:val="00C063C8"/>
    <w:rsid w:val="00C0647C"/>
    <w:rsid w:val="00C064EE"/>
    <w:rsid w:val="00C0650C"/>
    <w:rsid w:val="00C065AB"/>
    <w:rsid w:val="00C065D0"/>
    <w:rsid w:val="00C0667F"/>
    <w:rsid w:val="00C0692E"/>
    <w:rsid w:val="00C06977"/>
    <w:rsid w:val="00C0697C"/>
    <w:rsid w:val="00C06A82"/>
    <w:rsid w:val="00C06BD3"/>
    <w:rsid w:val="00C06BEA"/>
    <w:rsid w:val="00C06C60"/>
    <w:rsid w:val="00C06CAC"/>
    <w:rsid w:val="00C06DAD"/>
    <w:rsid w:val="00C06EA0"/>
    <w:rsid w:val="00C07004"/>
    <w:rsid w:val="00C07046"/>
    <w:rsid w:val="00C070E6"/>
    <w:rsid w:val="00C070F4"/>
    <w:rsid w:val="00C071A4"/>
    <w:rsid w:val="00C07368"/>
    <w:rsid w:val="00C0744F"/>
    <w:rsid w:val="00C074D7"/>
    <w:rsid w:val="00C0758B"/>
    <w:rsid w:val="00C07601"/>
    <w:rsid w:val="00C0767A"/>
    <w:rsid w:val="00C0777E"/>
    <w:rsid w:val="00C07A00"/>
    <w:rsid w:val="00C07A79"/>
    <w:rsid w:val="00C07BE7"/>
    <w:rsid w:val="00C07D70"/>
    <w:rsid w:val="00C07E07"/>
    <w:rsid w:val="00C07E50"/>
    <w:rsid w:val="00C07EA6"/>
    <w:rsid w:val="00C07F9C"/>
    <w:rsid w:val="00C10030"/>
    <w:rsid w:val="00C101F3"/>
    <w:rsid w:val="00C10384"/>
    <w:rsid w:val="00C10706"/>
    <w:rsid w:val="00C10823"/>
    <w:rsid w:val="00C10838"/>
    <w:rsid w:val="00C10CBF"/>
    <w:rsid w:val="00C10D40"/>
    <w:rsid w:val="00C10DD3"/>
    <w:rsid w:val="00C10E8A"/>
    <w:rsid w:val="00C10F40"/>
    <w:rsid w:val="00C10F7E"/>
    <w:rsid w:val="00C10FFF"/>
    <w:rsid w:val="00C1107D"/>
    <w:rsid w:val="00C112C3"/>
    <w:rsid w:val="00C1148B"/>
    <w:rsid w:val="00C114DB"/>
    <w:rsid w:val="00C115AF"/>
    <w:rsid w:val="00C1165E"/>
    <w:rsid w:val="00C11726"/>
    <w:rsid w:val="00C1173A"/>
    <w:rsid w:val="00C11789"/>
    <w:rsid w:val="00C117E5"/>
    <w:rsid w:val="00C1187A"/>
    <w:rsid w:val="00C11A2D"/>
    <w:rsid w:val="00C11B44"/>
    <w:rsid w:val="00C11B75"/>
    <w:rsid w:val="00C11B85"/>
    <w:rsid w:val="00C11B95"/>
    <w:rsid w:val="00C11D6E"/>
    <w:rsid w:val="00C11DA7"/>
    <w:rsid w:val="00C11E92"/>
    <w:rsid w:val="00C1204E"/>
    <w:rsid w:val="00C120AD"/>
    <w:rsid w:val="00C120F0"/>
    <w:rsid w:val="00C12170"/>
    <w:rsid w:val="00C1220F"/>
    <w:rsid w:val="00C122E4"/>
    <w:rsid w:val="00C123A6"/>
    <w:rsid w:val="00C124B2"/>
    <w:rsid w:val="00C12567"/>
    <w:rsid w:val="00C127C7"/>
    <w:rsid w:val="00C1284C"/>
    <w:rsid w:val="00C12874"/>
    <w:rsid w:val="00C1289D"/>
    <w:rsid w:val="00C128B5"/>
    <w:rsid w:val="00C128D8"/>
    <w:rsid w:val="00C12968"/>
    <w:rsid w:val="00C12979"/>
    <w:rsid w:val="00C12B37"/>
    <w:rsid w:val="00C12B97"/>
    <w:rsid w:val="00C12D23"/>
    <w:rsid w:val="00C12D43"/>
    <w:rsid w:val="00C12E8A"/>
    <w:rsid w:val="00C12EB9"/>
    <w:rsid w:val="00C12EC7"/>
    <w:rsid w:val="00C12F01"/>
    <w:rsid w:val="00C12F50"/>
    <w:rsid w:val="00C13128"/>
    <w:rsid w:val="00C1330A"/>
    <w:rsid w:val="00C1330C"/>
    <w:rsid w:val="00C13635"/>
    <w:rsid w:val="00C13757"/>
    <w:rsid w:val="00C137CB"/>
    <w:rsid w:val="00C1398E"/>
    <w:rsid w:val="00C13A9A"/>
    <w:rsid w:val="00C13BC5"/>
    <w:rsid w:val="00C13C03"/>
    <w:rsid w:val="00C13C94"/>
    <w:rsid w:val="00C13CCC"/>
    <w:rsid w:val="00C13D45"/>
    <w:rsid w:val="00C142B2"/>
    <w:rsid w:val="00C143E3"/>
    <w:rsid w:val="00C1440D"/>
    <w:rsid w:val="00C14442"/>
    <w:rsid w:val="00C14517"/>
    <w:rsid w:val="00C145F8"/>
    <w:rsid w:val="00C1478D"/>
    <w:rsid w:val="00C14809"/>
    <w:rsid w:val="00C1489A"/>
    <w:rsid w:val="00C14963"/>
    <w:rsid w:val="00C1498D"/>
    <w:rsid w:val="00C149EE"/>
    <w:rsid w:val="00C149F8"/>
    <w:rsid w:val="00C14B60"/>
    <w:rsid w:val="00C14C00"/>
    <w:rsid w:val="00C14C40"/>
    <w:rsid w:val="00C14D96"/>
    <w:rsid w:val="00C14F8D"/>
    <w:rsid w:val="00C15028"/>
    <w:rsid w:val="00C15071"/>
    <w:rsid w:val="00C150AF"/>
    <w:rsid w:val="00C15177"/>
    <w:rsid w:val="00C1517F"/>
    <w:rsid w:val="00C152F5"/>
    <w:rsid w:val="00C15307"/>
    <w:rsid w:val="00C15309"/>
    <w:rsid w:val="00C15471"/>
    <w:rsid w:val="00C1548C"/>
    <w:rsid w:val="00C154AE"/>
    <w:rsid w:val="00C15664"/>
    <w:rsid w:val="00C156A5"/>
    <w:rsid w:val="00C15744"/>
    <w:rsid w:val="00C158BB"/>
    <w:rsid w:val="00C15924"/>
    <w:rsid w:val="00C15A41"/>
    <w:rsid w:val="00C15A7F"/>
    <w:rsid w:val="00C15A90"/>
    <w:rsid w:val="00C15C2D"/>
    <w:rsid w:val="00C15E27"/>
    <w:rsid w:val="00C15F6C"/>
    <w:rsid w:val="00C15FDA"/>
    <w:rsid w:val="00C15FE2"/>
    <w:rsid w:val="00C1614A"/>
    <w:rsid w:val="00C16202"/>
    <w:rsid w:val="00C16268"/>
    <w:rsid w:val="00C1632D"/>
    <w:rsid w:val="00C163B3"/>
    <w:rsid w:val="00C16796"/>
    <w:rsid w:val="00C16863"/>
    <w:rsid w:val="00C16A84"/>
    <w:rsid w:val="00C16C22"/>
    <w:rsid w:val="00C16CB3"/>
    <w:rsid w:val="00C16DE2"/>
    <w:rsid w:val="00C16EDC"/>
    <w:rsid w:val="00C17089"/>
    <w:rsid w:val="00C1746C"/>
    <w:rsid w:val="00C17482"/>
    <w:rsid w:val="00C1752A"/>
    <w:rsid w:val="00C17707"/>
    <w:rsid w:val="00C17714"/>
    <w:rsid w:val="00C1776A"/>
    <w:rsid w:val="00C1777E"/>
    <w:rsid w:val="00C177DF"/>
    <w:rsid w:val="00C1785D"/>
    <w:rsid w:val="00C179CC"/>
    <w:rsid w:val="00C17AEB"/>
    <w:rsid w:val="00C17D9A"/>
    <w:rsid w:val="00C17DBC"/>
    <w:rsid w:val="00C20076"/>
    <w:rsid w:val="00C2013D"/>
    <w:rsid w:val="00C20290"/>
    <w:rsid w:val="00C203CC"/>
    <w:rsid w:val="00C20497"/>
    <w:rsid w:val="00C205FE"/>
    <w:rsid w:val="00C20734"/>
    <w:rsid w:val="00C20774"/>
    <w:rsid w:val="00C20A00"/>
    <w:rsid w:val="00C20CF9"/>
    <w:rsid w:val="00C20DDB"/>
    <w:rsid w:val="00C20E2A"/>
    <w:rsid w:val="00C210C5"/>
    <w:rsid w:val="00C211BC"/>
    <w:rsid w:val="00C21227"/>
    <w:rsid w:val="00C2129D"/>
    <w:rsid w:val="00C212ED"/>
    <w:rsid w:val="00C213C7"/>
    <w:rsid w:val="00C21542"/>
    <w:rsid w:val="00C215B6"/>
    <w:rsid w:val="00C21607"/>
    <w:rsid w:val="00C21633"/>
    <w:rsid w:val="00C2189B"/>
    <w:rsid w:val="00C21A0B"/>
    <w:rsid w:val="00C21CB7"/>
    <w:rsid w:val="00C21D3C"/>
    <w:rsid w:val="00C21E41"/>
    <w:rsid w:val="00C21F5F"/>
    <w:rsid w:val="00C2210D"/>
    <w:rsid w:val="00C222CF"/>
    <w:rsid w:val="00C224E2"/>
    <w:rsid w:val="00C224F1"/>
    <w:rsid w:val="00C22549"/>
    <w:rsid w:val="00C2272A"/>
    <w:rsid w:val="00C22748"/>
    <w:rsid w:val="00C22865"/>
    <w:rsid w:val="00C22AB0"/>
    <w:rsid w:val="00C22B1C"/>
    <w:rsid w:val="00C22B87"/>
    <w:rsid w:val="00C22C4C"/>
    <w:rsid w:val="00C22C7C"/>
    <w:rsid w:val="00C2308E"/>
    <w:rsid w:val="00C230CE"/>
    <w:rsid w:val="00C230F4"/>
    <w:rsid w:val="00C23282"/>
    <w:rsid w:val="00C232C2"/>
    <w:rsid w:val="00C23342"/>
    <w:rsid w:val="00C23382"/>
    <w:rsid w:val="00C23547"/>
    <w:rsid w:val="00C236CE"/>
    <w:rsid w:val="00C23984"/>
    <w:rsid w:val="00C239CD"/>
    <w:rsid w:val="00C23ACD"/>
    <w:rsid w:val="00C23B04"/>
    <w:rsid w:val="00C23B49"/>
    <w:rsid w:val="00C23BB2"/>
    <w:rsid w:val="00C23CCD"/>
    <w:rsid w:val="00C23D24"/>
    <w:rsid w:val="00C23DDF"/>
    <w:rsid w:val="00C23EBF"/>
    <w:rsid w:val="00C23FEB"/>
    <w:rsid w:val="00C24103"/>
    <w:rsid w:val="00C24509"/>
    <w:rsid w:val="00C245A0"/>
    <w:rsid w:val="00C245A2"/>
    <w:rsid w:val="00C2468C"/>
    <w:rsid w:val="00C246CF"/>
    <w:rsid w:val="00C248D7"/>
    <w:rsid w:val="00C24A1E"/>
    <w:rsid w:val="00C24B91"/>
    <w:rsid w:val="00C24C4F"/>
    <w:rsid w:val="00C24C50"/>
    <w:rsid w:val="00C24D8E"/>
    <w:rsid w:val="00C25015"/>
    <w:rsid w:val="00C25033"/>
    <w:rsid w:val="00C2534E"/>
    <w:rsid w:val="00C25367"/>
    <w:rsid w:val="00C25670"/>
    <w:rsid w:val="00C257A1"/>
    <w:rsid w:val="00C25840"/>
    <w:rsid w:val="00C25B25"/>
    <w:rsid w:val="00C25B81"/>
    <w:rsid w:val="00C25F45"/>
    <w:rsid w:val="00C25F70"/>
    <w:rsid w:val="00C260BC"/>
    <w:rsid w:val="00C261F5"/>
    <w:rsid w:val="00C262AD"/>
    <w:rsid w:val="00C264DA"/>
    <w:rsid w:val="00C2650F"/>
    <w:rsid w:val="00C265AB"/>
    <w:rsid w:val="00C26687"/>
    <w:rsid w:val="00C26699"/>
    <w:rsid w:val="00C266B0"/>
    <w:rsid w:val="00C266F2"/>
    <w:rsid w:val="00C26AB8"/>
    <w:rsid w:val="00C26B2B"/>
    <w:rsid w:val="00C26BDF"/>
    <w:rsid w:val="00C26C5C"/>
    <w:rsid w:val="00C26E41"/>
    <w:rsid w:val="00C26E51"/>
    <w:rsid w:val="00C26E9B"/>
    <w:rsid w:val="00C26F74"/>
    <w:rsid w:val="00C2702F"/>
    <w:rsid w:val="00C27176"/>
    <w:rsid w:val="00C2727F"/>
    <w:rsid w:val="00C27322"/>
    <w:rsid w:val="00C2737C"/>
    <w:rsid w:val="00C273D7"/>
    <w:rsid w:val="00C27490"/>
    <w:rsid w:val="00C2756E"/>
    <w:rsid w:val="00C275EB"/>
    <w:rsid w:val="00C2767F"/>
    <w:rsid w:val="00C278E2"/>
    <w:rsid w:val="00C27A41"/>
    <w:rsid w:val="00C27CDC"/>
    <w:rsid w:val="00C27F82"/>
    <w:rsid w:val="00C3011B"/>
    <w:rsid w:val="00C3021F"/>
    <w:rsid w:val="00C302F1"/>
    <w:rsid w:val="00C30344"/>
    <w:rsid w:val="00C304D7"/>
    <w:rsid w:val="00C304DF"/>
    <w:rsid w:val="00C304ED"/>
    <w:rsid w:val="00C30512"/>
    <w:rsid w:val="00C30660"/>
    <w:rsid w:val="00C30684"/>
    <w:rsid w:val="00C30716"/>
    <w:rsid w:val="00C308CB"/>
    <w:rsid w:val="00C30912"/>
    <w:rsid w:val="00C30963"/>
    <w:rsid w:val="00C30B21"/>
    <w:rsid w:val="00C30CBD"/>
    <w:rsid w:val="00C30CC7"/>
    <w:rsid w:val="00C30E4C"/>
    <w:rsid w:val="00C310D8"/>
    <w:rsid w:val="00C31152"/>
    <w:rsid w:val="00C311C3"/>
    <w:rsid w:val="00C31267"/>
    <w:rsid w:val="00C31304"/>
    <w:rsid w:val="00C31665"/>
    <w:rsid w:val="00C31690"/>
    <w:rsid w:val="00C3187B"/>
    <w:rsid w:val="00C318A3"/>
    <w:rsid w:val="00C31981"/>
    <w:rsid w:val="00C31A9F"/>
    <w:rsid w:val="00C31AEF"/>
    <w:rsid w:val="00C31B18"/>
    <w:rsid w:val="00C31ECA"/>
    <w:rsid w:val="00C3204F"/>
    <w:rsid w:val="00C32200"/>
    <w:rsid w:val="00C3226C"/>
    <w:rsid w:val="00C322DF"/>
    <w:rsid w:val="00C32560"/>
    <w:rsid w:val="00C326AA"/>
    <w:rsid w:val="00C326CD"/>
    <w:rsid w:val="00C32810"/>
    <w:rsid w:val="00C328C7"/>
    <w:rsid w:val="00C32981"/>
    <w:rsid w:val="00C329A3"/>
    <w:rsid w:val="00C329C4"/>
    <w:rsid w:val="00C329F3"/>
    <w:rsid w:val="00C32A32"/>
    <w:rsid w:val="00C32AAE"/>
    <w:rsid w:val="00C32BCA"/>
    <w:rsid w:val="00C32BDB"/>
    <w:rsid w:val="00C32CD5"/>
    <w:rsid w:val="00C32DCB"/>
    <w:rsid w:val="00C32E05"/>
    <w:rsid w:val="00C330A9"/>
    <w:rsid w:val="00C335FE"/>
    <w:rsid w:val="00C3360F"/>
    <w:rsid w:val="00C33850"/>
    <w:rsid w:val="00C3387B"/>
    <w:rsid w:val="00C338C2"/>
    <w:rsid w:val="00C339B8"/>
    <w:rsid w:val="00C33C1E"/>
    <w:rsid w:val="00C33C96"/>
    <w:rsid w:val="00C33E1E"/>
    <w:rsid w:val="00C33EE6"/>
    <w:rsid w:val="00C34009"/>
    <w:rsid w:val="00C34037"/>
    <w:rsid w:val="00C341D3"/>
    <w:rsid w:val="00C3424B"/>
    <w:rsid w:val="00C3446D"/>
    <w:rsid w:val="00C344AE"/>
    <w:rsid w:val="00C34946"/>
    <w:rsid w:val="00C34C31"/>
    <w:rsid w:val="00C34D65"/>
    <w:rsid w:val="00C34D6E"/>
    <w:rsid w:val="00C34FA8"/>
    <w:rsid w:val="00C35127"/>
    <w:rsid w:val="00C3518C"/>
    <w:rsid w:val="00C3538A"/>
    <w:rsid w:val="00C354D7"/>
    <w:rsid w:val="00C35536"/>
    <w:rsid w:val="00C35557"/>
    <w:rsid w:val="00C3560F"/>
    <w:rsid w:val="00C356BC"/>
    <w:rsid w:val="00C3586C"/>
    <w:rsid w:val="00C359A4"/>
    <w:rsid w:val="00C35CB5"/>
    <w:rsid w:val="00C35D4D"/>
    <w:rsid w:val="00C35D7E"/>
    <w:rsid w:val="00C3601F"/>
    <w:rsid w:val="00C36087"/>
    <w:rsid w:val="00C361A6"/>
    <w:rsid w:val="00C362F6"/>
    <w:rsid w:val="00C363A7"/>
    <w:rsid w:val="00C363B4"/>
    <w:rsid w:val="00C3678E"/>
    <w:rsid w:val="00C369AE"/>
    <w:rsid w:val="00C36BB3"/>
    <w:rsid w:val="00C36E4C"/>
    <w:rsid w:val="00C37027"/>
    <w:rsid w:val="00C3704D"/>
    <w:rsid w:val="00C37055"/>
    <w:rsid w:val="00C37094"/>
    <w:rsid w:val="00C37129"/>
    <w:rsid w:val="00C374A9"/>
    <w:rsid w:val="00C375BB"/>
    <w:rsid w:val="00C3765C"/>
    <w:rsid w:val="00C37728"/>
    <w:rsid w:val="00C3780C"/>
    <w:rsid w:val="00C37820"/>
    <w:rsid w:val="00C37E04"/>
    <w:rsid w:val="00C37FA3"/>
    <w:rsid w:val="00C400DA"/>
    <w:rsid w:val="00C40186"/>
    <w:rsid w:val="00C40213"/>
    <w:rsid w:val="00C4048D"/>
    <w:rsid w:val="00C405D8"/>
    <w:rsid w:val="00C40650"/>
    <w:rsid w:val="00C40717"/>
    <w:rsid w:val="00C40795"/>
    <w:rsid w:val="00C407E2"/>
    <w:rsid w:val="00C40A74"/>
    <w:rsid w:val="00C40AE8"/>
    <w:rsid w:val="00C40B0C"/>
    <w:rsid w:val="00C40E5C"/>
    <w:rsid w:val="00C40F01"/>
    <w:rsid w:val="00C40F24"/>
    <w:rsid w:val="00C40FAF"/>
    <w:rsid w:val="00C40FF9"/>
    <w:rsid w:val="00C41033"/>
    <w:rsid w:val="00C4105E"/>
    <w:rsid w:val="00C410C4"/>
    <w:rsid w:val="00C41166"/>
    <w:rsid w:val="00C412A8"/>
    <w:rsid w:val="00C412D8"/>
    <w:rsid w:val="00C41355"/>
    <w:rsid w:val="00C41554"/>
    <w:rsid w:val="00C41640"/>
    <w:rsid w:val="00C4166C"/>
    <w:rsid w:val="00C418D0"/>
    <w:rsid w:val="00C419ED"/>
    <w:rsid w:val="00C41A6D"/>
    <w:rsid w:val="00C41A78"/>
    <w:rsid w:val="00C41C54"/>
    <w:rsid w:val="00C41C90"/>
    <w:rsid w:val="00C41E7C"/>
    <w:rsid w:val="00C41F4F"/>
    <w:rsid w:val="00C422B2"/>
    <w:rsid w:val="00C422FA"/>
    <w:rsid w:val="00C425EB"/>
    <w:rsid w:val="00C42602"/>
    <w:rsid w:val="00C427DE"/>
    <w:rsid w:val="00C427FB"/>
    <w:rsid w:val="00C42A59"/>
    <w:rsid w:val="00C42C8E"/>
    <w:rsid w:val="00C42EA4"/>
    <w:rsid w:val="00C42EEF"/>
    <w:rsid w:val="00C43182"/>
    <w:rsid w:val="00C431FF"/>
    <w:rsid w:val="00C4333C"/>
    <w:rsid w:val="00C433FF"/>
    <w:rsid w:val="00C437D9"/>
    <w:rsid w:val="00C43B04"/>
    <w:rsid w:val="00C43C8A"/>
    <w:rsid w:val="00C43C93"/>
    <w:rsid w:val="00C43CDE"/>
    <w:rsid w:val="00C43EC1"/>
    <w:rsid w:val="00C43FE9"/>
    <w:rsid w:val="00C44093"/>
    <w:rsid w:val="00C441A3"/>
    <w:rsid w:val="00C441E1"/>
    <w:rsid w:val="00C4423A"/>
    <w:rsid w:val="00C4456D"/>
    <w:rsid w:val="00C44799"/>
    <w:rsid w:val="00C447EA"/>
    <w:rsid w:val="00C44812"/>
    <w:rsid w:val="00C44895"/>
    <w:rsid w:val="00C44ABD"/>
    <w:rsid w:val="00C44C3E"/>
    <w:rsid w:val="00C44D66"/>
    <w:rsid w:val="00C450A8"/>
    <w:rsid w:val="00C45221"/>
    <w:rsid w:val="00C45225"/>
    <w:rsid w:val="00C45339"/>
    <w:rsid w:val="00C453B0"/>
    <w:rsid w:val="00C453E1"/>
    <w:rsid w:val="00C4550B"/>
    <w:rsid w:val="00C4554C"/>
    <w:rsid w:val="00C455C8"/>
    <w:rsid w:val="00C456FE"/>
    <w:rsid w:val="00C4571C"/>
    <w:rsid w:val="00C4586E"/>
    <w:rsid w:val="00C45A43"/>
    <w:rsid w:val="00C46274"/>
    <w:rsid w:val="00C46288"/>
    <w:rsid w:val="00C46559"/>
    <w:rsid w:val="00C465E4"/>
    <w:rsid w:val="00C46651"/>
    <w:rsid w:val="00C46EBC"/>
    <w:rsid w:val="00C47008"/>
    <w:rsid w:val="00C470A9"/>
    <w:rsid w:val="00C472BE"/>
    <w:rsid w:val="00C4759F"/>
    <w:rsid w:val="00C47755"/>
    <w:rsid w:val="00C4776E"/>
    <w:rsid w:val="00C47828"/>
    <w:rsid w:val="00C47869"/>
    <w:rsid w:val="00C47915"/>
    <w:rsid w:val="00C47AB3"/>
    <w:rsid w:val="00C47C66"/>
    <w:rsid w:val="00C47E8C"/>
    <w:rsid w:val="00C5000D"/>
    <w:rsid w:val="00C502C4"/>
    <w:rsid w:val="00C50507"/>
    <w:rsid w:val="00C50556"/>
    <w:rsid w:val="00C50663"/>
    <w:rsid w:val="00C50723"/>
    <w:rsid w:val="00C50A4F"/>
    <w:rsid w:val="00C50AC5"/>
    <w:rsid w:val="00C50B58"/>
    <w:rsid w:val="00C50BE3"/>
    <w:rsid w:val="00C50C44"/>
    <w:rsid w:val="00C50C60"/>
    <w:rsid w:val="00C50D5B"/>
    <w:rsid w:val="00C50D7C"/>
    <w:rsid w:val="00C51044"/>
    <w:rsid w:val="00C515D1"/>
    <w:rsid w:val="00C51658"/>
    <w:rsid w:val="00C516E4"/>
    <w:rsid w:val="00C518C9"/>
    <w:rsid w:val="00C5195B"/>
    <w:rsid w:val="00C51C66"/>
    <w:rsid w:val="00C51D3A"/>
    <w:rsid w:val="00C51D6D"/>
    <w:rsid w:val="00C51DDD"/>
    <w:rsid w:val="00C51E2D"/>
    <w:rsid w:val="00C5212D"/>
    <w:rsid w:val="00C523E1"/>
    <w:rsid w:val="00C52795"/>
    <w:rsid w:val="00C52821"/>
    <w:rsid w:val="00C528D8"/>
    <w:rsid w:val="00C52990"/>
    <w:rsid w:val="00C529F1"/>
    <w:rsid w:val="00C52C90"/>
    <w:rsid w:val="00C52DF4"/>
    <w:rsid w:val="00C52E10"/>
    <w:rsid w:val="00C53099"/>
    <w:rsid w:val="00C532F6"/>
    <w:rsid w:val="00C532FC"/>
    <w:rsid w:val="00C5334F"/>
    <w:rsid w:val="00C533DB"/>
    <w:rsid w:val="00C5353E"/>
    <w:rsid w:val="00C53580"/>
    <w:rsid w:val="00C5363A"/>
    <w:rsid w:val="00C53A1B"/>
    <w:rsid w:val="00C53AFB"/>
    <w:rsid w:val="00C53B10"/>
    <w:rsid w:val="00C53D0A"/>
    <w:rsid w:val="00C53D43"/>
    <w:rsid w:val="00C53D95"/>
    <w:rsid w:val="00C53E35"/>
    <w:rsid w:val="00C53ECD"/>
    <w:rsid w:val="00C53F5B"/>
    <w:rsid w:val="00C54242"/>
    <w:rsid w:val="00C54290"/>
    <w:rsid w:val="00C5433C"/>
    <w:rsid w:val="00C54424"/>
    <w:rsid w:val="00C54498"/>
    <w:rsid w:val="00C54547"/>
    <w:rsid w:val="00C5457C"/>
    <w:rsid w:val="00C54679"/>
    <w:rsid w:val="00C546AA"/>
    <w:rsid w:val="00C5475D"/>
    <w:rsid w:val="00C5478A"/>
    <w:rsid w:val="00C5486A"/>
    <w:rsid w:val="00C54911"/>
    <w:rsid w:val="00C549D8"/>
    <w:rsid w:val="00C54A8C"/>
    <w:rsid w:val="00C54B47"/>
    <w:rsid w:val="00C54D61"/>
    <w:rsid w:val="00C54DCA"/>
    <w:rsid w:val="00C54F89"/>
    <w:rsid w:val="00C54FA3"/>
    <w:rsid w:val="00C55029"/>
    <w:rsid w:val="00C559B0"/>
    <w:rsid w:val="00C55A29"/>
    <w:rsid w:val="00C55CFC"/>
    <w:rsid w:val="00C55E47"/>
    <w:rsid w:val="00C55F14"/>
    <w:rsid w:val="00C55FAF"/>
    <w:rsid w:val="00C56156"/>
    <w:rsid w:val="00C563D3"/>
    <w:rsid w:val="00C565E2"/>
    <w:rsid w:val="00C567BA"/>
    <w:rsid w:val="00C56C56"/>
    <w:rsid w:val="00C56E4E"/>
    <w:rsid w:val="00C56E8A"/>
    <w:rsid w:val="00C56EBE"/>
    <w:rsid w:val="00C56EEB"/>
    <w:rsid w:val="00C56F92"/>
    <w:rsid w:val="00C57082"/>
    <w:rsid w:val="00C5709C"/>
    <w:rsid w:val="00C57105"/>
    <w:rsid w:val="00C571CB"/>
    <w:rsid w:val="00C5722F"/>
    <w:rsid w:val="00C57351"/>
    <w:rsid w:val="00C5739C"/>
    <w:rsid w:val="00C5739F"/>
    <w:rsid w:val="00C574BF"/>
    <w:rsid w:val="00C574D2"/>
    <w:rsid w:val="00C57573"/>
    <w:rsid w:val="00C576E3"/>
    <w:rsid w:val="00C57709"/>
    <w:rsid w:val="00C57AC6"/>
    <w:rsid w:val="00C57B67"/>
    <w:rsid w:val="00C57BE0"/>
    <w:rsid w:val="00C57CB4"/>
    <w:rsid w:val="00C57D12"/>
    <w:rsid w:val="00C57DE1"/>
    <w:rsid w:val="00C57FCE"/>
    <w:rsid w:val="00C60449"/>
    <w:rsid w:val="00C60662"/>
    <w:rsid w:val="00C60667"/>
    <w:rsid w:val="00C6067B"/>
    <w:rsid w:val="00C606FA"/>
    <w:rsid w:val="00C608D9"/>
    <w:rsid w:val="00C60A99"/>
    <w:rsid w:val="00C60AD8"/>
    <w:rsid w:val="00C60C18"/>
    <w:rsid w:val="00C60C54"/>
    <w:rsid w:val="00C60D6D"/>
    <w:rsid w:val="00C60DD7"/>
    <w:rsid w:val="00C60E74"/>
    <w:rsid w:val="00C60FAB"/>
    <w:rsid w:val="00C610B3"/>
    <w:rsid w:val="00C61117"/>
    <w:rsid w:val="00C611E9"/>
    <w:rsid w:val="00C611FC"/>
    <w:rsid w:val="00C6121F"/>
    <w:rsid w:val="00C613C2"/>
    <w:rsid w:val="00C6142C"/>
    <w:rsid w:val="00C61687"/>
    <w:rsid w:val="00C616E2"/>
    <w:rsid w:val="00C616F0"/>
    <w:rsid w:val="00C617DB"/>
    <w:rsid w:val="00C6186D"/>
    <w:rsid w:val="00C61B24"/>
    <w:rsid w:val="00C61B76"/>
    <w:rsid w:val="00C61CC5"/>
    <w:rsid w:val="00C61FDD"/>
    <w:rsid w:val="00C62048"/>
    <w:rsid w:val="00C620EE"/>
    <w:rsid w:val="00C6214E"/>
    <w:rsid w:val="00C6227D"/>
    <w:rsid w:val="00C62296"/>
    <w:rsid w:val="00C6231E"/>
    <w:rsid w:val="00C6232F"/>
    <w:rsid w:val="00C62499"/>
    <w:rsid w:val="00C62588"/>
    <w:rsid w:val="00C627B1"/>
    <w:rsid w:val="00C6294C"/>
    <w:rsid w:val="00C62951"/>
    <w:rsid w:val="00C62A25"/>
    <w:rsid w:val="00C62EAD"/>
    <w:rsid w:val="00C63218"/>
    <w:rsid w:val="00C63379"/>
    <w:rsid w:val="00C633D3"/>
    <w:rsid w:val="00C63478"/>
    <w:rsid w:val="00C634C1"/>
    <w:rsid w:val="00C63567"/>
    <w:rsid w:val="00C6364A"/>
    <w:rsid w:val="00C63687"/>
    <w:rsid w:val="00C6369C"/>
    <w:rsid w:val="00C636DD"/>
    <w:rsid w:val="00C63765"/>
    <w:rsid w:val="00C63834"/>
    <w:rsid w:val="00C63931"/>
    <w:rsid w:val="00C63980"/>
    <w:rsid w:val="00C63983"/>
    <w:rsid w:val="00C639F0"/>
    <w:rsid w:val="00C63A8A"/>
    <w:rsid w:val="00C63B50"/>
    <w:rsid w:val="00C63D37"/>
    <w:rsid w:val="00C63EC4"/>
    <w:rsid w:val="00C6427C"/>
    <w:rsid w:val="00C6432C"/>
    <w:rsid w:val="00C64365"/>
    <w:rsid w:val="00C643C1"/>
    <w:rsid w:val="00C6442E"/>
    <w:rsid w:val="00C64470"/>
    <w:rsid w:val="00C64506"/>
    <w:rsid w:val="00C6455D"/>
    <w:rsid w:val="00C64608"/>
    <w:rsid w:val="00C64703"/>
    <w:rsid w:val="00C6471A"/>
    <w:rsid w:val="00C647EB"/>
    <w:rsid w:val="00C64926"/>
    <w:rsid w:val="00C64986"/>
    <w:rsid w:val="00C64B23"/>
    <w:rsid w:val="00C64B7F"/>
    <w:rsid w:val="00C64C06"/>
    <w:rsid w:val="00C64EB1"/>
    <w:rsid w:val="00C64EF9"/>
    <w:rsid w:val="00C64F46"/>
    <w:rsid w:val="00C64F91"/>
    <w:rsid w:val="00C65019"/>
    <w:rsid w:val="00C65181"/>
    <w:rsid w:val="00C652A6"/>
    <w:rsid w:val="00C652FF"/>
    <w:rsid w:val="00C65426"/>
    <w:rsid w:val="00C65450"/>
    <w:rsid w:val="00C65492"/>
    <w:rsid w:val="00C6553C"/>
    <w:rsid w:val="00C655F6"/>
    <w:rsid w:val="00C657B4"/>
    <w:rsid w:val="00C65837"/>
    <w:rsid w:val="00C6599D"/>
    <w:rsid w:val="00C65C79"/>
    <w:rsid w:val="00C65C91"/>
    <w:rsid w:val="00C65CDF"/>
    <w:rsid w:val="00C65DC6"/>
    <w:rsid w:val="00C660AA"/>
    <w:rsid w:val="00C66253"/>
    <w:rsid w:val="00C66343"/>
    <w:rsid w:val="00C6636A"/>
    <w:rsid w:val="00C663F0"/>
    <w:rsid w:val="00C66419"/>
    <w:rsid w:val="00C6641C"/>
    <w:rsid w:val="00C6642E"/>
    <w:rsid w:val="00C665F8"/>
    <w:rsid w:val="00C66600"/>
    <w:rsid w:val="00C6663C"/>
    <w:rsid w:val="00C66716"/>
    <w:rsid w:val="00C667CB"/>
    <w:rsid w:val="00C66866"/>
    <w:rsid w:val="00C668DC"/>
    <w:rsid w:val="00C669C1"/>
    <w:rsid w:val="00C66A07"/>
    <w:rsid w:val="00C66A37"/>
    <w:rsid w:val="00C66CC7"/>
    <w:rsid w:val="00C66DA4"/>
    <w:rsid w:val="00C67118"/>
    <w:rsid w:val="00C67343"/>
    <w:rsid w:val="00C6745F"/>
    <w:rsid w:val="00C674FA"/>
    <w:rsid w:val="00C674FE"/>
    <w:rsid w:val="00C6756A"/>
    <w:rsid w:val="00C676A7"/>
    <w:rsid w:val="00C679EE"/>
    <w:rsid w:val="00C67AC5"/>
    <w:rsid w:val="00C67C14"/>
    <w:rsid w:val="00C67CAD"/>
    <w:rsid w:val="00C67D79"/>
    <w:rsid w:val="00C7006A"/>
    <w:rsid w:val="00C7011F"/>
    <w:rsid w:val="00C70165"/>
    <w:rsid w:val="00C701C5"/>
    <w:rsid w:val="00C702C3"/>
    <w:rsid w:val="00C702EB"/>
    <w:rsid w:val="00C70AEA"/>
    <w:rsid w:val="00C70B60"/>
    <w:rsid w:val="00C70C94"/>
    <w:rsid w:val="00C70CDA"/>
    <w:rsid w:val="00C70D9B"/>
    <w:rsid w:val="00C70E2A"/>
    <w:rsid w:val="00C70FCF"/>
    <w:rsid w:val="00C7103D"/>
    <w:rsid w:val="00C71040"/>
    <w:rsid w:val="00C7107C"/>
    <w:rsid w:val="00C7113F"/>
    <w:rsid w:val="00C711B3"/>
    <w:rsid w:val="00C71235"/>
    <w:rsid w:val="00C71316"/>
    <w:rsid w:val="00C715EC"/>
    <w:rsid w:val="00C71613"/>
    <w:rsid w:val="00C71679"/>
    <w:rsid w:val="00C717E7"/>
    <w:rsid w:val="00C71823"/>
    <w:rsid w:val="00C718D2"/>
    <w:rsid w:val="00C71A6C"/>
    <w:rsid w:val="00C71B5D"/>
    <w:rsid w:val="00C71D18"/>
    <w:rsid w:val="00C71D3C"/>
    <w:rsid w:val="00C71DAF"/>
    <w:rsid w:val="00C71E9F"/>
    <w:rsid w:val="00C720F5"/>
    <w:rsid w:val="00C72198"/>
    <w:rsid w:val="00C72205"/>
    <w:rsid w:val="00C7238C"/>
    <w:rsid w:val="00C72391"/>
    <w:rsid w:val="00C7265E"/>
    <w:rsid w:val="00C7295D"/>
    <w:rsid w:val="00C72A07"/>
    <w:rsid w:val="00C72A73"/>
    <w:rsid w:val="00C72C00"/>
    <w:rsid w:val="00C72D5B"/>
    <w:rsid w:val="00C72D7A"/>
    <w:rsid w:val="00C72F95"/>
    <w:rsid w:val="00C72FA2"/>
    <w:rsid w:val="00C72FF6"/>
    <w:rsid w:val="00C73237"/>
    <w:rsid w:val="00C73386"/>
    <w:rsid w:val="00C734C4"/>
    <w:rsid w:val="00C73516"/>
    <w:rsid w:val="00C736CC"/>
    <w:rsid w:val="00C736F3"/>
    <w:rsid w:val="00C7374C"/>
    <w:rsid w:val="00C7388F"/>
    <w:rsid w:val="00C73B8D"/>
    <w:rsid w:val="00C73C81"/>
    <w:rsid w:val="00C741CB"/>
    <w:rsid w:val="00C74276"/>
    <w:rsid w:val="00C74291"/>
    <w:rsid w:val="00C742FE"/>
    <w:rsid w:val="00C74583"/>
    <w:rsid w:val="00C74643"/>
    <w:rsid w:val="00C749EF"/>
    <w:rsid w:val="00C74A8F"/>
    <w:rsid w:val="00C74AED"/>
    <w:rsid w:val="00C74B33"/>
    <w:rsid w:val="00C74C00"/>
    <w:rsid w:val="00C74C29"/>
    <w:rsid w:val="00C74DF8"/>
    <w:rsid w:val="00C7509B"/>
    <w:rsid w:val="00C7518C"/>
    <w:rsid w:val="00C7518F"/>
    <w:rsid w:val="00C75215"/>
    <w:rsid w:val="00C752A4"/>
    <w:rsid w:val="00C7533C"/>
    <w:rsid w:val="00C753B8"/>
    <w:rsid w:val="00C75567"/>
    <w:rsid w:val="00C75660"/>
    <w:rsid w:val="00C756EC"/>
    <w:rsid w:val="00C7572E"/>
    <w:rsid w:val="00C7598D"/>
    <w:rsid w:val="00C75D17"/>
    <w:rsid w:val="00C75D5C"/>
    <w:rsid w:val="00C75DF9"/>
    <w:rsid w:val="00C75E89"/>
    <w:rsid w:val="00C7609D"/>
    <w:rsid w:val="00C761CE"/>
    <w:rsid w:val="00C761EE"/>
    <w:rsid w:val="00C7639D"/>
    <w:rsid w:val="00C764A3"/>
    <w:rsid w:val="00C764C4"/>
    <w:rsid w:val="00C7662C"/>
    <w:rsid w:val="00C766CD"/>
    <w:rsid w:val="00C7676A"/>
    <w:rsid w:val="00C76770"/>
    <w:rsid w:val="00C76859"/>
    <w:rsid w:val="00C76ABA"/>
    <w:rsid w:val="00C76B7E"/>
    <w:rsid w:val="00C76B9C"/>
    <w:rsid w:val="00C76D50"/>
    <w:rsid w:val="00C76EA5"/>
    <w:rsid w:val="00C76F98"/>
    <w:rsid w:val="00C76FD2"/>
    <w:rsid w:val="00C76FDF"/>
    <w:rsid w:val="00C770E8"/>
    <w:rsid w:val="00C77228"/>
    <w:rsid w:val="00C77257"/>
    <w:rsid w:val="00C772BD"/>
    <w:rsid w:val="00C77403"/>
    <w:rsid w:val="00C7746D"/>
    <w:rsid w:val="00C77603"/>
    <w:rsid w:val="00C7775B"/>
    <w:rsid w:val="00C7789F"/>
    <w:rsid w:val="00C778B4"/>
    <w:rsid w:val="00C778E7"/>
    <w:rsid w:val="00C77930"/>
    <w:rsid w:val="00C779A5"/>
    <w:rsid w:val="00C77BED"/>
    <w:rsid w:val="00C77C00"/>
    <w:rsid w:val="00C77C89"/>
    <w:rsid w:val="00C77D74"/>
    <w:rsid w:val="00C77DD1"/>
    <w:rsid w:val="00C77E6E"/>
    <w:rsid w:val="00C77E95"/>
    <w:rsid w:val="00C77EE4"/>
    <w:rsid w:val="00C77F2E"/>
    <w:rsid w:val="00C80046"/>
    <w:rsid w:val="00C8021C"/>
    <w:rsid w:val="00C803E7"/>
    <w:rsid w:val="00C80586"/>
    <w:rsid w:val="00C80644"/>
    <w:rsid w:val="00C80942"/>
    <w:rsid w:val="00C8096F"/>
    <w:rsid w:val="00C809E4"/>
    <w:rsid w:val="00C80ABA"/>
    <w:rsid w:val="00C80C05"/>
    <w:rsid w:val="00C80DDE"/>
    <w:rsid w:val="00C80F08"/>
    <w:rsid w:val="00C80F35"/>
    <w:rsid w:val="00C80FF4"/>
    <w:rsid w:val="00C81039"/>
    <w:rsid w:val="00C810DF"/>
    <w:rsid w:val="00C8127D"/>
    <w:rsid w:val="00C815DE"/>
    <w:rsid w:val="00C81735"/>
    <w:rsid w:val="00C817B3"/>
    <w:rsid w:val="00C817DB"/>
    <w:rsid w:val="00C81907"/>
    <w:rsid w:val="00C8193A"/>
    <w:rsid w:val="00C81A02"/>
    <w:rsid w:val="00C81B89"/>
    <w:rsid w:val="00C81C72"/>
    <w:rsid w:val="00C81DDF"/>
    <w:rsid w:val="00C82068"/>
    <w:rsid w:val="00C823A4"/>
    <w:rsid w:val="00C82431"/>
    <w:rsid w:val="00C8252D"/>
    <w:rsid w:val="00C82533"/>
    <w:rsid w:val="00C82562"/>
    <w:rsid w:val="00C825F9"/>
    <w:rsid w:val="00C82729"/>
    <w:rsid w:val="00C827FB"/>
    <w:rsid w:val="00C82899"/>
    <w:rsid w:val="00C82AD8"/>
    <w:rsid w:val="00C82C1A"/>
    <w:rsid w:val="00C82E86"/>
    <w:rsid w:val="00C82EF6"/>
    <w:rsid w:val="00C83038"/>
    <w:rsid w:val="00C83155"/>
    <w:rsid w:val="00C8319D"/>
    <w:rsid w:val="00C8325F"/>
    <w:rsid w:val="00C8347D"/>
    <w:rsid w:val="00C834D0"/>
    <w:rsid w:val="00C834D8"/>
    <w:rsid w:val="00C83555"/>
    <w:rsid w:val="00C83629"/>
    <w:rsid w:val="00C8376A"/>
    <w:rsid w:val="00C83825"/>
    <w:rsid w:val="00C83AC7"/>
    <w:rsid w:val="00C83BAD"/>
    <w:rsid w:val="00C83D66"/>
    <w:rsid w:val="00C83DEB"/>
    <w:rsid w:val="00C83DF8"/>
    <w:rsid w:val="00C84000"/>
    <w:rsid w:val="00C8402F"/>
    <w:rsid w:val="00C8417F"/>
    <w:rsid w:val="00C84296"/>
    <w:rsid w:val="00C842D0"/>
    <w:rsid w:val="00C842FF"/>
    <w:rsid w:val="00C84329"/>
    <w:rsid w:val="00C844B6"/>
    <w:rsid w:val="00C845C3"/>
    <w:rsid w:val="00C8471C"/>
    <w:rsid w:val="00C84827"/>
    <w:rsid w:val="00C84C04"/>
    <w:rsid w:val="00C85145"/>
    <w:rsid w:val="00C85206"/>
    <w:rsid w:val="00C85248"/>
    <w:rsid w:val="00C85287"/>
    <w:rsid w:val="00C85725"/>
    <w:rsid w:val="00C85952"/>
    <w:rsid w:val="00C85982"/>
    <w:rsid w:val="00C85A3A"/>
    <w:rsid w:val="00C85B70"/>
    <w:rsid w:val="00C85B7A"/>
    <w:rsid w:val="00C85C38"/>
    <w:rsid w:val="00C85D4D"/>
    <w:rsid w:val="00C85DBA"/>
    <w:rsid w:val="00C85FA6"/>
    <w:rsid w:val="00C861B0"/>
    <w:rsid w:val="00C86394"/>
    <w:rsid w:val="00C86852"/>
    <w:rsid w:val="00C86BE5"/>
    <w:rsid w:val="00C86C6A"/>
    <w:rsid w:val="00C86CD6"/>
    <w:rsid w:val="00C86E01"/>
    <w:rsid w:val="00C86FC1"/>
    <w:rsid w:val="00C8702B"/>
    <w:rsid w:val="00C8709A"/>
    <w:rsid w:val="00C870A0"/>
    <w:rsid w:val="00C871D9"/>
    <w:rsid w:val="00C87350"/>
    <w:rsid w:val="00C873EC"/>
    <w:rsid w:val="00C874C6"/>
    <w:rsid w:val="00C876B4"/>
    <w:rsid w:val="00C87809"/>
    <w:rsid w:val="00C879A1"/>
    <w:rsid w:val="00C879A7"/>
    <w:rsid w:val="00C87A7F"/>
    <w:rsid w:val="00C87B1A"/>
    <w:rsid w:val="00C87B31"/>
    <w:rsid w:val="00C87BEF"/>
    <w:rsid w:val="00C87CAE"/>
    <w:rsid w:val="00C87E88"/>
    <w:rsid w:val="00C87F30"/>
    <w:rsid w:val="00C90030"/>
    <w:rsid w:val="00C901CA"/>
    <w:rsid w:val="00C902A6"/>
    <w:rsid w:val="00C90337"/>
    <w:rsid w:val="00C90352"/>
    <w:rsid w:val="00C9040F"/>
    <w:rsid w:val="00C90489"/>
    <w:rsid w:val="00C90582"/>
    <w:rsid w:val="00C90889"/>
    <w:rsid w:val="00C90BD7"/>
    <w:rsid w:val="00C90C81"/>
    <w:rsid w:val="00C90DB3"/>
    <w:rsid w:val="00C90E5B"/>
    <w:rsid w:val="00C9108C"/>
    <w:rsid w:val="00C91095"/>
    <w:rsid w:val="00C913D5"/>
    <w:rsid w:val="00C914D0"/>
    <w:rsid w:val="00C914DD"/>
    <w:rsid w:val="00C914FD"/>
    <w:rsid w:val="00C91520"/>
    <w:rsid w:val="00C9163B"/>
    <w:rsid w:val="00C91769"/>
    <w:rsid w:val="00C917BE"/>
    <w:rsid w:val="00C917ED"/>
    <w:rsid w:val="00C918F7"/>
    <w:rsid w:val="00C91942"/>
    <w:rsid w:val="00C91954"/>
    <w:rsid w:val="00C9197F"/>
    <w:rsid w:val="00C91A2F"/>
    <w:rsid w:val="00C91C03"/>
    <w:rsid w:val="00C91CFA"/>
    <w:rsid w:val="00C91DC6"/>
    <w:rsid w:val="00C91E35"/>
    <w:rsid w:val="00C92101"/>
    <w:rsid w:val="00C92483"/>
    <w:rsid w:val="00C92594"/>
    <w:rsid w:val="00C92659"/>
    <w:rsid w:val="00C926D4"/>
    <w:rsid w:val="00C92733"/>
    <w:rsid w:val="00C928F7"/>
    <w:rsid w:val="00C92A09"/>
    <w:rsid w:val="00C92B9C"/>
    <w:rsid w:val="00C92BA2"/>
    <w:rsid w:val="00C92BDD"/>
    <w:rsid w:val="00C92C84"/>
    <w:rsid w:val="00C92D93"/>
    <w:rsid w:val="00C92E2A"/>
    <w:rsid w:val="00C92FDF"/>
    <w:rsid w:val="00C930F2"/>
    <w:rsid w:val="00C93375"/>
    <w:rsid w:val="00C93427"/>
    <w:rsid w:val="00C935D9"/>
    <w:rsid w:val="00C9362A"/>
    <w:rsid w:val="00C93915"/>
    <w:rsid w:val="00C939C5"/>
    <w:rsid w:val="00C939E9"/>
    <w:rsid w:val="00C93D2C"/>
    <w:rsid w:val="00C93D2D"/>
    <w:rsid w:val="00C93E86"/>
    <w:rsid w:val="00C93F78"/>
    <w:rsid w:val="00C9405A"/>
    <w:rsid w:val="00C9419E"/>
    <w:rsid w:val="00C94208"/>
    <w:rsid w:val="00C94273"/>
    <w:rsid w:val="00C94298"/>
    <w:rsid w:val="00C94326"/>
    <w:rsid w:val="00C94394"/>
    <w:rsid w:val="00C94435"/>
    <w:rsid w:val="00C94496"/>
    <w:rsid w:val="00C9449A"/>
    <w:rsid w:val="00C945E8"/>
    <w:rsid w:val="00C945FC"/>
    <w:rsid w:val="00C94607"/>
    <w:rsid w:val="00C94654"/>
    <w:rsid w:val="00C94669"/>
    <w:rsid w:val="00C9471C"/>
    <w:rsid w:val="00C94798"/>
    <w:rsid w:val="00C94983"/>
    <w:rsid w:val="00C949AD"/>
    <w:rsid w:val="00C94B66"/>
    <w:rsid w:val="00C94BED"/>
    <w:rsid w:val="00C94C9F"/>
    <w:rsid w:val="00C94CD9"/>
    <w:rsid w:val="00C94DF5"/>
    <w:rsid w:val="00C94F29"/>
    <w:rsid w:val="00C94FA9"/>
    <w:rsid w:val="00C95089"/>
    <w:rsid w:val="00C95261"/>
    <w:rsid w:val="00C953E2"/>
    <w:rsid w:val="00C95526"/>
    <w:rsid w:val="00C955F2"/>
    <w:rsid w:val="00C9563C"/>
    <w:rsid w:val="00C95857"/>
    <w:rsid w:val="00C9599A"/>
    <w:rsid w:val="00C95B06"/>
    <w:rsid w:val="00C95E14"/>
    <w:rsid w:val="00C95E3D"/>
    <w:rsid w:val="00C95F3A"/>
    <w:rsid w:val="00C95FEE"/>
    <w:rsid w:val="00C95FF3"/>
    <w:rsid w:val="00C960FE"/>
    <w:rsid w:val="00C963B3"/>
    <w:rsid w:val="00C964FF"/>
    <w:rsid w:val="00C96561"/>
    <w:rsid w:val="00C965B3"/>
    <w:rsid w:val="00C965E9"/>
    <w:rsid w:val="00C96858"/>
    <w:rsid w:val="00C968EF"/>
    <w:rsid w:val="00C96AB6"/>
    <w:rsid w:val="00C96ACF"/>
    <w:rsid w:val="00C96B1D"/>
    <w:rsid w:val="00C96C43"/>
    <w:rsid w:val="00C96EB4"/>
    <w:rsid w:val="00C97138"/>
    <w:rsid w:val="00C972D6"/>
    <w:rsid w:val="00C973ED"/>
    <w:rsid w:val="00C9766B"/>
    <w:rsid w:val="00C9792F"/>
    <w:rsid w:val="00C97B61"/>
    <w:rsid w:val="00C97C3F"/>
    <w:rsid w:val="00C97CAB"/>
    <w:rsid w:val="00C97F1E"/>
    <w:rsid w:val="00C97FD1"/>
    <w:rsid w:val="00C97FD3"/>
    <w:rsid w:val="00C97FFC"/>
    <w:rsid w:val="00CA01F6"/>
    <w:rsid w:val="00CA023E"/>
    <w:rsid w:val="00CA0267"/>
    <w:rsid w:val="00CA0324"/>
    <w:rsid w:val="00CA0445"/>
    <w:rsid w:val="00CA056C"/>
    <w:rsid w:val="00CA0584"/>
    <w:rsid w:val="00CA0591"/>
    <w:rsid w:val="00CA05A0"/>
    <w:rsid w:val="00CA05B8"/>
    <w:rsid w:val="00CA06AB"/>
    <w:rsid w:val="00CA0CDB"/>
    <w:rsid w:val="00CA109B"/>
    <w:rsid w:val="00CA1213"/>
    <w:rsid w:val="00CA1369"/>
    <w:rsid w:val="00CA14A6"/>
    <w:rsid w:val="00CA1668"/>
    <w:rsid w:val="00CA179B"/>
    <w:rsid w:val="00CA187E"/>
    <w:rsid w:val="00CA19E4"/>
    <w:rsid w:val="00CA1B0A"/>
    <w:rsid w:val="00CA1FAA"/>
    <w:rsid w:val="00CA1FF8"/>
    <w:rsid w:val="00CA2022"/>
    <w:rsid w:val="00CA20A6"/>
    <w:rsid w:val="00CA2139"/>
    <w:rsid w:val="00CA21B1"/>
    <w:rsid w:val="00CA23AE"/>
    <w:rsid w:val="00CA243B"/>
    <w:rsid w:val="00CA259E"/>
    <w:rsid w:val="00CA25FA"/>
    <w:rsid w:val="00CA273E"/>
    <w:rsid w:val="00CA2BEF"/>
    <w:rsid w:val="00CA2C18"/>
    <w:rsid w:val="00CA2C20"/>
    <w:rsid w:val="00CA2E7F"/>
    <w:rsid w:val="00CA2E8E"/>
    <w:rsid w:val="00CA2EC1"/>
    <w:rsid w:val="00CA2F91"/>
    <w:rsid w:val="00CA2FA3"/>
    <w:rsid w:val="00CA2FD6"/>
    <w:rsid w:val="00CA3078"/>
    <w:rsid w:val="00CA31CE"/>
    <w:rsid w:val="00CA3228"/>
    <w:rsid w:val="00CA32A2"/>
    <w:rsid w:val="00CA32E5"/>
    <w:rsid w:val="00CA339B"/>
    <w:rsid w:val="00CA359B"/>
    <w:rsid w:val="00CA3651"/>
    <w:rsid w:val="00CA36FC"/>
    <w:rsid w:val="00CA383E"/>
    <w:rsid w:val="00CA3950"/>
    <w:rsid w:val="00CA3AC2"/>
    <w:rsid w:val="00CA3AC7"/>
    <w:rsid w:val="00CA3C24"/>
    <w:rsid w:val="00CA3CEA"/>
    <w:rsid w:val="00CA3D09"/>
    <w:rsid w:val="00CA3DCB"/>
    <w:rsid w:val="00CA3EEC"/>
    <w:rsid w:val="00CA4126"/>
    <w:rsid w:val="00CA420F"/>
    <w:rsid w:val="00CA424D"/>
    <w:rsid w:val="00CA4321"/>
    <w:rsid w:val="00CA4493"/>
    <w:rsid w:val="00CA45C6"/>
    <w:rsid w:val="00CA48B2"/>
    <w:rsid w:val="00CA4A43"/>
    <w:rsid w:val="00CA4A49"/>
    <w:rsid w:val="00CA4B45"/>
    <w:rsid w:val="00CA4B6C"/>
    <w:rsid w:val="00CA4FC8"/>
    <w:rsid w:val="00CA507B"/>
    <w:rsid w:val="00CA50C2"/>
    <w:rsid w:val="00CA513A"/>
    <w:rsid w:val="00CA5183"/>
    <w:rsid w:val="00CA51D0"/>
    <w:rsid w:val="00CA53D8"/>
    <w:rsid w:val="00CA545E"/>
    <w:rsid w:val="00CA55C1"/>
    <w:rsid w:val="00CA5644"/>
    <w:rsid w:val="00CA57DD"/>
    <w:rsid w:val="00CA5964"/>
    <w:rsid w:val="00CA5A75"/>
    <w:rsid w:val="00CA5BD0"/>
    <w:rsid w:val="00CA5CA1"/>
    <w:rsid w:val="00CA5ED1"/>
    <w:rsid w:val="00CA5EF7"/>
    <w:rsid w:val="00CA5F08"/>
    <w:rsid w:val="00CA5F28"/>
    <w:rsid w:val="00CA5F42"/>
    <w:rsid w:val="00CA5F4B"/>
    <w:rsid w:val="00CA5FDF"/>
    <w:rsid w:val="00CA6009"/>
    <w:rsid w:val="00CA6036"/>
    <w:rsid w:val="00CA6041"/>
    <w:rsid w:val="00CA60C8"/>
    <w:rsid w:val="00CA62AA"/>
    <w:rsid w:val="00CA6358"/>
    <w:rsid w:val="00CA6381"/>
    <w:rsid w:val="00CA6819"/>
    <w:rsid w:val="00CA6860"/>
    <w:rsid w:val="00CA6880"/>
    <w:rsid w:val="00CA69B8"/>
    <w:rsid w:val="00CA6A43"/>
    <w:rsid w:val="00CA6CD1"/>
    <w:rsid w:val="00CA6CF2"/>
    <w:rsid w:val="00CA6D2E"/>
    <w:rsid w:val="00CA6DA5"/>
    <w:rsid w:val="00CA6DBE"/>
    <w:rsid w:val="00CA6E5A"/>
    <w:rsid w:val="00CA733D"/>
    <w:rsid w:val="00CA75FB"/>
    <w:rsid w:val="00CA760A"/>
    <w:rsid w:val="00CA7817"/>
    <w:rsid w:val="00CA7869"/>
    <w:rsid w:val="00CA7890"/>
    <w:rsid w:val="00CA7930"/>
    <w:rsid w:val="00CA79FF"/>
    <w:rsid w:val="00CA7A1D"/>
    <w:rsid w:val="00CA7A63"/>
    <w:rsid w:val="00CA7CFC"/>
    <w:rsid w:val="00CA7D05"/>
    <w:rsid w:val="00CA7D98"/>
    <w:rsid w:val="00CA7DCB"/>
    <w:rsid w:val="00CA7F02"/>
    <w:rsid w:val="00CA7F6A"/>
    <w:rsid w:val="00CA7F75"/>
    <w:rsid w:val="00CB0011"/>
    <w:rsid w:val="00CB0062"/>
    <w:rsid w:val="00CB0161"/>
    <w:rsid w:val="00CB02F6"/>
    <w:rsid w:val="00CB0345"/>
    <w:rsid w:val="00CB03DE"/>
    <w:rsid w:val="00CB0459"/>
    <w:rsid w:val="00CB04B7"/>
    <w:rsid w:val="00CB074B"/>
    <w:rsid w:val="00CB077A"/>
    <w:rsid w:val="00CB0864"/>
    <w:rsid w:val="00CB08A0"/>
    <w:rsid w:val="00CB0B8F"/>
    <w:rsid w:val="00CB0CA6"/>
    <w:rsid w:val="00CB0DBB"/>
    <w:rsid w:val="00CB0E96"/>
    <w:rsid w:val="00CB0F60"/>
    <w:rsid w:val="00CB0FA7"/>
    <w:rsid w:val="00CB10FB"/>
    <w:rsid w:val="00CB121B"/>
    <w:rsid w:val="00CB12D8"/>
    <w:rsid w:val="00CB141C"/>
    <w:rsid w:val="00CB14DF"/>
    <w:rsid w:val="00CB153A"/>
    <w:rsid w:val="00CB156F"/>
    <w:rsid w:val="00CB15C4"/>
    <w:rsid w:val="00CB169B"/>
    <w:rsid w:val="00CB16ED"/>
    <w:rsid w:val="00CB1787"/>
    <w:rsid w:val="00CB186B"/>
    <w:rsid w:val="00CB1AFB"/>
    <w:rsid w:val="00CB1BC8"/>
    <w:rsid w:val="00CB1E94"/>
    <w:rsid w:val="00CB1EC8"/>
    <w:rsid w:val="00CB1EDD"/>
    <w:rsid w:val="00CB1EEE"/>
    <w:rsid w:val="00CB20C4"/>
    <w:rsid w:val="00CB20FE"/>
    <w:rsid w:val="00CB218A"/>
    <w:rsid w:val="00CB230D"/>
    <w:rsid w:val="00CB2692"/>
    <w:rsid w:val="00CB27CD"/>
    <w:rsid w:val="00CB2892"/>
    <w:rsid w:val="00CB2899"/>
    <w:rsid w:val="00CB2933"/>
    <w:rsid w:val="00CB2B90"/>
    <w:rsid w:val="00CB2BA4"/>
    <w:rsid w:val="00CB2E40"/>
    <w:rsid w:val="00CB3106"/>
    <w:rsid w:val="00CB3123"/>
    <w:rsid w:val="00CB31AB"/>
    <w:rsid w:val="00CB37DD"/>
    <w:rsid w:val="00CB38A9"/>
    <w:rsid w:val="00CB3936"/>
    <w:rsid w:val="00CB393C"/>
    <w:rsid w:val="00CB3942"/>
    <w:rsid w:val="00CB39A9"/>
    <w:rsid w:val="00CB39E8"/>
    <w:rsid w:val="00CB3A50"/>
    <w:rsid w:val="00CB3BD0"/>
    <w:rsid w:val="00CB3CF5"/>
    <w:rsid w:val="00CB3D4A"/>
    <w:rsid w:val="00CB3D74"/>
    <w:rsid w:val="00CB4000"/>
    <w:rsid w:val="00CB400C"/>
    <w:rsid w:val="00CB4167"/>
    <w:rsid w:val="00CB43E4"/>
    <w:rsid w:val="00CB4472"/>
    <w:rsid w:val="00CB4474"/>
    <w:rsid w:val="00CB4497"/>
    <w:rsid w:val="00CB45DD"/>
    <w:rsid w:val="00CB47CA"/>
    <w:rsid w:val="00CB48E0"/>
    <w:rsid w:val="00CB49CB"/>
    <w:rsid w:val="00CB4AE7"/>
    <w:rsid w:val="00CB4CE8"/>
    <w:rsid w:val="00CB4E95"/>
    <w:rsid w:val="00CB4ED9"/>
    <w:rsid w:val="00CB4EDD"/>
    <w:rsid w:val="00CB4F39"/>
    <w:rsid w:val="00CB4F5D"/>
    <w:rsid w:val="00CB5013"/>
    <w:rsid w:val="00CB51AD"/>
    <w:rsid w:val="00CB5347"/>
    <w:rsid w:val="00CB5362"/>
    <w:rsid w:val="00CB5439"/>
    <w:rsid w:val="00CB55A3"/>
    <w:rsid w:val="00CB565A"/>
    <w:rsid w:val="00CB5879"/>
    <w:rsid w:val="00CB5A51"/>
    <w:rsid w:val="00CB5B68"/>
    <w:rsid w:val="00CB5C17"/>
    <w:rsid w:val="00CB5DC6"/>
    <w:rsid w:val="00CB6059"/>
    <w:rsid w:val="00CB6454"/>
    <w:rsid w:val="00CB653A"/>
    <w:rsid w:val="00CB6653"/>
    <w:rsid w:val="00CB66D5"/>
    <w:rsid w:val="00CB6755"/>
    <w:rsid w:val="00CB67C3"/>
    <w:rsid w:val="00CB698C"/>
    <w:rsid w:val="00CB6996"/>
    <w:rsid w:val="00CB6A06"/>
    <w:rsid w:val="00CB6C5F"/>
    <w:rsid w:val="00CB7137"/>
    <w:rsid w:val="00CB719C"/>
    <w:rsid w:val="00CB736A"/>
    <w:rsid w:val="00CB73B3"/>
    <w:rsid w:val="00CB7550"/>
    <w:rsid w:val="00CB7738"/>
    <w:rsid w:val="00CB776D"/>
    <w:rsid w:val="00CB77A3"/>
    <w:rsid w:val="00CB7A1A"/>
    <w:rsid w:val="00CB7AEC"/>
    <w:rsid w:val="00CB7C39"/>
    <w:rsid w:val="00CB7D61"/>
    <w:rsid w:val="00CB7EA5"/>
    <w:rsid w:val="00CB7FD0"/>
    <w:rsid w:val="00CC004B"/>
    <w:rsid w:val="00CC00BA"/>
    <w:rsid w:val="00CC02E2"/>
    <w:rsid w:val="00CC0396"/>
    <w:rsid w:val="00CC03B0"/>
    <w:rsid w:val="00CC041E"/>
    <w:rsid w:val="00CC04B7"/>
    <w:rsid w:val="00CC0618"/>
    <w:rsid w:val="00CC08DD"/>
    <w:rsid w:val="00CC0A23"/>
    <w:rsid w:val="00CC0C12"/>
    <w:rsid w:val="00CC0CB6"/>
    <w:rsid w:val="00CC0DC4"/>
    <w:rsid w:val="00CC0DD8"/>
    <w:rsid w:val="00CC0DF1"/>
    <w:rsid w:val="00CC0FD5"/>
    <w:rsid w:val="00CC1041"/>
    <w:rsid w:val="00CC165D"/>
    <w:rsid w:val="00CC16A7"/>
    <w:rsid w:val="00CC1928"/>
    <w:rsid w:val="00CC194A"/>
    <w:rsid w:val="00CC19F7"/>
    <w:rsid w:val="00CC1A68"/>
    <w:rsid w:val="00CC1BDA"/>
    <w:rsid w:val="00CC1C23"/>
    <w:rsid w:val="00CC1C2C"/>
    <w:rsid w:val="00CC1CCD"/>
    <w:rsid w:val="00CC1DC9"/>
    <w:rsid w:val="00CC1E0C"/>
    <w:rsid w:val="00CC1E62"/>
    <w:rsid w:val="00CC1E84"/>
    <w:rsid w:val="00CC1EAB"/>
    <w:rsid w:val="00CC2171"/>
    <w:rsid w:val="00CC228E"/>
    <w:rsid w:val="00CC2339"/>
    <w:rsid w:val="00CC234F"/>
    <w:rsid w:val="00CC2633"/>
    <w:rsid w:val="00CC2752"/>
    <w:rsid w:val="00CC27CC"/>
    <w:rsid w:val="00CC2823"/>
    <w:rsid w:val="00CC288D"/>
    <w:rsid w:val="00CC29CE"/>
    <w:rsid w:val="00CC2A58"/>
    <w:rsid w:val="00CC2F7F"/>
    <w:rsid w:val="00CC3065"/>
    <w:rsid w:val="00CC314C"/>
    <w:rsid w:val="00CC32B5"/>
    <w:rsid w:val="00CC33C0"/>
    <w:rsid w:val="00CC3488"/>
    <w:rsid w:val="00CC353D"/>
    <w:rsid w:val="00CC382F"/>
    <w:rsid w:val="00CC3A6E"/>
    <w:rsid w:val="00CC3AAC"/>
    <w:rsid w:val="00CC3BDC"/>
    <w:rsid w:val="00CC3C83"/>
    <w:rsid w:val="00CC3E27"/>
    <w:rsid w:val="00CC3FFF"/>
    <w:rsid w:val="00CC41AF"/>
    <w:rsid w:val="00CC41CE"/>
    <w:rsid w:val="00CC421C"/>
    <w:rsid w:val="00CC427F"/>
    <w:rsid w:val="00CC4291"/>
    <w:rsid w:val="00CC43E7"/>
    <w:rsid w:val="00CC4425"/>
    <w:rsid w:val="00CC4475"/>
    <w:rsid w:val="00CC44A6"/>
    <w:rsid w:val="00CC44D2"/>
    <w:rsid w:val="00CC467C"/>
    <w:rsid w:val="00CC468C"/>
    <w:rsid w:val="00CC47A5"/>
    <w:rsid w:val="00CC47E5"/>
    <w:rsid w:val="00CC4ACC"/>
    <w:rsid w:val="00CC4E1E"/>
    <w:rsid w:val="00CC4E21"/>
    <w:rsid w:val="00CC53F4"/>
    <w:rsid w:val="00CC5591"/>
    <w:rsid w:val="00CC570E"/>
    <w:rsid w:val="00CC5854"/>
    <w:rsid w:val="00CC586B"/>
    <w:rsid w:val="00CC5ACF"/>
    <w:rsid w:val="00CC5D36"/>
    <w:rsid w:val="00CC5D85"/>
    <w:rsid w:val="00CC5E99"/>
    <w:rsid w:val="00CC63A7"/>
    <w:rsid w:val="00CC6516"/>
    <w:rsid w:val="00CC6900"/>
    <w:rsid w:val="00CC6B5B"/>
    <w:rsid w:val="00CC6B97"/>
    <w:rsid w:val="00CC6D3F"/>
    <w:rsid w:val="00CC6EC3"/>
    <w:rsid w:val="00CC70EB"/>
    <w:rsid w:val="00CC7185"/>
    <w:rsid w:val="00CC7248"/>
    <w:rsid w:val="00CC7271"/>
    <w:rsid w:val="00CC738F"/>
    <w:rsid w:val="00CC73AC"/>
    <w:rsid w:val="00CC73D3"/>
    <w:rsid w:val="00CC74A5"/>
    <w:rsid w:val="00CC757F"/>
    <w:rsid w:val="00CC767A"/>
    <w:rsid w:val="00CC76AB"/>
    <w:rsid w:val="00CC778F"/>
    <w:rsid w:val="00CC78A2"/>
    <w:rsid w:val="00CC7C62"/>
    <w:rsid w:val="00CC7D3D"/>
    <w:rsid w:val="00CC7EC5"/>
    <w:rsid w:val="00CD018A"/>
    <w:rsid w:val="00CD0197"/>
    <w:rsid w:val="00CD033C"/>
    <w:rsid w:val="00CD043A"/>
    <w:rsid w:val="00CD0468"/>
    <w:rsid w:val="00CD046A"/>
    <w:rsid w:val="00CD04BE"/>
    <w:rsid w:val="00CD04CF"/>
    <w:rsid w:val="00CD054D"/>
    <w:rsid w:val="00CD082D"/>
    <w:rsid w:val="00CD094B"/>
    <w:rsid w:val="00CD09EA"/>
    <w:rsid w:val="00CD0C25"/>
    <w:rsid w:val="00CD0D6E"/>
    <w:rsid w:val="00CD10DA"/>
    <w:rsid w:val="00CD11AC"/>
    <w:rsid w:val="00CD12D3"/>
    <w:rsid w:val="00CD1538"/>
    <w:rsid w:val="00CD16E3"/>
    <w:rsid w:val="00CD1808"/>
    <w:rsid w:val="00CD1A46"/>
    <w:rsid w:val="00CD1B30"/>
    <w:rsid w:val="00CD1C00"/>
    <w:rsid w:val="00CD1C0D"/>
    <w:rsid w:val="00CD1D5E"/>
    <w:rsid w:val="00CD1FFE"/>
    <w:rsid w:val="00CD2037"/>
    <w:rsid w:val="00CD21D7"/>
    <w:rsid w:val="00CD232F"/>
    <w:rsid w:val="00CD23DF"/>
    <w:rsid w:val="00CD240B"/>
    <w:rsid w:val="00CD2509"/>
    <w:rsid w:val="00CD26AC"/>
    <w:rsid w:val="00CD26E5"/>
    <w:rsid w:val="00CD2A16"/>
    <w:rsid w:val="00CD2B27"/>
    <w:rsid w:val="00CD2B85"/>
    <w:rsid w:val="00CD2BF6"/>
    <w:rsid w:val="00CD2D2A"/>
    <w:rsid w:val="00CD2E08"/>
    <w:rsid w:val="00CD2FAB"/>
    <w:rsid w:val="00CD301C"/>
    <w:rsid w:val="00CD30ED"/>
    <w:rsid w:val="00CD31AF"/>
    <w:rsid w:val="00CD3200"/>
    <w:rsid w:val="00CD3462"/>
    <w:rsid w:val="00CD3491"/>
    <w:rsid w:val="00CD36CD"/>
    <w:rsid w:val="00CD37EA"/>
    <w:rsid w:val="00CD3893"/>
    <w:rsid w:val="00CD39AE"/>
    <w:rsid w:val="00CD3A82"/>
    <w:rsid w:val="00CD3D28"/>
    <w:rsid w:val="00CD3DFD"/>
    <w:rsid w:val="00CD3E99"/>
    <w:rsid w:val="00CD3F88"/>
    <w:rsid w:val="00CD3FC2"/>
    <w:rsid w:val="00CD41D3"/>
    <w:rsid w:val="00CD4287"/>
    <w:rsid w:val="00CD47CC"/>
    <w:rsid w:val="00CD485B"/>
    <w:rsid w:val="00CD48B6"/>
    <w:rsid w:val="00CD492B"/>
    <w:rsid w:val="00CD4A35"/>
    <w:rsid w:val="00CD4A71"/>
    <w:rsid w:val="00CD4AAE"/>
    <w:rsid w:val="00CD4C9C"/>
    <w:rsid w:val="00CD4CBA"/>
    <w:rsid w:val="00CD4DF8"/>
    <w:rsid w:val="00CD4F54"/>
    <w:rsid w:val="00CD51FB"/>
    <w:rsid w:val="00CD5420"/>
    <w:rsid w:val="00CD5458"/>
    <w:rsid w:val="00CD5500"/>
    <w:rsid w:val="00CD550E"/>
    <w:rsid w:val="00CD560E"/>
    <w:rsid w:val="00CD565E"/>
    <w:rsid w:val="00CD56A7"/>
    <w:rsid w:val="00CD56D0"/>
    <w:rsid w:val="00CD5739"/>
    <w:rsid w:val="00CD5898"/>
    <w:rsid w:val="00CD5932"/>
    <w:rsid w:val="00CD5A84"/>
    <w:rsid w:val="00CD5C2F"/>
    <w:rsid w:val="00CD5CB7"/>
    <w:rsid w:val="00CD5E9A"/>
    <w:rsid w:val="00CD63AE"/>
    <w:rsid w:val="00CD645E"/>
    <w:rsid w:val="00CD651E"/>
    <w:rsid w:val="00CD670A"/>
    <w:rsid w:val="00CD6B0B"/>
    <w:rsid w:val="00CD6B39"/>
    <w:rsid w:val="00CD6C04"/>
    <w:rsid w:val="00CD6DE7"/>
    <w:rsid w:val="00CD6E9E"/>
    <w:rsid w:val="00CD6F55"/>
    <w:rsid w:val="00CD6FA2"/>
    <w:rsid w:val="00CD6FA8"/>
    <w:rsid w:val="00CD7105"/>
    <w:rsid w:val="00CD7116"/>
    <w:rsid w:val="00CD7139"/>
    <w:rsid w:val="00CD730F"/>
    <w:rsid w:val="00CD7408"/>
    <w:rsid w:val="00CD741B"/>
    <w:rsid w:val="00CD756B"/>
    <w:rsid w:val="00CD75DF"/>
    <w:rsid w:val="00CD76AC"/>
    <w:rsid w:val="00CD7815"/>
    <w:rsid w:val="00CD783F"/>
    <w:rsid w:val="00CD7848"/>
    <w:rsid w:val="00CD78D2"/>
    <w:rsid w:val="00CD7975"/>
    <w:rsid w:val="00CD79B9"/>
    <w:rsid w:val="00CD79DD"/>
    <w:rsid w:val="00CD79F9"/>
    <w:rsid w:val="00CD7A03"/>
    <w:rsid w:val="00CD7A21"/>
    <w:rsid w:val="00CD7B85"/>
    <w:rsid w:val="00CD7CB6"/>
    <w:rsid w:val="00CD7CF2"/>
    <w:rsid w:val="00CD7DD0"/>
    <w:rsid w:val="00CD7E49"/>
    <w:rsid w:val="00CE00C0"/>
    <w:rsid w:val="00CE036B"/>
    <w:rsid w:val="00CE0734"/>
    <w:rsid w:val="00CE07BB"/>
    <w:rsid w:val="00CE08C4"/>
    <w:rsid w:val="00CE0B49"/>
    <w:rsid w:val="00CE0C40"/>
    <w:rsid w:val="00CE0CDD"/>
    <w:rsid w:val="00CE0D2C"/>
    <w:rsid w:val="00CE0DC3"/>
    <w:rsid w:val="00CE12F1"/>
    <w:rsid w:val="00CE15C3"/>
    <w:rsid w:val="00CE162F"/>
    <w:rsid w:val="00CE167A"/>
    <w:rsid w:val="00CE17A5"/>
    <w:rsid w:val="00CE17A8"/>
    <w:rsid w:val="00CE1891"/>
    <w:rsid w:val="00CE18E4"/>
    <w:rsid w:val="00CE18E5"/>
    <w:rsid w:val="00CE1AC2"/>
    <w:rsid w:val="00CE1B38"/>
    <w:rsid w:val="00CE1B49"/>
    <w:rsid w:val="00CE1B7B"/>
    <w:rsid w:val="00CE1C4C"/>
    <w:rsid w:val="00CE1CCC"/>
    <w:rsid w:val="00CE1D2A"/>
    <w:rsid w:val="00CE1E03"/>
    <w:rsid w:val="00CE1E90"/>
    <w:rsid w:val="00CE1FCF"/>
    <w:rsid w:val="00CE218E"/>
    <w:rsid w:val="00CE25D6"/>
    <w:rsid w:val="00CE2613"/>
    <w:rsid w:val="00CE2839"/>
    <w:rsid w:val="00CE28CE"/>
    <w:rsid w:val="00CE2A5E"/>
    <w:rsid w:val="00CE2A8D"/>
    <w:rsid w:val="00CE2BD0"/>
    <w:rsid w:val="00CE2D3E"/>
    <w:rsid w:val="00CE2FD7"/>
    <w:rsid w:val="00CE30B4"/>
    <w:rsid w:val="00CE3205"/>
    <w:rsid w:val="00CE32E2"/>
    <w:rsid w:val="00CE34B4"/>
    <w:rsid w:val="00CE351B"/>
    <w:rsid w:val="00CE3597"/>
    <w:rsid w:val="00CE36EF"/>
    <w:rsid w:val="00CE3899"/>
    <w:rsid w:val="00CE38FB"/>
    <w:rsid w:val="00CE39BC"/>
    <w:rsid w:val="00CE3AE9"/>
    <w:rsid w:val="00CE3B15"/>
    <w:rsid w:val="00CE3C99"/>
    <w:rsid w:val="00CE3DC6"/>
    <w:rsid w:val="00CE3EBD"/>
    <w:rsid w:val="00CE403E"/>
    <w:rsid w:val="00CE4091"/>
    <w:rsid w:val="00CE4276"/>
    <w:rsid w:val="00CE428A"/>
    <w:rsid w:val="00CE42DE"/>
    <w:rsid w:val="00CE4378"/>
    <w:rsid w:val="00CE44DD"/>
    <w:rsid w:val="00CE46AD"/>
    <w:rsid w:val="00CE476D"/>
    <w:rsid w:val="00CE47C5"/>
    <w:rsid w:val="00CE4B97"/>
    <w:rsid w:val="00CE4BF7"/>
    <w:rsid w:val="00CE4D0D"/>
    <w:rsid w:val="00CE4D58"/>
    <w:rsid w:val="00CE4DF6"/>
    <w:rsid w:val="00CE4F8F"/>
    <w:rsid w:val="00CE5045"/>
    <w:rsid w:val="00CE50FD"/>
    <w:rsid w:val="00CE5A4B"/>
    <w:rsid w:val="00CE5B2B"/>
    <w:rsid w:val="00CE5B5F"/>
    <w:rsid w:val="00CE5DE5"/>
    <w:rsid w:val="00CE5E17"/>
    <w:rsid w:val="00CE60F8"/>
    <w:rsid w:val="00CE62B0"/>
    <w:rsid w:val="00CE62DF"/>
    <w:rsid w:val="00CE6319"/>
    <w:rsid w:val="00CE657C"/>
    <w:rsid w:val="00CE65D9"/>
    <w:rsid w:val="00CE6630"/>
    <w:rsid w:val="00CE6669"/>
    <w:rsid w:val="00CE66E5"/>
    <w:rsid w:val="00CE6C89"/>
    <w:rsid w:val="00CE6CE9"/>
    <w:rsid w:val="00CE6DBB"/>
    <w:rsid w:val="00CE6E79"/>
    <w:rsid w:val="00CE6F69"/>
    <w:rsid w:val="00CE6F92"/>
    <w:rsid w:val="00CE7327"/>
    <w:rsid w:val="00CE74D0"/>
    <w:rsid w:val="00CE752F"/>
    <w:rsid w:val="00CE7589"/>
    <w:rsid w:val="00CE778E"/>
    <w:rsid w:val="00CE77E3"/>
    <w:rsid w:val="00CE799D"/>
    <w:rsid w:val="00CE79C3"/>
    <w:rsid w:val="00CE7BE3"/>
    <w:rsid w:val="00CE7C0D"/>
    <w:rsid w:val="00CE7F93"/>
    <w:rsid w:val="00CF004C"/>
    <w:rsid w:val="00CF0243"/>
    <w:rsid w:val="00CF05A1"/>
    <w:rsid w:val="00CF05B8"/>
    <w:rsid w:val="00CF05C8"/>
    <w:rsid w:val="00CF0636"/>
    <w:rsid w:val="00CF069D"/>
    <w:rsid w:val="00CF0746"/>
    <w:rsid w:val="00CF08B5"/>
    <w:rsid w:val="00CF092C"/>
    <w:rsid w:val="00CF0937"/>
    <w:rsid w:val="00CF0A1F"/>
    <w:rsid w:val="00CF0C6C"/>
    <w:rsid w:val="00CF0CD8"/>
    <w:rsid w:val="00CF0FDA"/>
    <w:rsid w:val="00CF110D"/>
    <w:rsid w:val="00CF111B"/>
    <w:rsid w:val="00CF124B"/>
    <w:rsid w:val="00CF14E0"/>
    <w:rsid w:val="00CF1753"/>
    <w:rsid w:val="00CF1A43"/>
    <w:rsid w:val="00CF1DFF"/>
    <w:rsid w:val="00CF1F06"/>
    <w:rsid w:val="00CF2384"/>
    <w:rsid w:val="00CF24E0"/>
    <w:rsid w:val="00CF2553"/>
    <w:rsid w:val="00CF2712"/>
    <w:rsid w:val="00CF282D"/>
    <w:rsid w:val="00CF2AA5"/>
    <w:rsid w:val="00CF2D72"/>
    <w:rsid w:val="00CF2E29"/>
    <w:rsid w:val="00CF2F1E"/>
    <w:rsid w:val="00CF2F29"/>
    <w:rsid w:val="00CF303C"/>
    <w:rsid w:val="00CF30A4"/>
    <w:rsid w:val="00CF3192"/>
    <w:rsid w:val="00CF31F8"/>
    <w:rsid w:val="00CF333C"/>
    <w:rsid w:val="00CF33F7"/>
    <w:rsid w:val="00CF3428"/>
    <w:rsid w:val="00CF34DC"/>
    <w:rsid w:val="00CF358F"/>
    <w:rsid w:val="00CF3600"/>
    <w:rsid w:val="00CF3710"/>
    <w:rsid w:val="00CF3CF2"/>
    <w:rsid w:val="00CF3FC4"/>
    <w:rsid w:val="00CF3FEF"/>
    <w:rsid w:val="00CF4062"/>
    <w:rsid w:val="00CF4338"/>
    <w:rsid w:val="00CF4341"/>
    <w:rsid w:val="00CF44C1"/>
    <w:rsid w:val="00CF44E1"/>
    <w:rsid w:val="00CF4668"/>
    <w:rsid w:val="00CF4735"/>
    <w:rsid w:val="00CF4838"/>
    <w:rsid w:val="00CF490F"/>
    <w:rsid w:val="00CF4946"/>
    <w:rsid w:val="00CF4C04"/>
    <w:rsid w:val="00CF4D1C"/>
    <w:rsid w:val="00CF4FD5"/>
    <w:rsid w:val="00CF5034"/>
    <w:rsid w:val="00CF51BB"/>
    <w:rsid w:val="00CF5220"/>
    <w:rsid w:val="00CF54E5"/>
    <w:rsid w:val="00CF5524"/>
    <w:rsid w:val="00CF55BA"/>
    <w:rsid w:val="00CF56C8"/>
    <w:rsid w:val="00CF572E"/>
    <w:rsid w:val="00CF57B3"/>
    <w:rsid w:val="00CF594B"/>
    <w:rsid w:val="00CF5D8F"/>
    <w:rsid w:val="00CF5DF8"/>
    <w:rsid w:val="00CF5E32"/>
    <w:rsid w:val="00CF5E6E"/>
    <w:rsid w:val="00CF5EB5"/>
    <w:rsid w:val="00CF5EE7"/>
    <w:rsid w:val="00CF60CB"/>
    <w:rsid w:val="00CF60E0"/>
    <w:rsid w:val="00CF6263"/>
    <w:rsid w:val="00CF6301"/>
    <w:rsid w:val="00CF6421"/>
    <w:rsid w:val="00CF65AB"/>
    <w:rsid w:val="00CF6982"/>
    <w:rsid w:val="00CF6A9D"/>
    <w:rsid w:val="00CF6BA0"/>
    <w:rsid w:val="00CF6C0A"/>
    <w:rsid w:val="00CF6C10"/>
    <w:rsid w:val="00CF6D0D"/>
    <w:rsid w:val="00CF6D13"/>
    <w:rsid w:val="00CF6FEA"/>
    <w:rsid w:val="00CF7042"/>
    <w:rsid w:val="00CF7047"/>
    <w:rsid w:val="00CF737A"/>
    <w:rsid w:val="00CF73EB"/>
    <w:rsid w:val="00CF7594"/>
    <w:rsid w:val="00CF767B"/>
    <w:rsid w:val="00CF76EE"/>
    <w:rsid w:val="00CF7736"/>
    <w:rsid w:val="00CF777F"/>
    <w:rsid w:val="00CF77A0"/>
    <w:rsid w:val="00CF7851"/>
    <w:rsid w:val="00CF7889"/>
    <w:rsid w:val="00CF78B7"/>
    <w:rsid w:val="00CF792D"/>
    <w:rsid w:val="00CF7A04"/>
    <w:rsid w:val="00CF7D71"/>
    <w:rsid w:val="00CF7F33"/>
    <w:rsid w:val="00D00068"/>
    <w:rsid w:val="00D002A5"/>
    <w:rsid w:val="00D00368"/>
    <w:rsid w:val="00D00407"/>
    <w:rsid w:val="00D00423"/>
    <w:rsid w:val="00D0047E"/>
    <w:rsid w:val="00D004C2"/>
    <w:rsid w:val="00D004C4"/>
    <w:rsid w:val="00D0060A"/>
    <w:rsid w:val="00D00906"/>
    <w:rsid w:val="00D00A78"/>
    <w:rsid w:val="00D00AAE"/>
    <w:rsid w:val="00D00E5B"/>
    <w:rsid w:val="00D010A7"/>
    <w:rsid w:val="00D01163"/>
    <w:rsid w:val="00D011BB"/>
    <w:rsid w:val="00D012F4"/>
    <w:rsid w:val="00D014AB"/>
    <w:rsid w:val="00D01758"/>
    <w:rsid w:val="00D0195A"/>
    <w:rsid w:val="00D01B08"/>
    <w:rsid w:val="00D01CD2"/>
    <w:rsid w:val="00D01EB0"/>
    <w:rsid w:val="00D01F6B"/>
    <w:rsid w:val="00D01FE0"/>
    <w:rsid w:val="00D0213B"/>
    <w:rsid w:val="00D02189"/>
    <w:rsid w:val="00D0226B"/>
    <w:rsid w:val="00D024ED"/>
    <w:rsid w:val="00D024F4"/>
    <w:rsid w:val="00D02576"/>
    <w:rsid w:val="00D0264E"/>
    <w:rsid w:val="00D02667"/>
    <w:rsid w:val="00D027B7"/>
    <w:rsid w:val="00D027CD"/>
    <w:rsid w:val="00D02849"/>
    <w:rsid w:val="00D029CB"/>
    <w:rsid w:val="00D029EF"/>
    <w:rsid w:val="00D02A0E"/>
    <w:rsid w:val="00D02B2E"/>
    <w:rsid w:val="00D02B70"/>
    <w:rsid w:val="00D02C55"/>
    <w:rsid w:val="00D02CA7"/>
    <w:rsid w:val="00D02CDC"/>
    <w:rsid w:val="00D02DB5"/>
    <w:rsid w:val="00D02DE6"/>
    <w:rsid w:val="00D02FB2"/>
    <w:rsid w:val="00D0314E"/>
    <w:rsid w:val="00D03346"/>
    <w:rsid w:val="00D034D7"/>
    <w:rsid w:val="00D0350E"/>
    <w:rsid w:val="00D03595"/>
    <w:rsid w:val="00D03652"/>
    <w:rsid w:val="00D036BB"/>
    <w:rsid w:val="00D03825"/>
    <w:rsid w:val="00D039A6"/>
    <w:rsid w:val="00D03B7A"/>
    <w:rsid w:val="00D03C6E"/>
    <w:rsid w:val="00D03C86"/>
    <w:rsid w:val="00D03D23"/>
    <w:rsid w:val="00D03DCF"/>
    <w:rsid w:val="00D03F39"/>
    <w:rsid w:val="00D03FE0"/>
    <w:rsid w:val="00D03FE7"/>
    <w:rsid w:val="00D0418D"/>
    <w:rsid w:val="00D04455"/>
    <w:rsid w:val="00D045C5"/>
    <w:rsid w:val="00D046B3"/>
    <w:rsid w:val="00D046BF"/>
    <w:rsid w:val="00D04938"/>
    <w:rsid w:val="00D04A0E"/>
    <w:rsid w:val="00D04BB8"/>
    <w:rsid w:val="00D04D0D"/>
    <w:rsid w:val="00D04E42"/>
    <w:rsid w:val="00D051D5"/>
    <w:rsid w:val="00D0522E"/>
    <w:rsid w:val="00D05301"/>
    <w:rsid w:val="00D053D6"/>
    <w:rsid w:val="00D0551A"/>
    <w:rsid w:val="00D0584E"/>
    <w:rsid w:val="00D05A6D"/>
    <w:rsid w:val="00D05A90"/>
    <w:rsid w:val="00D05C63"/>
    <w:rsid w:val="00D05DF7"/>
    <w:rsid w:val="00D05EA3"/>
    <w:rsid w:val="00D06133"/>
    <w:rsid w:val="00D062F2"/>
    <w:rsid w:val="00D06379"/>
    <w:rsid w:val="00D06427"/>
    <w:rsid w:val="00D06462"/>
    <w:rsid w:val="00D0678F"/>
    <w:rsid w:val="00D0694B"/>
    <w:rsid w:val="00D0697B"/>
    <w:rsid w:val="00D06A64"/>
    <w:rsid w:val="00D06CBF"/>
    <w:rsid w:val="00D06D0B"/>
    <w:rsid w:val="00D073A0"/>
    <w:rsid w:val="00D073A6"/>
    <w:rsid w:val="00D073FF"/>
    <w:rsid w:val="00D07424"/>
    <w:rsid w:val="00D074A8"/>
    <w:rsid w:val="00D07684"/>
    <w:rsid w:val="00D07923"/>
    <w:rsid w:val="00D0798E"/>
    <w:rsid w:val="00D07AA7"/>
    <w:rsid w:val="00D07AF0"/>
    <w:rsid w:val="00D07B9B"/>
    <w:rsid w:val="00D07BF7"/>
    <w:rsid w:val="00D07E61"/>
    <w:rsid w:val="00D07F84"/>
    <w:rsid w:val="00D07FC5"/>
    <w:rsid w:val="00D07FC6"/>
    <w:rsid w:val="00D1032B"/>
    <w:rsid w:val="00D10413"/>
    <w:rsid w:val="00D106E4"/>
    <w:rsid w:val="00D107D4"/>
    <w:rsid w:val="00D10A8C"/>
    <w:rsid w:val="00D10C8B"/>
    <w:rsid w:val="00D1113E"/>
    <w:rsid w:val="00D11199"/>
    <w:rsid w:val="00D111E8"/>
    <w:rsid w:val="00D11294"/>
    <w:rsid w:val="00D1139D"/>
    <w:rsid w:val="00D1149A"/>
    <w:rsid w:val="00D11A9F"/>
    <w:rsid w:val="00D11B9A"/>
    <w:rsid w:val="00D11BFC"/>
    <w:rsid w:val="00D11DB8"/>
    <w:rsid w:val="00D11EB9"/>
    <w:rsid w:val="00D11ED2"/>
    <w:rsid w:val="00D11F9C"/>
    <w:rsid w:val="00D12003"/>
    <w:rsid w:val="00D1201F"/>
    <w:rsid w:val="00D12086"/>
    <w:rsid w:val="00D1220D"/>
    <w:rsid w:val="00D1221A"/>
    <w:rsid w:val="00D12245"/>
    <w:rsid w:val="00D12267"/>
    <w:rsid w:val="00D12386"/>
    <w:rsid w:val="00D123BE"/>
    <w:rsid w:val="00D123D8"/>
    <w:rsid w:val="00D12466"/>
    <w:rsid w:val="00D1249C"/>
    <w:rsid w:val="00D124AC"/>
    <w:rsid w:val="00D1253A"/>
    <w:rsid w:val="00D125DA"/>
    <w:rsid w:val="00D12755"/>
    <w:rsid w:val="00D128DB"/>
    <w:rsid w:val="00D128E5"/>
    <w:rsid w:val="00D129BB"/>
    <w:rsid w:val="00D12A96"/>
    <w:rsid w:val="00D12AD9"/>
    <w:rsid w:val="00D12BDE"/>
    <w:rsid w:val="00D12E1E"/>
    <w:rsid w:val="00D12EBE"/>
    <w:rsid w:val="00D13080"/>
    <w:rsid w:val="00D132F1"/>
    <w:rsid w:val="00D13379"/>
    <w:rsid w:val="00D1339F"/>
    <w:rsid w:val="00D133C6"/>
    <w:rsid w:val="00D133E5"/>
    <w:rsid w:val="00D13478"/>
    <w:rsid w:val="00D13511"/>
    <w:rsid w:val="00D135FF"/>
    <w:rsid w:val="00D136AB"/>
    <w:rsid w:val="00D13756"/>
    <w:rsid w:val="00D13822"/>
    <w:rsid w:val="00D13851"/>
    <w:rsid w:val="00D13954"/>
    <w:rsid w:val="00D13B95"/>
    <w:rsid w:val="00D13BF2"/>
    <w:rsid w:val="00D13C15"/>
    <w:rsid w:val="00D13C23"/>
    <w:rsid w:val="00D13CD0"/>
    <w:rsid w:val="00D13E27"/>
    <w:rsid w:val="00D13E61"/>
    <w:rsid w:val="00D13F02"/>
    <w:rsid w:val="00D13F1B"/>
    <w:rsid w:val="00D13F40"/>
    <w:rsid w:val="00D13FF8"/>
    <w:rsid w:val="00D1404A"/>
    <w:rsid w:val="00D140C8"/>
    <w:rsid w:val="00D14124"/>
    <w:rsid w:val="00D143B3"/>
    <w:rsid w:val="00D143B9"/>
    <w:rsid w:val="00D143D5"/>
    <w:rsid w:val="00D1446B"/>
    <w:rsid w:val="00D14554"/>
    <w:rsid w:val="00D145BB"/>
    <w:rsid w:val="00D1482B"/>
    <w:rsid w:val="00D14845"/>
    <w:rsid w:val="00D1489F"/>
    <w:rsid w:val="00D148E3"/>
    <w:rsid w:val="00D14A07"/>
    <w:rsid w:val="00D14BD1"/>
    <w:rsid w:val="00D14D03"/>
    <w:rsid w:val="00D14D95"/>
    <w:rsid w:val="00D14E2C"/>
    <w:rsid w:val="00D14ED7"/>
    <w:rsid w:val="00D14F64"/>
    <w:rsid w:val="00D15016"/>
    <w:rsid w:val="00D150C4"/>
    <w:rsid w:val="00D151EB"/>
    <w:rsid w:val="00D151F3"/>
    <w:rsid w:val="00D15219"/>
    <w:rsid w:val="00D15560"/>
    <w:rsid w:val="00D15692"/>
    <w:rsid w:val="00D157B7"/>
    <w:rsid w:val="00D15945"/>
    <w:rsid w:val="00D15AE2"/>
    <w:rsid w:val="00D15F3D"/>
    <w:rsid w:val="00D1607C"/>
    <w:rsid w:val="00D16163"/>
    <w:rsid w:val="00D161DD"/>
    <w:rsid w:val="00D161E1"/>
    <w:rsid w:val="00D1621F"/>
    <w:rsid w:val="00D1647A"/>
    <w:rsid w:val="00D16596"/>
    <w:rsid w:val="00D16821"/>
    <w:rsid w:val="00D16826"/>
    <w:rsid w:val="00D168C6"/>
    <w:rsid w:val="00D16A59"/>
    <w:rsid w:val="00D16AAC"/>
    <w:rsid w:val="00D16B98"/>
    <w:rsid w:val="00D16C2D"/>
    <w:rsid w:val="00D16C50"/>
    <w:rsid w:val="00D16C96"/>
    <w:rsid w:val="00D16CEE"/>
    <w:rsid w:val="00D16DA1"/>
    <w:rsid w:val="00D16DD4"/>
    <w:rsid w:val="00D16DE3"/>
    <w:rsid w:val="00D16E8F"/>
    <w:rsid w:val="00D17172"/>
    <w:rsid w:val="00D1726C"/>
    <w:rsid w:val="00D1729B"/>
    <w:rsid w:val="00D17496"/>
    <w:rsid w:val="00D174C9"/>
    <w:rsid w:val="00D17705"/>
    <w:rsid w:val="00D17888"/>
    <w:rsid w:val="00D17C6E"/>
    <w:rsid w:val="00D17D81"/>
    <w:rsid w:val="00D17D97"/>
    <w:rsid w:val="00D17F55"/>
    <w:rsid w:val="00D17F73"/>
    <w:rsid w:val="00D17FAD"/>
    <w:rsid w:val="00D2034B"/>
    <w:rsid w:val="00D2044D"/>
    <w:rsid w:val="00D20509"/>
    <w:rsid w:val="00D20559"/>
    <w:rsid w:val="00D20610"/>
    <w:rsid w:val="00D2073C"/>
    <w:rsid w:val="00D207B0"/>
    <w:rsid w:val="00D20887"/>
    <w:rsid w:val="00D20921"/>
    <w:rsid w:val="00D209D4"/>
    <w:rsid w:val="00D20ACF"/>
    <w:rsid w:val="00D20C4A"/>
    <w:rsid w:val="00D20CB5"/>
    <w:rsid w:val="00D20CE0"/>
    <w:rsid w:val="00D20CF7"/>
    <w:rsid w:val="00D20D09"/>
    <w:rsid w:val="00D210A0"/>
    <w:rsid w:val="00D21105"/>
    <w:rsid w:val="00D21133"/>
    <w:rsid w:val="00D21450"/>
    <w:rsid w:val="00D21548"/>
    <w:rsid w:val="00D21715"/>
    <w:rsid w:val="00D2185B"/>
    <w:rsid w:val="00D218B1"/>
    <w:rsid w:val="00D21911"/>
    <w:rsid w:val="00D21955"/>
    <w:rsid w:val="00D219F0"/>
    <w:rsid w:val="00D21A26"/>
    <w:rsid w:val="00D21A56"/>
    <w:rsid w:val="00D21B51"/>
    <w:rsid w:val="00D21C7A"/>
    <w:rsid w:val="00D21D52"/>
    <w:rsid w:val="00D22044"/>
    <w:rsid w:val="00D22100"/>
    <w:rsid w:val="00D22431"/>
    <w:rsid w:val="00D22541"/>
    <w:rsid w:val="00D2256B"/>
    <w:rsid w:val="00D2257D"/>
    <w:rsid w:val="00D225A0"/>
    <w:rsid w:val="00D2260A"/>
    <w:rsid w:val="00D2261A"/>
    <w:rsid w:val="00D226D4"/>
    <w:rsid w:val="00D226DD"/>
    <w:rsid w:val="00D22731"/>
    <w:rsid w:val="00D22B12"/>
    <w:rsid w:val="00D22B86"/>
    <w:rsid w:val="00D22D28"/>
    <w:rsid w:val="00D22D76"/>
    <w:rsid w:val="00D22F5A"/>
    <w:rsid w:val="00D22F84"/>
    <w:rsid w:val="00D2308D"/>
    <w:rsid w:val="00D23468"/>
    <w:rsid w:val="00D23518"/>
    <w:rsid w:val="00D23539"/>
    <w:rsid w:val="00D23706"/>
    <w:rsid w:val="00D2382C"/>
    <w:rsid w:val="00D23B53"/>
    <w:rsid w:val="00D23B5F"/>
    <w:rsid w:val="00D23BE1"/>
    <w:rsid w:val="00D23C5B"/>
    <w:rsid w:val="00D23EB2"/>
    <w:rsid w:val="00D23EB8"/>
    <w:rsid w:val="00D23F2D"/>
    <w:rsid w:val="00D2416D"/>
    <w:rsid w:val="00D241FE"/>
    <w:rsid w:val="00D242D7"/>
    <w:rsid w:val="00D242F5"/>
    <w:rsid w:val="00D2431D"/>
    <w:rsid w:val="00D2432D"/>
    <w:rsid w:val="00D24530"/>
    <w:rsid w:val="00D24D88"/>
    <w:rsid w:val="00D25123"/>
    <w:rsid w:val="00D25356"/>
    <w:rsid w:val="00D253E2"/>
    <w:rsid w:val="00D256E4"/>
    <w:rsid w:val="00D2598A"/>
    <w:rsid w:val="00D25D27"/>
    <w:rsid w:val="00D25D5A"/>
    <w:rsid w:val="00D25EFD"/>
    <w:rsid w:val="00D25F37"/>
    <w:rsid w:val="00D25F3D"/>
    <w:rsid w:val="00D25F9E"/>
    <w:rsid w:val="00D25FA6"/>
    <w:rsid w:val="00D25FD0"/>
    <w:rsid w:val="00D2611B"/>
    <w:rsid w:val="00D26137"/>
    <w:rsid w:val="00D261F4"/>
    <w:rsid w:val="00D26221"/>
    <w:rsid w:val="00D26398"/>
    <w:rsid w:val="00D263A1"/>
    <w:rsid w:val="00D263EB"/>
    <w:rsid w:val="00D26450"/>
    <w:rsid w:val="00D265DA"/>
    <w:rsid w:val="00D2691D"/>
    <w:rsid w:val="00D26935"/>
    <w:rsid w:val="00D26956"/>
    <w:rsid w:val="00D26C41"/>
    <w:rsid w:val="00D26CC4"/>
    <w:rsid w:val="00D26D0F"/>
    <w:rsid w:val="00D26D2C"/>
    <w:rsid w:val="00D26DF1"/>
    <w:rsid w:val="00D26E07"/>
    <w:rsid w:val="00D26F66"/>
    <w:rsid w:val="00D26F85"/>
    <w:rsid w:val="00D26F9B"/>
    <w:rsid w:val="00D273A6"/>
    <w:rsid w:val="00D273DF"/>
    <w:rsid w:val="00D27477"/>
    <w:rsid w:val="00D274F6"/>
    <w:rsid w:val="00D27709"/>
    <w:rsid w:val="00D2776D"/>
    <w:rsid w:val="00D27998"/>
    <w:rsid w:val="00D2799C"/>
    <w:rsid w:val="00D279E2"/>
    <w:rsid w:val="00D27B9C"/>
    <w:rsid w:val="00D27BAC"/>
    <w:rsid w:val="00D27C2B"/>
    <w:rsid w:val="00D27D40"/>
    <w:rsid w:val="00D27DB0"/>
    <w:rsid w:val="00D27E1C"/>
    <w:rsid w:val="00D2AFAC"/>
    <w:rsid w:val="00D3012D"/>
    <w:rsid w:val="00D30154"/>
    <w:rsid w:val="00D301EA"/>
    <w:rsid w:val="00D30356"/>
    <w:rsid w:val="00D303A9"/>
    <w:rsid w:val="00D3040A"/>
    <w:rsid w:val="00D30487"/>
    <w:rsid w:val="00D305A5"/>
    <w:rsid w:val="00D305FA"/>
    <w:rsid w:val="00D30610"/>
    <w:rsid w:val="00D307E1"/>
    <w:rsid w:val="00D30823"/>
    <w:rsid w:val="00D30AA3"/>
    <w:rsid w:val="00D30B97"/>
    <w:rsid w:val="00D30C3C"/>
    <w:rsid w:val="00D30EDF"/>
    <w:rsid w:val="00D3102B"/>
    <w:rsid w:val="00D31122"/>
    <w:rsid w:val="00D31195"/>
    <w:rsid w:val="00D3126B"/>
    <w:rsid w:val="00D3128D"/>
    <w:rsid w:val="00D31419"/>
    <w:rsid w:val="00D31545"/>
    <w:rsid w:val="00D317B9"/>
    <w:rsid w:val="00D317EE"/>
    <w:rsid w:val="00D319D0"/>
    <w:rsid w:val="00D31A6E"/>
    <w:rsid w:val="00D31D59"/>
    <w:rsid w:val="00D31DDA"/>
    <w:rsid w:val="00D31EB6"/>
    <w:rsid w:val="00D31EF7"/>
    <w:rsid w:val="00D31F4B"/>
    <w:rsid w:val="00D31F59"/>
    <w:rsid w:val="00D320ED"/>
    <w:rsid w:val="00D320F2"/>
    <w:rsid w:val="00D32143"/>
    <w:rsid w:val="00D32152"/>
    <w:rsid w:val="00D32175"/>
    <w:rsid w:val="00D32195"/>
    <w:rsid w:val="00D321C8"/>
    <w:rsid w:val="00D3240F"/>
    <w:rsid w:val="00D325AB"/>
    <w:rsid w:val="00D325C7"/>
    <w:rsid w:val="00D326FE"/>
    <w:rsid w:val="00D328D0"/>
    <w:rsid w:val="00D32ABD"/>
    <w:rsid w:val="00D32B08"/>
    <w:rsid w:val="00D32C33"/>
    <w:rsid w:val="00D32D68"/>
    <w:rsid w:val="00D32D7F"/>
    <w:rsid w:val="00D32E53"/>
    <w:rsid w:val="00D33037"/>
    <w:rsid w:val="00D33044"/>
    <w:rsid w:val="00D330AE"/>
    <w:rsid w:val="00D333A4"/>
    <w:rsid w:val="00D334E3"/>
    <w:rsid w:val="00D3355A"/>
    <w:rsid w:val="00D33606"/>
    <w:rsid w:val="00D336C9"/>
    <w:rsid w:val="00D3374E"/>
    <w:rsid w:val="00D33765"/>
    <w:rsid w:val="00D33942"/>
    <w:rsid w:val="00D33B31"/>
    <w:rsid w:val="00D33C22"/>
    <w:rsid w:val="00D33D5F"/>
    <w:rsid w:val="00D33DA6"/>
    <w:rsid w:val="00D33E72"/>
    <w:rsid w:val="00D33EA0"/>
    <w:rsid w:val="00D33F64"/>
    <w:rsid w:val="00D33FAC"/>
    <w:rsid w:val="00D34040"/>
    <w:rsid w:val="00D3419C"/>
    <w:rsid w:val="00D341D5"/>
    <w:rsid w:val="00D3450C"/>
    <w:rsid w:val="00D34565"/>
    <w:rsid w:val="00D3476F"/>
    <w:rsid w:val="00D34773"/>
    <w:rsid w:val="00D34793"/>
    <w:rsid w:val="00D34795"/>
    <w:rsid w:val="00D34938"/>
    <w:rsid w:val="00D34C16"/>
    <w:rsid w:val="00D34C9A"/>
    <w:rsid w:val="00D34E86"/>
    <w:rsid w:val="00D35090"/>
    <w:rsid w:val="00D35126"/>
    <w:rsid w:val="00D35212"/>
    <w:rsid w:val="00D3521E"/>
    <w:rsid w:val="00D3531F"/>
    <w:rsid w:val="00D354CA"/>
    <w:rsid w:val="00D356CA"/>
    <w:rsid w:val="00D357E4"/>
    <w:rsid w:val="00D3587F"/>
    <w:rsid w:val="00D35AC3"/>
    <w:rsid w:val="00D35C20"/>
    <w:rsid w:val="00D35F58"/>
    <w:rsid w:val="00D35FD9"/>
    <w:rsid w:val="00D35FE0"/>
    <w:rsid w:val="00D36113"/>
    <w:rsid w:val="00D36271"/>
    <w:rsid w:val="00D36433"/>
    <w:rsid w:val="00D365E1"/>
    <w:rsid w:val="00D365FA"/>
    <w:rsid w:val="00D36665"/>
    <w:rsid w:val="00D3678F"/>
    <w:rsid w:val="00D367C3"/>
    <w:rsid w:val="00D36931"/>
    <w:rsid w:val="00D36BBC"/>
    <w:rsid w:val="00D36EE4"/>
    <w:rsid w:val="00D36F6D"/>
    <w:rsid w:val="00D36FE5"/>
    <w:rsid w:val="00D370FD"/>
    <w:rsid w:val="00D3718C"/>
    <w:rsid w:val="00D37221"/>
    <w:rsid w:val="00D3722D"/>
    <w:rsid w:val="00D3727E"/>
    <w:rsid w:val="00D372D4"/>
    <w:rsid w:val="00D37523"/>
    <w:rsid w:val="00D376B7"/>
    <w:rsid w:val="00D3771D"/>
    <w:rsid w:val="00D37749"/>
    <w:rsid w:val="00D3792F"/>
    <w:rsid w:val="00D3798B"/>
    <w:rsid w:val="00D379A6"/>
    <w:rsid w:val="00D37A32"/>
    <w:rsid w:val="00D37F2C"/>
    <w:rsid w:val="00D37FE0"/>
    <w:rsid w:val="00D4002B"/>
    <w:rsid w:val="00D40123"/>
    <w:rsid w:val="00D406C9"/>
    <w:rsid w:val="00D4083A"/>
    <w:rsid w:val="00D40858"/>
    <w:rsid w:val="00D4091E"/>
    <w:rsid w:val="00D40988"/>
    <w:rsid w:val="00D409DE"/>
    <w:rsid w:val="00D40BCB"/>
    <w:rsid w:val="00D40C1F"/>
    <w:rsid w:val="00D40CEF"/>
    <w:rsid w:val="00D40E4C"/>
    <w:rsid w:val="00D40EA8"/>
    <w:rsid w:val="00D40F05"/>
    <w:rsid w:val="00D40F7D"/>
    <w:rsid w:val="00D40F7F"/>
    <w:rsid w:val="00D410AD"/>
    <w:rsid w:val="00D410BB"/>
    <w:rsid w:val="00D410D1"/>
    <w:rsid w:val="00D411E1"/>
    <w:rsid w:val="00D413BD"/>
    <w:rsid w:val="00D41569"/>
    <w:rsid w:val="00D415A5"/>
    <w:rsid w:val="00D416F7"/>
    <w:rsid w:val="00D4177F"/>
    <w:rsid w:val="00D41A03"/>
    <w:rsid w:val="00D41A22"/>
    <w:rsid w:val="00D41A68"/>
    <w:rsid w:val="00D41B29"/>
    <w:rsid w:val="00D41B8A"/>
    <w:rsid w:val="00D41C38"/>
    <w:rsid w:val="00D41EB4"/>
    <w:rsid w:val="00D41F1E"/>
    <w:rsid w:val="00D421DD"/>
    <w:rsid w:val="00D42381"/>
    <w:rsid w:val="00D423A9"/>
    <w:rsid w:val="00D4249A"/>
    <w:rsid w:val="00D4258B"/>
    <w:rsid w:val="00D42727"/>
    <w:rsid w:val="00D427FD"/>
    <w:rsid w:val="00D4282C"/>
    <w:rsid w:val="00D428A1"/>
    <w:rsid w:val="00D429EF"/>
    <w:rsid w:val="00D42A66"/>
    <w:rsid w:val="00D42BED"/>
    <w:rsid w:val="00D42D29"/>
    <w:rsid w:val="00D42F6F"/>
    <w:rsid w:val="00D43074"/>
    <w:rsid w:val="00D4314C"/>
    <w:rsid w:val="00D432D8"/>
    <w:rsid w:val="00D43374"/>
    <w:rsid w:val="00D43456"/>
    <w:rsid w:val="00D43568"/>
    <w:rsid w:val="00D435D4"/>
    <w:rsid w:val="00D43796"/>
    <w:rsid w:val="00D43846"/>
    <w:rsid w:val="00D43A28"/>
    <w:rsid w:val="00D43C69"/>
    <w:rsid w:val="00D43D4A"/>
    <w:rsid w:val="00D43F90"/>
    <w:rsid w:val="00D4418E"/>
    <w:rsid w:val="00D441BA"/>
    <w:rsid w:val="00D4427C"/>
    <w:rsid w:val="00D4447D"/>
    <w:rsid w:val="00D44487"/>
    <w:rsid w:val="00D44539"/>
    <w:rsid w:val="00D44684"/>
    <w:rsid w:val="00D446FB"/>
    <w:rsid w:val="00D44836"/>
    <w:rsid w:val="00D44849"/>
    <w:rsid w:val="00D448D7"/>
    <w:rsid w:val="00D449B5"/>
    <w:rsid w:val="00D44AC6"/>
    <w:rsid w:val="00D44B0E"/>
    <w:rsid w:val="00D44CA1"/>
    <w:rsid w:val="00D44DB0"/>
    <w:rsid w:val="00D44E25"/>
    <w:rsid w:val="00D44F03"/>
    <w:rsid w:val="00D44F04"/>
    <w:rsid w:val="00D44FAA"/>
    <w:rsid w:val="00D44FC0"/>
    <w:rsid w:val="00D44FCC"/>
    <w:rsid w:val="00D45065"/>
    <w:rsid w:val="00D4512B"/>
    <w:rsid w:val="00D45311"/>
    <w:rsid w:val="00D453A7"/>
    <w:rsid w:val="00D4548B"/>
    <w:rsid w:val="00D45521"/>
    <w:rsid w:val="00D45771"/>
    <w:rsid w:val="00D458DE"/>
    <w:rsid w:val="00D4592B"/>
    <w:rsid w:val="00D45B66"/>
    <w:rsid w:val="00D45C17"/>
    <w:rsid w:val="00D45D29"/>
    <w:rsid w:val="00D45EE1"/>
    <w:rsid w:val="00D45F3F"/>
    <w:rsid w:val="00D460A0"/>
    <w:rsid w:val="00D46137"/>
    <w:rsid w:val="00D461EF"/>
    <w:rsid w:val="00D46223"/>
    <w:rsid w:val="00D46278"/>
    <w:rsid w:val="00D46333"/>
    <w:rsid w:val="00D46445"/>
    <w:rsid w:val="00D4661D"/>
    <w:rsid w:val="00D466FB"/>
    <w:rsid w:val="00D4682E"/>
    <w:rsid w:val="00D4698A"/>
    <w:rsid w:val="00D46B23"/>
    <w:rsid w:val="00D46C2F"/>
    <w:rsid w:val="00D46D27"/>
    <w:rsid w:val="00D46E01"/>
    <w:rsid w:val="00D46E92"/>
    <w:rsid w:val="00D46ECB"/>
    <w:rsid w:val="00D46F2D"/>
    <w:rsid w:val="00D47170"/>
    <w:rsid w:val="00D47181"/>
    <w:rsid w:val="00D471F1"/>
    <w:rsid w:val="00D47294"/>
    <w:rsid w:val="00D472C8"/>
    <w:rsid w:val="00D47317"/>
    <w:rsid w:val="00D47583"/>
    <w:rsid w:val="00D477BE"/>
    <w:rsid w:val="00D477FE"/>
    <w:rsid w:val="00D479C3"/>
    <w:rsid w:val="00D47A02"/>
    <w:rsid w:val="00D47AA0"/>
    <w:rsid w:val="00D47B86"/>
    <w:rsid w:val="00D5002C"/>
    <w:rsid w:val="00D5014B"/>
    <w:rsid w:val="00D50186"/>
    <w:rsid w:val="00D502F8"/>
    <w:rsid w:val="00D5038B"/>
    <w:rsid w:val="00D50705"/>
    <w:rsid w:val="00D5080E"/>
    <w:rsid w:val="00D50A71"/>
    <w:rsid w:val="00D50C95"/>
    <w:rsid w:val="00D50DF9"/>
    <w:rsid w:val="00D50ECF"/>
    <w:rsid w:val="00D50EDE"/>
    <w:rsid w:val="00D50F04"/>
    <w:rsid w:val="00D50F49"/>
    <w:rsid w:val="00D50FE1"/>
    <w:rsid w:val="00D51047"/>
    <w:rsid w:val="00D51202"/>
    <w:rsid w:val="00D51272"/>
    <w:rsid w:val="00D51275"/>
    <w:rsid w:val="00D51362"/>
    <w:rsid w:val="00D51548"/>
    <w:rsid w:val="00D5161E"/>
    <w:rsid w:val="00D517AA"/>
    <w:rsid w:val="00D51832"/>
    <w:rsid w:val="00D5183B"/>
    <w:rsid w:val="00D5188C"/>
    <w:rsid w:val="00D5197B"/>
    <w:rsid w:val="00D51AD5"/>
    <w:rsid w:val="00D51B8D"/>
    <w:rsid w:val="00D51CE7"/>
    <w:rsid w:val="00D51D1E"/>
    <w:rsid w:val="00D51FFE"/>
    <w:rsid w:val="00D52380"/>
    <w:rsid w:val="00D523C3"/>
    <w:rsid w:val="00D5256C"/>
    <w:rsid w:val="00D5262B"/>
    <w:rsid w:val="00D527E4"/>
    <w:rsid w:val="00D52B49"/>
    <w:rsid w:val="00D52DFA"/>
    <w:rsid w:val="00D52FD6"/>
    <w:rsid w:val="00D532EE"/>
    <w:rsid w:val="00D535AF"/>
    <w:rsid w:val="00D5365B"/>
    <w:rsid w:val="00D537C0"/>
    <w:rsid w:val="00D537D1"/>
    <w:rsid w:val="00D53B7A"/>
    <w:rsid w:val="00D53B7D"/>
    <w:rsid w:val="00D53BBE"/>
    <w:rsid w:val="00D53C29"/>
    <w:rsid w:val="00D53C6E"/>
    <w:rsid w:val="00D53C75"/>
    <w:rsid w:val="00D53FBA"/>
    <w:rsid w:val="00D53FBD"/>
    <w:rsid w:val="00D54041"/>
    <w:rsid w:val="00D54495"/>
    <w:rsid w:val="00D544F4"/>
    <w:rsid w:val="00D54552"/>
    <w:rsid w:val="00D54664"/>
    <w:rsid w:val="00D546EE"/>
    <w:rsid w:val="00D5471C"/>
    <w:rsid w:val="00D5477D"/>
    <w:rsid w:val="00D54858"/>
    <w:rsid w:val="00D54868"/>
    <w:rsid w:val="00D549BE"/>
    <w:rsid w:val="00D549DF"/>
    <w:rsid w:val="00D54C52"/>
    <w:rsid w:val="00D54E0E"/>
    <w:rsid w:val="00D54F22"/>
    <w:rsid w:val="00D553A1"/>
    <w:rsid w:val="00D5560D"/>
    <w:rsid w:val="00D557A1"/>
    <w:rsid w:val="00D558A7"/>
    <w:rsid w:val="00D559CD"/>
    <w:rsid w:val="00D55A5A"/>
    <w:rsid w:val="00D55ABF"/>
    <w:rsid w:val="00D55B86"/>
    <w:rsid w:val="00D55E32"/>
    <w:rsid w:val="00D55EA7"/>
    <w:rsid w:val="00D55F66"/>
    <w:rsid w:val="00D56063"/>
    <w:rsid w:val="00D56388"/>
    <w:rsid w:val="00D56400"/>
    <w:rsid w:val="00D5661D"/>
    <w:rsid w:val="00D566E1"/>
    <w:rsid w:val="00D56A1F"/>
    <w:rsid w:val="00D56A68"/>
    <w:rsid w:val="00D56C4C"/>
    <w:rsid w:val="00D56DDF"/>
    <w:rsid w:val="00D56E06"/>
    <w:rsid w:val="00D56F4E"/>
    <w:rsid w:val="00D57010"/>
    <w:rsid w:val="00D5703A"/>
    <w:rsid w:val="00D57069"/>
    <w:rsid w:val="00D570C6"/>
    <w:rsid w:val="00D57176"/>
    <w:rsid w:val="00D5721F"/>
    <w:rsid w:val="00D573CD"/>
    <w:rsid w:val="00D5744C"/>
    <w:rsid w:val="00D5747D"/>
    <w:rsid w:val="00D57515"/>
    <w:rsid w:val="00D57578"/>
    <w:rsid w:val="00D5769D"/>
    <w:rsid w:val="00D57733"/>
    <w:rsid w:val="00D577DC"/>
    <w:rsid w:val="00D57877"/>
    <w:rsid w:val="00D578DA"/>
    <w:rsid w:val="00D5793A"/>
    <w:rsid w:val="00D57B08"/>
    <w:rsid w:val="00D57C01"/>
    <w:rsid w:val="00D57CB7"/>
    <w:rsid w:val="00D57CF2"/>
    <w:rsid w:val="00D57D75"/>
    <w:rsid w:val="00D57ED5"/>
    <w:rsid w:val="00D57F0B"/>
    <w:rsid w:val="00D57F23"/>
    <w:rsid w:val="00D6004B"/>
    <w:rsid w:val="00D60072"/>
    <w:rsid w:val="00D6013A"/>
    <w:rsid w:val="00D60194"/>
    <w:rsid w:val="00D6030E"/>
    <w:rsid w:val="00D60312"/>
    <w:rsid w:val="00D60437"/>
    <w:rsid w:val="00D6046A"/>
    <w:rsid w:val="00D60550"/>
    <w:rsid w:val="00D60569"/>
    <w:rsid w:val="00D60572"/>
    <w:rsid w:val="00D6058D"/>
    <w:rsid w:val="00D607E6"/>
    <w:rsid w:val="00D60823"/>
    <w:rsid w:val="00D60896"/>
    <w:rsid w:val="00D6095C"/>
    <w:rsid w:val="00D60AF5"/>
    <w:rsid w:val="00D60B8F"/>
    <w:rsid w:val="00D60D43"/>
    <w:rsid w:val="00D60D55"/>
    <w:rsid w:val="00D60D67"/>
    <w:rsid w:val="00D60DB2"/>
    <w:rsid w:val="00D60DB5"/>
    <w:rsid w:val="00D60F4A"/>
    <w:rsid w:val="00D60FD8"/>
    <w:rsid w:val="00D61103"/>
    <w:rsid w:val="00D611C5"/>
    <w:rsid w:val="00D612B4"/>
    <w:rsid w:val="00D61333"/>
    <w:rsid w:val="00D61341"/>
    <w:rsid w:val="00D61373"/>
    <w:rsid w:val="00D61403"/>
    <w:rsid w:val="00D6141A"/>
    <w:rsid w:val="00D61683"/>
    <w:rsid w:val="00D6176A"/>
    <w:rsid w:val="00D61788"/>
    <w:rsid w:val="00D6192D"/>
    <w:rsid w:val="00D61987"/>
    <w:rsid w:val="00D619AF"/>
    <w:rsid w:val="00D619B4"/>
    <w:rsid w:val="00D61A29"/>
    <w:rsid w:val="00D61A2A"/>
    <w:rsid w:val="00D61AE7"/>
    <w:rsid w:val="00D61B98"/>
    <w:rsid w:val="00D61BE0"/>
    <w:rsid w:val="00D61C32"/>
    <w:rsid w:val="00D61DDC"/>
    <w:rsid w:val="00D61DE9"/>
    <w:rsid w:val="00D6213F"/>
    <w:rsid w:val="00D62169"/>
    <w:rsid w:val="00D6220D"/>
    <w:rsid w:val="00D6229D"/>
    <w:rsid w:val="00D622B4"/>
    <w:rsid w:val="00D623D2"/>
    <w:rsid w:val="00D625F6"/>
    <w:rsid w:val="00D626C4"/>
    <w:rsid w:val="00D62708"/>
    <w:rsid w:val="00D627DC"/>
    <w:rsid w:val="00D62950"/>
    <w:rsid w:val="00D629D2"/>
    <w:rsid w:val="00D62ABE"/>
    <w:rsid w:val="00D62AE8"/>
    <w:rsid w:val="00D62BF9"/>
    <w:rsid w:val="00D62DB1"/>
    <w:rsid w:val="00D62EC7"/>
    <w:rsid w:val="00D62F70"/>
    <w:rsid w:val="00D62FC1"/>
    <w:rsid w:val="00D6304B"/>
    <w:rsid w:val="00D63244"/>
    <w:rsid w:val="00D63358"/>
    <w:rsid w:val="00D634B3"/>
    <w:rsid w:val="00D636FC"/>
    <w:rsid w:val="00D637F5"/>
    <w:rsid w:val="00D63833"/>
    <w:rsid w:val="00D63A2A"/>
    <w:rsid w:val="00D63B01"/>
    <w:rsid w:val="00D63D2D"/>
    <w:rsid w:val="00D63E6B"/>
    <w:rsid w:val="00D63EA7"/>
    <w:rsid w:val="00D64157"/>
    <w:rsid w:val="00D6424A"/>
    <w:rsid w:val="00D64406"/>
    <w:rsid w:val="00D644D8"/>
    <w:rsid w:val="00D64528"/>
    <w:rsid w:val="00D64541"/>
    <w:rsid w:val="00D6469F"/>
    <w:rsid w:val="00D6471F"/>
    <w:rsid w:val="00D6480F"/>
    <w:rsid w:val="00D6498E"/>
    <w:rsid w:val="00D64AA4"/>
    <w:rsid w:val="00D64DE2"/>
    <w:rsid w:val="00D64F1C"/>
    <w:rsid w:val="00D64F56"/>
    <w:rsid w:val="00D6510D"/>
    <w:rsid w:val="00D65128"/>
    <w:rsid w:val="00D65201"/>
    <w:rsid w:val="00D6520B"/>
    <w:rsid w:val="00D652DE"/>
    <w:rsid w:val="00D652FB"/>
    <w:rsid w:val="00D653FC"/>
    <w:rsid w:val="00D65406"/>
    <w:rsid w:val="00D65584"/>
    <w:rsid w:val="00D65637"/>
    <w:rsid w:val="00D65867"/>
    <w:rsid w:val="00D65AC1"/>
    <w:rsid w:val="00D65D19"/>
    <w:rsid w:val="00D65F58"/>
    <w:rsid w:val="00D6605E"/>
    <w:rsid w:val="00D6615C"/>
    <w:rsid w:val="00D66265"/>
    <w:rsid w:val="00D66541"/>
    <w:rsid w:val="00D6656A"/>
    <w:rsid w:val="00D6662B"/>
    <w:rsid w:val="00D666AA"/>
    <w:rsid w:val="00D66A8A"/>
    <w:rsid w:val="00D66ABE"/>
    <w:rsid w:val="00D66E22"/>
    <w:rsid w:val="00D6707C"/>
    <w:rsid w:val="00D67356"/>
    <w:rsid w:val="00D6738A"/>
    <w:rsid w:val="00D6753E"/>
    <w:rsid w:val="00D6755C"/>
    <w:rsid w:val="00D6758D"/>
    <w:rsid w:val="00D67A90"/>
    <w:rsid w:val="00D67AE1"/>
    <w:rsid w:val="00D67C3E"/>
    <w:rsid w:val="00D67CDE"/>
    <w:rsid w:val="00D67D3A"/>
    <w:rsid w:val="00D67D8C"/>
    <w:rsid w:val="00D67E5F"/>
    <w:rsid w:val="00D700FD"/>
    <w:rsid w:val="00D701FF"/>
    <w:rsid w:val="00D7025A"/>
    <w:rsid w:val="00D70329"/>
    <w:rsid w:val="00D70448"/>
    <w:rsid w:val="00D70479"/>
    <w:rsid w:val="00D704B7"/>
    <w:rsid w:val="00D704FB"/>
    <w:rsid w:val="00D70604"/>
    <w:rsid w:val="00D707BA"/>
    <w:rsid w:val="00D7085C"/>
    <w:rsid w:val="00D70B0E"/>
    <w:rsid w:val="00D70BBB"/>
    <w:rsid w:val="00D70EA2"/>
    <w:rsid w:val="00D70EF8"/>
    <w:rsid w:val="00D70FEC"/>
    <w:rsid w:val="00D70FF0"/>
    <w:rsid w:val="00D710C7"/>
    <w:rsid w:val="00D711E7"/>
    <w:rsid w:val="00D71240"/>
    <w:rsid w:val="00D71247"/>
    <w:rsid w:val="00D71278"/>
    <w:rsid w:val="00D714D0"/>
    <w:rsid w:val="00D71563"/>
    <w:rsid w:val="00D71586"/>
    <w:rsid w:val="00D715BB"/>
    <w:rsid w:val="00D716BC"/>
    <w:rsid w:val="00D7174E"/>
    <w:rsid w:val="00D717D8"/>
    <w:rsid w:val="00D71805"/>
    <w:rsid w:val="00D71821"/>
    <w:rsid w:val="00D7184D"/>
    <w:rsid w:val="00D718E0"/>
    <w:rsid w:val="00D71A52"/>
    <w:rsid w:val="00D71B76"/>
    <w:rsid w:val="00D71BA8"/>
    <w:rsid w:val="00D71C43"/>
    <w:rsid w:val="00D71D96"/>
    <w:rsid w:val="00D71DC8"/>
    <w:rsid w:val="00D71EC2"/>
    <w:rsid w:val="00D71F16"/>
    <w:rsid w:val="00D720C8"/>
    <w:rsid w:val="00D721E6"/>
    <w:rsid w:val="00D724E7"/>
    <w:rsid w:val="00D72542"/>
    <w:rsid w:val="00D72613"/>
    <w:rsid w:val="00D72722"/>
    <w:rsid w:val="00D729B8"/>
    <w:rsid w:val="00D72B99"/>
    <w:rsid w:val="00D72C21"/>
    <w:rsid w:val="00D72C63"/>
    <w:rsid w:val="00D732C4"/>
    <w:rsid w:val="00D73333"/>
    <w:rsid w:val="00D73338"/>
    <w:rsid w:val="00D733B4"/>
    <w:rsid w:val="00D73460"/>
    <w:rsid w:val="00D734C5"/>
    <w:rsid w:val="00D7361A"/>
    <w:rsid w:val="00D736DC"/>
    <w:rsid w:val="00D73863"/>
    <w:rsid w:val="00D7399A"/>
    <w:rsid w:val="00D73B8E"/>
    <w:rsid w:val="00D73BF2"/>
    <w:rsid w:val="00D73D10"/>
    <w:rsid w:val="00D73DB1"/>
    <w:rsid w:val="00D73E97"/>
    <w:rsid w:val="00D74163"/>
    <w:rsid w:val="00D7422A"/>
    <w:rsid w:val="00D7424A"/>
    <w:rsid w:val="00D74373"/>
    <w:rsid w:val="00D743CF"/>
    <w:rsid w:val="00D74737"/>
    <w:rsid w:val="00D7474F"/>
    <w:rsid w:val="00D748D5"/>
    <w:rsid w:val="00D74B89"/>
    <w:rsid w:val="00D74C24"/>
    <w:rsid w:val="00D74E29"/>
    <w:rsid w:val="00D74E62"/>
    <w:rsid w:val="00D75082"/>
    <w:rsid w:val="00D75250"/>
    <w:rsid w:val="00D752DD"/>
    <w:rsid w:val="00D75394"/>
    <w:rsid w:val="00D753F9"/>
    <w:rsid w:val="00D7552D"/>
    <w:rsid w:val="00D75598"/>
    <w:rsid w:val="00D755BD"/>
    <w:rsid w:val="00D75683"/>
    <w:rsid w:val="00D75692"/>
    <w:rsid w:val="00D758C5"/>
    <w:rsid w:val="00D75904"/>
    <w:rsid w:val="00D75AB7"/>
    <w:rsid w:val="00D75ADC"/>
    <w:rsid w:val="00D75DA4"/>
    <w:rsid w:val="00D75DB4"/>
    <w:rsid w:val="00D75DC9"/>
    <w:rsid w:val="00D75E3A"/>
    <w:rsid w:val="00D75EB9"/>
    <w:rsid w:val="00D75ED3"/>
    <w:rsid w:val="00D75EF4"/>
    <w:rsid w:val="00D76093"/>
    <w:rsid w:val="00D76131"/>
    <w:rsid w:val="00D7621A"/>
    <w:rsid w:val="00D7629C"/>
    <w:rsid w:val="00D76327"/>
    <w:rsid w:val="00D7637A"/>
    <w:rsid w:val="00D7639B"/>
    <w:rsid w:val="00D76432"/>
    <w:rsid w:val="00D76450"/>
    <w:rsid w:val="00D764F7"/>
    <w:rsid w:val="00D766B4"/>
    <w:rsid w:val="00D76816"/>
    <w:rsid w:val="00D768F1"/>
    <w:rsid w:val="00D7693C"/>
    <w:rsid w:val="00D76B99"/>
    <w:rsid w:val="00D76CD6"/>
    <w:rsid w:val="00D76CD9"/>
    <w:rsid w:val="00D76D44"/>
    <w:rsid w:val="00D76F03"/>
    <w:rsid w:val="00D77008"/>
    <w:rsid w:val="00D7714E"/>
    <w:rsid w:val="00D77155"/>
    <w:rsid w:val="00D77240"/>
    <w:rsid w:val="00D772A8"/>
    <w:rsid w:val="00D7732B"/>
    <w:rsid w:val="00D77370"/>
    <w:rsid w:val="00D77609"/>
    <w:rsid w:val="00D77712"/>
    <w:rsid w:val="00D7771F"/>
    <w:rsid w:val="00D7788B"/>
    <w:rsid w:val="00D7791A"/>
    <w:rsid w:val="00D7793B"/>
    <w:rsid w:val="00D77A20"/>
    <w:rsid w:val="00D77A8E"/>
    <w:rsid w:val="00D77AF5"/>
    <w:rsid w:val="00D77B32"/>
    <w:rsid w:val="00D77CFD"/>
    <w:rsid w:val="00D77D2C"/>
    <w:rsid w:val="00D77DF6"/>
    <w:rsid w:val="00D8000E"/>
    <w:rsid w:val="00D80157"/>
    <w:rsid w:val="00D8015A"/>
    <w:rsid w:val="00D80442"/>
    <w:rsid w:val="00D80457"/>
    <w:rsid w:val="00D80472"/>
    <w:rsid w:val="00D80498"/>
    <w:rsid w:val="00D805AC"/>
    <w:rsid w:val="00D8064B"/>
    <w:rsid w:val="00D806E6"/>
    <w:rsid w:val="00D80724"/>
    <w:rsid w:val="00D80781"/>
    <w:rsid w:val="00D807E3"/>
    <w:rsid w:val="00D808FF"/>
    <w:rsid w:val="00D809F5"/>
    <w:rsid w:val="00D80A80"/>
    <w:rsid w:val="00D80BB2"/>
    <w:rsid w:val="00D80C57"/>
    <w:rsid w:val="00D80DA6"/>
    <w:rsid w:val="00D80E39"/>
    <w:rsid w:val="00D80EFF"/>
    <w:rsid w:val="00D81223"/>
    <w:rsid w:val="00D812AE"/>
    <w:rsid w:val="00D81316"/>
    <w:rsid w:val="00D8137B"/>
    <w:rsid w:val="00D81392"/>
    <w:rsid w:val="00D815B7"/>
    <w:rsid w:val="00D817DB"/>
    <w:rsid w:val="00D8195E"/>
    <w:rsid w:val="00D81B96"/>
    <w:rsid w:val="00D81CEE"/>
    <w:rsid w:val="00D81D02"/>
    <w:rsid w:val="00D81D69"/>
    <w:rsid w:val="00D81E7D"/>
    <w:rsid w:val="00D820CD"/>
    <w:rsid w:val="00D82248"/>
    <w:rsid w:val="00D8242F"/>
    <w:rsid w:val="00D8245E"/>
    <w:rsid w:val="00D824D3"/>
    <w:rsid w:val="00D82781"/>
    <w:rsid w:val="00D82846"/>
    <w:rsid w:val="00D82922"/>
    <w:rsid w:val="00D82B14"/>
    <w:rsid w:val="00D82B2C"/>
    <w:rsid w:val="00D82B9D"/>
    <w:rsid w:val="00D82BC5"/>
    <w:rsid w:val="00D82D42"/>
    <w:rsid w:val="00D82D5C"/>
    <w:rsid w:val="00D830A8"/>
    <w:rsid w:val="00D83144"/>
    <w:rsid w:val="00D831FE"/>
    <w:rsid w:val="00D83275"/>
    <w:rsid w:val="00D8342A"/>
    <w:rsid w:val="00D835C2"/>
    <w:rsid w:val="00D8360F"/>
    <w:rsid w:val="00D8393C"/>
    <w:rsid w:val="00D83ABD"/>
    <w:rsid w:val="00D83C09"/>
    <w:rsid w:val="00D83CF2"/>
    <w:rsid w:val="00D83D72"/>
    <w:rsid w:val="00D841EE"/>
    <w:rsid w:val="00D84240"/>
    <w:rsid w:val="00D842AF"/>
    <w:rsid w:val="00D8435C"/>
    <w:rsid w:val="00D843E4"/>
    <w:rsid w:val="00D84520"/>
    <w:rsid w:val="00D84536"/>
    <w:rsid w:val="00D847A7"/>
    <w:rsid w:val="00D848FA"/>
    <w:rsid w:val="00D8495C"/>
    <w:rsid w:val="00D84A63"/>
    <w:rsid w:val="00D84B26"/>
    <w:rsid w:val="00D84B4D"/>
    <w:rsid w:val="00D84D4E"/>
    <w:rsid w:val="00D84FAF"/>
    <w:rsid w:val="00D85095"/>
    <w:rsid w:val="00D851BC"/>
    <w:rsid w:val="00D85332"/>
    <w:rsid w:val="00D8533F"/>
    <w:rsid w:val="00D853C2"/>
    <w:rsid w:val="00D85446"/>
    <w:rsid w:val="00D856B6"/>
    <w:rsid w:val="00D856E2"/>
    <w:rsid w:val="00D857E3"/>
    <w:rsid w:val="00D85861"/>
    <w:rsid w:val="00D85911"/>
    <w:rsid w:val="00D85912"/>
    <w:rsid w:val="00D859A1"/>
    <w:rsid w:val="00D85A6E"/>
    <w:rsid w:val="00D85ACB"/>
    <w:rsid w:val="00D85AEB"/>
    <w:rsid w:val="00D85C0D"/>
    <w:rsid w:val="00D85C51"/>
    <w:rsid w:val="00D85D3A"/>
    <w:rsid w:val="00D85D44"/>
    <w:rsid w:val="00D85E55"/>
    <w:rsid w:val="00D85FCD"/>
    <w:rsid w:val="00D8626A"/>
    <w:rsid w:val="00D8626E"/>
    <w:rsid w:val="00D8634A"/>
    <w:rsid w:val="00D863A8"/>
    <w:rsid w:val="00D865C3"/>
    <w:rsid w:val="00D865D2"/>
    <w:rsid w:val="00D8674E"/>
    <w:rsid w:val="00D867BB"/>
    <w:rsid w:val="00D86894"/>
    <w:rsid w:val="00D8691B"/>
    <w:rsid w:val="00D86B11"/>
    <w:rsid w:val="00D86B39"/>
    <w:rsid w:val="00D86BD0"/>
    <w:rsid w:val="00D86BFC"/>
    <w:rsid w:val="00D86C65"/>
    <w:rsid w:val="00D86CB3"/>
    <w:rsid w:val="00D86E45"/>
    <w:rsid w:val="00D86E80"/>
    <w:rsid w:val="00D86E9F"/>
    <w:rsid w:val="00D86FAA"/>
    <w:rsid w:val="00D86FB8"/>
    <w:rsid w:val="00D87009"/>
    <w:rsid w:val="00D8701B"/>
    <w:rsid w:val="00D8708D"/>
    <w:rsid w:val="00D87161"/>
    <w:rsid w:val="00D871EB"/>
    <w:rsid w:val="00D87233"/>
    <w:rsid w:val="00D8726A"/>
    <w:rsid w:val="00D87461"/>
    <w:rsid w:val="00D874E1"/>
    <w:rsid w:val="00D875A6"/>
    <w:rsid w:val="00D876DA"/>
    <w:rsid w:val="00D878EF"/>
    <w:rsid w:val="00D879E9"/>
    <w:rsid w:val="00D87C59"/>
    <w:rsid w:val="00D87DA3"/>
    <w:rsid w:val="00D87F2E"/>
    <w:rsid w:val="00D87F55"/>
    <w:rsid w:val="00D90043"/>
    <w:rsid w:val="00D90221"/>
    <w:rsid w:val="00D90246"/>
    <w:rsid w:val="00D902E6"/>
    <w:rsid w:val="00D903CB"/>
    <w:rsid w:val="00D9053E"/>
    <w:rsid w:val="00D907DB"/>
    <w:rsid w:val="00D90986"/>
    <w:rsid w:val="00D90A5E"/>
    <w:rsid w:val="00D90C79"/>
    <w:rsid w:val="00D90F61"/>
    <w:rsid w:val="00D90FC0"/>
    <w:rsid w:val="00D910DF"/>
    <w:rsid w:val="00D911EC"/>
    <w:rsid w:val="00D9129E"/>
    <w:rsid w:val="00D91473"/>
    <w:rsid w:val="00D91498"/>
    <w:rsid w:val="00D91510"/>
    <w:rsid w:val="00D91591"/>
    <w:rsid w:val="00D91596"/>
    <w:rsid w:val="00D915C9"/>
    <w:rsid w:val="00D915E4"/>
    <w:rsid w:val="00D91768"/>
    <w:rsid w:val="00D917E4"/>
    <w:rsid w:val="00D917F2"/>
    <w:rsid w:val="00D91964"/>
    <w:rsid w:val="00D91A27"/>
    <w:rsid w:val="00D91ACA"/>
    <w:rsid w:val="00D91C86"/>
    <w:rsid w:val="00D91C91"/>
    <w:rsid w:val="00D91DF8"/>
    <w:rsid w:val="00D91EC3"/>
    <w:rsid w:val="00D91F90"/>
    <w:rsid w:val="00D92174"/>
    <w:rsid w:val="00D92368"/>
    <w:rsid w:val="00D9247C"/>
    <w:rsid w:val="00D926D3"/>
    <w:rsid w:val="00D929A8"/>
    <w:rsid w:val="00D92AA2"/>
    <w:rsid w:val="00D92DFD"/>
    <w:rsid w:val="00D92E81"/>
    <w:rsid w:val="00D93097"/>
    <w:rsid w:val="00D9311D"/>
    <w:rsid w:val="00D931E9"/>
    <w:rsid w:val="00D93280"/>
    <w:rsid w:val="00D93368"/>
    <w:rsid w:val="00D93387"/>
    <w:rsid w:val="00D935D4"/>
    <w:rsid w:val="00D93653"/>
    <w:rsid w:val="00D9374C"/>
    <w:rsid w:val="00D937FA"/>
    <w:rsid w:val="00D9381D"/>
    <w:rsid w:val="00D9383B"/>
    <w:rsid w:val="00D938E6"/>
    <w:rsid w:val="00D938F0"/>
    <w:rsid w:val="00D939FB"/>
    <w:rsid w:val="00D93AE3"/>
    <w:rsid w:val="00D93DFF"/>
    <w:rsid w:val="00D93F35"/>
    <w:rsid w:val="00D93F46"/>
    <w:rsid w:val="00D94049"/>
    <w:rsid w:val="00D940A2"/>
    <w:rsid w:val="00D940F2"/>
    <w:rsid w:val="00D94372"/>
    <w:rsid w:val="00D943E9"/>
    <w:rsid w:val="00D944A3"/>
    <w:rsid w:val="00D9473E"/>
    <w:rsid w:val="00D9483B"/>
    <w:rsid w:val="00D94890"/>
    <w:rsid w:val="00D948E2"/>
    <w:rsid w:val="00D94AA0"/>
    <w:rsid w:val="00D94B63"/>
    <w:rsid w:val="00D94C03"/>
    <w:rsid w:val="00D94CAB"/>
    <w:rsid w:val="00D94D7C"/>
    <w:rsid w:val="00D94DCD"/>
    <w:rsid w:val="00D94F28"/>
    <w:rsid w:val="00D95066"/>
    <w:rsid w:val="00D951B2"/>
    <w:rsid w:val="00D951FF"/>
    <w:rsid w:val="00D95391"/>
    <w:rsid w:val="00D958D3"/>
    <w:rsid w:val="00D958E4"/>
    <w:rsid w:val="00D95CA4"/>
    <w:rsid w:val="00D95D09"/>
    <w:rsid w:val="00D95F6C"/>
    <w:rsid w:val="00D95FBC"/>
    <w:rsid w:val="00D96005"/>
    <w:rsid w:val="00D96234"/>
    <w:rsid w:val="00D966EA"/>
    <w:rsid w:val="00D96951"/>
    <w:rsid w:val="00D96B22"/>
    <w:rsid w:val="00D96C53"/>
    <w:rsid w:val="00D96CAE"/>
    <w:rsid w:val="00D96CC6"/>
    <w:rsid w:val="00D96D01"/>
    <w:rsid w:val="00D96D24"/>
    <w:rsid w:val="00D96E28"/>
    <w:rsid w:val="00D96EF1"/>
    <w:rsid w:val="00D96EFF"/>
    <w:rsid w:val="00D96F1E"/>
    <w:rsid w:val="00D970D8"/>
    <w:rsid w:val="00D97248"/>
    <w:rsid w:val="00D97251"/>
    <w:rsid w:val="00D972A9"/>
    <w:rsid w:val="00D972AB"/>
    <w:rsid w:val="00D97328"/>
    <w:rsid w:val="00D97361"/>
    <w:rsid w:val="00D975F3"/>
    <w:rsid w:val="00D976E2"/>
    <w:rsid w:val="00D978A4"/>
    <w:rsid w:val="00D978D8"/>
    <w:rsid w:val="00D979F0"/>
    <w:rsid w:val="00D97AD0"/>
    <w:rsid w:val="00D97B2B"/>
    <w:rsid w:val="00D97C59"/>
    <w:rsid w:val="00D97CCF"/>
    <w:rsid w:val="00D97D70"/>
    <w:rsid w:val="00D97E1C"/>
    <w:rsid w:val="00D97E5C"/>
    <w:rsid w:val="00D97F40"/>
    <w:rsid w:val="00D97F96"/>
    <w:rsid w:val="00DA0276"/>
    <w:rsid w:val="00DA02E2"/>
    <w:rsid w:val="00DA03FA"/>
    <w:rsid w:val="00DA0509"/>
    <w:rsid w:val="00DA0521"/>
    <w:rsid w:val="00DA0695"/>
    <w:rsid w:val="00DA079F"/>
    <w:rsid w:val="00DA0829"/>
    <w:rsid w:val="00DA0B38"/>
    <w:rsid w:val="00DA0B73"/>
    <w:rsid w:val="00DA0E5E"/>
    <w:rsid w:val="00DA0EE4"/>
    <w:rsid w:val="00DA0F4C"/>
    <w:rsid w:val="00DA1026"/>
    <w:rsid w:val="00DA1085"/>
    <w:rsid w:val="00DA13CB"/>
    <w:rsid w:val="00DA15F5"/>
    <w:rsid w:val="00DA171B"/>
    <w:rsid w:val="00DA1725"/>
    <w:rsid w:val="00DA181F"/>
    <w:rsid w:val="00DA1865"/>
    <w:rsid w:val="00DA19A2"/>
    <w:rsid w:val="00DA1C6E"/>
    <w:rsid w:val="00DA1E08"/>
    <w:rsid w:val="00DA1EC3"/>
    <w:rsid w:val="00DA1F0F"/>
    <w:rsid w:val="00DA2024"/>
    <w:rsid w:val="00DA2090"/>
    <w:rsid w:val="00DA2111"/>
    <w:rsid w:val="00DA2463"/>
    <w:rsid w:val="00DA2562"/>
    <w:rsid w:val="00DA2567"/>
    <w:rsid w:val="00DA25E7"/>
    <w:rsid w:val="00DA2621"/>
    <w:rsid w:val="00DA267E"/>
    <w:rsid w:val="00DA26EA"/>
    <w:rsid w:val="00DA2870"/>
    <w:rsid w:val="00DA2896"/>
    <w:rsid w:val="00DA291D"/>
    <w:rsid w:val="00DA296C"/>
    <w:rsid w:val="00DA298F"/>
    <w:rsid w:val="00DA2D9D"/>
    <w:rsid w:val="00DA2E05"/>
    <w:rsid w:val="00DA2F6E"/>
    <w:rsid w:val="00DA30F4"/>
    <w:rsid w:val="00DA31DA"/>
    <w:rsid w:val="00DA3345"/>
    <w:rsid w:val="00DA38F2"/>
    <w:rsid w:val="00DA3942"/>
    <w:rsid w:val="00DA39D3"/>
    <w:rsid w:val="00DA3BEF"/>
    <w:rsid w:val="00DA3C5E"/>
    <w:rsid w:val="00DA3CF8"/>
    <w:rsid w:val="00DA3E92"/>
    <w:rsid w:val="00DA40D2"/>
    <w:rsid w:val="00DA424E"/>
    <w:rsid w:val="00DA4291"/>
    <w:rsid w:val="00DA42EC"/>
    <w:rsid w:val="00DA432C"/>
    <w:rsid w:val="00DA47AA"/>
    <w:rsid w:val="00DA47B5"/>
    <w:rsid w:val="00DA48C9"/>
    <w:rsid w:val="00DA493E"/>
    <w:rsid w:val="00DA495B"/>
    <w:rsid w:val="00DA498D"/>
    <w:rsid w:val="00DA49CA"/>
    <w:rsid w:val="00DA4A99"/>
    <w:rsid w:val="00DA4AFD"/>
    <w:rsid w:val="00DA4B1E"/>
    <w:rsid w:val="00DA4B99"/>
    <w:rsid w:val="00DA4E20"/>
    <w:rsid w:val="00DA4F39"/>
    <w:rsid w:val="00DA4F59"/>
    <w:rsid w:val="00DA5121"/>
    <w:rsid w:val="00DA5481"/>
    <w:rsid w:val="00DA562C"/>
    <w:rsid w:val="00DA569F"/>
    <w:rsid w:val="00DA58D0"/>
    <w:rsid w:val="00DA58DD"/>
    <w:rsid w:val="00DA58FC"/>
    <w:rsid w:val="00DA59D3"/>
    <w:rsid w:val="00DA5A74"/>
    <w:rsid w:val="00DA5A8C"/>
    <w:rsid w:val="00DA5AD3"/>
    <w:rsid w:val="00DA5AE8"/>
    <w:rsid w:val="00DA5C19"/>
    <w:rsid w:val="00DA5CEB"/>
    <w:rsid w:val="00DA5EA3"/>
    <w:rsid w:val="00DA5F97"/>
    <w:rsid w:val="00DA607A"/>
    <w:rsid w:val="00DA62A2"/>
    <w:rsid w:val="00DA630F"/>
    <w:rsid w:val="00DA6567"/>
    <w:rsid w:val="00DA657B"/>
    <w:rsid w:val="00DA6729"/>
    <w:rsid w:val="00DA68F7"/>
    <w:rsid w:val="00DA69E3"/>
    <w:rsid w:val="00DA6A58"/>
    <w:rsid w:val="00DA6CF7"/>
    <w:rsid w:val="00DA6F24"/>
    <w:rsid w:val="00DA6F47"/>
    <w:rsid w:val="00DA6F7C"/>
    <w:rsid w:val="00DA7007"/>
    <w:rsid w:val="00DA70FD"/>
    <w:rsid w:val="00DA736D"/>
    <w:rsid w:val="00DA74E1"/>
    <w:rsid w:val="00DA77AB"/>
    <w:rsid w:val="00DA77CC"/>
    <w:rsid w:val="00DA79FA"/>
    <w:rsid w:val="00DA7BB5"/>
    <w:rsid w:val="00DA7C7C"/>
    <w:rsid w:val="00DA7D68"/>
    <w:rsid w:val="00DA7E2C"/>
    <w:rsid w:val="00DA7F22"/>
    <w:rsid w:val="00DA7F3C"/>
    <w:rsid w:val="00DA7FDE"/>
    <w:rsid w:val="00DB004B"/>
    <w:rsid w:val="00DB00D9"/>
    <w:rsid w:val="00DB01B2"/>
    <w:rsid w:val="00DB01C2"/>
    <w:rsid w:val="00DB0211"/>
    <w:rsid w:val="00DB032C"/>
    <w:rsid w:val="00DB03BB"/>
    <w:rsid w:val="00DB04AE"/>
    <w:rsid w:val="00DB06C1"/>
    <w:rsid w:val="00DB08DD"/>
    <w:rsid w:val="00DB0A11"/>
    <w:rsid w:val="00DB0AD5"/>
    <w:rsid w:val="00DB0BA6"/>
    <w:rsid w:val="00DB0D44"/>
    <w:rsid w:val="00DB0E81"/>
    <w:rsid w:val="00DB1060"/>
    <w:rsid w:val="00DB10A2"/>
    <w:rsid w:val="00DB1147"/>
    <w:rsid w:val="00DB11A8"/>
    <w:rsid w:val="00DB12D2"/>
    <w:rsid w:val="00DB132B"/>
    <w:rsid w:val="00DB1805"/>
    <w:rsid w:val="00DB1891"/>
    <w:rsid w:val="00DB1B64"/>
    <w:rsid w:val="00DB1E31"/>
    <w:rsid w:val="00DB213E"/>
    <w:rsid w:val="00DB223C"/>
    <w:rsid w:val="00DB2276"/>
    <w:rsid w:val="00DB25BE"/>
    <w:rsid w:val="00DB25C2"/>
    <w:rsid w:val="00DB25ED"/>
    <w:rsid w:val="00DB2910"/>
    <w:rsid w:val="00DB29A7"/>
    <w:rsid w:val="00DB2C9E"/>
    <w:rsid w:val="00DB2CCE"/>
    <w:rsid w:val="00DB2DE3"/>
    <w:rsid w:val="00DB2EDE"/>
    <w:rsid w:val="00DB2F50"/>
    <w:rsid w:val="00DB314E"/>
    <w:rsid w:val="00DB331D"/>
    <w:rsid w:val="00DB3322"/>
    <w:rsid w:val="00DB335E"/>
    <w:rsid w:val="00DB33B0"/>
    <w:rsid w:val="00DB33DB"/>
    <w:rsid w:val="00DB342D"/>
    <w:rsid w:val="00DB3511"/>
    <w:rsid w:val="00DB3536"/>
    <w:rsid w:val="00DB3600"/>
    <w:rsid w:val="00DB3602"/>
    <w:rsid w:val="00DB36BE"/>
    <w:rsid w:val="00DB37BB"/>
    <w:rsid w:val="00DB389E"/>
    <w:rsid w:val="00DB3C46"/>
    <w:rsid w:val="00DB3C48"/>
    <w:rsid w:val="00DB3F2B"/>
    <w:rsid w:val="00DB3FEB"/>
    <w:rsid w:val="00DB4091"/>
    <w:rsid w:val="00DB42BE"/>
    <w:rsid w:val="00DB42F0"/>
    <w:rsid w:val="00DB46AF"/>
    <w:rsid w:val="00DB4781"/>
    <w:rsid w:val="00DB4DAB"/>
    <w:rsid w:val="00DB4E05"/>
    <w:rsid w:val="00DB4F05"/>
    <w:rsid w:val="00DB5197"/>
    <w:rsid w:val="00DB52C2"/>
    <w:rsid w:val="00DB52D3"/>
    <w:rsid w:val="00DB541B"/>
    <w:rsid w:val="00DB5433"/>
    <w:rsid w:val="00DB57B4"/>
    <w:rsid w:val="00DB585F"/>
    <w:rsid w:val="00DB59C7"/>
    <w:rsid w:val="00DB5A1C"/>
    <w:rsid w:val="00DB5AB0"/>
    <w:rsid w:val="00DB5B51"/>
    <w:rsid w:val="00DB5C9F"/>
    <w:rsid w:val="00DB5E35"/>
    <w:rsid w:val="00DB5E80"/>
    <w:rsid w:val="00DB6047"/>
    <w:rsid w:val="00DB6070"/>
    <w:rsid w:val="00DB6122"/>
    <w:rsid w:val="00DB62D6"/>
    <w:rsid w:val="00DB6304"/>
    <w:rsid w:val="00DB6427"/>
    <w:rsid w:val="00DB64F3"/>
    <w:rsid w:val="00DB6536"/>
    <w:rsid w:val="00DB65B9"/>
    <w:rsid w:val="00DB681D"/>
    <w:rsid w:val="00DB69B7"/>
    <w:rsid w:val="00DB69C4"/>
    <w:rsid w:val="00DB6A50"/>
    <w:rsid w:val="00DB6A9B"/>
    <w:rsid w:val="00DB6B84"/>
    <w:rsid w:val="00DB6BBC"/>
    <w:rsid w:val="00DB6BDD"/>
    <w:rsid w:val="00DB6C6C"/>
    <w:rsid w:val="00DB6C9C"/>
    <w:rsid w:val="00DB6E06"/>
    <w:rsid w:val="00DB6EC7"/>
    <w:rsid w:val="00DB6EF4"/>
    <w:rsid w:val="00DB6F93"/>
    <w:rsid w:val="00DB6F97"/>
    <w:rsid w:val="00DB70A5"/>
    <w:rsid w:val="00DB7403"/>
    <w:rsid w:val="00DB744F"/>
    <w:rsid w:val="00DB7769"/>
    <w:rsid w:val="00DB7A57"/>
    <w:rsid w:val="00DB7C32"/>
    <w:rsid w:val="00DB7D5D"/>
    <w:rsid w:val="00DB7D94"/>
    <w:rsid w:val="00DB7D98"/>
    <w:rsid w:val="00DB7FF7"/>
    <w:rsid w:val="00DC0410"/>
    <w:rsid w:val="00DC043E"/>
    <w:rsid w:val="00DC0480"/>
    <w:rsid w:val="00DC0640"/>
    <w:rsid w:val="00DC074C"/>
    <w:rsid w:val="00DC0762"/>
    <w:rsid w:val="00DC08ED"/>
    <w:rsid w:val="00DC099B"/>
    <w:rsid w:val="00DC0A4D"/>
    <w:rsid w:val="00DC0A75"/>
    <w:rsid w:val="00DC0BF8"/>
    <w:rsid w:val="00DC0D09"/>
    <w:rsid w:val="00DC0D9C"/>
    <w:rsid w:val="00DC0DC6"/>
    <w:rsid w:val="00DC0E18"/>
    <w:rsid w:val="00DC0E1E"/>
    <w:rsid w:val="00DC0E3B"/>
    <w:rsid w:val="00DC0ED7"/>
    <w:rsid w:val="00DC0F1C"/>
    <w:rsid w:val="00DC0FF1"/>
    <w:rsid w:val="00DC1109"/>
    <w:rsid w:val="00DC118A"/>
    <w:rsid w:val="00DC11EA"/>
    <w:rsid w:val="00DC12B7"/>
    <w:rsid w:val="00DC155C"/>
    <w:rsid w:val="00DC15B4"/>
    <w:rsid w:val="00DC1633"/>
    <w:rsid w:val="00DC1895"/>
    <w:rsid w:val="00DC190F"/>
    <w:rsid w:val="00DC1A5B"/>
    <w:rsid w:val="00DC1B5F"/>
    <w:rsid w:val="00DC1DB5"/>
    <w:rsid w:val="00DC1E4A"/>
    <w:rsid w:val="00DC1EE4"/>
    <w:rsid w:val="00DC1F3E"/>
    <w:rsid w:val="00DC20B8"/>
    <w:rsid w:val="00DC2465"/>
    <w:rsid w:val="00DC249C"/>
    <w:rsid w:val="00DC262A"/>
    <w:rsid w:val="00DC2922"/>
    <w:rsid w:val="00DC2A8A"/>
    <w:rsid w:val="00DC2A8C"/>
    <w:rsid w:val="00DC2A9B"/>
    <w:rsid w:val="00DC2B38"/>
    <w:rsid w:val="00DC2C5C"/>
    <w:rsid w:val="00DC2C97"/>
    <w:rsid w:val="00DC2D03"/>
    <w:rsid w:val="00DC2EA9"/>
    <w:rsid w:val="00DC2ED5"/>
    <w:rsid w:val="00DC2F2B"/>
    <w:rsid w:val="00DC2F9C"/>
    <w:rsid w:val="00DC3086"/>
    <w:rsid w:val="00DC3109"/>
    <w:rsid w:val="00DC333C"/>
    <w:rsid w:val="00DC34DE"/>
    <w:rsid w:val="00DC36EF"/>
    <w:rsid w:val="00DC37B1"/>
    <w:rsid w:val="00DC38B0"/>
    <w:rsid w:val="00DC3B1E"/>
    <w:rsid w:val="00DC3D42"/>
    <w:rsid w:val="00DC3D70"/>
    <w:rsid w:val="00DC3F79"/>
    <w:rsid w:val="00DC41F4"/>
    <w:rsid w:val="00DC4574"/>
    <w:rsid w:val="00DC46B9"/>
    <w:rsid w:val="00DC46F9"/>
    <w:rsid w:val="00DC47C7"/>
    <w:rsid w:val="00DC48BA"/>
    <w:rsid w:val="00DC48CC"/>
    <w:rsid w:val="00DC48F4"/>
    <w:rsid w:val="00DC48F9"/>
    <w:rsid w:val="00DC498D"/>
    <w:rsid w:val="00DC4C51"/>
    <w:rsid w:val="00DC4DAE"/>
    <w:rsid w:val="00DC515B"/>
    <w:rsid w:val="00DC55EB"/>
    <w:rsid w:val="00DC5615"/>
    <w:rsid w:val="00DC561B"/>
    <w:rsid w:val="00DC5852"/>
    <w:rsid w:val="00DC5D9C"/>
    <w:rsid w:val="00DC5FB0"/>
    <w:rsid w:val="00DC60C3"/>
    <w:rsid w:val="00DC621E"/>
    <w:rsid w:val="00DC648F"/>
    <w:rsid w:val="00DC64ED"/>
    <w:rsid w:val="00DC6511"/>
    <w:rsid w:val="00DC65F1"/>
    <w:rsid w:val="00DC6642"/>
    <w:rsid w:val="00DC667C"/>
    <w:rsid w:val="00DC66DB"/>
    <w:rsid w:val="00DC6908"/>
    <w:rsid w:val="00DC6946"/>
    <w:rsid w:val="00DC6A80"/>
    <w:rsid w:val="00DC6D00"/>
    <w:rsid w:val="00DC6D7F"/>
    <w:rsid w:val="00DC6E07"/>
    <w:rsid w:val="00DC6EBC"/>
    <w:rsid w:val="00DC6F10"/>
    <w:rsid w:val="00DC6F31"/>
    <w:rsid w:val="00DC6FA9"/>
    <w:rsid w:val="00DC71D3"/>
    <w:rsid w:val="00DC7241"/>
    <w:rsid w:val="00DC72A5"/>
    <w:rsid w:val="00DC73E8"/>
    <w:rsid w:val="00DC7452"/>
    <w:rsid w:val="00DC75C8"/>
    <w:rsid w:val="00DC76BC"/>
    <w:rsid w:val="00DC7788"/>
    <w:rsid w:val="00DC77F8"/>
    <w:rsid w:val="00DC7931"/>
    <w:rsid w:val="00DC7C10"/>
    <w:rsid w:val="00DC7C40"/>
    <w:rsid w:val="00DC7D8A"/>
    <w:rsid w:val="00DC7E13"/>
    <w:rsid w:val="00DC7E82"/>
    <w:rsid w:val="00DC7E8A"/>
    <w:rsid w:val="00DC7EE1"/>
    <w:rsid w:val="00DD032E"/>
    <w:rsid w:val="00DD0365"/>
    <w:rsid w:val="00DD0627"/>
    <w:rsid w:val="00DD0731"/>
    <w:rsid w:val="00DD0744"/>
    <w:rsid w:val="00DD079D"/>
    <w:rsid w:val="00DD093C"/>
    <w:rsid w:val="00DD0AB5"/>
    <w:rsid w:val="00DD0B3F"/>
    <w:rsid w:val="00DD0B6F"/>
    <w:rsid w:val="00DD0B70"/>
    <w:rsid w:val="00DD0BB6"/>
    <w:rsid w:val="00DD0E12"/>
    <w:rsid w:val="00DD0EA4"/>
    <w:rsid w:val="00DD0F46"/>
    <w:rsid w:val="00DD1007"/>
    <w:rsid w:val="00DD112D"/>
    <w:rsid w:val="00DD128B"/>
    <w:rsid w:val="00DD14A3"/>
    <w:rsid w:val="00DD1516"/>
    <w:rsid w:val="00DD163B"/>
    <w:rsid w:val="00DD163D"/>
    <w:rsid w:val="00DD1793"/>
    <w:rsid w:val="00DD1804"/>
    <w:rsid w:val="00DD1949"/>
    <w:rsid w:val="00DD1B29"/>
    <w:rsid w:val="00DD1B40"/>
    <w:rsid w:val="00DD1CA3"/>
    <w:rsid w:val="00DD1DA2"/>
    <w:rsid w:val="00DD1DD5"/>
    <w:rsid w:val="00DD2085"/>
    <w:rsid w:val="00DD20EA"/>
    <w:rsid w:val="00DD2238"/>
    <w:rsid w:val="00DD229D"/>
    <w:rsid w:val="00DD22CE"/>
    <w:rsid w:val="00DD264A"/>
    <w:rsid w:val="00DD2784"/>
    <w:rsid w:val="00DD2814"/>
    <w:rsid w:val="00DD2885"/>
    <w:rsid w:val="00DD296F"/>
    <w:rsid w:val="00DD2A55"/>
    <w:rsid w:val="00DD2BD0"/>
    <w:rsid w:val="00DD2D9C"/>
    <w:rsid w:val="00DD2DEF"/>
    <w:rsid w:val="00DD3058"/>
    <w:rsid w:val="00DD30B5"/>
    <w:rsid w:val="00DD316B"/>
    <w:rsid w:val="00DD31DA"/>
    <w:rsid w:val="00DD3287"/>
    <w:rsid w:val="00DD32D5"/>
    <w:rsid w:val="00DD337B"/>
    <w:rsid w:val="00DD3431"/>
    <w:rsid w:val="00DD346E"/>
    <w:rsid w:val="00DD34DB"/>
    <w:rsid w:val="00DD3537"/>
    <w:rsid w:val="00DD35AC"/>
    <w:rsid w:val="00DD3644"/>
    <w:rsid w:val="00DD366D"/>
    <w:rsid w:val="00DD370E"/>
    <w:rsid w:val="00DD3982"/>
    <w:rsid w:val="00DD39D2"/>
    <w:rsid w:val="00DD3C8F"/>
    <w:rsid w:val="00DD3C91"/>
    <w:rsid w:val="00DD4008"/>
    <w:rsid w:val="00DD4146"/>
    <w:rsid w:val="00DD415A"/>
    <w:rsid w:val="00DD41F4"/>
    <w:rsid w:val="00DD4241"/>
    <w:rsid w:val="00DD42F3"/>
    <w:rsid w:val="00DD43B3"/>
    <w:rsid w:val="00DD4473"/>
    <w:rsid w:val="00DD45A4"/>
    <w:rsid w:val="00DD4714"/>
    <w:rsid w:val="00DD48EF"/>
    <w:rsid w:val="00DD4B0E"/>
    <w:rsid w:val="00DD4FF5"/>
    <w:rsid w:val="00DD5215"/>
    <w:rsid w:val="00DD529A"/>
    <w:rsid w:val="00DD5667"/>
    <w:rsid w:val="00DD57AB"/>
    <w:rsid w:val="00DD599E"/>
    <w:rsid w:val="00DD5C73"/>
    <w:rsid w:val="00DD5DC6"/>
    <w:rsid w:val="00DD5FF6"/>
    <w:rsid w:val="00DD611B"/>
    <w:rsid w:val="00DD6240"/>
    <w:rsid w:val="00DD66BF"/>
    <w:rsid w:val="00DD686B"/>
    <w:rsid w:val="00DD68A1"/>
    <w:rsid w:val="00DD6911"/>
    <w:rsid w:val="00DD69E6"/>
    <w:rsid w:val="00DD69FE"/>
    <w:rsid w:val="00DD6B31"/>
    <w:rsid w:val="00DD6C40"/>
    <w:rsid w:val="00DD6CB8"/>
    <w:rsid w:val="00DD6D73"/>
    <w:rsid w:val="00DD6D88"/>
    <w:rsid w:val="00DD6DB0"/>
    <w:rsid w:val="00DD6E20"/>
    <w:rsid w:val="00DD6EC5"/>
    <w:rsid w:val="00DD6EE8"/>
    <w:rsid w:val="00DD6EEE"/>
    <w:rsid w:val="00DD6F2B"/>
    <w:rsid w:val="00DD6F98"/>
    <w:rsid w:val="00DD7180"/>
    <w:rsid w:val="00DD7326"/>
    <w:rsid w:val="00DD73EA"/>
    <w:rsid w:val="00DD7465"/>
    <w:rsid w:val="00DD7785"/>
    <w:rsid w:val="00DD77B3"/>
    <w:rsid w:val="00DD78AF"/>
    <w:rsid w:val="00DD7A44"/>
    <w:rsid w:val="00DD7BD0"/>
    <w:rsid w:val="00DD7C36"/>
    <w:rsid w:val="00DE00D2"/>
    <w:rsid w:val="00DE025D"/>
    <w:rsid w:val="00DE060D"/>
    <w:rsid w:val="00DE074E"/>
    <w:rsid w:val="00DE079F"/>
    <w:rsid w:val="00DE0AFC"/>
    <w:rsid w:val="00DE0BCA"/>
    <w:rsid w:val="00DE0D3A"/>
    <w:rsid w:val="00DE0E5C"/>
    <w:rsid w:val="00DE0E8E"/>
    <w:rsid w:val="00DE110F"/>
    <w:rsid w:val="00DE118D"/>
    <w:rsid w:val="00DE1615"/>
    <w:rsid w:val="00DE1822"/>
    <w:rsid w:val="00DE183A"/>
    <w:rsid w:val="00DE196D"/>
    <w:rsid w:val="00DE1985"/>
    <w:rsid w:val="00DE19A6"/>
    <w:rsid w:val="00DE1B3B"/>
    <w:rsid w:val="00DE1C1A"/>
    <w:rsid w:val="00DE1D1B"/>
    <w:rsid w:val="00DE1F10"/>
    <w:rsid w:val="00DE216A"/>
    <w:rsid w:val="00DE21BE"/>
    <w:rsid w:val="00DE249E"/>
    <w:rsid w:val="00DE2539"/>
    <w:rsid w:val="00DE2597"/>
    <w:rsid w:val="00DE2773"/>
    <w:rsid w:val="00DE2845"/>
    <w:rsid w:val="00DE2A4C"/>
    <w:rsid w:val="00DE2AC9"/>
    <w:rsid w:val="00DE2B16"/>
    <w:rsid w:val="00DE2B93"/>
    <w:rsid w:val="00DE2CEF"/>
    <w:rsid w:val="00DE2EB4"/>
    <w:rsid w:val="00DE2F47"/>
    <w:rsid w:val="00DE3052"/>
    <w:rsid w:val="00DE3076"/>
    <w:rsid w:val="00DE30B6"/>
    <w:rsid w:val="00DE30E4"/>
    <w:rsid w:val="00DE31B5"/>
    <w:rsid w:val="00DE3237"/>
    <w:rsid w:val="00DE33F4"/>
    <w:rsid w:val="00DE3402"/>
    <w:rsid w:val="00DE34C0"/>
    <w:rsid w:val="00DE3569"/>
    <w:rsid w:val="00DE365A"/>
    <w:rsid w:val="00DE37AC"/>
    <w:rsid w:val="00DE38F6"/>
    <w:rsid w:val="00DE39A9"/>
    <w:rsid w:val="00DE39AD"/>
    <w:rsid w:val="00DE3AEA"/>
    <w:rsid w:val="00DE3B96"/>
    <w:rsid w:val="00DE3BEA"/>
    <w:rsid w:val="00DE3E64"/>
    <w:rsid w:val="00DE3FA7"/>
    <w:rsid w:val="00DE4040"/>
    <w:rsid w:val="00DE41CC"/>
    <w:rsid w:val="00DE43E1"/>
    <w:rsid w:val="00DE43E7"/>
    <w:rsid w:val="00DE4433"/>
    <w:rsid w:val="00DE44C2"/>
    <w:rsid w:val="00DE4547"/>
    <w:rsid w:val="00DE4642"/>
    <w:rsid w:val="00DE481B"/>
    <w:rsid w:val="00DE4976"/>
    <w:rsid w:val="00DE4CC5"/>
    <w:rsid w:val="00DE4E59"/>
    <w:rsid w:val="00DE4FD9"/>
    <w:rsid w:val="00DE50F7"/>
    <w:rsid w:val="00DE516A"/>
    <w:rsid w:val="00DE535B"/>
    <w:rsid w:val="00DE53D0"/>
    <w:rsid w:val="00DE542D"/>
    <w:rsid w:val="00DE545F"/>
    <w:rsid w:val="00DE5552"/>
    <w:rsid w:val="00DE563E"/>
    <w:rsid w:val="00DE5823"/>
    <w:rsid w:val="00DE58C7"/>
    <w:rsid w:val="00DE58E6"/>
    <w:rsid w:val="00DE5AF5"/>
    <w:rsid w:val="00DE5E21"/>
    <w:rsid w:val="00DE5FE4"/>
    <w:rsid w:val="00DE637D"/>
    <w:rsid w:val="00DE637E"/>
    <w:rsid w:val="00DE643A"/>
    <w:rsid w:val="00DE64E9"/>
    <w:rsid w:val="00DE6513"/>
    <w:rsid w:val="00DE65DA"/>
    <w:rsid w:val="00DE677F"/>
    <w:rsid w:val="00DE6A24"/>
    <w:rsid w:val="00DE6AA9"/>
    <w:rsid w:val="00DE6AD2"/>
    <w:rsid w:val="00DE6AF2"/>
    <w:rsid w:val="00DE6BA1"/>
    <w:rsid w:val="00DE6BEE"/>
    <w:rsid w:val="00DE6D57"/>
    <w:rsid w:val="00DE6DA7"/>
    <w:rsid w:val="00DE6EFE"/>
    <w:rsid w:val="00DE70BD"/>
    <w:rsid w:val="00DE71B9"/>
    <w:rsid w:val="00DE71C9"/>
    <w:rsid w:val="00DE71EF"/>
    <w:rsid w:val="00DE7306"/>
    <w:rsid w:val="00DE7431"/>
    <w:rsid w:val="00DE744C"/>
    <w:rsid w:val="00DE74C6"/>
    <w:rsid w:val="00DE74EA"/>
    <w:rsid w:val="00DE7522"/>
    <w:rsid w:val="00DE7596"/>
    <w:rsid w:val="00DE77D5"/>
    <w:rsid w:val="00DE7851"/>
    <w:rsid w:val="00DE7A94"/>
    <w:rsid w:val="00DE7BF3"/>
    <w:rsid w:val="00DE7C07"/>
    <w:rsid w:val="00DE7C95"/>
    <w:rsid w:val="00DE7CF9"/>
    <w:rsid w:val="00DE7D4E"/>
    <w:rsid w:val="00DE7DA2"/>
    <w:rsid w:val="00DE7DA7"/>
    <w:rsid w:val="00DE7F16"/>
    <w:rsid w:val="00DE7F3A"/>
    <w:rsid w:val="00DE7F92"/>
    <w:rsid w:val="00DF00E3"/>
    <w:rsid w:val="00DF0100"/>
    <w:rsid w:val="00DF0154"/>
    <w:rsid w:val="00DF0156"/>
    <w:rsid w:val="00DF029E"/>
    <w:rsid w:val="00DF0301"/>
    <w:rsid w:val="00DF0476"/>
    <w:rsid w:val="00DF0787"/>
    <w:rsid w:val="00DF087B"/>
    <w:rsid w:val="00DF0B3C"/>
    <w:rsid w:val="00DF0D3C"/>
    <w:rsid w:val="00DF0E19"/>
    <w:rsid w:val="00DF0EBC"/>
    <w:rsid w:val="00DF10C8"/>
    <w:rsid w:val="00DF1236"/>
    <w:rsid w:val="00DF1336"/>
    <w:rsid w:val="00DF141D"/>
    <w:rsid w:val="00DF141E"/>
    <w:rsid w:val="00DF1504"/>
    <w:rsid w:val="00DF158B"/>
    <w:rsid w:val="00DF160B"/>
    <w:rsid w:val="00DF1663"/>
    <w:rsid w:val="00DF178E"/>
    <w:rsid w:val="00DF17DD"/>
    <w:rsid w:val="00DF1819"/>
    <w:rsid w:val="00DF1A3B"/>
    <w:rsid w:val="00DF1B61"/>
    <w:rsid w:val="00DF1C7B"/>
    <w:rsid w:val="00DF1C96"/>
    <w:rsid w:val="00DF1CBF"/>
    <w:rsid w:val="00DF1CFC"/>
    <w:rsid w:val="00DF1D99"/>
    <w:rsid w:val="00DF1E70"/>
    <w:rsid w:val="00DF1F4E"/>
    <w:rsid w:val="00DF2036"/>
    <w:rsid w:val="00DF2106"/>
    <w:rsid w:val="00DF21DB"/>
    <w:rsid w:val="00DF2331"/>
    <w:rsid w:val="00DF2333"/>
    <w:rsid w:val="00DF2398"/>
    <w:rsid w:val="00DF242B"/>
    <w:rsid w:val="00DF25AF"/>
    <w:rsid w:val="00DF2654"/>
    <w:rsid w:val="00DF28DC"/>
    <w:rsid w:val="00DF2954"/>
    <w:rsid w:val="00DF29B2"/>
    <w:rsid w:val="00DF2A33"/>
    <w:rsid w:val="00DF2C1E"/>
    <w:rsid w:val="00DF2CC6"/>
    <w:rsid w:val="00DF2F06"/>
    <w:rsid w:val="00DF2F7B"/>
    <w:rsid w:val="00DF309B"/>
    <w:rsid w:val="00DF33FF"/>
    <w:rsid w:val="00DF3600"/>
    <w:rsid w:val="00DF373C"/>
    <w:rsid w:val="00DF3A26"/>
    <w:rsid w:val="00DF3AA4"/>
    <w:rsid w:val="00DF3BFF"/>
    <w:rsid w:val="00DF3CDA"/>
    <w:rsid w:val="00DF3CF9"/>
    <w:rsid w:val="00DF3F18"/>
    <w:rsid w:val="00DF3F62"/>
    <w:rsid w:val="00DF41EC"/>
    <w:rsid w:val="00DF4300"/>
    <w:rsid w:val="00DF436D"/>
    <w:rsid w:val="00DF43FE"/>
    <w:rsid w:val="00DF45C2"/>
    <w:rsid w:val="00DF4707"/>
    <w:rsid w:val="00DF47D0"/>
    <w:rsid w:val="00DF485B"/>
    <w:rsid w:val="00DF4955"/>
    <w:rsid w:val="00DF4A2A"/>
    <w:rsid w:val="00DF4A56"/>
    <w:rsid w:val="00DF4B12"/>
    <w:rsid w:val="00DF4B47"/>
    <w:rsid w:val="00DF4C45"/>
    <w:rsid w:val="00DF4CC0"/>
    <w:rsid w:val="00DF4CD4"/>
    <w:rsid w:val="00DF507D"/>
    <w:rsid w:val="00DF5122"/>
    <w:rsid w:val="00DF52D4"/>
    <w:rsid w:val="00DF53A7"/>
    <w:rsid w:val="00DF552A"/>
    <w:rsid w:val="00DF55ED"/>
    <w:rsid w:val="00DF55EE"/>
    <w:rsid w:val="00DF5717"/>
    <w:rsid w:val="00DF5884"/>
    <w:rsid w:val="00DF58C1"/>
    <w:rsid w:val="00DF5A31"/>
    <w:rsid w:val="00DF5B23"/>
    <w:rsid w:val="00DF5C06"/>
    <w:rsid w:val="00DF5C5F"/>
    <w:rsid w:val="00DF5D64"/>
    <w:rsid w:val="00DF5D70"/>
    <w:rsid w:val="00DF5E77"/>
    <w:rsid w:val="00DF5ECD"/>
    <w:rsid w:val="00DF6002"/>
    <w:rsid w:val="00DF6161"/>
    <w:rsid w:val="00DF6416"/>
    <w:rsid w:val="00DF65CC"/>
    <w:rsid w:val="00DF67B3"/>
    <w:rsid w:val="00DF691B"/>
    <w:rsid w:val="00DF6966"/>
    <w:rsid w:val="00DF69AA"/>
    <w:rsid w:val="00DF69AD"/>
    <w:rsid w:val="00DF6AFA"/>
    <w:rsid w:val="00DF6C35"/>
    <w:rsid w:val="00DF6D25"/>
    <w:rsid w:val="00DF6DF8"/>
    <w:rsid w:val="00DF6E45"/>
    <w:rsid w:val="00DF6EE6"/>
    <w:rsid w:val="00DF6F4B"/>
    <w:rsid w:val="00DF6F4E"/>
    <w:rsid w:val="00DF7405"/>
    <w:rsid w:val="00DF7553"/>
    <w:rsid w:val="00DF7943"/>
    <w:rsid w:val="00DF7C5E"/>
    <w:rsid w:val="00DF7D00"/>
    <w:rsid w:val="00DF7D9A"/>
    <w:rsid w:val="00DF7E24"/>
    <w:rsid w:val="00DF7F83"/>
    <w:rsid w:val="00E0008B"/>
    <w:rsid w:val="00E001EF"/>
    <w:rsid w:val="00E002A4"/>
    <w:rsid w:val="00E002E4"/>
    <w:rsid w:val="00E0030D"/>
    <w:rsid w:val="00E0032C"/>
    <w:rsid w:val="00E00420"/>
    <w:rsid w:val="00E0042C"/>
    <w:rsid w:val="00E00458"/>
    <w:rsid w:val="00E007F4"/>
    <w:rsid w:val="00E008F7"/>
    <w:rsid w:val="00E008FA"/>
    <w:rsid w:val="00E00911"/>
    <w:rsid w:val="00E00BC2"/>
    <w:rsid w:val="00E00BC7"/>
    <w:rsid w:val="00E00C57"/>
    <w:rsid w:val="00E016AB"/>
    <w:rsid w:val="00E017C9"/>
    <w:rsid w:val="00E018AC"/>
    <w:rsid w:val="00E01972"/>
    <w:rsid w:val="00E01ACE"/>
    <w:rsid w:val="00E01B43"/>
    <w:rsid w:val="00E01D18"/>
    <w:rsid w:val="00E01D23"/>
    <w:rsid w:val="00E01D33"/>
    <w:rsid w:val="00E01D42"/>
    <w:rsid w:val="00E01E81"/>
    <w:rsid w:val="00E01E86"/>
    <w:rsid w:val="00E01EF3"/>
    <w:rsid w:val="00E01F04"/>
    <w:rsid w:val="00E01F27"/>
    <w:rsid w:val="00E022DD"/>
    <w:rsid w:val="00E02332"/>
    <w:rsid w:val="00E02395"/>
    <w:rsid w:val="00E024EB"/>
    <w:rsid w:val="00E026BC"/>
    <w:rsid w:val="00E02865"/>
    <w:rsid w:val="00E02E1C"/>
    <w:rsid w:val="00E02E20"/>
    <w:rsid w:val="00E02E5A"/>
    <w:rsid w:val="00E02EBD"/>
    <w:rsid w:val="00E02F84"/>
    <w:rsid w:val="00E03015"/>
    <w:rsid w:val="00E03171"/>
    <w:rsid w:val="00E0346D"/>
    <w:rsid w:val="00E03706"/>
    <w:rsid w:val="00E037E7"/>
    <w:rsid w:val="00E03831"/>
    <w:rsid w:val="00E0383E"/>
    <w:rsid w:val="00E038EF"/>
    <w:rsid w:val="00E0395A"/>
    <w:rsid w:val="00E039D7"/>
    <w:rsid w:val="00E03B0D"/>
    <w:rsid w:val="00E03B10"/>
    <w:rsid w:val="00E03BE7"/>
    <w:rsid w:val="00E03BFC"/>
    <w:rsid w:val="00E03C6E"/>
    <w:rsid w:val="00E03F71"/>
    <w:rsid w:val="00E0410D"/>
    <w:rsid w:val="00E042ED"/>
    <w:rsid w:val="00E0446F"/>
    <w:rsid w:val="00E044AB"/>
    <w:rsid w:val="00E0460B"/>
    <w:rsid w:val="00E04643"/>
    <w:rsid w:val="00E047D1"/>
    <w:rsid w:val="00E048B5"/>
    <w:rsid w:val="00E04969"/>
    <w:rsid w:val="00E049A8"/>
    <w:rsid w:val="00E04DB1"/>
    <w:rsid w:val="00E05001"/>
    <w:rsid w:val="00E050B4"/>
    <w:rsid w:val="00E05439"/>
    <w:rsid w:val="00E05470"/>
    <w:rsid w:val="00E0549B"/>
    <w:rsid w:val="00E055D2"/>
    <w:rsid w:val="00E05610"/>
    <w:rsid w:val="00E056D9"/>
    <w:rsid w:val="00E057B6"/>
    <w:rsid w:val="00E059D2"/>
    <w:rsid w:val="00E05B4D"/>
    <w:rsid w:val="00E05DB9"/>
    <w:rsid w:val="00E05EDD"/>
    <w:rsid w:val="00E05F6A"/>
    <w:rsid w:val="00E06165"/>
    <w:rsid w:val="00E06168"/>
    <w:rsid w:val="00E06269"/>
    <w:rsid w:val="00E0636B"/>
    <w:rsid w:val="00E0640D"/>
    <w:rsid w:val="00E064A1"/>
    <w:rsid w:val="00E065FD"/>
    <w:rsid w:val="00E06665"/>
    <w:rsid w:val="00E066CB"/>
    <w:rsid w:val="00E06840"/>
    <w:rsid w:val="00E06886"/>
    <w:rsid w:val="00E06955"/>
    <w:rsid w:val="00E06C8A"/>
    <w:rsid w:val="00E06E16"/>
    <w:rsid w:val="00E06E19"/>
    <w:rsid w:val="00E072F9"/>
    <w:rsid w:val="00E0731B"/>
    <w:rsid w:val="00E0732D"/>
    <w:rsid w:val="00E073F4"/>
    <w:rsid w:val="00E07687"/>
    <w:rsid w:val="00E0784A"/>
    <w:rsid w:val="00E078D3"/>
    <w:rsid w:val="00E079A5"/>
    <w:rsid w:val="00E07A30"/>
    <w:rsid w:val="00E07AD6"/>
    <w:rsid w:val="00E07B8C"/>
    <w:rsid w:val="00E07B94"/>
    <w:rsid w:val="00E07BB0"/>
    <w:rsid w:val="00E07E71"/>
    <w:rsid w:val="00E100B9"/>
    <w:rsid w:val="00E100F5"/>
    <w:rsid w:val="00E107DB"/>
    <w:rsid w:val="00E10BDA"/>
    <w:rsid w:val="00E10BF2"/>
    <w:rsid w:val="00E10C61"/>
    <w:rsid w:val="00E10CA0"/>
    <w:rsid w:val="00E10CB0"/>
    <w:rsid w:val="00E10E40"/>
    <w:rsid w:val="00E10F19"/>
    <w:rsid w:val="00E10F30"/>
    <w:rsid w:val="00E10F83"/>
    <w:rsid w:val="00E11006"/>
    <w:rsid w:val="00E1103D"/>
    <w:rsid w:val="00E112CA"/>
    <w:rsid w:val="00E11375"/>
    <w:rsid w:val="00E113AE"/>
    <w:rsid w:val="00E113C6"/>
    <w:rsid w:val="00E1152C"/>
    <w:rsid w:val="00E11552"/>
    <w:rsid w:val="00E11585"/>
    <w:rsid w:val="00E1166E"/>
    <w:rsid w:val="00E116C6"/>
    <w:rsid w:val="00E117CF"/>
    <w:rsid w:val="00E1196A"/>
    <w:rsid w:val="00E119CA"/>
    <w:rsid w:val="00E11BC4"/>
    <w:rsid w:val="00E11BC7"/>
    <w:rsid w:val="00E11BE1"/>
    <w:rsid w:val="00E11CDF"/>
    <w:rsid w:val="00E11D9E"/>
    <w:rsid w:val="00E11F98"/>
    <w:rsid w:val="00E11FF7"/>
    <w:rsid w:val="00E1205E"/>
    <w:rsid w:val="00E12091"/>
    <w:rsid w:val="00E12167"/>
    <w:rsid w:val="00E12191"/>
    <w:rsid w:val="00E121BB"/>
    <w:rsid w:val="00E121EE"/>
    <w:rsid w:val="00E1246C"/>
    <w:rsid w:val="00E12472"/>
    <w:rsid w:val="00E124D6"/>
    <w:rsid w:val="00E12A1F"/>
    <w:rsid w:val="00E12CDF"/>
    <w:rsid w:val="00E12DB7"/>
    <w:rsid w:val="00E12E78"/>
    <w:rsid w:val="00E12FC1"/>
    <w:rsid w:val="00E12FFF"/>
    <w:rsid w:val="00E130FF"/>
    <w:rsid w:val="00E131E8"/>
    <w:rsid w:val="00E133EB"/>
    <w:rsid w:val="00E1348D"/>
    <w:rsid w:val="00E13547"/>
    <w:rsid w:val="00E13578"/>
    <w:rsid w:val="00E138AB"/>
    <w:rsid w:val="00E13919"/>
    <w:rsid w:val="00E1393C"/>
    <w:rsid w:val="00E13BD9"/>
    <w:rsid w:val="00E13C00"/>
    <w:rsid w:val="00E13C68"/>
    <w:rsid w:val="00E13E22"/>
    <w:rsid w:val="00E13EBD"/>
    <w:rsid w:val="00E13F3F"/>
    <w:rsid w:val="00E1405F"/>
    <w:rsid w:val="00E14098"/>
    <w:rsid w:val="00E140B8"/>
    <w:rsid w:val="00E140FF"/>
    <w:rsid w:val="00E14139"/>
    <w:rsid w:val="00E14513"/>
    <w:rsid w:val="00E1454B"/>
    <w:rsid w:val="00E14627"/>
    <w:rsid w:val="00E14951"/>
    <w:rsid w:val="00E14B31"/>
    <w:rsid w:val="00E14BEA"/>
    <w:rsid w:val="00E14CBF"/>
    <w:rsid w:val="00E14D39"/>
    <w:rsid w:val="00E14F35"/>
    <w:rsid w:val="00E14F39"/>
    <w:rsid w:val="00E152AF"/>
    <w:rsid w:val="00E152EC"/>
    <w:rsid w:val="00E155F9"/>
    <w:rsid w:val="00E15632"/>
    <w:rsid w:val="00E15683"/>
    <w:rsid w:val="00E157BE"/>
    <w:rsid w:val="00E1588B"/>
    <w:rsid w:val="00E159CC"/>
    <w:rsid w:val="00E15A9E"/>
    <w:rsid w:val="00E15ACF"/>
    <w:rsid w:val="00E15B2E"/>
    <w:rsid w:val="00E15C08"/>
    <w:rsid w:val="00E15C79"/>
    <w:rsid w:val="00E15D6D"/>
    <w:rsid w:val="00E15DDA"/>
    <w:rsid w:val="00E15E5F"/>
    <w:rsid w:val="00E1605E"/>
    <w:rsid w:val="00E160B1"/>
    <w:rsid w:val="00E160C2"/>
    <w:rsid w:val="00E1623F"/>
    <w:rsid w:val="00E16241"/>
    <w:rsid w:val="00E1625D"/>
    <w:rsid w:val="00E162D3"/>
    <w:rsid w:val="00E1631B"/>
    <w:rsid w:val="00E164C8"/>
    <w:rsid w:val="00E16652"/>
    <w:rsid w:val="00E1669D"/>
    <w:rsid w:val="00E167DD"/>
    <w:rsid w:val="00E16826"/>
    <w:rsid w:val="00E168ED"/>
    <w:rsid w:val="00E16B2E"/>
    <w:rsid w:val="00E16CA9"/>
    <w:rsid w:val="00E16CE6"/>
    <w:rsid w:val="00E16D79"/>
    <w:rsid w:val="00E16DAE"/>
    <w:rsid w:val="00E16EF2"/>
    <w:rsid w:val="00E17040"/>
    <w:rsid w:val="00E1708D"/>
    <w:rsid w:val="00E170F8"/>
    <w:rsid w:val="00E1713F"/>
    <w:rsid w:val="00E1718F"/>
    <w:rsid w:val="00E17420"/>
    <w:rsid w:val="00E1744D"/>
    <w:rsid w:val="00E17541"/>
    <w:rsid w:val="00E175F0"/>
    <w:rsid w:val="00E176C4"/>
    <w:rsid w:val="00E17806"/>
    <w:rsid w:val="00E17868"/>
    <w:rsid w:val="00E17BDB"/>
    <w:rsid w:val="00E17C54"/>
    <w:rsid w:val="00E17D0C"/>
    <w:rsid w:val="00E17D63"/>
    <w:rsid w:val="00E17F5E"/>
    <w:rsid w:val="00E17FDB"/>
    <w:rsid w:val="00E200E8"/>
    <w:rsid w:val="00E200F6"/>
    <w:rsid w:val="00E202E1"/>
    <w:rsid w:val="00E203BD"/>
    <w:rsid w:val="00E20492"/>
    <w:rsid w:val="00E204A5"/>
    <w:rsid w:val="00E204F3"/>
    <w:rsid w:val="00E2055C"/>
    <w:rsid w:val="00E2066C"/>
    <w:rsid w:val="00E20686"/>
    <w:rsid w:val="00E206D7"/>
    <w:rsid w:val="00E20760"/>
    <w:rsid w:val="00E2078F"/>
    <w:rsid w:val="00E207EF"/>
    <w:rsid w:val="00E20A12"/>
    <w:rsid w:val="00E20AC6"/>
    <w:rsid w:val="00E20AFF"/>
    <w:rsid w:val="00E20B64"/>
    <w:rsid w:val="00E20BCE"/>
    <w:rsid w:val="00E20DE3"/>
    <w:rsid w:val="00E20FA0"/>
    <w:rsid w:val="00E20FCC"/>
    <w:rsid w:val="00E21086"/>
    <w:rsid w:val="00E210A9"/>
    <w:rsid w:val="00E21109"/>
    <w:rsid w:val="00E21207"/>
    <w:rsid w:val="00E217F3"/>
    <w:rsid w:val="00E2182F"/>
    <w:rsid w:val="00E218B9"/>
    <w:rsid w:val="00E218DC"/>
    <w:rsid w:val="00E21C5F"/>
    <w:rsid w:val="00E21D4E"/>
    <w:rsid w:val="00E21D6C"/>
    <w:rsid w:val="00E21DEE"/>
    <w:rsid w:val="00E21F6F"/>
    <w:rsid w:val="00E21FBB"/>
    <w:rsid w:val="00E2215C"/>
    <w:rsid w:val="00E22354"/>
    <w:rsid w:val="00E22417"/>
    <w:rsid w:val="00E226D4"/>
    <w:rsid w:val="00E22758"/>
    <w:rsid w:val="00E2277D"/>
    <w:rsid w:val="00E2285B"/>
    <w:rsid w:val="00E228DA"/>
    <w:rsid w:val="00E22ADF"/>
    <w:rsid w:val="00E22B26"/>
    <w:rsid w:val="00E22C24"/>
    <w:rsid w:val="00E22CD0"/>
    <w:rsid w:val="00E22D6A"/>
    <w:rsid w:val="00E22E5B"/>
    <w:rsid w:val="00E23061"/>
    <w:rsid w:val="00E23084"/>
    <w:rsid w:val="00E23197"/>
    <w:rsid w:val="00E231C9"/>
    <w:rsid w:val="00E231D7"/>
    <w:rsid w:val="00E2324B"/>
    <w:rsid w:val="00E2329D"/>
    <w:rsid w:val="00E232F5"/>
    <w:rsid w:val="00E2361D"/>
    <w:rsid w:val="00E23645"/>
    <w:rsid w:val="00E23733"/>
    <w:rsid w:val="00E23742"/>
    <w:rsid w:val="00E237D4"/>
    <w:rsid w:val="00E237E9"/>
    <w:rsid w:val="00E23802"/>
    <w:rsid w:val="00E23A51"/>
    <w:rsid w:val="00E23B20"/>
    <w:rsid w:val="00E23BB2"/>
    <w:rsid w:val="00E23F2D"/>
    <w:rsid w:val="00E23F36"/>
    <w:rsid w:val="00E240F0"/>
    <w:rsid w:val="00E241B1"/>
    <w:rsid w:val="00E24290"/>
    <w:rsid w:val="00E242C6"/>
    <w:rsid w:val="00E243A6"/>
    <w:rsid w:val="00E244CF"/>
    <w:rsid w:val="00E24817"/>
    <w:rsid w:val="00E24819"/>
    <w:rsid w:val="00E249CB"/>
    <w:rsid w:val="00E249E4"/>
    <w:rsid w:val="00E24D85"/>
    <w:rsid w:val="00E24D92"/>
    <w:rsid w:val="00E24E06"/>
    <w:rsid w:val="00E24E83"/>
    <w:rsid w:val="00E24F35"/>
    <w:rsid w:val="00E24F4D"/>
    <w:rsid w:val="00E24F6A"/>
    <w:rsid w:val="00E24FF3"/>
    <w:rsid w:val="00E25056"/>
    <w:rsid w:val="00E25102"/>
    <w:rsid w:val="00E251BC"/>
    <w:rsid w:val="00E25391"/>
    <w:rsid w:val="00E254E3"/>
    <w:rsid w:val="00E25545"/>
    <w:rsid w:val="00E2565C"/>
    <w:rsid w:val="00E25682"/>
    <w:rsid w:val="00E25754"/>
    <w:rsid w:val="00E257E7"/>
    <w:rsid w:val="00E25847"/>
    <w:rsid w:val="00E2589C"/>
    <w:rsid w:val="00E258D1"/>
    <w:rsid w:val="00E258FA"/>
    <w:rsid w:val="00E259CC"/>
    <w:rsid w:val="00E25A24"/>
    <w:rsid w:val="00E25B33"/>
    <w:rsid w:val="00E25B8A"/>
    <w:rsid w:val="00E25BF3"/>
    <w:rsid w:val="00E25DF0"/>
    <w:rsid w:val="00E25FF8"/>
    <w:rsid w:val="00E2627A"/>
    <w:rsid w:val="00E263B6"/>
    <w:rsid w:val="00E263FA"/>
    <w:rsid w:val="00E2660F"/>
    <w:rsid w:val="00E26618"/>
    <w:rsid w:val="00E267F4"/>
    <w:rsid w:val="00E26A4A"/>
    <w:rsid w:val="00E26A8C"/>
    <w:rsid w:val="00E26C0D"/>
    <w:rsid w:val="00E26C7E"/>
    <w:rsid w:val="00E26F3D"/>
    <w:rsid w:val="00E270C8"/>
    <w:rsid w:val="00E271BE"/>
    <w:rsid w:val="00E27284"/>
    <w:rsid w:val="00E272F5"/>
    <w:rsid w:val="00E27729"/>
    <w:rsid w:val="00E279DC"/>
    <w:rsid w:val="00E27A3E"/>
    <w:rsid w:val="00E27BA2"/>
    <w:rsid w:val="00E27D16"/>
    <w:rsid w:val="00E27D8D"/>
    <w:rsid w:val="00E27DD3"/>
    <w:rsid w:val="00E27F17"/>
    <w:rsid w:val="00E27F3A"/>
    <w:rsid w:val="00E30070"/>
    <w:rsid w:val="00E300AF"/>
    <w:rsid w:val="00E300B1"/>
    <w:rsid w:val="00E300CC"/>
    <w:rsid w:val="00E30277"/>
    <w:rsid w:val="00E304F5"/>
    <w:rsid w:val="00E3054C"/>
    <w:rsid w:val="00E3067A"/>
    <w:rsid w:val="00E3073C"/>
    <w:rsid w:val="00E30744"/>
    <w:rsid w:val="00E30782"/>
    <w:rsid w:val="00E307C4"/>
    <w:rsid w:val="00E30D5B"/>
    <w:rsid w:val="00E30E57"/>
    <w:rsid w:val="00E30EFD"/>
    <w:rsid w:val="00E30F8B"/>
    <w:rsid w:val="00E31135"/>
    <w:rsid w:val="00E31191"/>
    <w:rsid w:val="00E3125B"/>
    <w:rsid w:val="00E312D4"/>
    <w:rsid w:val="00E3136F"/>
    <w:rsid w:val="00E3165C"/>
    <w:rsid w:val="00E31678"/>
    <w:rsid w:val="00E3175C"/>
    <w:rsid w:val="00E3176A"/>
    <w:rsid w:val="00E31A53"/>
    <w:rsid w:val="00E31B68"/>
    <w:rsid w:val="00E31CAE"/>
    <w:rsid w:val="00E31DC5"/>
    <w:rsid w:val="00E31DF3"/>
    <w:rsid w:val="00E31ECE"/>
    <w:rsid w:val="00E31F11"/>
    <w:rsid w:val="00E31FC4"/>
    <w:rsid w:val="00E3200A"/>
    <w:rsid w:val="00E320AD"/>
    <w:rsid w:val="00E321B2"/>
    <w:rsid w:val="00E3221F"/>
    <w:rsid w:val="00E322AF"/>
    <w:rsid w:val="00E3232B"/>
    <w:rsid w:val="00E32346"/>
    <w:rsid w:val="00E32433"/>
    <w:rsid w:val="00E32461"/>
    <w:rsid w:val="00E32773"/>
    <w:rsid w:val="00E327CA"/>
    <w:rsid w:val="00E329A1"/>
    <w:rsid w:val="00E32CED"/>
    <w:rsid w:val="00E32DDD"/>
    <w:rsid w:val="00E32E3D"/>
    <w:rsid w:val="00E32F52"/>
    <w:rsid w:val="00E3308B"/>
    <w:rsid w:val="00E332D9"/>
    <w:rsid w:val="00E33378"/>
    <w:rsid w:val="00E333B1"/>
    <w:rsid w:val="00E3341B"/>
    <w:rsid w:val="00E33426"/>
    <w:rsid w:val="00E33520"/>
    <w:rsid w:val="00E33606"/>
    <w:rsid w:val="00E339B7"/>
    <w:rsid w:val="00E339D8"/>
    <w:rsid w:val="00E339E2"/>
    <w:rsid w:val="00E33B41"/>
    <w:rsid w:val="00E33DCF"/>
    <w:rsid w:val="00E33DE7"/>
    <w:rsid w:val="00E33E30"/>
    <w:rsid w:val="00E33F77"/>
    <w:rsid w:val="00E34123"/>
    <w:rsid w:val="00E34369"/>
    <w:rsid w:val="00E34468"/>
    <w:rsid w:val="00E3454D"/>
    <w:rsid w:val="00E346E2"/>
    <w:rsid w:val="00E3489D"/>
    <w:rsid w:val="00E349D9"/>
    <w:rsid w:val="00E349DD"/>
    <w:rsid w:val="00E34A03"/>
    <w:rsid w:val="00E34A2F"/>
    <w:rsid w:val="00E34CA5"/>
    <w:rsid w:val="00E34E75"/>
    <w:rsid w:val="00E34EDD"/>
    <w:rsid w:val="00E34F97"/>
    <w:rsid w:val="00E34FBA"/>
    <w:rsid w:val="00E35001"/>
    <w:rsid w:val="00E35115"/>
    <w:rsid w:val="00E35242"/>
    <w:rsid w:val="00E35289"/>
    <w:rsid w:val="00E353B5"/>
    <w:rsid w:val="00E35433"/>
    <w:rsid w:val="00E354D3"/>
    <w:rsid w:val="00E3551F"/>
    <w:rsid w:val="00E356FC"/>
    <w:rsid w:val="00E357F0"/>
    <w:rsid w:val="00E35850"/>
    <w:rsid w:val="00E358D7"/>
    <w:rsid w:val="00E35A7E"/>
    <w:rsid w:val="00E35AE8"/>
    <w:rsid w:val="00E35B03"/>
    <w:rsid w:val="00E35B16"/>
    <w:rsid w:val="00E35DF0"/>
    <w:rsid w:val="00E35F03"/>
    <w:rsid w:val="00E35FA7"/>
    <w:rsid w:val="00E36012"/>
    <w:rsid w:val="00E36041"/>
    <w:rsid w:val="00E36153"/>
    <w:rsid w:val="00E3622E"/>
    <w:rsid w:val="00E36265"/>
    <w:rsid w:val="00E36287"/>
    <w:rsid w:val="00E363B3"/>
    <w:rsid w:val="00E364C7"/>
    <w:rsid w:val="00E36591"/>
    <w:rsid w:val="00E36633"/>
    <w:rsid w:val="00E366C8"/>
    <w:rsid w:val="00E36836"/>
    <w:rsid w:val="00E3689E"/>
    <w:rsid w:val="00E368B0"/>
    <w:rsid w:val="00E36AF1"/>
    <w:rsid w:val="00E36B1F"/>
    <w:rsid w:val="00E36D51"/>
    <w:rsid w:val="00E36E3E"/>
    <w:rsid w:val="00E36F3F"/>
    <w:rsid w:val="00E36F64"/>
    <w:rsid w:val="00E36F6A"/>
    <w:rsid w:val="00E3711A"/>
    <w:rsid w:val="00E372EC"/>
    <w:rsid w:val="00E37314"/>
    <w:rsid w:val="00E373A3"/>
    <w:rsid w:val="00E3744A"/>
    <w:rsid w:val="00E3749D"/>
    <w:rsid w:val="00E375AE"/>
    <w:rsid w:val="00E37660"/>
    <w:rsid w:val="00E37856"/>
    <w:rsid w:val="00E37A4C"/>
    <w:rsid w:val="00E37A59"/>
    <w:rsid w:val="00E37B8D"/>
    <w:rsid w:val="00E37BCE"/>
    <w:rsid w:val="00E37CE8"/>
    <w:rsid w:val="00E40247"/>
    <w:rsid w:val="00E40290"/>
    <w:rsid w:val="00E403E1"/>
    <w:rsid w:val="00E4052E"/>
    <w:rsid w:val="00E40563"/>
    <w:rsid w:val="00E40813"/>
    <w:rsid w:val="00E40853"/>
    <w:rsid w:val="00E40926"/>
    <w:rsid w:val="00E4095F"/>
    <w:rsid w:val="00E40ABC"/>
    <w:rsid w:val="00E40AE6"/>
    <w:rsid w:val="00E40AF8"/>
    <w:rsid w:val="00E40BFE"/>
    <w:rsid w:val="00E40C08"/>
    <w:rsid w:val="00E40C27"/>
    <w:rsid w:val="00E40C32"/>
    <w:rsid w:val="00E40D08"/>
    <w:rsid w:val="00E40D77"/>
    <w:rsid w:val="00E40D8C"/>
    <w:rsid w:val="00E40E64"/>
    <w:rsid w:val="00E40F21"/>
    <w:rsid w:val="00E40F75"/>
    <w:rsid w:val="00E4117E"/>
    <w:rsid w:val="00E4122F"/>
    <w:rsid w:val="00E41355"/>
    <w:rsid w:val="00E413A3"/>
    <w:rsid w:val="00E413CD"/>
    <w:rsid w:val="00E413F9"/>
    <w:rsid w:val="00E41419"/>
    <w:rsid w:val="00E41444"/>
    <w:rsid w:val="00E414C0"/>
    <w:rsid w:val="00E41813"/>
    <w:rsid w:val="00E4197F"/>
    <w:rsid w:val="00E419EE"/>
    <w:rsid w:val="00E41DFB"/>
    <w:rsid w:val="00E41E4F"/>
    <w:rsid w:val="00E41E78"/>
    <w:rsid w:val="00E4206B"/>
    <w:rsid w:val="00E420E5"/>
    <w:rsid w:val="00E42196"/>
    <w:rsid w:val="00E421F2"/>
    <w:rsid w:val="00E422C1"/>
    <w:rsid w:val="00E42335"/>
    <w:rsid w:val="00E4239B"/>
    <w:rsid w:val="00E424A6"/>
    <w:rsid w:val="00E424C4"/>
    <w:rsid w:val="00E425B1"/>
    <w:rsid w:val="00E42603"/>
    <w:rsid w:val="00E428C1"/>
    <w:rsid w:val="00E42A15"/>
    <w:rsid w:val="00E42AED"/>
    <w:rsid w:val="00E42BF9"/>
    <w:rsid w:val="00E42C40"/>
    <w:rsid w:val="00E42C95"/>
    <w:rsid w:val="00E42D37"/>
    <w:rsid w:val="00E42E0B"/>
    <w:rsid w:val="00E42E2D"/>
    <w:rsid w:val="00E42EF1"/>
    <w:rsid w:val="00E435A2"/>
    <w:rsid w:val="00E4365A"/>
    <w:rsid w:val="00E4365D"/>
    <w:rsid w:val="00E4367D"/>
    <w:rsid w:val="00E43730"/>
    <w:rsid w:val="00E43855"/>
    <w:rsid w:val="00E43879"/>
    <w:rsid w:val="00E439D5"/>
    <w:rsid w:val="00E43A99"/>
    <w:rsid w:val="00E43AB3"/>
    <w:rsid w:val="00E43AF7"/>
    <w:rsid w:val="00E43B41"/>
    <w:rsid w:val="00E43B81"/>
    <w:rsid w:val="00E43D82"/>
    <w:rsid w:val="00E43DC7"/>
    <w:rsid w:val="00E43FD5"/>
    <w:rsid w:val="00E440D1"/>
    <w:rsid w:val="00E440FD"/>
    <w:rsid w:val="00E44303"/>
    <w:rsid w:val="00E44344"/>
    <w:rsid w:val="00E443E0"/>
    <w:rsid w:val="00E44605"/>
    <w:rsid w:val="00E446E0"/>
    <w:rsid w:val="00E447B1"/>
    <w:rsid w:val="00E44B21"/>
    <w:rsid w:val="00E44CAC"/>
    <w:rsid w:val="00E44E1D"/>
    <w:rsid w:val="00E44E25"/>
    <w:rsid w:val="00E44FB0"/>
    <w:rsid w:val="00E45205"/>
    <w:rsid w:val="00E45418"/>
    <w:rsid w:val="00E45454"/>
    <w:rsid w:val="00E4549D"/>
    <w:rsid w:val="00E455A0"/>
    <w:rsid w:val="00E4568A"/>
    <w:rsid w:val="00E456F3"/>
    <w:rsid w:val="00E4577F"/>
    <w:rsid w:val="00E459C0"/>
    <w:rsid w:val="00E45A72"/>
    <w:rsid w:val="00E45B48"/>
    <w:rsid w:val="00E45ED1"/>
    <w:rsid w:val="00E45F46"/>
    <w:rsid w:val="00E4617B"/>
    <w:rsid w:val="00E461E4"/>
    <w:rsid w:val="00E4628B"/>
    <w:rsid w:val="00E462EE"/>
    <w:rsid w:val="00E46321"/>
    <w:rsid w:val="00E463D3"/>
    <w:rsid w:val="00E463E7"/>
    <w:rsid w:val="00E4650C"/>
    <w:rsid w:val="00E4653F"/>
    <w:rsid w:val="00E46561"/>
    <w:rsid w:val="00E4663C"/>
    <w:rsid w:val="00E4676A"/>
    <w:rsid w:val="00E46788"/>
    <w:rsid w:val="00E4695C"/>
    <w:rsid w:val="00E46A7B"/>
    <w:rsid w:val="00E46E46"/>
    <w:rsid w:val="00E46EB6"/>
    <w:rsid w:val="00E46FE9"/>
    <w:rsid w:val="00E47051"/>
    <w:rsid w:val="00E471E9"/>
    <w:rsid w:val="00E4733B"/>
    <w:rsid w:val="00E47354"/>
    <w:rsid w:val="00E473A0"/>
    <w:rsid w:val="00E474E8"/>
    <w:rsid w:val="00E4755A"/>
    <w:rsid w:val="00E476F4"/>
    <w:rsid w:val="00E47A1C"/>
    <w:rsid w:val="00E47B2E"/>
    <w:rsid w:val="00E47B93"/>
    <w:rsid w:val="00E47D41"/>
    <w:rsid w:val="00E47DA7"/>
    <w:rsid w:val="00E47E01"/>
    <w:rsid w:val="00E47EBE"/>
    <w:rsid w:val="00E503E2"/>
    <w:rsid w:val="00E50748"/>
    <w:rsid w:val="00E508BB"/>
    <w:rsid w:val="00E50902"/>
    <w:rsid w:val="00E50B7C"/>
    <w:rsid w:val="00E50C99"/>
    <w:rsid w:val="00E50D14"/>
    <w:rsid w:val="00E50D27"/>
    <w:rsid w:val="00E50E3A"/>
    <w:rsid w:val="00E50EA3"/>
    <w:rsid w:val="00E511EC"/>
    <w:rsid w:val="00E51473"/>
    <w:rsid w:val="00E515F5"/>
    <w:rsid w:val="00E5175F"/>
    <w:rsid w:val="00E5184A"/>
    <w:rsid w:val="00E518DB"/>
    <w:rsid w:val="00E5197B"/>
    <w:rsid w:val="00E5199E"/>
    <w:rsid w:val="00E51A6E"/>
    <w:rsid w:val="00E51AC1"/>
    <w:rsid w:val="00E51B52"/>
    <w:rsid w:val="00E51B9B"/>
    <w:rsid w:val="00E51CE7"/>
    <w:rsid w:val="00E51EBB"/>
    <w:rsid w:val="00E51ED9"/>
    <w:rsid w:val="00E51F3F"/>
    <w:rsid w:val="00E5212C"/>
    <w:rsid w:val="00E5215B"/>
    <w:rsid w:val="00E521E8"/>
    <w:rsid w:val="00E521EE"/>
    <w:rsid w:val="00E5230D"/>
    <w:rsid w:val="00E5239F"/>
    <w:rsid w:val="00E52480"/>
    <w:rsid w:val="00E5268A"/>
    <w:rsid w:val="00E526FE"/>
    <w:rsid w:val="00E52773"/>
    <w:rsid w:val="00E527CD"/>
    <w:rsid w:val="00E52826"/>
    <w:rsid w:val="00E52B0E"/>
    <w:rsid w:val="00E52C04"/>
    <w:rsid w:val="00E52CA1"/>
    <w:rsid w:val="00E52CA4"/>
    <w:rsid w:val="00E5300E"/>
    <w:rsid w:val="00E533EB"/>
    <w:rsid w:val="00E534AE"/>
    <w:rsid w:val="00E536BD"/>
    <w:rsid w:val="00E53837"/>
    <w:rsid w:val="00E53A82"/>
    <w:rsid w:val="00E53BBF"/>
    <w:rsid w:val="00E53D11"/>
    <w:rsid w:val="00E53F09"/>
    <w:rsid w:val="00E53FA2"/>
    <w:rsid w:val="00E540FF"/>
    <w:rsid w:val="00E54163"/>
    <w:rsid w:val="00E5420D"/>
    <w:rsid w:val="00E54462"/>
    <w:rsid w:val="00E545A0"/>
    <w:rsid w:val="00E545D6"/>
    <w:rsid w:val="00E545FE"/>
    <w:rsid w:val="00E546E6"/>
    <w:rsid w:val="00E547F0"/>
    <w:rsid w:val="00E54838"/>
    <w:rsid w:val="00E54883"/>
    <w:rsid w:val="00E548FC"/>
    <w:rsid w:val="00E54911"/>
    <w:rsid w:val="00E54B2E"/>
    <w:rsid w:val="00E54BCB"/>
    <w:rsid w:val="00E54C8E"/>
    <w:rsid w:val="00E54EC2"/>
    <w:rsid w:val="00E54F3F"/>
    <w:rsid w:val="00E54F87"/>
    <w:rsid w:val="00E55063"/>
    <w:rsid w:val="00E551B0"/>
    <w:rsid w:val="00E55219"/>
    <w:rsid w:val="00E55334"/>
    <w:rsid w:val="00E5534D"/>
    <w:rsid w:val="00E553D5"/>
    <w:rsid w:val="00E554C5"/>
    <w:rsid w:val="00E554D8"/>
    <w:rsid w:val="00E555C7"/>
    <w:rsid w:val="00E555DE"/>
    <w:rsid w:val="00E55696"/>
    <w:rsid w:val="00E556AB"/>
    <w:rsid w:val="00E5585E"/>
    <w:rsid w:val="00E55860"/>
    <w:rsid w:val="00E55988"/>
    <w:rsid w:val="00E55A11"/>
    <w:rsid w:val="00E55C1B"/>
    <w:rsid w:val="00E55CDE"/>
    <w:rsid w:val="00E55DCD"/>
    <w:rsid w:val="00E55EB2"/>
    <w:rsid w:val="00E56126"/>
    <w:rsid w:val="00E5623B"/>
    <w:rsid w:val="00E5626A"/>
    <w:rsid w:val="00E5629D"/>
    <w:rsid w:val="00E563CF"/>
    <w:rsid w:val="00E563DD"/>
    <w:rsid w:val="00E56480"/>
    <w:rsid w:val="00E56511"/>
    <w:rsid w:val="00E565F1"/>
    <w:rsid w:val="00E5663B"/>
    <w:rsid w:val="00E56932"/>
    <w:rsid w:val="00E56A66"/>
    <w:rsid w:val="00E56B3C"/>
    <w:rsid w:val="00E56E21"/>
    <w:rsid w:val="00E56E73"/>
    <w:rsid w:val="00E56F5A"/>
    <w:rsid w:val="00E5728B"/>
    <w:rsid w:val="00E573AD"/>
    <w:rsid w:val="00E574A2"/>
    <w:rsid w:val="00E5767F"/>
    <w:rsid w:val="00E57951"/>
    <w:rsid w:val="00E579DD"/>
    <w:rsid w:val="00E579DF"/>
    <w:rsid w:val="00E57A05"/>
    <w:rsid w:val="00E57A34"/>
    <w:rsid w:val="00E57BB0"/>
    <w:rsid w:val="00E57C23"/>
    <w:rsid w:val="00E57C55"/>
    <w:rsid w:val="00E57DDE"/>
    <w:rsid w:val="00E57E5F"/>
    <w:rsid w:val="00E57E8A"/>
    <w:rsid w:val="00E60082"/>
    <w:rsid w:val="00E604C3"/>
    <w:rsid w:val="00E60502"/>
    <w:rsid w:val="00E60512"/>
    <w:rsid w:val="00E60648"/>
    <w:rsid w:val="00E60827"/>
    <w:rsid w:val="00E6098A"/>
    <w:rsid w:val="00E609A5"/>
    <w:rsid w:val="00E609CC"/>
    <w:rsid w:val="00E60AEB"/>
    <w:rsid w:val="00E60B42"/>
    <w:rsid w:val="00E60C05"/>
    <w:rsid w:val="00E60D92"/>
    <w:rsid w:val="00E60F20"/>
    <w:rsid w:val="00E60F2D"/>
    <w:rsid w:val="00E60F48"/>
    <w:rsid w:val="00E61055"/>
    <w:rsid w:val="00E61110"/>
    <w:rsid w:val="00E61155"/>
    <w:rsid w:val="00E61258"/>
    <w:rsid w:val="00E61277"/>
    <w:rsid w:val="00E61287"/>
    <w:rsid w:val="00E61297"/>
    <w:rsid w:val="00E612FF"/>
    <w:rsid w:val="00E61543"/>
    <w:rsid w:val="00E61634"/>
    <w:rsid w:val="00E6174E"/>
    <w:rsid w:val="00E61881"/>
    <w:rsid w:val="00E6197B"/>
    <w:rsid w:val="00E61B9E"/>
    <w:rsid w:val="00E61D84"/>
    <w:rsid w:val="00E61DCE"/>
    <w:rsid w:val="00E61EC8"/>
    <w:rsid w:val="00E61F63"/>
    <w:rsid w:val="00E61FFD"/>
    <w:rsid w:val="00E621D2"/>
    <w:rsid w:val="00E621DE"/>
    <w:rsid w:val="00E6225E"/>
    <w:rsid w:val="00E62413"/>
    <w:rsid w:val="00E62576"/>
    <w:rsid w:val="00E625EC"/>
    <w:rsid w:val="00E62725"/>
    <w:rsid w:val="00E627AC"/>
    <w:rsid w:val="00E6297D"/>
    <w:rsid w:val="00E62B2A"/>
    <w:rsid w:val="00E62D56"/>
    <w:rsid w:val="00E62E43"/>
    <w:rsid w:val="00E632B4"/>
    <w:rsid w:val="00E632D4"/>
    <w:rsid w:val="00E633F9"/>
    <w:rsid w:val="00E6341D"/>
    <w:rsid w:val="00E634C8"/>
    <w:rsid w:val="00E63506"/>
    <w:rsid w:val="00E6352B"/>
    <w:rsid w:val="00E6360D"/>
    <w:rsid w:val="00E636C9"/>
    <w:rsid w:val="00E63847"/>
    <w:rsid w:val="00E63932"/>
    <w:rsid w:val="00E63967"/>
    <w:rsid w:val="00E63990"/>
    <w:rsid w:val="00E63A74"/>
    <w:rsid w:val="00E63B94"/>
    <w:rsid w:val="00E63B9F"/>
    <w:rsid w:val="00E63DD2"/>
    <w:rsid w:val="00E63E42"/>
    <w:rsid w:val="00E63E4A"/>
    <w:rsid w:val="00E63EA8"/>
    <w:rsid w:val="00E6410A"/>
    <w:rsid w:val="00E644FA"/>
    <w:rsid w:val="00E64534"/>
    <w:rsid w:val="00E645B0"/>
    <w:rsid w:val="00E646E3"/>
    <w:rsid w:val="00E6496D"/>
    <w:rsid w:val="00E649F9"/>
    <w:rsid w:val="00E64B66"/>
    <w:rsid w:val="00E64C91"/>
    <w:rsid w:val="00E64CF5"/>
    <w:rsid w:val="00E64DA4"/>
    <w:rsid w:val="00E64E54"/>
    <w:rsid w:val="00E64F7F"/>
    <w:rsid w:val="00E65251"/>
    <w:rsid w:val="00E6541C"/>
    <w:rsid w:val="00E655A3"/>
    <w:rsid w:val="00E655F1"/>
    <w:rsid w:val="00E657A5"/>
    <w:rsid w:val="00E65A2B"/>
    <w:rsid w:val="00E65AAA"/>
    <w:rsid w:val="00E65ACB"/>
    <w:rsid w:val="00E65C88"/>
    <w:rsid w:val="00E65D3C"/>
    <w:rsid w:val="00E65D8A"/>
    <w:rsid w:val="00E65DD9"/>
    <w:rsid w:val="00E65E5D"/>
    <w:rsid w:val="00E65F03"/>
    <w:rsid w:val="00E65F23"/>
    <w:rsid w:val="00E65F2A"/>
    <w:rsid w:val="00E660CD"/>
    <w:rsid w:val="00E663A0"/>
    <w:rsid w:val="00E6666C"/>
    <w:rsid w:val="00E668B6"/>
    <w:rsid w:val="00E6693F"/>
    <w:rsid w:val="00E669AC"/>
    <w:rsid w:val="00E66A1C"/>
    <w:rsid w:val="00E66A22"/>
    <w:rsid w:val="00E66BC7"/>
    <w:rsid w:val="00E66BCD"/>
    <w:rsid w:val="00E66BDC"/>
    <w:rsid w:val="00E66D50"/>
    <w:rsid w:val="00E66D71"/>
    <w:rsid w:val="00E66E07"/>
    <w:rsid w:val="00E66E96"/>
    <w:rsid w:val="00E66F42"/>
    <w:rsid w:val="00E67295"/>
    <w:rsid w:val="00E673C6"/>
    <w:rsid w:val="00E673EF"/>
    <w:rsid w:val="00E6758C"/>
    <w:rsid w:val="00E675F6"/>
    <w:rsid w:val="00E675FF"/>
    <w:rsid w:val="00E677E5"/>
    <w:rsid w:val="00E6786D"/>
    <w:rsid w:val="00E67909"/>
    <w:rsid w:val="00E6795B"/>
    <w:rsid w:val="00E67A72"/>
    <w:rsid w:val="00E67BFC"/>
    <w:rsid w:val="00E67C85"/>
    <w:rsid w:val="00E67CD5"/>
    <w:rsid w:val="00E67EB0"/>
    <w:rsid w:val="00E67EBF"/>
    <w:rsid w:val="00E7001E"/>
    <w:rsid w:val="00E700CC"/>
    <w:rsid w:val="00E700CF"/>
    <w:rsid w:val="00E701D8"/>
    <w:rsid w:val="00E70291"/>
    <w:rsid w:val="00E70309"/>
    <w:rsid w:val="00E70345"/>
    <w:rsid w:val="00E70424"/>
    <w:rsid w:val="00E704C7"/>
    <w:rsid w:val="00E70904"/>
    <w:rsid w:val="00E70AB8"/>
    <w:rsid w:val="00E70E81"/>
    <w:rsid w:val="00E70F39"/>
    <w:rsid w:val="00E71110"/>
    <w:rsid w:val="00E716E4"/>
    <w:rsid w:val="00E71799"/>
    <w:rsid w:val="00E71846"/>
    <w:rsid w:val="00E71892"/>
    <w:rsid w:val="00E71A97"/>
    <w:rsid w:val="00E71AF5"/>
    <w:rsid w:val="00E71B6F"/>
    <w:rsid w:val="00E71C09"/>
    <w:rsid w:val="00E71CDD"/>
    <w:rsid w:val="00E71D37"/>
    <w:rsid w:val="00E71F45"/>
    <w:rsid w:val="00E71F5E"/>
    <w:rsid w:val="00E7203F"/>
    <w:rsid w:val="00E72276"/>
    <w:rsid w:val="00E722CF"/>
    <w:rsid w:val="00E7234D"/>
    <w:rsid w:val="00E723EA"/>
    <w:rsid w:val="00E724A0"/>
    <w:rsid w:val="00E7259B"/>
    <w:rsid w:val="00E72768"/>
    <w:rsid w:val="00E727FA"/>
    <w:rsid w:val="00E72982"/>
    <w:rsid w:val="00E729E9"/>
    <w:rsid w:val="00E729F8"/>
    <w:rsid w:val="00E72B6C"/>
    <w:rsid w:val="00E72B85"/>
    <w:rsid w:val="00E72C3F"/>
    <w:rsid w:val="00E72C70"/>
    <w:rsid w:val="00E72C98"/>
    <w:rsid w:val="00E72D6C"/>
    <w:rsid w:val="00E72E11"/>
    <w:rsid w:val="00E72F0C"/>
    <w:rsid w:val="00E72FAD"/>
    <w:rsid w:val="00E72FBC"/>
    <w:rsid w:val="00E7329A"/>
    <w:rsid w:val="00E7343C"/>
    <w:rsid w:val="00E73749"/>
    <w:rsid w:val="00E73967"/>
    <w:rsid w:val="00E739C5"/>
    <w:rsid w:val="00E739D1"/>
    <w:rsid w:val="00E73A4B"/>
    <w:rsid w:val="00E73A8F"/>
    <w:rsid w:val="00E73BE4"/>
    <w:rsid w:val="00E73CBD"/>
    <w:rsid w:val="00E73CC7"/>
    <w:rsid w:val="00E73DBE"/>
    <w:rsid w:val="00E73DD1"/>
    <w:rsid w:val="00E74021"/>
    <w:rsid w:val="00E742B6"/>
    <w:rsid w:val="00E742DF"/>
    <w:rsid w:val="00E7456C"/>
    <w:rsid w:val="00E74578"/>
    <w:rsid w:val="00E745D7"/>
    <w:rsid w:val="00E74604"/>
    <w:rsid w:val="00E74704"/>
    <w:rsid w:val="00E74831"/>
    <w:rsid w:val="00E748A3"/>
    <w:rsid w:val="00E74D59"/>
    <w:rsid w:val="00E74DBA"/>
    <w:rsid w:val="00E74DFF"/>
    <w:rsid w:val="00E74E2C"/>
    <w:rsid w:val="00E74E74"/>
    <w:rsid w:val="00E74EE7"/>
    <w:rsid w:val="00E74EF6"/>
    <w:rsid w:val="00E750B9"/>
    <w:rsid w:val="00E751D1"/>
    <w:rsid w:val="00E7523C"/>
    <w:rsid w:val="00E75497"/>
    <w:rsid w:val="00E754B4"/>
    <w:rsid w:val="00E75558"/>
    <w:rsid w:val="00E756D8"/>
    <w:rsid w:val="00E7584F"/>
    <w:rsid w:val="00E75918"/>
    <w:rsid w:val="00E7599A"/>
    <w:rsid w:val="00E75D44"/>
    <w:rsid w:val="00E75E18"/>
    <w:rsid w:val="00E75E27"/>
    <w:rsid w:val="00E75E3B"/>
    <w:rsid w:val="00E75F65"/>
    <w:rsid w:val="00E75FFE"/>
    <w:rsid w:val="00E7603C"/>
    <w:rsid w:val="00E76218"/>
    <w:rsid w:val="00E76237"/>
    <w:rsid w:val="00E7623E"/>
    <w:rsid w:val="00E762E6"/>
    <w:rsid w:val="00E762ED"/>
    <w:rsid w:val="00E763C6"/>
    <w:rsid w:val="00E76490"/>
    <w:rsid w:val="00E7652B"/>
    <w:rsid w:val="00E765FD"/>
    <w:rsid w:val="00E76681"/>
    <w:rsid w:val="00E7668C"/>
    <w:rsid w:val="00E7683D"/>
    <w:rsid w:val="00E7697A"/>
    <w:rsid w:val="00E76A78"/>
    <w:rsid w:val="00E76C2A"/>
    <w:rsid w:val="00E76D65"/>
    <w:rsid w:val="00E76D69"/>
    <w:rsid w:val="00E770AE"/>
    <w:rsid w:val="00E775F9"/>
    <w:rsid w:val="00E77843"/>
    <w:rsid w:val="00E77C13"/>
    <w:rsid w:val="00E77E35"/>
    <w:rsid w:val="00E77EA3"/>
    <w:rsid w:val="00E77EB7"/>
    <w:rsid w:val="00E801AD"/>
    <w:rsid w:val="00E801D5"/>
    <w:rsid w:val="00E8025A"/>
    <w:rsid w:val="00E80432"/>
    <w:rsid w:val="00E80477"/>
    <w:rsid w:val="00E80669"/>
    <w:rsid w:val="00E8072D"/>
    <w:rsid w:val="00E80CA6"/>
    <w:rsid w:val="00E80CBF"/>
    <w:rsid w:val="00E80DBF"/>
    <w:rsid w:val="00E80EE6"/>
    <w:rsid w:val="00E80F00"/>
    <w:rsid w:val="00E80FF7"/>
    <w:rsid w:val="00E81084"/>
    <w:rsid w:val="00E8114E"/>
    <w:rsid w:val="00E81210"/>
    <w:rsid w:val="00E8153A"/>
    <w:rsid w:val="00E8153C"/>
    <w:rsid w:val="00E815FB"/>
    <w:rsid w:val="00E817AC"/>
    <w:rsid w:val="00E817B7"/>
    <w:rsid w:val="00E8187C"/>
    <w:rsid w:val="00E8199E"/>
    <w:rsid w:val="00E81A5D"/>
    <w:rsid w:val="00E81B19"/>
    <w:rsid w:val="00E81E6A"/>
    <w:rsid w:val="00E81F09"/>
    <w:rsid w:val="00E82104"/>
    <w:rsid w:val="00E8218B"/>
    <w:rsid w:val="00E82281"/>
    <w:rsid w:val="00E82376"/>
    <w:rsid w:val="00E82496"/>
    <w:rsid w:val="00E824E4"/>
    <w:rsid w:val="00E82681"/>
    <w:rsid w:val="00E82742"/>
    <w:rsid w:val="00E8278C"/>
    <w:rsid w:val="00E827C3"/>
    <w:rsid w:val="00E8285F"/>
    <w:rsid w:val="00E8287A"/>
    <w:rsid w:val="00E82A49"/>
    <w:rsid w:val="00E82AC9"/>
    <w:rsid w:val="00E82AD4"/>
    <w:rsid w:val="00E82BE4"/>
    <w:rsid w:val="00E82C9A"/>
    <w:rsid w:val="00E82F11"/>
    <w:rsid w:val="00E82F9C"/>
    <w:rsid w:val="00E82FA2"/>
    <w:rsid w:val="00E830AD"/>
    <w:rsid w:val="00E8351B"/>
    <w:rsid w:val="00E83672"/>
    <w:rsid w:val="00E83745"/>
    <w:rsid w:val="00E83940"/>
    <w:rsid w:val="00E83A27"/>
    <w:rsid w:val="00E83B8F"/>
    <w:rsid w:val="00E83C54"/>
    <w:rsid w:val="00E83D03"/>
    <w:rsid w:val="00E83E09"/>
    <w:rsid w:val="00E83E7F"/>
    <w:rsid w:val="00E83EA6"/>
    <w:rsid w:val="00E83F83"/>
    <w:rsid w:val="00E8425F"/>
    <w:rsid w:val="00E84324"/>
    <w:rsid w:val="00E8432E"/>
    <w:rsid w:val="00E8447E"/>
    <w:rsid w:val="00E84651"/>
    <w:rsid w:val="00E84702"/>
    <w:rsid w:val="00E84721"/>
    <w:rsid w:val="00E84722"/>
    <w:rsid w:val="00E847E0"/>
    <w:rsid w:val="00E8487E"/>
    <w:rsid w:val="00E849DC"/>
    <w:rsid w:val="00E84A63"/>
    <w:rsid w:val="00E84AE5"/>
    <w:rsid w:val="00E84AF0"/>
    <w:rsid w:val="00E84C16"/>
    <w:rsid w:val="00E84C19"/>
    <w:rsid w:val="00E84CA6"/>
    <w:rsid w:val="00E84D7E"/>
    <w:rsid w:val="00E84E49"/>
    <w:rsid w:val="00E84EF7"/>
    <w:rsid w:val="00E84EFC"/>
    <w:rsid w:val="00E85011"/>
    <w:rsid w:val="00E85027"/>
    <w:rsid w:val="00E850D6"/>
    <w:rsid w:val="00E8516B"/>
    <w:rsid w:val="00E85322"/>
    <w:rsid w:val="00E853A8"/>
    <w:rsid w:val="00E853B6"/>
    <w:rsid w:val="00E85479"/>
    <w:rsid w:val="00E854FE"/>
    <w:rsid w:val="00E85667"/>
    <w:rsid w:val="00E859B5"/>
    <w:rsid w:val="00E859B7"/>
    <w:rsid w:val="00E85C42"/>
    <w:rsid w:val="00E85D5F"/>
    <w:rsid w:val="00E85D6A"/>
    <w:rsid w:val="00E85E41"/>
    <w:rsid w:val="00E85E51"/>
    <w:rsid w:val="00E85F2E"/>
    <w:rsid w:val="00E860C4"/>
    <w:rsid w:val="00E860E8"/>
    <w:rsid w:val="00E8615E"/>
    <w:rsid w:val="00E861B7"/>
    <w:rsid w:val="00E861BB"/>
    <w:rsid w:val="00E8621A"/>
    <w:rsid w:val="00E86239"/>
    <w:rsid w:val="00E862A3"/>
    <w:rsid w:val="00E8634C"/>
    <w:rsid w:val="00E863A0"/>
    <w:rsid w:val="00E86514"/>
    <w:rsid w:val="00E8668F"/>
    <w:rsid w:val="00E86696"/>
    <w:rsid w:val="00E867B1"/>
    <w:rsid w:val="00E868CE"/>
    <w:rsid w:val="00E86AF2"/>
    <w:rsid w:val="00E86B1A"/>
    <w:rsid w:val="00E86B23"/>
    <w:rsid w:val="00E86EF1"/>
    <w:rsid w:val="00E86FAF"/>
    <w:rsid w:val="00E8700C"/>
    <w:rsid w:val="00E870AF"/>
    <w:rsid w:val="00E87118"/>
    <w:rsid w:val="00E87276"/>
    <w:rsid w:val="00E87545"/>
    <w:rsid w:val="00E875F7"/>
    <w:rsid w:val="00E8762B"/>
    <w:rsid w:val="00E8797A"/>
    <w:rsid w:val="00E87BE3"/>
    <w:rsid w:val="00E87C57"/>
    <w:rsid w:val="00E8AA8D"/>
    <w:rsid w:val="00E90035"/>
    <w:rsid w:val="00E900A7"/>
    <w:rsid w:val="00E900C7"/>
    <w:rsid w:val="00E90112"/>
    <w:rsid w:val="00E90225"/>
    <w:rsid w:val="00E90242"/>
    <w:rsid w:val="00E902FE"/>
    <w:rsid w:val="00E903FD"/>
    <w:rsid w:val="00E907F2"/>
    <w:rsid w:val="00E90B1D"/>
    <w:rsid w:val="00E90C08"/>
    <w:rsid w:val="00E90D32"/>
    <w:rsid w:val="00E90E7E"/>
    <w:rsid w:val="00E90F41"/>
    <w:rsid w:val="00E90FEA"/>
    <w:rsid w:val="00E91055"/>
    <w:rsid w:val="00E91060"/>
    <w:rsid w:val="00E91087"/>
    <w:rsid w:val="00E9110F"/>
    <w:rsid w:val="00E911F8"/>
    <w:rsid w:val="00E91273"/>
    <w:rsid w:val="00E9140B"/>
    <w:rsid w:val="00E91427"/>
    <w:rsid w:val="00E91470"/>
    <w:rsid w:val="00E91614"/>
    <w:rsid w:val="00E91615"/>
    <w:rsid w:val="00E9194A"/>
    <w:rsid w:val="00E919C2"/>
    <w:rsid w:val="00E919D6"/>
    <w:rsid w:val="00E91AD7"/>
    <w:rsid w:val="00E91C53"/>
    <w:rsid w:val="00E91EA5"/>
    <w:rsid w:val="00E91F69"/>
    <w:rsid w:val="00E91F7E"/>
    <w:rsid w:val="00E91FC9"/>
    <w:rsid w:val="00E92087"/>
    <w:rsid w:val="00E92329"/>
    <w:rsid w:val="00E92344"/>
    <w:rsid w:val="00E92406"/>
    <w:rsid w:val="00E92421"/>
    <w:rsid w:val="00E9259E"/>
    <w:rsid w:val="00E9262E"/>
    <w:rsid w:val="00E92640"/>
    <w:rsid w:val="00E9277C"/>
    <w:rsid w:val="00E92890"/>
    <w:rsid w:val="00E928DA"/>
    <w:rsid w:val="00E9296E"/>
    <w:rsid w:val="00E92CD6"/>
    <w:rsid w:val="00E92D38"/>
    <w:rsid w:val="00E92D84"/>
    <w:rsid w:val="00E92F37"/>
    <w:rsid w:val="00E930A4"/>
    <w:rsid w:val="00E93163"/>
    <w:rsid w:val="00E93179"/>
    <w:rsid w:val="00E9324B"/>
    <w:rsid w:val="00E93324"/>
    <w:rsid w:val="00E9334D"/>
    <w:rsid w:val="00E934B8"/>
    <w:rsid w:val="00E9357F"/>
    <w:rsid w:val="00E9362B"/>
    <w:rsid w:val="00E936DD"/>
    <w:rsid w:val="00E9373F"/>
    <w:rsid w:val="00E937BF"/>
    <w:rsid w:val="00E937DB"/>
    <w:rsid w:val="00E9386C"/>
    <w:rsid w:val="00E93875"/>
    <w:rsid w:val="00E938F0"/>
    <w:rsid w:val="00E939F8"/>
    <w:rsid w:val="00E93B16"/>
    <w:rsid w:val="00E93BD0"/>
    <w:rsid w:val="00E93C0A"/>
    <w:rsid w:val="00E93D7D"/>
    <w:rsid w:val="00E93E08"/>
    <w:rsid w:val="00E93E30"/>
    <w:rsid w:val="00E93E55"/>
    <w:rsid w:val="00E93E97"/>
    <w:rsid w:val="00E94121"/>
    <w:rsid w:val="00E94172"/>
    <w:rsid w:val="00E94289"/>
    <w:rsid w:val="00E9432C"/>
    <w:rsid w:val="00E94447"/>
    <w:rsid w:val="00E9448F"/>
    <w:rsid w:val="00E945EA"/>
    <w:rsid w:val="00E9473D"/>
    <w:rsid w:val="00E94A02"/>
    <w:rsid w:val="00E94A72"/>
    <w:rsid w:val="00E94AA5"/>
    <w:rsid w:val="00E94D27"/>
    <w:rsid w:val="00E94F6E"/>
    <w:rsid w:val="00E94F98"/>
    <w:rsid w:val="00E950D7"/>
    <w:rsid w:val="00E95313"/>
    <w:rsid w:val="00E9558E"/>
    <w:rsid w:val="00E955B7"/>
    <w:rsid w:val="00E955DE"/>
    <w:rsid w:val="00E955FA"/>
    <w:rsid w:val="00E956F9"/>
    <w:rsid w:val="00E958F0"/>
    <w:rsid w:val="00E95A44"/>
    <w:rsid w:val="00E95A72"/>
    <w:rsid w:val="00E95B7D"/>
    <w:rsid w:val="00E95C49"/>
    <w:rsid w:val="00E95C66"/>
    <w:rsid w:val="00E95CF4"/>
    <w:rsid w:val="00E95E1A"/>
    <w:rsid w:val="00E95E8F"/>
    <w:rsid w:val="00E95F0C"/>
    <w:rsid w:val="00E95F83"/>
    <w:rsid w:val="00E9600E"/>
    <w:rsid w:val="00E960DB"/>
    <w:rsid w:val="00E96226"/>
    <w:rsid w:val="00E962E9"/>
    <w:rsid w:val="00E962F4"/>
    <w:rsid w:val="00E96301"/>
    <w:rsid w:val="00E963C3"/>
    <w:rsid w:val="00E965D6"/>
    <w:rsid w:val="00E9661F"/>
    <w:rsid w:val="00E9662D"/>
    <w:rsid w:val="00E96675"/>
    <w:rsid w:val="00E966C1"/>
    <w:rsid w:val="00E966F1"/>
    <w:rsid w:val="00E968B9"/>
    <w:rsid w:val="00E9695B"/>
    <w:rsid w:val="00E969B5"/>
    <w:rsid w:val="00E96A32"/>
    <w:rsid w:val="00E96B9A"/>
    <w:rsid w:val="00E96CCD"/>
    <w:rsid w:val="00E96CDE"/>
    <w:rsid w:val="00E96EDC"/>
    <w:rsid w:val="00E96F8A"/>
    <w:rsid w:val="00E96FBF"/>
    <w:rsid w:val="00E97139"/>
    <w:rsid w:val="00E971E8"/>
    <w:rsid w:val="00E9726E"/>
    <w:rsid w:val="00E9730C"/>
    <w:rsid w:val="00E97582"/>
    <w:rsid w:val="00E9760A"/>
    <w:rsid w:val="00E9799B"/>
    <w:rsid w:val="00E97A3F"/>
    <w:rsid w:val="00E97B2C"/>
    <w:rsid w:val="00E97B51"/>
    <w:rsid w:val="00E97E0D"/>
    <w:rsid w:val="00E97E16"/>
    <w:rsid w:val="00E97F52"/>
    <w:rsid w:val="00EA002C"/>
    <w:rsid w:val="00EA0197"/>
    <w:rsid w:val="00EA02D5"/>
    <w:rsid w:val="00EA03D0"/>
    <w:rsid w:val="00EA053D"/>
    <w:rsid w:val="00EA0821"/>
    <w:rsid w:val="00EA0AD8"/>
    <w:rsid w:val="00EA0DA0"/>
    <w:rsid w:val="00EA0DA7"/>
    <w:rsid w:val="00EA0FD4"/>
    <w:rsid w:val="00EA105F"/>
    <w:rsid w:val="00EA10E7"/>
    <w:rsid w:val="00EA120B"/>
    <w:rsid w:val="00EA13FE"/>
    <w:rsid w:val="00EA1406"/>
    <w:rsid w:val="00EA1576"/>
    <w:rsid w:val="00EA15FA"/>
    <w:rsid w:val="00EA1919"/>
    <w:rsid w:val="00EA193B"/>
    <w:rsid w:val="00EA19E1"/>
    <w:rsid w:val="00EA1A97"/>
    <w:rsid w:val="00EA1D00"/>
    <w:rsid w:val="00EA1D94"/>
    <w:rsid w:val="00EA1E01"/>
    <w:rsid w:val="00EA1F73"/>
    <w:rsid w:val="00EA2203"/>
    <w:rsid w:val="00EA2284"/>
    <w:rsid w:val="00EA24F2"/>
    <w:rsid w:val="00EA25E9"/>
    <w:rsid w:val="00EA2788"/>
    <w:rsid w:val="00EA289A"/>
    <w:rsid w:val="00EA2BD8"/>
    <w:rsid w:val="00EA2BDE"/>
    <w:rsid w:val="00EA2D11"/>
    <w:rsid w:val="00EA2D72"/>
    <w:rsid w:val="00EA2EAC"/>
    <w:rsid w:val="00EA308E"/>
    <w:rsid w:val="00EA32F1"/>
    <w:rsid w:val="00EA342E"/>
    <w:rsid w:val="00EA352D"/>
    <w:rsid w:val="00EA3819"/>
    <w:rsid w:val="00EA3857"/>
    <w:rsid w:val="00EA394E"/>
    <w:rsid w:val="00EA3B17"/>
    <w:rsid w:val="00EA3D72"/>
    <w:rsid w:val="00EA3D93"/>
    <w:rsid w:val="00EA3EC5"/>
    <w:rsid w:val="00EA4102"/>
    <w:rsid w:val="00EA41AF"/>
    <w:rsid w:val="00EA4726"/>
    <w:rsid w:val="00EA4740"/>
    <w:rsid w:val="00EA48B5"/>
    <w:rsid w:val="00EA48BD"/>
    <w:rsid w:val="00EA4942"/>
    <w:rsid w:val="00EA4986"/>
    <w:rsid w:val="00EA4A40"/>
    <w:rsid w:val="00EA4A73"/>
    <w:rsid w:val="00EA4AB0"/>
    <w:rsid w:val="00EA4B5C"/>
    <w:rsid w:val="00EA4D15"/>
    <w:rsid w:val="00EA51A9"/>
    <w:rsid w:val="00EA51E1"/>
    <w:rsid w:val="00EA530A"/>
    <w:rsid w:val="00EA53C6"/>
    <w:rsid w:val="00EA54E9"/>
    <w:rsid w:val="00EA55E7"/>
    <w:rsid w:val="00EA570A"/>
    <w:rsid w:val="00EA580B"/>
    <w:rsid w:val="00EA59B8"/>
    <w:rsid w:val="00EA5A79"/>
    <w:rsid w:val="00EA5A7B"/>
    <w:rsid w:val="00EA5C0F"/>
    <w:rsid w:val="00EA5F8E"/>
    <w:rsid w:val="00EA5FB2"/>
    <w:rsid w:val="00EA61FE"/>
    <w:rsid w:val="00EA6259"/>
    <w:rsid w:val="00EA62B0"/>
    <w:rsid w:val="00EA6344"/>
    <w:rsid w:val="00EA63FD"/>
    <w:rsid w:val="00EA65DE"/>
    <w:rsid w:val="00EA66F0"/>
    <w:rsid w:val="00EA67F8"/>
    <w:rsid w:val="00EA6B41"/>
    <w:rsid w:val="00EA6C1F"/>
    <w:rsid w:val="00EA6E53"/>
    <w:rsid w:val="00EA7118"/>
    <w:rsid w:val="00EA715A"/>
    <w:rsid w:val="00EA7317"/>
    <w:rsid w:val="00EA759C"/>
    <w:rsid w:val="00EA7600"/>
    <w:rsid w:val="00EA7715"/>
    <w:rsid w:val="00EA7AC6"/>
    <w:rsid w:val="00EA7AC8"/>
    <w:rsid w:val="00EA7BC3"/>
    <w:rsid w:val="00EA7C5B"/>
    <w:rsid w:val="00EA7C8E"/>
    <w:rsid w:val="00EA7EBF"/>
    <w:rsid w:val="00EA7FAA"/>
    <w:rsid w:val="00EB04F7"/>
    <w:rsid w:val="00EB07B2"/>
    <w:rsid w:val="00EB07B8"/>
    <w:rsid w:val="00EB0954"/>
    <w:rsid w:val="00EB09FF"/>
    <w:rsid w:val="00EB0A86"/>
    <w:rsid w:val="00EB0AC6"/>
    <w:rsid w:val="00EB0AEA"/>
    <w:rsid w:val="00EB0BA7"/>
    <w:rsid w:val="00EB0DF7"/>
    <w:rsid w:val="00EB0E67"/>
    <w:rsid w:val="00EB0F52"/>
    <w:rsid w:val="00EB0F81"/>
    <w:rsid w:val="00EB1169"/>
    <w:rsid w:val="00EB11B9"/>
    <w:rsid w:val="00EB1216"/>
    <w:rsid w:val="00EB1259"/>
    <w:rsid w:val="00EB1297"/>
    <w:rsid w:val="00EB14B3"/>
    <w:rsid w:val="00EB1616"/>
    <w:rsid w:val="00EB16A2"/>
    <w:rsid w:val="00EB1852"/>
    <w:rsid w:val="00EB1943"/>
    <w:rsid w:val="00EB1C39"/>
    <w:rsid w:val="00EB1D5A"/>
    <w:rsid w:val="00EB1DC6"/>
    <w:rsid w:val="00EB1F9D"/>
    <w:rsid w:val="00EB212C"/>
    <w:rsid w:val="00EB2146"/>
    <w:rsid w:val="00EB215C"/>
    <w:rsid w:val="00EB228F"/>
    <w:rsid w:val="00EB2470"/>
    <w:rsid w:val="00EB2495"/>
    <w:rsid w:val="00EB249A"/>
    <w:rsid w:val="00EB249B"/>
    <w:rsid w:val="00EB2636"/>
    <w:rsid w:val="00EB2866"/>
    <w:rsid w:val="00EB2A4C"/>
    <w:rsid w:val="00EB2B42"/>
    <w:rsid w:val="00EB2BBC"/>
    <w:rsid w:val="00EB2C64"/>
    <w:rsid w:val="00EB2C9F"/>
    <w:rsid w:val="00EB2D99"/>
    <w:rsid w:val="00EB2FB5"/>
    <w:rsid w:val="00EB304D"/>
    <w:rsid w:val="00EB3153"/>
    <w:rsid w:val="00EB31CE"/>
    <w:rsid w:val="00EB3232"/>
    <w:rsid w:val="00EB32DA"/>
    <w:rsid w:val="00EB33CF"/>
    <w:rsid w:val="00EB34D8"/>
    <w:rsid w:val="00EB3561"/>
    <w:rsid w:val="00EB3578"/>
    <w:rsid w:val="00EB38EA"/>
    <w:rsid w:val="00EB38F0"/>
    <w:rsid w:val="00EB3B56"/>
    <w:rsid w:val="00EB3B96"/>
    <w:rsid w:val="00EB3CE1"/>
    <w:rsid w:val="00EB3FB4"/>
    <w:rsid w:val="00EB3FE8"/>
    <w:rsid w:val="00EB4062"/>
    <w:rsid w:val="00EB4206"/>
    <w:rsid w:val="00EB4356"/>
    <w:rsid w:val="00EB437A"/>
    <w:rsid w:val="00EB4544"/>
    <w:rsid w:val="00EB4577"/>
    <w:rsid w:val="00EB473C"/>
    <w:rsid w:val="00EB47F5"/>
    <w:rsid w:val="00EB48F4"/>
    <w:rsid w:val="00EB4B05"/>
    <w:rsid w:val="00EB4B15"/>
    <w:rsid w:val="00EB4C5F"/>
    <w:rsid w:val="00EB4DC1"/>
    <w:rsid w:val="00EB4E0C"/>
    <w:rsid w:val="00EB4F11"/>
    <w:rsid w:val="00EB4F41"/>
    <w:rsid w:val="00EB4FDF"/>
    <w:rsid w:val="00EB5061"/>
    <w:rsid w:val="00EB50CB"/>
    <w:rsid w:val="00EB51D2"/>
    <w:rsid w:val="00EB5202"/>
    <w:rsid w:val="00EB53F2"/>
    <w:rsid w:val="00EB540D"/>
    <w:rsid w:val="00EB5717"/>
    <w:rsid w:val="00EB58D9"/>
    <w:rsid w:val="00EB5904"/>
    <w:rsid w:val="00EB5990"/>
    <w:rsid w:val="00EB59FF"/>
    <w:rsid w:val="00EB5A60"/>
    <w:rsid w:val="00EB5B4D"/>
    <w:rsid w:val="00EB5C98"/>
    <w:rsid w:val="00EB5CF8"/>
    <w:rsid w:val="00EB5D40"/>
    <w:rsid w:val="00EB5D6B"/>
    <w:rsid w:val="00EB5E6F"/>
    <w:rsid w:val="00EB61AD"/>
    <w:rsid w:val="00EB61C1"/>
    <w:rsid w:val="00EB634E"/>
    <w:rsid w:val="00EB636C"/>
    <w:rsid w:val="00EB63A3"/>
    <w:rsid w:val="00EB64D8"/>
    <w:rsid w:val="00EB6662"/>
    <w:rsid w:val="00EB66C2"/>
    <w:rsid w:val="00EB66F1"/>
    <w:rsid w:val="00EB6876"/>
    <w:rsid w:val="00EB68AA"/>
    <w:rsid w:val="00EB6AEF"/>
    <w:rsid w:val="00EB6BCD"/>
    <w:rsid w:val="00EB6BCF"/>
    <w:rsid w:val="00EB6C17"/>
    <w:rsid w:val="00EB6C48"/>
    <w:rsid w:val="00EB6DBD"/>
    <w:rsid w:val="00EB6DC1"/>
    <w:rsid w:val="00EB6E2D"/>
    <w:rsid w:val="00EB6F96"/>
    <w:rsid w:val="00EB7053"/>
    <w:rsid w:val="00EB7258"/>
    <w:rsid w:val="00EB72E8"/>
    <w:rsid w:val="00EB741B"/>
    <w:rsid w:val="00EB7566"/>
    <w:rsid w:val="00EB757D"/>
    <w:rsid w:val="00EB765E"/>
    <w:rsid w:val="00EB78F1"/>
    <w:rsid w:val="00EB7A55"/>
    <w:rsid w:val="00EB7B9A"/>
    <w:rsid w:val="00EB7BE7"/>
    <w:rsid w:val="00EB7CF9"/>
    <w:rsid w:val="00EB7D1D"/>
    <w:rsid w:val="00EC00EC"/>
    <w:rsid w:val="00EC014C"/>
    <w:rsid w:val="00EC01E3"/>
    <w:rsid w:val="00EC03EC"/>
    <w:rsid w:val="00EC054B"/>
    <w:rsid w:val="00EC05D8"/>
    <w:rsid w:val="00EC05F3"/>
    <w:rsid w:val="00EC060D"/>
    <w:rsid w:val="00EC06BC"/>
    <w:rsid w:val="00EC06C6"/>
    <w:rsid w:val="00EC0734"/>
    <w:rsid w:val="00EC076E"/>
    <w:rsid w:val="00EC07A5"/>
    <w:rsid w:val="00EC08D0"/>
    <w:rsid w:val="00EC09A1"/>
    <w:rsid w:val="00EC0A8B"/>
    <w:rsid w:val="00EC0D3E"/>
    <w:rsid w:val="00EC0E61"/>
    <w:rsid w:val="00EC11D1"/>
    <w:rsid w:val="00EC14AF"/>
    <w:rsid w:val="00EC15FE"/>
    <w:rsid w:val="00EC1627"/>
    <w:rsid w:val="00EC169C"/>
    <w:rsid w:val="00EC1A3C"/>
    <w:rsid w:val="00EC1A57"/>
    <w:rsid w:val="00EC1A73"/>
    <w:rsid w:val="00EC1AE4"/>
    <w:rsid w:val="00EC1B3A"/>
    <w:rsid w:val="00EC1C0C"/>
    <w:rsid w:val="00EC1C4A"/>
    <w:rsid w:val="00EC1E0F"/>
    <w:rsid w:val="00EC1E2F"/>
    <w:rsid w:val="00EC1E5A"/>
    <w:rsid w:val="00EC20BF"/>
    <w:rsid w:val="00EC2115"/>
    <w:rsid w:val="00EC2221"/>
    <w:rsid w:val="00EC23AD"/>
    <w:rsid w:val="00EC247F"/>
    <w:rsid w:val="00EC2490"/>
    <w:rsid w:val="00EC251F"/>
    <w:rsid w:val="00EC2533"/>
    <w:rsid w:val="00EC2539"/>
    <w:rsid w:val="00EC25C0"/>
    <w:rsid w:val="00EC2703"/>
    <w:rsid w:val="00EC2708"/>
    <w:rsid w:val="00EC2B05"/>
    <w:rsid w:val="00EC2C21"/>
    <w:rsid w:val="00EC2D16"/>
    <w:rsid w:val="00EC2F4B"/>
    <w:rsid w:val="00EC303B"/>
    <w:rsid w:val="00EC3098"/>
    <w:rsid w:val="00EC31B5"/>
    <w:rsid w:val="00EC3481"/>
    <w:rsid w:val="00EC35B5"/>
    <w:rsid w:val="00EC376A"/>
    <w:rsid w:val="00EC381C"/>
    <w:rsid w:val="00EC3896"/>
    <w:rsid w:val="00EC38F3"/>
    <w:rsid w:val="00EC3957"/>
    <w:rsid w:val="00EC3A84"/>
    <w:rsid w:val="00EC3B49"/>
    <w:rsid w:val="00EC3B7B"/>
    <w:rsid w:val="00EC3B92"/>
    <w:rsid w:val="00EC3C74"/>
    <w:rsid w:val="00EC3C82"/>
    <w:rsid w:val="00EC3CD1"/>
    <w:rsid w:val="00EC3CE2"/>
    <w:rsid w:val="00EC3CE4"/>
    <w:rsid w:val="00EC3D39"/>
    <w:rsid w:val="00EC3DB3"/>
    <w:rsid w:val="00EC3E99"/>
    <w:rsid w:val="00EC3F7B"/>
    <w:rsid w:val="00EC41DE"/>
    <w:rsid w:val="00EC4225"/>
    <w:rsid w:val="00EC42A3"/>
    <w:rsid w:val="00EC4631"/>
    <w:rsid w:val="00EC4948"/>
    <w:rsid w:val="00EC4992"/>
    <w:rsid w:val="00EC4A72"/>
    <w:rsid w:val="00EC4D43"/>
    <w:rsid w:val="00EC4D54"/>
    <w:rsid w:val="00EC4DE9"/>
    <w:rsid w:val="00EC4EE7"/>
    <w:rsid w:val="00EC5052"/>
    <w:rsid w:val="00EC51BA"/>
    <w:rsid w:val="00EC5258"/>
    <w:rsid w:val="00EC55B9"/>
    <w:rsid w:val="00EC572A"/>
    <w:rsid w:val="00EC577C"/>
    <w:rsid w:val="00EC587C"/>
    <w:rsid w:val="00EC5B7F"/>
    <w:rsid w:val="00EC5BCA"/>
    <w:rsid w:val="00EC5C05"/>
    <w:rsid w:val="00EC5CB7"/>
    <w:rsid w:val="00EC5E6C"/>
    <w:rsid w:val="00EC5ECE"/>
    <w:rsid w:val="00EC6217"/>
    <w:rsid w:val="00EC626D"/>
    <w:rsid w:val="00EC64B8"/>
    <w:rsid w:val="00EC663B"/>
    <w:rsid w:val="00EC6C56"/>
    <w:rsid w:val="00EC6DF2"/>
    <w:rsid w:val="00EC6E29"/>
    <w:rsid w:val="00EC6EDD"/>
    <w:rsid w:val="00EC7013"/>
    <w:rsid w:val="00EC70A1"/>
    <w:rsid w:val="00EC70AF"/>
    <w:rsid w:val="00EC70E5"/>
    <w:rsid w:val="00EC7140"/>
    <w:rsid w:val="00EC7199"/>
    <w:rsid w:val="00EC7434"/>
    <w:rsid w:val="00EC756C"/>
    <w:rsid w:val="00EC77CF"/>
    <w:rsid w:val="00EC7B9C"/>
    <w:rsid w:val="00EC7D0B"/>
    <w:rsid w:val="00EC7DB4"/>
    <w:rsid w:val="00EC7E4B"/>
    <w:rsid w:val="00EC7F23"/>
    <w:rsid w:val="00ED009D"/>
    <w:rsid w:val="00ED01A9"/>
    <w:rsid w:val="00ED0247"/>
    <w:rsid w:val="00ED032A"/>
    <w:rsid w:val="00ED032B"/>
    <w:rsid w:val="00ED0393"/>
    <w:rsid w:val="00ED03AB"/>
    <w:rsid w:val="00ED03EA"/>
    <w:rsid w:val="00ED044A"/>
    <w:rsid w:val="00ED049E"/>
    <w:rsid w:val="00ED04F5"/>
    <w:rsid w:val="00ED05F6"/>
    <w:rsid w:val="00ED0712"/>
    <w:rsid w:val="00ED08A0"/>
    <w:rsid w:val="00ED0A3C"/>
    <w:rsid w:val="00ED0AB7"/>
    <w:rsid w:val="00ED0B62"/>
    <w:rsid w:val="00ED1001"/>
    <w:rsid w:val="00ED12B6"/>
    <w:rsid w:val="00ED145B"/>
    <w:rsid w:val="00ED16DC"/>
    <w:rsid w:val="00ED172D"/>
    <w:rsid w:val="00ED1A15"/>
    <w:rsid w:val="00ED1A2F"/>
    <w:rsid w:val="00ED1AB1"/>
    <w:rsid w:val="00ED1BFC"/>
    <w:rsid w:val="00ED1CD9"/>
    <w:rsid w:val="00ED1EB6"/>
    <w:rsid w:val="00ED2164"/>
    <w:rsid w:val="00ED2307"/>
    <w:rsid w:val="00ED2433"/>
    <w:rsid w:val="00ED248D"/>
    <w:rsid w:val="00ED24A8"/>
    <w:rsid w:val="00ED2561"/>
    <w:rsid w:val="00ED263B"/>
    <w:rsid w:val="00ED27DD"/>
    <w:rsid w:val="00ED294B"/>
    <w:rsid w:val="00ED29C5"/>
    <w:rsid w:val="00ED2A19"/>
    <w:rsid w:val="00ED2B09"/>
    <w:rsid w:val="00ED2C53"/>
    <w:rsid w:val="00ED2D0E"/>
    <w:rsid w:val="00ED2DEA"/>
    <w:rsid w:val="00ED2E9B"/>
    <w:rsid w:val="00ED32C9"/>
    <w:rsid w:val="00ED32DE"/>
    <w:rsid w:val="00ED398F"/>
    <w:rsid w:val="00ED39E0"/>
    <w:rsid w:val="00ED3B72"/>
    <w:rsid w:val="00ED3BCF"/>
    <w:rsid w:val="00ED3DD1"/>
    <w:rsid w:val="00ED3E55"/>
    <w:rsid w:val="00ED3EEE"/>
    <w:rsid w:val="00ED3F16"/>
    <w:rsid w:val="00ED40DF"/>
    <w:rsid w:val="00ED4639"/>
    <w:rsid w:val="00ED46DA"/>
    <w:rsid w:val="00ED46F7"/>
    <w:rsid w:val="00ED47E8"/>
    <w:rsid w:val="00ED4BF0"/>
    <w:rsid w:val="00ED4BF1"/>
    <w:rsid w:val="00ED4D40"/>
    <w:rsid w:val="00ED4DF9"/>
    <w:rsid w:val="00ED4ED9"/>
    <w:rsid w:val="00ED4F2D"/>
    <w:rsid w:val="00ED5225"/>
    <w:rsid w:val="00ED535C"/>
    <w:rsid w:val="00ED551A"/>
    <w:rsid w:val="00ED5601"/>
    <w:rsid w:val="00ED5673"/>
    <w:rsid w:val="00ED5700"/>
    <w:rsid w:val="00ED5947"/>
    <w:rsid w:val="00ED5B2A"/>
    <w:rsid w:val="00ED5BFD"/>
    <w:rsid w:val="00ED5C76"/>
    <w:rsid w:val="00ED5C8C"/>
    <w:rsid w:val="00ED5EB5"/>
    <w:rsid w:val="00ED601C"/>
    <w:rsid w:val="00ED6119"/>
    <w:rsid w:val="00ED612A"/>
    <w:rsid w:val="00ED61C0"/>
    <w:rsid w:val="00ED6281"/>
    <w:rsid w:val="00ED636A"/>
    <w:rsid w:val="00ED6491"/>
    <w:rsid w:val="00ED66E1"/>
    <w:rsid w:val="00ED6787"/>
    <w:rsid w:val="00ED68ED"/>
    <w:rsid w:val="00ED69BC"/>
    <w:rsid w:val="00ED6A8E"/>
    <w:rsid w:val="00ED6ABF"/>
    <w:rsid w:val="00ED6B01"/>
    <w:rsid w:val="00ED6D98"/>
    <w:rsid w:val="00ED6ED8"/>
    <w:rsid w:val="00ED6FF7"/>
    <w:rsid w:val="00ED7018"/>
    <w:rsid w:val="00ED706E"/>
    <w:rsid w:val="00ED71B2"/>
    <w:rsid w:val="00ED72AE"/>
    <w:rsid w:val="00ED747D"/>
    <w:rsid w:val="00ED74AC"/>
    <w:rsid w:val="00ED74DB"/>
    <w:rsid w:val="00ED75A0"/>
    <w:rsid w:val="00ED75C3"/>
    <w:rsid w:val="00ED75D3"/>
    <w:rsid w:val="00ED7644"/>
    <w:rsid w:val="00ED772F"/>
    <w:rsid w:val="00ED792F"/>
    <w:rsid w:val="00ED7AE8"/>
    <w:rsid w:val="00ED7B17"/>
    <w:rsid w:val="00ED7C06"/>
    <w:rsid w:val="00ED7C08"/>
    <w:rsid w:val="00ED7D99"/>
    <w:rsid w:val="00ED7DD7"/>
    <w:rsid w:val="00ED7E28"/>
    <w:rsid w:val="00ED7EF6"/>
    <w:rsid w:val="00ED7FD3"/>
    <w:rsid w:val="00EE0841"/>
    <w:rsid w:val="00EE0939"/>
    <w:rsid w:val="00EE0993"/>
    <w:rsid w:val="00EE0C42"/>
    <w:rsid w:val="00EE0C9B"/>
    <w:rsid w:val="00EE0E5D"/>
    <w:rsid w:val="00EE0ED5"/>
    <w:rsid w:val="00EE0EF1"/>
    <w:rsid w:val="00EE0F35"/>
    <w:rsid w:val="00EE0F65"/>
    <w:rsid w:val="00EE0FDD"/>
    <w:rsid w:val="00EE1175"/>
    <w:rsid w:val="00EE1410"/>
    <w:rsid w:val="00EE14F2"/>
    <w:rsid w:val="00EE1529"/>
    <w:rsid w:val="00EE156A"/>
    <w:rsid w:val="00EE1885"/>
    <w:rsid w:val="00EE18B9"/>
    <w:rsid w:val="00EE197D"/>
    <w:rsid w:val="00EE1A70"/>
    <w:rsid w:val="00EE1A9C"/>
    <w:rsid w:val="00EE1AEC"/>
    <w:rsid w:val="00EE1C14"/>
    <w:rsid w:val="00EE1CCA"/>
    <w:rsid w:val="00EE1DA3"/>
    <w:rsid w:val="00EE1DD0"/>
    <w:rsid w:val="00EE1E4B"/>
    <w:rsid w:val="00EE1FD0"/>
    <w:rsid w:val="00EE2138"/>
    <w:rsid w:val="00EE2306"/>
    <w:rsid w:val="00EE2370"/>
    <w:rsid w:val="00EE2390"/>
    <w:rsid w:val="00EE2560"/>
    <w:rsid w:val="00EE26D5"/>
    <w:rsid w:val="00EE27AF"/>
    <w:rsid w:val="00EE27FB"/>
    <w:rsid w:val="00EE2942"/>
    <w:rsid w:val="00EE2987"/>
    <w:rsid w:val="00EE2BBE"/>
    <w:rsid w:val="00EE2DAC"/>
    <w:rsid w:val="00EE2FED"/>
    <w:rsid w:val="00EE321E"/>
    <w:rsid w:val="00EE3222"/>
    <w:rsid w:val="00EE34B3"/>
    <w:rsid w:val="00EE34F9"/>
    <w:rsid w:val="00EE35FC"/>
    <w:rsid w:val="00EE361E"/>
    <w:rsid w:val="00EE362D"/>
    <w:rsid w:val="00EE3692"/>
    <w:rsid w:val="00EE38B0"/>
    <w:rsid w:val="00EE39A9"/>
    <w:rsid w:val="00EE39F7"/>
    <w:rsid w:val="00EE3A15"/>
    <w:rsid w:val="00EE3B1F"/>
    <w:rsid w:val="00EE3B35"/>
    <w:rsid w:val="00EE3B50"/>
    <w:rsid w:val="00EE3BE3"/>
    <w:rsid w:val="00EE3BE8"/>
    <w:rsid w:val="00EE3C4E"/>
    <w:rsid w:val="00EE3CA5"/>
    <w:rsid w:val="00EE3CF1"/>
    <w:rsid w:val="00EE3EE4"/>
    <w:rsid w:val="00EE4064"/>
    <w:rsid w:val="00EE41CB"/>
    <w:rsid w:val="00EE429B"/>
    <w:rsid w:val="00EE4456"/>
    <w:rsid w:val="00EE45D8"/>
    <w:rsid w:val="00EE4716"/>
    <w:rsid w:val="00EE4852"/>
    <w:rsid w:val="00EE48A1"/>
    <w:rsid w:val="00EE4BBC"/>
    <w:rsid w:val="00EE4DB2"/>
    <w:rsid w:val="00EE4E2B"/>
    <w:rsid w:val="00EE4EB3"/>
    <w:rsid w:val="00EE4EFF"/>
    <w:rsid w:val="00EE4F70"/>
    <w:rsid w:val="00EE4FEA"/>
    <w:rsid w:val="00EE512F"/>
    <w:rsid w:val="00EE5410"/>
    <w:rsid w:val="00EE5447"/>
    <w:rsid w:val="00EE55E7"/>
    <w:rsid w:val="00EE5672"/>
    <w:rsid w:val="00EE5844"/>
    <w:rsid w:val="00EE597E"/>
    <w:rsid w:val="00EE5A17"/>
    <w:rsid w:val="00EE5A6A"/>
    <w:rsid w:val="00EE5AC5"/>
    <w:rsid w:val="00EE5F2C"/>
    <w:rsid w:val="00EE6172"/>
    <w:rsid w:val="00EE61D4"/>
    <w:rsid w:val="00EE63F8"/>
    <w:rsid w:val="00EE6615"/>
    <w:rsid w:val="00EE662B"/>
    <w:rsid w:val="00EE672D"/>
    <w:rsid w:val="00EE694A"/>
    <w:rsid w:val="00EE6B17"/>
    <w:rsid w:val="00EE6C56"/>
    <w:rsid w:val="00EE6D43"/>
    <w:rsid w:val="00EE6F9D"/>
    <w:rsid w:val="00EE7056"/>
    <w:rsid w:val="00EE711D"/>
    <w:rsid w:val="00EE7232"/>
    <w:rsid w:val="00EE72B3"/>
    <w:rsid w:val="00EE73A3"/>
    <w:rsid w:val="00EE753C"/>
    <w:rsid w:val="00EE754D"/>
    <w:rsid w:val="00EE7580"/>
    <w:rsid w:val="00EE7765"/>
    <w:rsid w:val="00EE77FB"/>
    <w:rsid w:val="00EE77FD"/>
    <w:rsid w:val="00EE78A6"/>
    <w:rsid w:val="00EE7989"/>
    <w:rsid w:val="00EE79DC"/>
    <w:rsid w:val="00EE7A21"/>
    <w:rsid w:val="00EE7ABC"/>
    <w:rsid w:val="00EE7AEE"/>
    <w:rsid w:val="00EE7B69"/>
    <w:rsid w:val="00EE7B72"/>
    <w:rsid w:val="00EE7BA4"/>
    <w:rsid w:val="00EE7C8B"/>
    <w:rsid w:val="00EE7DC0"/>
    <w:rsid w:val="00EE7F4C"/>
    <w:rsid w:val="00EE7F7A"/>
    <w:rsid w:val="00EE7FE4"/>
    <w:rsid w:val="00EF01B2"/>
    <w:rsid w:val="00EF044F"/>
    <w:rsid w:val="00EF0620"/>
    <w:rsid w:val="00EF063F"/>
    <w:rsid w:val="00EF06A2"/>
    <w:rsid w:val="00EF070B"/>
    <w:rsid w:val="00EF07BF"/>
    <w:rsid w:val="00EF08DC"/>
    <w:rsid w:val="00EF09B7"/>
    <w:rsid w:val="00EF0A2E"/>
    <w:rsid w:val="00EF0AEB"/>
    <w:rsid w:val="00EF0CD9"/>
    <w:rsid w:val="00EF0D45"/>
    <w:rsid w:val="00EF12C9"/>
    <w:rsid w:val="00EF13F1"/>
    <w:rsid w:val="00EF143F"/>
    <w:rsid w:val="00EF1684"/>
    <w:rsid w:val="00EF1A24"/>
    <w:rsid w:val="00EF1CF0"/>
    <w:rsid w:val="00EF1EA1"/>
    <w:rsid w:val="00EF20F6"/>
    <w:rsid w:val="00EF2195"/>
    <w:rsid w:val="00EF22F8"/>
    <w:rsid w:val="00EF2395"/>
    <w:rsid w:val="00EF23D9"/>
    <w:rsid w:val="00EF2471"/>
    <w:rsid w:val="00EF26E9"/>
    <w:rsid w:val="00EF2748"/>
    <w:rsid w:val="00EF2AA9"/>
    <w:rsid w:val="00EF2BBE"/>
    <w:rsid w:val="00EF2E36"/>
    <w:rsid w:val="00EF3137"/>
    <w:rsid w:val="00EF3150"/>
    <w:rsid w:val="00EF3208"/>
    <w:rsid w:val="00EF321B"/>
    <w:rsid w:val="00EF333D"/>
    <w:rsid w:val="00EF3405"/>
    <w:rsid w:val="00EF3446"/>
    <w:rsid w:val="00EF358D"/>
    <w:rsid w:val="00EF392D"/>
    <w:rsid w:val="00EF3A86"/>
    <w:rsid w:val="00EF3A98"/>
    <w:rsid w:val="00EF3B2F"/>
    <w:rsid w:val="00EF3B62"/>
    <w:rsid w:val="00EF3C67"/>
    <w:rsid w:val="00EF3D46"/>
    <w:rsid w:val="00EF3D7C"/>
    <w:rsid w:val="00EF3EDF"/>
    <w:rsid w:val="00EF3F26"/>
    <w:rsid w:val="00EF3F68"/>
    <w:rsid w:val="00EF3FBD"/>
    <w:rsid w:val="00EF40A0"/>
    <w:rsid w:val="00EF41D6"/>
    <w:rsid w:val="00EF42FE"/>
    <w:rsid w:val="00EF43D0"/>
    <w:rsid w:val="00EF48EE"/>
    <w:rsid w:val="00EF49AF"/>
    <w:rsid w:val="00EF49BC"/>
    <w:rsid w:val="00EF4B54"/>
    <w:rsid w:val="00EF4C3E"/>
    <w:rsid w:val="00EF4CF0"/>
    <w:rsid w:val="00EF4CFD"/>
    <w:rsid w:val="00EF4F08"/>
    <w:rsid w:val="00EF5135"/>
    <w:rsid w:val="00EF53EC"/>
    <w:rsid w:val="00EF5407"/>
    <w:rsid w:val="00EF5558"/>
    <w:rsid w:val="00EF5713"/>
    <w:rsid w:val="00EF5923"/>
    <w:rsid w:val="00EF5A4B"/>
    <w:rsid w:val="00EF5A56"/>
    <w:rsid w:val="00EF5A67"/>
    <w:rsid w:val="00EF5CCA"/>
    <w:rsid w:val="00EF5F5E"/>
    <w:rsid w:val="00EF5FCD"/>
    <w:rsid w:val="00EF6494"/>
    <w:rsid w:val="00EF649C"/>
    <w:rsid w:val="00EF656A"/>
    <w:rsid w:val="00EF6705"/>
    <w:rsid w:val="00EF67EB"/>
    <w:rsid w:val="00EF67FE"/>
    <w:rsid w:val="00EF680C"/>
    <w:rsid w:val="00EF69DA"/>
    <w:rsid w:val="00EF6BB5"/>
    <w:rsid w:val="00EF6CE9"/>
    <w:rsid w:val="00EF6F7F"/>
    <w:rsid w:val="00EF7192"/>
    <w:rsid w:val="00EF723C"/>
    <w:rsid w:val="00EF7244"/>
    <w:rsid w:val="00EF72AF"/>
    <w:rsid w:val="00EF734E"/>
    <w:rsid w:val="00EF764C"/>
    <w:rsid w:val="00EF76D2"/>
    <w:rsid w:val="00EF7A8B"/>
    <w:rsid w:val="00EF7AF5"/>
    <w:rsid w:val="00EF7B74"/>
    <w:rsid w:val="00EF7C65"/>
    <w:rsid w:val="00EF7CCB"/>
    <w:rsid w:val="00EF7D8A"/>
    <w:rsid w:val="00EF7E12"/>
    <w:rsid w:val="00EF7EF5"/>
    <w:rsid w:val="00F0006A"/>
    <w:rsid w:val="00F00108"/>
    <w:rsid w:val="00F00201"/>
    <w:rsid w:val="00F00209"/>
    <w:rsid w:val="00F002EB"/>
    <w:rsid w:val="00F00381"/>
    <w:rsid w:val="00F00826"/>
    <w:rsid w:val="00F009B4"/>
    <w:rsid w:val="00F009B9"/>
    <w:rsid w:val="00F00A66"/>
    <w:rsid w:val="00F00B18"/>
    <w:rsid w:val="00F00BDE"/>
    <w:rsid w:val="00F00BF2"/>
    <w:rsid w:val="00F00CE4"/>
    <w:rsid w:val="00F00D61"/>
    <w:rsid w:val="00F00EB0"/>
    <w:rsid w:val="00F00EB1"/>
    <w:rsid w:val="00F00EF4"/>
    <w:rsid w:val="00F00F72"/>
    <w:rsid w:val="00F010AC"/>
    <w:rsid w:val="00F01141"/>
    <w:rsid w:val="00F01177"/>
    <w:rsid w:val="00F01251"/>
    <w:rsid w:val="00F0125B"/>
    <w:rsid w:val="00F0139F"/>
    <w:rsid w:val="00F014BE"/>
    <w:rsid w:val="00F01554"/>
    <w:rsid w:val="00F015B9"/>
    <w:rsid w:val="00F01A26"/>
    <w:rsid w:val="00F01A82"/>
    <w:rsid w:val="00F01BC5"/>
    <w:rsid w:val="00F01C69"/>
    <w:rsid w:val="00F01E82"/>
    <w:rsid w:val="00F01E90"/>
    <w:rsid w:val="00F01F3B"/>
    <w:rsid w:val="00F01F3F"/>
    <w:rsid w:val="00F01F62"/>
    <w:rsid w:val="00F01FA1"/>
    <w:rsid w:val="00F01FCC"/>
    <w:rsid w:val="00F0200B"/>
    <w:rsid w:val="00F020B2"/>
    <w:rsid w:val="00F02197"/>
    <w:rsid w:val="00F022A1"/>
    <w:rsid w:val="00F022D2"/>
    <w:rsid w:val="00F02318"/>
    <w:rsid w:val="00F02632"/>
    <w:rsid w:val="00F02731"/>
    <w:rsid w:val="00F02A65"/>
    <w:rsid w:val="00F02ACB"/>
    <w:rsid w:val="00F02D17"/>
    <w:rsid w:val="00F02E88"/>
    <w:rsid w:val="00F02FA9"/>
    <w:rsid w:val="00F0312C"/>
    <w:rsid w:val="00F0314D"/>
    <w:rsid w:val="00F031C1"/>
    <w:rsid w:val="00F03215"/>
    <w:rsid w:val="00F03333"/>
    <w:rsid w:val="00F0333A"/>
    <w:rsid w:val="00F0338F"/>
    <w:rsid w:val="00F033E9"/>
    <w:rsid w:val="00F0351C"/>
    <w:rsid w:val="00F0363F"/>
    <w:rsid w:val="00F0375E"/>
    <w:rsid w:val="00F037EE"/>
    <w:rsid w:val="00F03973"/>
    <w:rsid w:val="00F03A67"/>
    <w:rsid w:val="00F03BAA"/>
    <w:rsid w:val="00F03C7D"/>
    <w:rsid w:val="00F03E2F"/>
    <w:rsid w:val="00F03E79"/>
    <w:rsid w:val="00F03FDD"/>
    <w:rsid w:val="00F0402C"/>
    <w:rsid w:val="00F04075"/>
    <w:rsid w:val="00F04197"/>
    <w:rsid w:val="00F04510"/>
    <w:rsid w:val="00F04573"/>
    <w:rsid w:val="00F04593"/>
    <w:rsid w:val="00F04664"/>
    <w:rsid w:val="00F046AD"/>
    <w:rsid w:val="00F0474A"/>
    <w:rsid w:val="00F047F9"/>
    <w:rsid w:val="00F04823"/>
    <w:rsid w:val="00F04E6D"/>
    <w:rsid w:val="00F04EB6"/>
    <w:rsid w:val="00F04F95"/>
    <w:rsid w:val="00F050E9"/>
    <w:rsid w:val="00F051CA"/>
    <w:rsid w:val="00F053AD"/>
    <w:rsid w:val="00F05523"/>
    <w:rsid w:val="00F0582B"/>
    <w:rsid w:val="00F058A9"/>
    <w:rsid w:val="00F05973"/>
    <w:rsid w:val="00F05C13"/>
    <w:rsid w:val="00F05C99"/>
    <w:rsid w:val="00F05C9A"/>
    <w:rsid w:val="00F05CA8"/>
    <w:rsid w:val="00F05E64"/>
    <w:rsid w:val="00F05F75"/>
    <w:rsid w:val="00F061B7"/>
    <w:rsid w:val="00F0629C"/>
    <w:rsid w:val="00F063BC"/>
    <w:rsid w:val="00F0683C"/>
    <w:rsid w:val="00F06921"/>
    <w:rsid w:val="00F0724A"/>
    <w:rsid w:val="00F072B4"/>
    <w:rsid w:val="00F07410"/>
    <w:rsid w:val="00F0741B"/>
    <w:rsid w:val="00F076E2"/>
    <w:rsid w:val="00F0775C"/>
    <w:rsid w:val="00F0779E"/>
    <w:rsid w:val="00F07911"/>
    <w:rsid w:val="00F07944"/>
    <w:rsid w:val="00F07A8D"/>
    <w:rsid w:val="00F07CE4"/>
    <w:rsid w:val="00F07CF2"/>
    <w:rsid w:val="00F07D8B"/>
    <w:rsid w:val="00F07E57"/>
    <w:rsid w:val="00F07E69"/>
    <w:rsid w:val="00F07EE5"/>
    <w:rsid w:val="00F07F87"/>
    <w:rsid w:val="00F07FBB"/>
    <w:rsid w:val="00F0BC40"/>
    <w:rsid w:val="00F100B9"/>
    <w:rsid w:val="00F100EA"/>
    <w:rsid w:val="00F101B7"/>
    <w:rsid w:val="00F10225"/>
    <w:rsid w:val="00F1034D"/>
    <w:rsid w:val="00F1034E"/>
    <w:rsid w:val="00F10374"/>
    <w:rsid w:val="00F10409"/>
    <w:rsid w:val="00F10482"/>
    <w:rsid w:val="00F10545"/>
    <w:rsid w:val="00F10547"/>
    <w:rsid w:val="00F105CD"/>
    <w:rsid w:val="00F1061D"/>
    <w:rsid w:val="00F106FF"/>
    <w:rsid w:val="00F1070B"/>
    <w:rsid w:val="00F1079B"/>
    <w:rsid w:val="00F10851"/>
    <w:rsid w:val="00F10A74"/>
    <w:rsid w:val="00F10B98"/>
    <w:rsid w:val="00F10C5F"/>
    <w:rsid w:val="00F10CE3"/>
    <w:rsid w:val="00F10DE1"/>
    <w:rsid w:val="00F10DFE"/>
    <w:rsid w:val="00F10E18"/>
    <w:rsid w:val="00F10F40"/>
    <w:rsid w:val="00F1101A"/>
    <w:rsid w:val="00F11453"/>
    <w:rsid w:val="00F11476"/>
    <w:rsid w:val="00F115FF"/>
    <w:rsid w:val="00F1177E"/>
    <w:rsid w:val="00F1178E"/>
    <w:rsid w:val="00F117D4"/>
    <w:rsid w:val="00F118DF"/>
    <w:rsid w:val="00F1197C"/>
    <w:rsid w:val="00F11ABC"/>
    <w:rsid w:val="00F11AF3"/>
    <w:rsid w:val="00F11C68"/>
    <w:rsid w:val="00F11CBD"/>
    <w:rsid w:val="00F11CCC"/>
    <w:rsid w:val="00F11D04"/>
    <w:rsid w:val="00F11E6A"/>
    <w:rsid w:val="00F12038"/>
    <w:rsid w:val="00F122A4"/>
    <w:rsid w:val="00F123B7"/>
    <w:rsid w:val="00F123EF"/>
    <w:rsid w:val="00F1245D"/>
    <w:rsid w:val="00F125B5"/>
    <w:rsid w:val="00F12949"/>
    <w:rsid w:val="00F12AC6"/>
    <w:rsid w:val="00F12C88"/>
    <w:rsid w:val="00F12D90"/>
    <w:rsid w:val="00F12E4E"/>
    <w:rsid w:val="00F12FD4"/>
    <w:rsid w:val="00F130AA"/>
    <w:rsid w:val="00F13145"/>
    <w:rsid w:val="00F1316F"/>
    <w:rsid w:val="00F131AA"/>
    <w:rsid w:val="00F13359"/>
    <w:rsid w:val="00F13735"/>
    <w:rsid w:val="00F137B6"/>
    <w:rsid w:val="00F137D5"/>
    <w:rsid w:val="00F138C6"/>
    <w:rsid w:val="00F138CC"/>
    <w:rsid w:val="00F139A7"/>
    <w:rsid w:val="00F13A44"/>
    <w:rsid w:val="00F13A70"/>
    <w:rsid w:val="00F13A8B"/>
    <w:rsid w:val="00F13AEE"/>
    <w:rsid w:val="00F13BCE"/>
    <w:rsid w:val="00F13D68"/>
    <w:rsid w:val="00F13D97"/>
    <w:rsid w:val="00F13DF2"/>
    <w:rsid w:val="00F13EAA"/>
    <w:rsid w:val="00F13EEE"/>
    <w:rsid w:val="00F14099"/>
    <w:rsid w:val="00F140DF"/>
    <w:rsid w:val="00F1414B"/>
    <w:rsid w:val="00F143EB"/>
    <w:rsid w:val="00F1446C"/>
    <w:rsid w:val="00F14554"/>
    <w:rsid w:val="00F1455B"/>
    <w:rsid w:val="00F145C7"/>
    <w:rsid w:val="00F14699"/>
    <w:rsid w:val="00F146AB"/>
    <w:rsid w:val="00F146E8"/>
    <w:rsid w:val="00F147FA"/>
    <w:rsid w:val="00F14817"/>
    <w:rsid w:val="00F148D4"/>
    <w:rsid w:val="00F149FE"/>
    <w:rsid w:val="00F14DC8"/>
    <w:rsid w:val="00F14E28"/>
    <w:rsid w:val="00F14E34"/>
    <w:rsid w:val="00F14E70"/>
    <w:rsid w:val="00F1520D"/>
    <w:rsid w:val="00F153E2"/>
    <w:rsid w:val="00F154D7"/>
    <w:rsid w:val="00F15531"/>
    <w:rsid w:val="00F155A6"/>
    <w:rsid w:val="00F15766"/>
    <w:rsid w:val="00F15864"/>
    <w:rsid w:val="00F15B46"/>
    <w:rsid w:val="00F15CEA"/>
    <w:rsid w:val="00F15EF9"/>
    <w:rsid w:val="00F15FC5"/>
    <w:rsid w:val="00F161A6"/>
    <w:rsid w:val="00F16230"/>
    <w:rsid w:val="00F16442"/>
    <w:rsid w:val="00F16513"/>
    <w:rsid w:val="00F16565"/>
    <w:rsid w:val="00F1657C"/>
    <w:rsid w:val="00F1657D"/>
    <w:rsid w:val="00F165C5"/>
    <w:rsid w:val="00F16691"/>
    <w:rsid w:val="00F167D3"/>
    <w:rsid w:val="00F167F4"/>
    <w:rsid w:val="00F1692B"/>
    <w:rsid w:val="00F16A21"/>
    <w:rsid w:val="00F16B22"/>
    <w:rsid w:val="00F16B5A"/>
    <w:rsid w:val="00F16CE3"/>
    <w:rsid w:val="00F16D67"/>
    <w:rsid w:val="00F16E60"/>
    <w:rsid w:val="00F16EDF"/>
    <w:rsid w:val="00F16F1C"/>
    <w:rsid w:val="00F16F2F"/>
    <w:rsid w:val="00F170C0"/>
    <w:rsid w:val="00F1710E"/>
    <w:rsid w:val="00F1727B"/>
    <w:rsid w:val="00F17292"/>
    <w:rsid w:val="00F173F3"/>
    <w:rsid w:val="00F17466"/>
    <w:rsid w:val="00F17522"/>
    <w:rsid w:val="00F175BA"/>
    <w:rsid w:val="00F176FA"/>
    <w:rsid w:val="00F1798E"/>
    <w:rsid w:val="00F17AFF"/>
    <w:rsid w:val="00F17CBE"/>
    <w:rsid w:val="00F17D8A"/>
    <w:rsid w:val="00F17E0D"/>
    <w:rsid w:val="00F20140"/>
    <w:rsid w:val="00F203E1"/>
    <w:rsid w:val="00F204F5"/>
    <w:rsid w:val="00F205B6"/>
    <w:rsid w:val="00F208E2"/>
    <w:rsid w:val="00F2092C"/>
    <w:rsid w:val="00F209B3"/>
    <w:rsid w:val="00F209E1"/>
    <w:rsid w:val="00F20BB0"/>
    <w:rsid w:val="00F20D72"/>
    <w:rsid w:val="00F20D7D"/>
    <w:rsid w:val="00F20F37"/>
    <w:rsid w:val="00F20F99"/>
    <w:rsid w:val="00F20FB6"/>
    <w:rsid w:val="00F20FEC"/>
    <w:rsid w:val="00F21186"/>
    <w:rsid w:val="00F21318"/>
    <w:rsid w:val="00F2140A"/>
    <w:rsid w:val="00F217EC"/>
    <w:rsid w:val="00F218C7"/>
    <w:rsid w:val="00F21995"/>
    <w:rsid w:val="00F219A9"/>
    <w:rsid w:val="00F219E5"/>
    <w:rsid w:val="00F21AEB"/>
    <w:rsid w:val="00F21C7E"/>
    <w:rsid w:val="00F21D99"/>
    <w:rsid w:val="00F21DD0"/>
    <w:rsid w:val="00F21E4B"/>
    <w:rsid w:val="00F2224B"/>
    <w:rsid w:val="00F22481"/>
    <w:rsid w:val="00F22683"/>
    <w:rsid w:val="00F226AD"/>
    <w:rsid w:val="00F226F4"/>
    <w:rsid w:val="00F229D1"/>
    <w:rsid w:val="00F229F6"/>
    <w:rsid w:val="00F22A8F"/>
    <w:rsid w:val="00F22BE6"/>
    <w:rsid w:val="00F22C89"/>
    <w:rsid w:val="00F22E4B"/>
    <w:rsid w:val="00F22E89"/>
    <w:rsid w:val="00F22EF5"/>
    <w:rsid w:val="00F23031"/>
    <w:rsid w:val="00F23176"/>
    <w:rsid w:val="00F23209"/>
    <w:rsid w:val="00F23306"/>
    <w:rsid w:val="00F23354"/>
    <w:rsid w:val="00F233CD"/>
    <w:rsid w:val="00F234EE"/>
    <w:rsid w:val="00F2362B"/>
    <w:rsid w:val="00F23A57"/>
    <w:rsid w:val="00F23A7A"/>
    <w:rsid w:val="00F23BD1"/>
    <w:rsid w:val="00F23D4E"/>
    <w:rsid w:val="00F23D51"/>
    <w:rsid w:val="00F23DDB"/>
    <w:rsid w:val="00F23F58"/>
    <w:rsid w:val="00F24017"/>
    <w:rsid w:val="00F2407B"/>
    <w:rsid w:val="00F240A6"/>
    <w:rsid w:val="00F242EB"/>
    <w:rsid w:val="00F244A3"/>
    <w:rsid w:val="00F244B9"/>
    <w:rsid w:val="00F245E4"/>
    <w:rsid w:val="00F2463B"/>
    <w:rsid w:val="00F24642"/>
    <w:rsid w:val="00F248E8"/>
    <w:rsid w:val="00F2492C"/>
    <w:rsid w:val="00F24AB0"/>
    <w:rsid w:val="00F24B1F"/>
    <w:rsid w:val="00F24BBE"/>
    <w:rsid w:val="00F24DCD"/>
    <w:rsid w:val="00F25021"/>
    <w:rsid w:val="00F25112"/>
    <w:rsid w:val="00F25397"/>
    <w:rsid w:val="00F2550E"/>
    <w:rsid w:val="00F25567"/>
    <w:rsid w:val="00F25769"/>
    <w:rsid w:val="00F25A21"/>
    <w:rsid w:val="00F261F7"/>
    <w:rsid w:val="00F26272"/>
    <w:rsid w:val="00F2631B"/>
    <w:rsid w:val="00F263C1"/>
    <w:rsid w:val="00F263EE"/>
    <w:rsid w:val="00F2640D"/>
    <w:rsid w:val="00F26594"/>
    <w:rsid w:val="00F26596"/>
    <w:rsid w:val="00F265F7"/>
    <w:rsid w:val="00F26668"/>
    <w:rsid w:val="00F2672B"/>
    <w:rsid w:val="00F2684C"/>
    <w:rsid w:val="00F269E8"/>
    <w:rsid w:val="00F26C68"/>
    <w:rsid w:val="00F26D64"/>
    <w:rsid w:val="00F26D70"/>
    <w:rsid w:val="00F26E34"/>
    <w:rsid w:val="00F26F0F"/>
    <w:rsid w:val="00F26FBB"/>
    <w:rsid w:val="00F26FC9"/>
    <w:rsid w:val="00F27007"/>
    <w:rsid w:val="00F271B0"/>
    <w:rsid w:val="00F2731B"/>
    <w:rsid w:val="00F273ED"/>
    <w:rsid w:val="00F27432"/>
    <w:rsid w:val="00F275FD"/>
    <w:rsid w:val="00F27795"/>
    <w:rsid w:val="00F2791F"/>
    <w:rsid w:val="00F27BC8"/>
    <w:rsid w:val="00F27C54"/>
    <w:rsid w:val="00F27CA7"/>
    <w:rsid w:val="00F27CED"/>
    <w:rsid w:val="00F27D1A"/>
    <w:rsid w:val="00F27DAA"/>
    <w:rsid w:val="00F27E27"/>
    <w:rsid w:val="00F30079"/>
    <w:rsid w:val="00F30129"/>
    <w:rsid w:val="00F30155"/>
    <w:rsid w:val="00F30455"/>
    <w:rsid w:val="00F3047F"/>
    <w:rsid w:val="00F304A7"/>
    <w:rsid w:val="00F30670"/>
    <w:rsid w:val="00F306A4"/>
    <w:rsid w:val="00F30A76"/>
    <w:rsid w:val="00F30BD2"/>
    <w:rsid w:val="00F30D83"/>
    <w:rsid w:val="00F30D88"/>
    <w:rsid w:val="00F30D8A"/>
    <w:rsid w:val="00F30E03"/>
    <w:rsid w:val="00F30E7B"/>
    <w:rsid w:val="00F30F6F"/>
    <w:rsid w:val="00F3101B"/>
    <w:rsid w:val="00F3101D"/>
    <w:rsid w:val="00F310AD"/>
    <w:rsid w:val="00F31130"/>
    <w:rsid w:val="00F3139E"/>
    <w:rsid w:val="00F31450"/>
    <w:rsid w:val="00F314A1"/>
    <w:rsid w:val="00F314BC"/>
    <w:rsid w:val="00F314F8"/>
    <w:rsid w:val="00F31555"/>
    <w:rsid w:val="00F315C0"/>
    <w:rsid w:val="00F31616"/>
    <w:rsid w:val="00F31638"/>
    <w:rsid w:val="00F31776"/>
    <w:rsid w:val="00F317CE"/>
    <w:rsid w:val="00F31825"/>
    <w:rsid w:val="00F31888"/>
    <w:rsid w:val="00F31AED"/>
    <w:rsid w:val="00F31D7E"/>
    <w:rsid w:val="00F32110"/>
    <w:rsid w:val="00F32123"/>
    <w:rsid w:val="00F321B0"/>
    <w:rsid w:val="00F322B4"/>
    <w:rsid w:val="00F32362"/>
    <w:rsid w:val="00F3253C"/>
    <w:rsid w:val="00F32806"/>
    <w:rsid w:val="00F329AA"/>
    <w:rsid w:val="00F329C6"/>
    <w:rsid w:val="00F32A16"/>
    <w:rsid w:val="00F32A47"/>
    <w:rsid w:val="00F32AA5"/>
    <w:rsid w:val="00F32DBA"/>
    <w:rsid w:val="00F32F17"/>
    <w:rsid w:val="00F32F9F"/>
    <w:rsid w:val="00F3306B"/>
    <w:rsid w:val="00F33137"/>
    <w:rsid w:val="00F33589"/>
    <w:rsid w:val="00F335DF"/>
    <w:rsid w:val="00F33AC2"/>
    <w:rsid w:val="00F33DD8"/>
    <w:rsid w:val="00F33E01"/>
    <w:rsid w:val="00F33EE7"/>
    <w:rsid w:val="00F33F47"/>
    <w:rsid w:val="00F34144"/>
    <w:rsid w:val="00F34383"/>
    <w:rsid w:val="00F344D3"/>
    <w:rsid w:val="00F34529"/>
    <w:rsid w:val="00F3455D"/>
    <w:rsid w:val="00F34574"/>
    <w:rsid w:val="00F3465D"/>
    <w:rsid w:val="00F34669"/>
    <w:rsid w:val="00F34846"/>
    <w:rsid w:val="00F34BC6"/>
    <w:rsid w:val="00F34C23"/>
    <w:rsid w:val="00F34D9D"/>
    <w:rsid w:val="00F34DCB"/>
    <w:rsid w:val="00F34DD5"/>
    <w:rsid w:val="00F34FA6"/>
    <w:rsid w:val="00F35031"/>
    <w:rsid w:val="00F350BC"/>
    <w:rsid w:val="00F3539D"/>
    <w:rsid w:val="00F35502"/>
    <w:rsid w:val="00F3572B"/>
    <w:rsid w:val="00F35954"/>
    <w:rsid w:val="00F359DD"/>
    <w:rsid w:val="00F35D63"/>
    <w:rsid w:val="00F35D99"/>
    <w:rsid w:val="00F35DE0"/>
    <w:rsid w:val="00F35EC3"/>
    <w:rsid w:val="00F36013"/>
    <w:rsid w:val="00F36024"/>
    <w:rsid w:val="00F36042"/>
    <w:rsid w:val="00F360E9"/>
    <w:rsid w:val="00F3611D"/>
    <w:rsid w:val="00F3629D"/>
    <w:rsid w:val="00F36303"/>
    <w:rsid w:val="00F363A0"/>
    <w:rsid w:val="00F3667F"/>
    <w:rsid w:val="00F368F7"/>
    <w:rsid w:val="00F36989"/>
    <w:rsid w:val="00F3698A"/>
    <w:rsid w:val="00F36ADA"/>
    <w:rsid w:val="00F36BFB"/>
    <w:rsid w:val="00F36C94"/>
    <w:rsid w:val="00F36CCC"/>
    <w:rsid w:val="00F36D0F"/>
    <w:rsid w:val="00F36D2A"/>
    <w:rsid w:val="00F36D49"/>
    <w:rsid w:val="00F36F20"/>
    <w:rsid w:val="00F36F5D"/>
    <w:rsid w:val="00F37012"/>
    <w:rsid w:val="00F37114"/>
    <w:rsid w:val="00F37420"/>
    <w:rsid w:val="00F3742F"/>
    <w:rsid w:val="00F374DE"/>
    <w:rsid w:val="00F3767A"/>
    <w:rsid w:val="00F376C3"/>
    <w:rsid w:val="00F3780E"/>
    <w:rsid w:val="00F37848"/>
    <w:rsid w:val="00F378B0"/>
    <w:rsid w:val="00F37925"/>
    <w:rsid w:val="00F37933"/>
    <w:rsid w:val="00F37AC0"/>
    <w:rsid w:val="00F37AC4"/>
    <w:rsid w:val="00F37AD2"/>
    <w:rsid w:val="00F37BE6"/>
    <w:rsid w:val="00F37C04"/>
    <w:rsid w:val="00F37D39"/>
    <w:rsid w:val="00F37E13"/>
    <w:rsid w:val="00F37E68"/>
    <w:rsid w:val="00F37E6A"/>
    <w:rsid w:val="00F37F98"/>
    <w:rsid w:val="00F37FE5"/>
    <w:rsid w:val="00F40041"/>
    <w:rsid w:val="00F400C1"/>
    <w:rsid w:val="00F400CC"/>
    <w:rsid w:val="00F403B8"/>
    <w:rsid w:val="00F403C2"/>
    <w:rsid w:val="00F404C1"/>
    <w:rsid w:val="00F40505"/>
    <w:rsid w:val="00F405C5"/>
    <w:rsid w:val="00F405D2"/>
    <w:rsid w:val="00F40660"/>
    <w:rsid w:val="00F406A3"/>
    <w:rsid w:val="00F406F0"/>
    <w:rsid w:val="00F408CD"/>
    <w:rsid w:val="00F40B16"/>
    <w:rsid w:val="00F40BE0"/>
    <w:rsid w:val="00F40E09"/>
    <w:rsid w:val="00F40F0D"/>
    <w:rsid w:val="00F40FC2"/>
    <w:rsid w:val="00F41149"/>
    <w:rsid w:val="00F4116F"/>
    <w:rsid w:val="00F41284"/>
    <w:rsid w:val="00F412B6"/>
    <w:rsid w:val="00F41442"/>
    <w:rsid w:val="00F41454"/>
    <w:rsid w:val="00F41510"/>
    <w:rsid w:val="00F415A5"/>
    <w:rsid w:val="00F4169A"/>
    <w:rsid w:val="00F4179A"/>
    <w:rsid w:val="00F41986"/>
    <w:rsid w:val="00F41A89"/>
    <w:rsid w:val="00F41AB5"/>
    <w:rsid w:val="00F41C65"/>
    <w:rsid w:val="00F41E74"/>
    <w:rsid w:val="00F420A7"/>
    <w:rsid w:val="00F42149"/>
    <w:rsid w:val="00F4223D"/>
    <w:rsid w:val="00F42280"/>
    <w:rsid w:val="00F425A4"/>
    <w:rsid w:val="00F425E4"/>
    <w:rsid w:val="00F42A81"/>
    <w:rsid w:val="00F42B5D"/>
    <w:rsid w:val="00F42D56"/>
    <w:rsid w:val="00F42DD2"/>
    <w:rsid w:val="00F43070"/>
    <w:rsid w:val="00F43096"/>
    <w:rsid w:val="00F430BF"/>
    <w:rsid w:val="00F43297"/>
    <w:rsid w:val="00F43326"/>
    <w:rsid w:val="00F4344C"/>
    <w:rsid w:val="00F435AB"/>
    <w:rsid w:val="00F4369A"/>
    <w:rsid w:val="00F436ED"/>
    <w:rsid w:val="00F43A8B"/>
    <w:rsid w:val="00F43D3A"/>
    <w:rsid w:val="00F43E82"/>
    <w:rsid w:val="00F43E9E"/>
    <w:rsid w:val="00F43F78"/>
    <w:rsid w:val="00F4400A"/>
    <w:rsid w:val="00F44050"/>
    <w:rsid w:val="00F4408E"/>
    <w:rsid w:val="00F440AA"/>
    <w:rsid w:val="00F441CC"/>
    <w:rsid w:val="00F44548"/>
    <w:rsid w:val="00F445D9"/>
    <w:rsid w:val="00F445F6"/>
    <w:rsid w:val="00F44870"/>
    <w:rsid w:val="00F44910"/>
    <w:rsid w:val="00F4497E"/>
    <w:rsid w:val="00F449C7"/>
    <w:rsid w:val="00F44A72"/>
    <w:rsid w:val="00F44A7A"/>
    <w:rsid w:val="00F44BAF"/>
    <w:rsid w:val="00F44C30"/>
    <w:rsid w:val="00F44D1D"/>
    <w:rsid w:val="00F44F64"/>
    <w:rsid w:val="00F44F7E"/>
    <w:rsid w:val="00F4501B"/>
    <w:rsid w:val="00F4533E"/>
    <w:rsid w:val="00F4540A"/>
    <w:rsid w:val="00F45551"/>
    <w:rsid w:val="00F45889"/>
    <w:rsid w:val="00F458D2"/>
    <w:rsid w:val="00F45946"/>
    <w:rsid w:val="00F45B71"/>
    <w:rsid w:val="00F45B95"/>
    <w:rsid w:val="00F45B96"/>
    <w:rsid w:val="00F45E3D"/>
    <w:rsid w:val="00F45E79"/>
    <w:rsid w:val="00F45FE1"/>
    <w:rsid w:val="00F46060"/>
    <w:rsid w:val="00F46152"/>
    <w:rsid w:val="00F461F9"/>
    <w:rsid w:val="00F46434"/>
    <w:rsid w:val="00F46585"/>
    <w:rsid w:val="00F466C3"/>
    <w:rsid w:val="00F46781"/>
    <w:rsid w:val="00F46CC2"/>
    <w:rsid w:val="00F46ED8"/>
    <w:rsid w:val="00F46FA9"/>
    <w:rsid w:val="00F47010"/>
    <w:rsid w:val="00F47176"/>
    <w:rsid w:val="00F47227"/>
    <w:rsid w:val="00F47250"/>
    <w:rsid w:val="00F47312"/>
    <w:rsid w:val="00F47510"/>
    <w:rsid w:val="00F47546"/>
    <w:rsid w:val="00F4757B"/>
    <w:rsid w:val="00F47590"/>
    <w:rsid w:val="00F4759D"/>
    <w:rsid w:val="00F47B94"/>
    <w:rsid w:val="00F47EBF"/>
    <w:rsid w:val="00F50321"/>
    <w:rsid w:val="00F5034D"/>
    <w:rsid w:val="00F50385"/>
    <w:rsid w:val="00F504FF"/>
    <w:rsid w:val="00F507AB"/>
    <w:rsid w:val="00F50976"/>
    <w:rsid w:val="00F5097F"/>
    <w:rsid w:val="00F50AE2"/>
    <w:rsid w:val="00F50B87"/>
    <w:rsid w:val="00F50D84"/>
    <w:rsid w:val="00F50EC8"/>
    <w:rsid w:val="00F510E0"/>
    <w:rsid w:val="00F5111E"/>
    <w:rsid w:val="00F5116E"/>
    <w:rsid w:val="00F5121E"/>
    <w:rsid w:val="00F517B4"/>
    <w:rsid w:val="00F517C8"/>
    <w:rsid w:val="00F51812"/>
    <w:rsid w:val="00F51839"/>
    <w:rsid w:val="00F5186F"/>
    <w:rsid w:val="00F51A30"/>
    <w:rsid w:val="00F51AE1"/>
    <w:rsid w:val="00F51AE3"/>
    <w:rsid w:val="00F51BBB"/>
    <w:rsid w:val="00F51CA7"/>
    <w:rsid w:val="00F51E10"/>
    <w:rsid w:val="00F51EF9"/>
    <w:rsid w:val="00F51F47"/>
    <w:rsid w:val="00F520BE"/>
    <w:rsid w:val="00F524E4"/>
    <w:rsid w:val="00F52526"/>
    <w:rsid w:val="00F52583"/>
    <w:rsid w:val="00F5269E"/>
    <w:rsid w:val="00F52791"/>
    <w:rsid w:val="00F5279C"/>
    <w:rsid w:val="00F52ADE"/>
    <w:rsid w:val="00F52E05"/>
    <w:rsid w:val="00F52EA0"/>
    <w:rsid w:val="00F52EFA"/>
    <w:rsid w:val="00F52F09"/>
    <w:rsid w:val="00F530D5"/>
    <w:rsid w:val="00F53209"/>
    <w:rsid w:val="00F53216"/>
    <w:rsid w:val="00F53282"/>
    <w:rsid w:val="00F53355"/>
    <w:rsid w:val="00F53438"/>
    <w:rsid w:val="00F53453"/>
    <w:rsid w:val="00F53718"/>
    <w:rsid w:val="00F538CC"/>
    <w:rsid w:val="00F53AEC"/>
    <w:rsid w:val="00F53CA9"/>
    <w:rsid w:val="00F53CE6"/>
    <w:rsid w:val="00F53D12"/>
    <w:rsid w:val="00F53DDB"/>
    <w:rsid w:val="00F53F18"/>
    <w:rsid w:val="00F53F6C"/>
    <w:rsid w:val="00F53F78"/>
    <w:rsid w:val="00F5402B"/>
    <w:rsid w:val="00F54090"/>
    <w:rsid w:val="00F5451A"/>
    <w:rsid w:val="00F54554"/>
    <w:rsid w:val="00F5465C"/>
    <w:rsid w:val="00F5472A"/>
    <w:rsid w:val="00F548D7"/>
    <w:rsid w:val="00F54A84"/>
    <w:rsid w:val="00F54C55"/>
    <w:rsid w:val="00F54DF5"/>
    <w:rsid w:val="00F54EB9"/>
    <w:rsid w:val="00F54F17"/>
    <w:rsid w:val="00F5502A"/>
    <w:rsid w:val="00F55061"/>
    <w:rsid w:val="00F55285"/>
    <w:rsid w:val="00F5543E"/>
    <w:rsid w:val="00F556E5"/>
    <w:rsid w:val="00F5574A"/>
    <w:rsid w:val="00F558ED"/>
    <w:rsid w:val="00F5591C"/>
    <w:rsid w:val="00F55ABA"/>
    <w:rsid w:val="00F55B75"/>
    <w:rsid w:val="00F55CEF"/>
    <w:rsid w:val="00F55D44"/>
    <w:rsid w:val="00F55F4B"/>
    <w:rsid w:val="00F56356"/>
    <w:rsid w:val="00F564EF"/>
    <w:rsid w:val="00F56551"/>
    <w:rsid w:val="00F56662"/>
    <w:rsid w:val="00F5682B"/>
    <w:rsid w:val="00F568C7"/>
    <w:rsid w:val="00F5694D"/>
    <w:rsid w:val="00F56A25"/>
    <w:rsid w:val="00F56A26"/>
    <w:rsid w:val="00F56C3A"/>
    <w:rsid w:val="00F56C62"/>
    <w:rsid w:val="00F56EFC"/>
    <w:rsid w:val="00F56EFD"/>
    <w:rsid w:val="00F56F24"/>
    <w:rsid w:val="00F56F74"/>
    <w:rsid w:val="00F57225"/>
    <w:rsid w:val="00F574CC"/>
    <w:rsid w:val="00F57548"/>
    <w:rsid w:val="00F57575"/>
    <w:rsid w:val="00F575DB"/>
    <w:rsid w:val="00F575F7"/>
    <w:rsid w:val="00F5794A"/>
    <w:rsid w:val="00F57A1A"/>
    <w:rsid w:val="00F57D31"/>
    <w:rsid w:val="00F57DD3"/>
    <w:rsid w:val="00F57EBF"/>
    <w:rsid w:val="00F57F1A"/>
    <w:rsid w:val="00F60091"/>
    <w:rsid w:val="00F6014B"/>
    <w:rsid w:val="00F603BD"/>
    <w:rsid w:val="00F60421"/>
    <w:rsid w:val="00F6047E"/>
    <w:rsid w:val="00F604D6"/>
    <w:rsid w:val="00F604DF"/>
    <w:rsid w:val="00F604F6"/>
    <w:rsid w:val="00F6060B"/>
    <w:rsid w:val="00F60640"/>
    <w:rsid w:val="00F6077B"/>
    <w:rsid w:val="00F608FE"/>
    <w:rsid w:val="00F60981"/>
    <w:rsid w:val="00F609AB"/>
    <w:rsid w:val="00F60ADD"/>
    <w:rsid w:val="00F60CCE"/>
    <w:rsid w:val="00F60E15"/>
    <w:rsid w:val="00F60EF8"/>
    <w:rsid w:val="00F61108"/>
    <w:rsid w:val="00F612F8"/>
    <w:rsid w:val="00F613EA"/>
    <w:rsid w:val="00F61468"/>
    <w:rsid w:val="00F614B6"/>
    <w:rsid w:val="00F615AF"/>
    <w:rsid w:val="00F615CD"/>
    <w:rsid w:val="00F61825"/>
    <w:rsid w:val="00F618BE"/>
    <w:rsid w:val="00F618EA"/>
    <w:rsid w:val="00F61A3F"/>
    <w:rsid w:val="00F61AF5"/>
    <w:rsid w:val="00F61C2E"/>
    <w:rsid w:val="00F61CF4"/>
    <w:rsid w:val="00F62065"/>
    <w:rsid w:val="00F62097"/>
    <w:rsid w:val="00F620F7"/>
    <w:rsid w:val="00F62239"/>
    <w:rsid w:val="00F62307"/>
    <w:rsid w:val="00F62323"/>
    <w:rsid w:val="00F62335"/>
    <w:rsid w:val="00F62337"/>
    <w:rsid w:val="00F62355"/>
    <w:rsid w:val="00F62369"/>
    <w:rsid w:val="00F6240E"/>
    <w:rsid w:val="00F625B4"/>
    <w:rsid w:val="00F62755"/>
    <w:rsid w:val="00F62951"/>
    <w:rsid w:val="00F62A00"/>
    <w:rsid w:val="00F62CA9"/>
    <w:rsid w:val="00F62DA1"/>
    <w:rsid w:val="00F62E4D"/>
    <w:rsid w:val="00F62F17"/>
    <w:rsid w:val="00F6320B"/>
    <w:rsid w:val="00F6332D"/>
    <w:rsid w:val="00F63505"/>
    <w:rsid w:val="00F6351F"/>
    <w:rsid w:val="00F636F3"/>
    <w:rsid w:val="00F6397C"/>
    <w:rsid w:val="00F63982"/>
    <w:rsid w:val="00F639B2"/>
    <w:rsid w:val="00F639C2"/>
    <w:rsid w:val="00F63CDC"/>
    <w:rsid w:val="00F63D52"/>
    <w:rsid w:val="00F63E13"/>
    <w:rsid w:val="00F63E15"/>
    <w:rsid w:val="00F64068"/>
    <w:rsid w:val="00F64172"/>
    <w:rsid w:val="00F64173"/>
    <w:rsid w:val="00F64436"/>
    <w:rsid w:val="00F6462B"/>
    <w:rsid w:val="00F646DB"/>
    <w:rsid w:val="00F64788"/>
    <w:rsid w:val="00F64A2F"/>
    <w:rsid w:val="00F64C3F"/>
    <w:rsid w:val="00F64DC7"/>
    <w:rsid w:val="00F64E46"/>
    <w:rsid w:val="00F64E4C"/>
    <w:rsid w:val="00F64F70"/>
    <w:rsid w:val="00F65128"/>
    <w:rsid w:val="00F651B5"/>
    <w:rsid w:val="00F6522C"/>
    <w:rsid w:val="00F652C8"/>
    <w:rsid w:val="00F653A7"/>
    <w:rsid w:val="00F65470"/>
    <w:rsid w:val="00F6554F"/>
    <w:rsid w:val="00F6557A"/>
    <w:rsid w:val="00F6557D"/>
    <w:rsid w:val="00F6575C"/>
    <w:rsid w:val="00F65785"/>
    <w:rsid w:val="00F6579C"/>
    <w:rsid w:val="00F658DA"/>
    <w:rsid w:val="00F6593B"/>
    <w:rsid w:val="00F65A99"/>
    <w:rsid w:val="00F65CAB"/>
    <w:rsid w:val="00F65CB1"/>
    <w:rsid w:val="00F65D9D"/>
    <w:rsid w:val="00F65DFE"/>
    <w:rsid w:val="00F660A6"/>
    <w:rsid w:val="00F660D7"/>
    <w:rsid w:val="00F6625E"/>
    <w:rsid w:val="00F6627F"/>
    <w:rsid w:val="00F665E8"/>
    <w:rsid w:val="00F667D5"/>
    <w:rsid w:val="00F66B05"/>
    <w:rsid w:val="00F66DAE"/>
    <w:rsid w:val="00F66EBD"/>
    <w:rsid w:val="00F66F0B"/>
    <w:rsid w:val="00F66FA9"/>
    <w:rsid w:val="00F6704C"/>
    <w:rsid w:val="00F670DE"/>
    <w:rsid w:val="00F672E6"/>
    <w:rsid w:val="00F67376"/>
    <w:rsid w:val="00F67588"/>
    <w:rsid w:val="00F67746"/>
    <w:rsid w:val="00F67928"/>
    <w:rsid w:val="00F67A82"/>
    <w:rsid w:val="00F67B21"/>
    <w:rsid w:val="00F67B6E"/>
    <w:rsid w:val="00F67CB6"/>
    <w:rsid w:val="00F67D88"/>
    <w:rsid w:val="00F7002A"/>
    <w:rsid w:val="00F700AC"/>
    <w:rsid w:val="00F70112"/>
    <w:rsid w:val="00F70216"/>
    <w:rsid w:val="00F70340"/>
    <w:rsid w:val="00F70802"/>
    <w:rsid w:val="00F708A4"/>
    <w:rsid w:val="00F708E0"/>
    <w:rsid w:val="00F70925"/>
    <w:rsid w:val="00F7094C"/>
    <w:rsid w:val="00F709EB"/>
    <w:rsid w:val="00F70C4D"/>
    <w:rsid w:val="00F70D44"/>
    <w:rsid w:val="00F70D50"/>
    <w:rsid w:val="00F70D84"/>
    <w:rsid w:val="00F70E29"/>
    <w:rsid w:val="00F710AF"/>
    <w:rsid w:val="00F711E6"/>
    <w:rsid w:val="00F712A2"/>
    <w:rsid w:val="00F71587"/>
    <w:rsid w:val="00F71878"/>
    <w:rsid w:val="00F718D2"/>
    <w:rsid w:val="00F7194F"/>
    <w:rsid w:val="00F71969"/>
    <w:rsid w:val="00F71B08"/>
    <w:rsid w:val="00F71C44"/>
    <w:rsid w:val="00F71CB7"/>
    <w:rsid w:val="00F71EC2"/>
    <w:rsid w:val="00F7205A"/>
    <w:rsid w:val="00F720BB"/>
    <w:rsid w:val="00F721E2"/>
    <w:rsid w:val="00F723CB"/>
    <w:rsid w:val="00F72531"/>
    <w:rsid w:val="00F727CB"/>
    <w:rsid w:val="00F7284E"/>
    <w:rsid w:val="00F7290A"/>
    <w:rsid w:val="00F72B8D"/>
    <w:rsid w:val="00F72CBA"/>
    <w:rsid w:val="00F72DDE"/>
    <w:rsid w:val="00F72E4C"/>
    <w:rsid w:val="00F72F2C"/>
    <w:rsid w:val="00F72FFA"/>
    <w:rsid w:val="00F730AA"/>
    <w:rsid w:val="00F730C1"/>
    <w:rsid w:val="00F73252"/>
    <w:rsid w:val="00F73336"/>
    <w:rsid w:val="00F737EA"/>
    <w:rsid w:val="00F7381C"/>
    <w:rsid w:val="00F738EE"/>
    <w:rsid w:val="00F73A57"/>
    <w:rsid w:val="00F73AE0"/>
    <w:rsid w:val="00F73B0B"/>
    <w:rsid w:val="00F73C09"/>
    <w:rsid w:val="00F73C12"/>
    <w:rsid w:val="00F73E10"/>
    <w:rsid w:val="00F73E54"/>
    <w:rsid w:val="00F73EC8"/>
    <w:rsid w:val="00F74307"/>
    <w:rsid w:val="00F74361"/>
    <w:rsid w:val="00F743EA"/>
    <w:rsid w:val="00F74428"/>
    <w:rsid w:val="00F74627"/>
    <w:rsid w:val="00F746DA"/>
    <w:rsid w:val="00F746DC"/>
    <w:rsid w:val="00F74BA2"/>
    <w:rsid w:val="00F74BAB"/>
    <w:rsid w:val="00F74BED"/>
    <w:rsid w:val="00F74BF2"/>
    <w:rsid w:val="00F74BFC"/>
    <w:rsid w:val="00F74E5A"/>
    <w:rsid w:val="00F75049"/>
    <w:rsid w:val="00F750A0"/>
    <w:rsid w:val="00F753E3"/>
    <w:rsid w:val="00F757DC"/>
    <w:rsid w:val="00F75957"/>
    <w:rsid w:val="00F759CB"/>
    <w:rsid w:val="00F75A33"/>
    <w:rsid w:val="00F75A9A"/>
    <w:rsid w:val="00F75AC4"/>
    <w:rsid w:val="00F75B5B"/>
    <w:rsid w:val="00F75BC3"/>
    <w:rsid w:val="00F75BF8"/>
    <w:rsid w:val="00F75C37"/>
    <w:rsid w:val="00F75C81"/>
    <w:rsid w:val="00F75C92"/>
    <w:rsid w:val="00F75C95"/>
    <w:rsid w:val="00F75D3E"/>
    <w:rsid w:val="00F75D60"/>
    <w:rsid w:val="00F75E15"/>
    <w:rsid w:val="00F75E9A"/>
    <w:rsid w:val="00F75EE9"/>
    <w:rsid w:val="00F75F31"/>
    <w:rsid w:val="00F75F63"/>
    <w:rsid w:val="00F7609C"/>
    <w:rsid w:val="00F76434"/>
    <w:rsid w:val="00F76450"/>
    <w:rsid w:val="00F7656E"/>
    <w:rsid w:val="00F7658C"/>
    <w:rsid w:val="00F7664D"/>
    <w:rsid w:val="00F766B7"/>
    <w:rsid w:val="00F76D30"/>
    <w:rsid w:val="00F76D34"/>
    <w:rsid w:val="00F76DE1"/>
    <w:rsid w:val="00F76EBF"/>
    <w:rsid w:val="00F770DF"/>
    <w:rsid w:val="00F771F2"/>
    <w:rsid w:val="00F772A0"/>
    <w:rsid w:val="00F772C2"/>
    <w:rsid w:val="00F77347"/>
    <w:rsid w:val="00F7738B"/>
    <w:rsid w:val="00F774AA"/>
    <w:rsid w:val="00F774D5"/>
    <w:rsid w:val="00F77564"/>
    <w:rsid w:val="00F77636"/>
    <w:rsid w:val="00F77825"/>
    <w:rsid w:val="00F77A09"/>
    <w:rsid w:val="00F77A12"/>
    <w:rsid w:val="00F77B23"/>
    <w:rsid w:val="00F77B6B"/>
    <w:rsid w:val="00F77BD0"/>
    <w:rsid w:val="00F77C73"/>
    <w:rsid w:val="00F77CC6"/>
    <w:rsid w:val="00F77E40"/>
    <w:rsid w:val="00F800D4"/>
    <w:rsid w:val="00F801F0"/>
    <w:rsid w:val="00F802A4"/>
    <w:rsid w:val="00F80357"/>
    <w:rsid w:val="00F80671"/>
    <w:rsid w:val="00F8070B"/>
    <w:rsid w:val="00F8072A"/>
    <w:rsid w:val="00F80740"/>
    <w:rsid w:val="00F807B9"/>
    <w:rsid w:val="00F8082E"/>
    <w:rsid w:val="00F80970"/>
    <w:rsid w:val="00F80BDE"/>
    <w:rsid w:val="00F80BFE"/>
    <w:rsid w:val="00F80DB8"/>
    <w:rsid w:val="00F80DB9"/>
    <w:rsid w:val="00F80F28"/>
    <w:rsid w:val="00F81090"/>
    <w:rsid w:val="00F8115B"/>
    <w:rsid w:val="00F812A1"/>
    <w:rsid w:val="00F812B1"/>
    <w:rsid w:val="00F81312"/>
    <w:rsid w:val="00F81325"/>
    <w:rsid w:val="00F81340"/>
    <w:rsid w:val="00F81349"/>
    <w:rsid w:val="00F8190A"/>
    <w:rsid w:val="00F819CF"/>
    <w:rsid w:val="00F81A47"/>
    <w:rsid w:val="00F81B68"/>
    <w:rsid w:val="00F81E26"/>
    <w:rsid w:val="00F81FC4"/>
    <w:rsid w:val="00F8218E"/>
    <w:rsid w:val="00F82671"/>
    <w:rsid w:val="00F82721"/>
    <w:rsid w:val="00F8277E"/>
    <w:rsid w:val="00F8278C"/>
    <w:rsid w:val="00F82875"/>
    <w:rsid w:val="00F82961"/>
    <w:rsid w:val="00F82983"/>
    <w:rsid w:val="00F829AD"/>
    <w:rsid w:val="00F82A65"/>
    <w:rsid w:val="00F82AF0"/>
    <w:rsid w:val="00F82B8B"/>
    <w:rsid w:val="00F82BD3"/>
    <w:rsid w:val="00F82E50"/>
    <w:rsid w:val="00F8301A"/>
    <w:rsid w:val="00F830FA"/>
    <w:rsid w:val="00F83107"/>
    <w:rsid w:val="00F83408"/>
    <w:rsid w:val="00F8343B"/>
    <w:rsid w:val="00F8378F"/>
    <w:rsid w:val="00F8381B"/>
    <w:rsid w:val="00F838AB"/>
    <w:rsid w:val="00F83A9E"/>
    <w:rsid w:val="00F83B23"/>
    <w:rsid w:val="00F83B36"/>
    <w:rsid w:val="00F83B99"/>
    <w:rsid w:val="00F83BDC"/>
    <w:rsid w:val="00F83CC2"/>
    <w:rsid w:val="00F83CFA"/>
    <w:rsid w:val="00F84238"/>
    <w:rsid w:val="00F8447F"/>
    <w:rsid w:val="00F844B8"/>
    <w:rsid w:val="00F844D0"/>
    <w:rsid w:val="00F84598"/>
    <w:rsid w:val="00F845F2"/>
    <w:rsid w:val="00F84889"/>
    <w:rsid w:val="00F84A7A"/>
    <w:rsid w:val="00F84CAD"/>
    <w:rsid w:val="00F84D13"/>
    <w:rsid w:val="00F84D64"/>
    <w:rsid w:val="00F84F15"/>
    <w:rsid w:val="00F84FD6"/>
    <w:rsid w:val="00F850C8"/>
    <w:rsid w:val="00F8512A"/>
    <w:rsid w:val="00F852BA"/>
    <w:rsid w:val="00F85334"/>
    <w:rsid w:val="00F85584"/>
    <w:rsid w:val="00F85662"/>
    <w:rsid w:val="00F856F1"/>
    <w:rsid w:val="00F85792"/>
    <w:rsid w:val="00F857AA"/>
    <w:rsid w:val="00F85838"/>
    <w:rsid w:val="00F85845"/>
    <w:rsid w:val="00F85903"/>
    <w:rsid w:val="00F8590B"/>
    <w:rsid w:val="00F85B11"/>
    <w:rsid w:val="00F85D40"/>
    <w:rsid w:val="00F85D7D"/>
    <w:rsid w:val="00F85E4E"/>
    <w:rsid w:val="00F85EC2"/>
    <w:rsid w:val="00F85EEF"/>
    <w:rsid w:val="00F85FCC"/>
    <w:rsid w:val="00F860EB"/>
    <w:rsid w:val="00F86223"/>
    <w:rsid w:val="00F863D2"/>
    <w:rsid w:val="00F8654C"/>
    <w:rsid w:val="00F86550"/>
    <w:rsid w:val="00F86582"/>
    <w:rsid w:val="00F86593"/>
    <w:rsid w:val="00F8671D"/>
    <w:rsid w:val="00F8679E"/>
    <w:rsid w:val="00F867DF"/>
    <w:rsid w:val="00F868AE"/>
    <w:rsid w:val="00F86A49"/>
    <w:rsid w:val="00F86A5D"/>
    <w:rsid w:val="00F86A7A"/>
    <w:rsid w:val="00F86BF7"/>
    <w:rsid w:val="00F86C38"/>
    <w:rsid w:val="00F87194"/>
    <w:rsid w:val="00F872FA"/>
    <w:rsid w:val="00F874B6"/>
    <w:rsid w:val="00F87630"/>
    <w:rsid w:val="00F877F0"/>
    <w:rsid w:val="00F8797C"/>
    <w:rsid w:val="00F87B54"/>
    <w:rsid w:val="00F87B98"/>
    <w:rsid w:val="00F87DAF"/>
    <w:rsid w:val="00F87DF2"/>
    <w:rsid w:val="00F87EF7"/>
    <w:rsid w:val="00F87FAB"/>
    <w:rsid w:val="00F90172"/>
    <w:rsid w:val="00F901F3"/>
    <w:rsid w:val="00F902A6"/>
    <w:rsid w:val="00F90389"/>
    <w:rsid w:val="00F90507"/>
    <w:rsid w:val="00F90566"/>
    <w:rsid w:val="00F905D2"/>
    <w:rsid w:val="00F905FD"/>
    <w:rsid w:val="00F9069B"/>
    <w:rsid w:val="00F9075C"/>
    <w:rsid w:val="00F90797"/>
    <w:rsid w:val="00F909C3"/>
    <w:rsid w:val="00F90AB2"/>
    <w:rsid w:val="00F90AC4"/>
    <w:rsid w:val="00F90ADE"/>
    <w:rsid w:val="00F90BEA"/>
    <w:rsid w:val="00F90C4D"/>
    <w:rsid w:val="00F90DF8"/>
    <w:rsid w:val="00F90E4F"/>
    <w:rsid w:val="00F90EE8"/>
    <w:rsid w:val="00F9104B"/>
    <w:rsid w:val="00F91343"/>
    <w:rsid w:val="00F913E6"/>
    <w:rsid w:val="00F915D2"/>
    <w:rsid w:val="00F915DF"/>
    <w:rsid w:val="00F91742"/>
    <w:rsid w:val="00F918AA"/>
    <w:rsid w:val="00F918CF"/>
    <w:rsid w:val="00F91A08"/>
    <w:rsid w:val="00F91C85"/>
    <w:rsid w:val="00F91CF3"/>
    <w:rsid w:val="00F91F1F"/>
    <w:rsid w:val="00F91F4F"/>
    <w:rsid w:val="00F91FB4"/>
    <w:rsid w:val="00F92111"/>
    <w:rsid w:val="00F9212F"/>
    <w:rsid w:val="00F92246"/>
    <w:rsid w:val="00F9226B"/>
    <w:rsid w:val="00F92361"/>
    <w:rsid w:val="00F9236F"/>
    <w:rsid w:val="00F92488"/>
    <w:rsid w:val="00F92636"/>
    <w:rsid w:val="00F92723"/>
    <w:rsid w:val="00F92735"/>
    <w:rsid w:val="00F9288A"/>
    <w:rsid w:val="00F928A5"/>
    <w:rsid w:val="00F92A68"/>
    <w:rsid w:val="00F92B07"/>
    <w:rsid w:val="00F92CBF"/>
    <w:rsid w:val="00F92D89"/>
    <w:rsid w:val="00F92F15"/>
    <w:rsid w:val="00F92F4D"/>
    <w:rsid w:val="00F92FFD"/>
    <w:rsid w:val="00F93022"/>
    <w:rsid w:val="00F93097"/>
    <w:rsid w:val="00F931D5"/>
    <w:rsid w:val="00F93210"/>
    <w:rsid w:val="00F933DD"/>
    <w:rsid w:val="00F93476"/>
    <w:rsid w:val="00F934C0"/>
    <w:rsid w:val="00F9350E"/>
    <w:rsid w:val="00F93538"/>
    <w:rsid w:val="00F93575"/>
    <w:rsid w:val="00F93591"/>
    <w:rsid w:val="00F935B2"/>
    <w:rsid w:val="00F9365C"/>
    <w:rsid w:val="00F936D8"/>
    <w:rsid w:val="00F93760"/>
    <w:rsid w:val="00F9388B"/>
    <w:rsid w:val="00F93966"/>
    <w:rsid w:val="00F93982"/>
    <w:rsid w:val="00F93C45"/>
    <w:rsid w:val="00F93C8B"/>
    <w:rsid w:val="00F93CCD"/>
    <w:rsid w:val="00F93D11"/>
    <w:rsid w:val="00F93D41"/>
    <w:rsid w:val="00F93D92"/>
    <w:rsid w:val="00F93D9E"/>
    <w:rsid w:val="00F93DFD"/>
    <w:rsid w:val="00F93E19"/>
    <w:rsid w:val="00F93F0D"/>
    <w:rsid w:val="00F9436F"/>
    <w:rsid w:val="00F9440E"/>
    <w:rsid w:val="00F9449E"/>
    <w:rsid w:val="00F944BF"/>
    <w:rsid w:val="00F945A2"/>
    <w:rsid w:val="00F948B1"/>
    <w:rsid w:val="00F9499B"/>
    <w:rsid w:val="00F94B1C"/>
    <w:rsid w:val="00F94B9B"/>
    <w:rsid w:val="00F94BC8"/>
    <w:rsid w:val="00F94CA5"/>
    <w:rsid w:val="00F94CB1"/>
    <w:rsid w:val="00F94D2D"/>
    <w:rsid w:val="00F94F16"/>
    <w:rsid w:val="00F94F1D"/>
    <w:rsid w:val="00F94F96"/>
    <w:rsid w:val="00F94FE2"/>
    <w:rsid w:val="00F95007"/>
    <w:rsid w:val="00F950A4"/>
    <w:rsid w:val="00F95266"/>
    <w:rsid w:val="00F9559F"/>
    <w:rsid w:val="00F9563F"/>
    <w:rsid w:val="00F95642"/>
    <w:rsid w:val="00F9565D"/>
    <w:rsid w:val="00F95838"/>
    <w:rsid w:val="00F958D4"/>
    <w:rsid w:val="00F959E2"/>
    <w:rsid w:val="00F959FC"/>
    <w:rsid w:val="00F95DD8"/>
    <w:rsid w:val="00F95E7B"/>
    <w:rsid w:val="00F95E8F"/>
    <w:rsid w:val="00F95F59"/>
    <w:rsid w:val="00F964B9"/>
    <w:rsid w:val="00F965FF"/>
    <w:rsid w:val="00F96686"/>
    <w:rsid w:val="00F96769"/>
    <w:rsid w:val="00F9694E"/>
    <w:rsid w:val="00F96991"/>
    <w:rsid w:val="00F96BE7"/>
    <w:rsid w:val="00F96D9A"/>
    <w:rsid w:val="00F96DAC"/>
    <w:rsid w:val="00F96E49"/>
    <w:rsid w:val="00F96EF3"/>
    <w:rsid w:val="00F96F45"/>
    <w:rsid w:val="00F96F52"/>
    <w:rsid w:val="00F96FAB"/>
    <w:rsid w:val="00F971DA"/>
    <w:rsid w:val="00F97207"/>
    <w:rsid w:val="00F97222"/>
    <w:rsid w:val="00F9724E"/>
    <w:rsid w:val="00F97258"/>
    <w:rsid w:val="00F9726F"/>
    <w:rsid w:val="00F97370"/>
    <w:rsid w:val="00F9737F"/>
    <w:rsid w:val="00F9758B"/>
    <w:rsid w:val="00F97817"/>
    <w:rsid w:val="00F97844"/>
    <w:rsid w:val="00F978EB"/>
    <w:rsid w:val="00F97983"/>
    <w:rsid w:val="00F97BF2"/>
    <w:rsid w:val="00F97CA5"/>
    <w:rsid w:val="00FA01A7"/>
    <w:rsid w:val="00FA01D4"/>
    <w:rsid w:val="00FA022B"/>
    <w:rsid w:val="00FA03D7"/>
    <w:rsid w:val="00FA04B3"/>
    <w:rsid w:val="00FA05CA"/>
    <w:rsid w:val="00FA065E"/>
    <w:rsid w:val="00FA0663"/>
    <w:rsid w:val="00FA070F"/>
    <w:rsid w:val="00FA0807"/>
    <w:rsid w:val="00FA0955"/>
    <w:rsid w:val="00FA09AF"/>
    <w:rsid w:val="00FA0A6C"/>
    <w:rsid w:val="00FA0A87"/>
    <w:rsid w:val="00FA0A9D"/>
    <w:rsid w:val="00FA0D41"/>
    <w:rsid w:val="00FA0DBD"/>
    <w:rsid w:val="00FA0E77"/>
    <w:rsid w:val="00FA0F05"/>
    <w:rsid w:val="00FA0F6F"/>
    <w:rsid w:val="00FA0F92"/>
    <w:rsid w:val="00FA10C1"/>
    <w:rsid w:val="00FA113B"/>
    <w:rsid w:val="00FA11B0"/>
    <w:rsid w:val="00FA136A"/>
    <w:rsid w:val="00FA1470"/>
    <w:rsid w:val="00FA154B"/>
    <w:rsid w:val="00FA15A2"/>
    <w:rsid w:val="00FA1865"/>
    <w:rsid w:val="00FA189C"/>
    <w:rsid w:val="00FA19E0"/>
    <w:rsid w:val="00FA1C72"/>
    <w:rsid w:val="00FA1C7D"/>
    <w:rsid w:val="00FA1D51"/>
    <w:rsid w:val="00FA1F12"/>
    <w:rsid w:val="00FA204C"/>
    <w:rsid w:val="00FA2213"/>
    <w:rsid w:val="00FA2228"/>
    <w:rsid w:val="00FA22AB"/>
    <w:rsid w:val="00FA22C6"/>
    <w:rsid w:val="00FA23E7"/>
    <w:rsid w:val="00FA2844"/>
    <w:rsid w:val="00FA29F2"/>
    <w:rsid w:val="00FA2AF5"/>
    <w:rsid w:val="00FA2AF9"/>
    <w:rsid w:val="00FA2B2D"/>
    <w:rsid w:val="00FA2B51"/>
    <w:rsid w:val="00FA2BD5"/>
    <w:rsid w:val="00FA2DFE"/>
    <w:rsid w:val="00FA2ED3"/>
    <w:rsid w:val="00FA319D"/>
    <w:rsid w:val="00FA3323"/>
    <w:rsid w:val="00FA33AD"/>
    <w:rsid w:val="00FA342C"/>
    <w:rsid w:val="00FA3489"/>
    <w:rsid w:val="00FA3564"/>
    <w:rsid w:val="00FA35D5"/>
    <w:rsid w:val="00FA3602"/>
    <w:rsid w:val="00FA3707"/>
    <w:rsid w:val="00FA37B2"/>
    <w:rsid w:val="00FA38CC"/>
    <w:rsid w:val="00FA3B09"/>
    <w:rsid w:val="00FA3B96"/>
    <w:rsid w:val="00FA3C7A"/>
    <w:rsid w:val="00FA3C9C"/>
    <w:rsid w:val="00FA3DEA"/>
    <w:rsid w:val="00FA3DFB"/>
    <w:rsid w:val="00FA3ED3"/>
    <w:rsid w:val="00FA3EDA"/>
    <w:rsid w:val="00FA3EFF"/>
    <w:rsid w:val="00FA3FD5"/>
    <w:rsid w:val="00FA4019"/>
    <w:rsid w:val="00FA406F"/>
    <w:rsid w:val="00FA417A"/>
    <w:rsid w:val="00FA447A"/>
    <w:rsid w:val="00FA4582"/>
    <w:rsid w:val="00FA45B7"/>
    <w:rsid w:val="00FA46A8"/>
    <w:rsid w:val="00FA478D"/>
    <w:rsid w:val="00FA490F"/>
    <w:rsid w:val="00FA4A35"/>
    <w:rsid w:val="00FA4B80"/>
    <w:rsid w:val="00FA4BB2"/>
    <w:rsid w:val="00FA4C57"/>
    <w:rsid w:val="00FA4C98"/>
    <w:rsid w:val="00FA4D18"/>
    <w:rsid w:val="00FA4E3D"/>
    <w:rsid w:val="00FA4E5A"/>
    <w:rsid w:val="00FA4FD8"/>
    <w:rsid w:val="00FA5046"/>
    <w:rsid w:val="00FA515D"/>
    <w:rsid w:val="00FA53A3"/>
    <w:rsid w:val="00FA54EA"/>
    <w:rsid w:val="00FA56D5"/>
    <w:rsid w:val="00FA5702"/>
    <w:rsid w:val="00FA5733"/>
    <w:rsid w:val="00FA590B"/>
    <w:rsid w:val="00FA5A2E"/>
    <w:rsid w:val="00FA5B67"/>
    <w:rsid w:val="00FA5BF7"/>
    <w:rsid w:val="00FA5C95"/>
    <w:rsid w:val="00FA5C9B"/>
    <w:rsid w:val="00FA5D23"/>
    <w:rsid w:val="00FA5D74"/>
    <w:rsid w:val="00FA5EC0"/>
    <w:rsid w:val="00FA5F08"/>
    <w:rsid w:val="00FA5F6E"/>
    <w:rsid w:val="00FA6134"/>
    <w:rsid w:val="00FA622F"/>
    <w:rsid w:val="00FA62A0"/>
    <w:rsid w:val="00FA6414"/>
    <w:rsid w:val="00FA6446"/>
    <w:rsid w:val="00FA6578"/>
    <w:rsid w:val="00FA6607"/>
    <w:rsid w:val="00FA6806"/>
    <w:rsid w:val="00FA68FD"/>
    <w:rsid w:val="00FA69D9"/>
    <w:rsid w:val="00FA69DC"/>
    <w:rsid w:val="00FA6B65"/>
    <w:rsid w:val="00FA6C0D"/>
    <w:rsid w:val="00FA6C8A"/>
    <w:rsid w:val="00FA6CC0"/>
    <w:rsid w:val="00FA6CFF"/>
    <w:rsid w:val="00FA6D80"/>
    <w:rsid w:val="00FA6E5D"/>
    <w:rsid w:val="00FA72B3"/>
    <w:rsid w:val="00FA7351"/>
    <w:rsid w:val="00FA753B"/>
    <w:rsid w:val="00FA758D"/>
    <w:rsid w:val="00FA764B"/>
    <w:rsid w:val="00FA779E"/>
    <w:rsid w:val="00FA77BB"/>
    <w:rsid w:val="00FA77E8"/>
    <w:rsid w:val="00FA78FF"/>
    <w:rsid w:val="00FA7B6C"/>
    <w:rsid w:val="00FA7C12"/>
    <w:rsid w:val="00FA7C35"/>
    <w:rsid w:val="00FA7F35"/>
    <w:rsid w:val="00FA7FA2"/>
    <w:rsid w:val="00FB017A"/>
    <w:rsid w:val="00FB0295"/>
    <w:rsid w:val="00FB03AE"/>
    <w:rsid w:val="00FB075B"/>
    <w:rsid w:val="00FB0841"/>
    <w:rsid w:val="00FB089E"/>
    <w:rsid w:val="00FB09A4"/>
    <w:rsid w:val="00FB0B2A"/>
    <w:rsid w:val="00FB0B87"/>
    <w:rsid w:val="00FB0CF2"/>
    <w:rsid w:val="00FB0DA4"/>
    <w:rsid w:val="00FB0E5C"/>
    <w:rsid w:val="00FB0EFD"/>
    <w:rsid w:val="00FB0F6C"/>
    <w:rsid w:val="00FB0F8D"/>
    <w:rsid w:val="00FB0FCA"/>
    <w:rsid w:val="00FB104C"/>
    <w:rsid w:val="00FB1095"/>
    <w:rsid w:val="00FB1372"/>
    <w:rsid w:val="00FB1695"/>
    <w:rsid w:val="00FB16E3"/>
    <w:rsid w:val="00FB178B"/>
    <w:rsid w:val="00FB17E2"/>
    <w:rsid w:val="00FB1870"/>
    <w:rsid w:val="00FB188C"/>
    <w:rsid w:val="00FB1A66"/>
    <w:rsid w:val="00FB1A7B"/>
    <w:rsid w:val="00FB1B15"/>
    <w:rsid w:val="00FB1CEA"/>
    <w:rsid w:val="00FB2099"/>
    <w:rsid w:val="00FB2278"/>
    <w:rsid w:val="00FB271F"/>
    <w:rsid w:val="00FB27D3"/>
    <w:rsid w:val="00FB285B"/>
    <w:rsid w:val="00FB290B"/>
    <w:rsid w:val="00FB2914"/>
    <w:rsid w:val="00FB293D"/>
    <w:rsid w:val="00FB2953"/>
    <w:rsid w:val="00FB2A07"/>
    <w:rsid w:val="00FB2AC7"/>
    <w:rsid w:val="00FB2B07"/>
    <w:rsid w:val="00FB2C3D"/>
    <w:rsid w:val="00FB2C56"/>
    <w:rsid w:val="00FB2CDD"/>
    <w:rsid w:val="00FB2D36"/>
    <w:rsid w:val="00FB2EF1"/>
    <w:rsid w:val="00FB3133"/>
    <w:rsid w:val="00FB3369"/>
    <w:rsid w:val="00FB33CA"/>
    <w:rsid w:val="00FB34C8"/>
    <w:rsid w:val="00FB34D2"/>
    <w:rsid w:val="00FB3537"/>
    <w:rsid w:val="00FB3567"/>
    <w:rsid w:val="00FB3628"/>
    <w:rsid w:val="00FB370C"/>
    <w:rsid w:val="00FB370F"/>
    <w:rsid w:val="00FB3719"/>
    <w:rsid w:val="00FB38E8"/>
    <w:rsid w:val="00FB38F5"/>
    <w:rsid w:val="00FB39CD"/>
    <w:rsid w:val="00FB3CC9"/>
    <w:rsid w:val="00FB3F2D"/>
    <w:rsid w:val="00FB3FD4"/>
    <w:rsid w:val="00FB3FF6"/>
    <w:rsid w:val="00FB440F"/>
    <w:rsid w:val="00FB4441"/>
    <w:rsid w:val="00FB466A"/>
    <w:rsid w:val="00FB4696"/>
    <w:rsid w:val="00FB46D3"/>
    <w:rsid w:val="00FB4726"/>
    <w:rsid w:val="00FB4787"/>
    <w:rsid w:val="00FB47EB"/>
    <w:rsid w:val="00FB4872"/>
    <w:rsid w:val="00FB48FF"/>
    <w:rsid w:val="00FB49DE"/>
    <w:rsid w:val="00FB4A18"/>
    <w:rsid w:val="00FB4BA1"/>
    <w:rsid w:val="00FB4C28"/>
    <w:rsid w:val="00FB4DBE"/>
    <w:rsid w:val="00FB4DF3"/>
    <w:rsid w:val="00FB4E08"/>
    <w:rsid w:val="00FB4FB0"/>
    <w:rsid w:val="00FB505A"/>
    <w:rsid w:val="00FB505F"/>
    <w:rsid w:val="00FB5089"/>
    <w:rsid w:val="00FB5163"/>
    <w:rsid w:val="00FB51BB"/>
    <w:rsid w:val="00FB528F"/>
    <w:rsid w:val="00FB5391"/>
    <w:rsid w:val="00FB53F7"/>
    <w:rsid w:val="00FB55CE"/>
    <w:rsid w:val="00FB5682"/>
    <w:rsid w:val="00FB5922"/>
    <w:rsid w:val="00FB5978"/>
    <w:rsid w:val="00FB597F"/>
    <w:rsid w:val="00FB5CC3"/>
    <w:rsid w:val="00FB6295"/>
    <w:rsid w:val="00FB6341"/>
    <w:rsid w:val="00FB644D"/>
    <w:rsid w:val="00FB68AF"/>
    <w:rsid w:val="00FB6979"/>
    <w:rsid w:val="00FB6E01"/>
    <w:rsid w:val="00FB71AC"/>
    <w:rsid w:val="00FB71ED"/>
    <w:rsid w:val="00FB7262"/>
    <w:rsid w:val="00FB753A"/>
    <w:rsid w:val="00FB75A4"/>
    <w:rsid w:val="00FB75E6"/>
    <w:rsid w:val="00FB7666"/>
    <w:rsid w:val="00FB775F"/>
    <w:rsid w:val="00FB7799"/>
    <w:rsid w:val="00FB78A7"/>
    <w:rsid w:val="00FB7930"/>
    <w:rsid w:val="00FB7961"/>
    <w:rsid w:val="00FB79D3"/>
    <w:rsid w:val="00FB7A16"/>
    <w:rsid w:val="00FB7A3E"/>
    <w:rsid w:val="00FB7A56"/>
    <w:rsid w:val="00FB7C29"/>
    <w:rsid w:val="00FB7C94"/>
    <w:rsid w:val="00FB7EC2"/>
    <w:rsid w:val="00FB7F7A"/>
    <w:rsid w:val="00FB7F7C"/>
    <w:rsid w:val="00FC01B4"/>
    <w:rsid w:val="00FC02BC"/>
    <w:rsid w:val="00FC038B"/>
    <w:rsid w:val="00FC03A3"/>
    <w:rsid w:val="00FC04ED"/>
    <w:rsid w:val="00FC069E"/>
    <w:rsid w:val="00FC07CF"/>
    <w:rsid w:val="00FC0965"/>
    <w:rsid w:val="00FC0991"/>
    <w:rsid w:val="00FC09DA"/>
    <w:rsid w:val="00FC0A49"/>
    <w:rsid w:val="00FC0AD6"/>
    <w:rsid w:val="00FC0D4C"/>
    <w:rsid w:val="00FC0F1C"/>
    <w:rsid w:val="00FC0F23"/>
    <w:rsid w:val="00FC1131"/>
    <w:rsid w:val="00FC117D"/>
    <w:rsid w:val="00FC1211"/>
    <w:rsid w:val="00FC12A9"/>
    <w:rsid w:val="00FC12B8"/>
    <w:rsid w:val="00FC143C"/>
    <w:rsid w:val="00FC148C"/>
    <w:rsid w:val="00FC14A6"/>
    <w:rsid w:val="00FC1503"/>
    <w:rsid w:val="00FC15D3"/>
    <w:rsid w:val="00FC1612"/>
    <w:rsid w:val="00FC1640"/>
    <w:rsid w:val="00FC1777"/>
    <w:rsid w:val="00FC1851"/>
    <w:rsid w:val="00FC186A"/>
    <w:rsid w:val="00FC18C5"/>
    <w:rsid w:val="00FC1967"/>
    <w:rsid w:val="00FC1AE9"/>
    <w:rsid w:val="00FC1B25"/>
    <w:rsid w:val="00FC1C02"/>
    <w:rsid w:val="00FC1F4A"/>
    <w:rsid w:val="00FC2077"/>
    <w:rsid w:val="00FC20CE"/>
    <w:rsid w:val="00FC22DF"/>
    <w:rsid w:val="00FC23D7"/>
    <w:rsid w:val="00FC2433"/>
    <w:rsid w:val="00FC250B"/>
    <w:rsid w:val="00FC2586"/>
    <w:rsid w:val="00FC2825"/>
    <w:rsid w:val="00FC2868"/>
    <w:rsid w:val="00FC2A02"/>
    <w:rsid w:val="00FC2AAD"/>
    <w:rsid w:val="00FC2C06"/>
    <w:rsid w:val="00FC2C2D"/>
    <w:rsid w:val="00FC2C77"/>
    <w:rsid w:val="00FC2E37"/>
    <w:rsid w:val="00FC2F40"/>
    <w:rsid w:val="00FC2F7D"/>
    <w:rsid w:val="00FC2F87"/>
    <w:rsid w:val="00FC31EC"/>
    <w:rsid w:val="00FC3205"/>
    <w:rsid w:val="00FC33BC"/>
    <w:rsid w:val="00FC3427"/>
    <w:rsid w:val="00FC34C2"/>
    <w:rsid w:val="00FC376D"/>
    <w:rsid w:val="00FC3A51"/>
    <w:rsid w:val="00FC3B1B"/>
    <w:rsid w:val="00FC3B4B"/>
    <w:rsid w:val="00FC3B69"/>
    <w:rsid w:val="00FC3D8D"/>
    <w:rsid w:val="00FC4060"/>
    <w:rsid w:val="00FC407A"/>
    <w:rsid w:val="00FC4188"/>
    <w:rsid w:val="00FC43C4"/>
    <w:rsid w:val="00FC44CD"/>
    <w:rsid w:val="00FC463E"/>
    <w:rsid w:val="00FC479C"/>
    <w:rsid w:val="00FC47B0"/>
    <w:rsid w:val="00FC487F"/>
    <w:rsid w:val="00FC4881"/>
    <w:rsid w:val="00FC497A"/>
    <w:rsid w:val="00FC498B"/>
    <w:rsid w:val="00FC49B9"/>
    <w:rsid w:val="00FC4A66"/>
    <w:rsid w:val="00FC4A7C"/>
    <w:rsid w:val="00FC4AFA"/>
    <w:rsid w:val="00FC4C7D"/>
    <w:rsid w:val="00FC4C84"/>
    <w:rsid w:val="00FC4C8C"/>
    <w:rsid w:val="00FC4E94"/>
    <w:rsid w:val="00FC4EEF"/>
    <w:rsid w:val="00FC500E"/>
    <w:rsid w:val="00FC5306"/>
    <w:rsid w:val="00FC5545"/>
    <w:rsid w:val="00FC5563"/>
    <w:rsid w:val="00FC557B"/>
    <w:rsid w:val="00FC56C7"/>
    <w:rsid w:val="00FC56EB"/>
    <w:rsid w:val="00FC5800"/>
    <w:rsid w:val="00FC599B"/>
    <w:rsid w:val="00FC599C"/>
    <w:rsid w:val="00FC5AF5"/>
    <w:rsid w:val="00FC5B28"/>
    <w:rsid w:val="00FC5B98"/>
    <w:rsid w:val="00FC5BE7"/>
    <w:rsid w:val="00FC5D57"/>
    <w:rsid w:val="00FC5EB4"/>
    <w:rsid w:val="00FC5FFE"/>
    <w:rsid w:val="00FC6079"/>
    <w:rsid w:val="00FC615C"/>
    <w:rsid w:val="00FC6393"/>
    <w:rsid w:val="00FC645B"/>
    <w:rsid w:val="00FC6525"/>
    <w:rsid w:val="00FC653C"/>
    <w:rsid w:val="00FC66B6"/>
    <w:rsid w:val="00FC673D"/>
    <w:rsid w:val="00FC6753"/>
    <w:rsid w:val="00FC681E"/>
    <w:rsid w:val="00FC6AEB"/>
    <w:rsid w:val="00FC6B64"/>
    <w:rsid w:val="00FC6D2E"/>
    <w:rsid w:val="00FC6D42"/>
    <w:rsid w:val="00FC6DE2"/>
    <w:rsid w:val="00FC6E64"/>
    <w:rsid w:val="00FC715F"/>
    <w:rsid w:val="00FC7335"/>
    <w:rsid w:val="00FC7546"/>
    <w:rsid w:val="00FC76B5"/>
    <w:rsid w:val="00FC7A60"/>
    <w:rsid w:val="00FC7A6D"/>
    <w:rsid w:val="00FD00F4"/>
    <w:rsid w:val="00FD011B"/>
    <w:rsid w:val="00FD01E2"/>
    <w:rsid w:val="00FD0443"/>
    <w:rsid w:val="00FD05C1"/>
    <w:rsid w:val="00FD0606"/>
    <w:rsid w:val="00FD07CC"/>
    <w:rsid w:val="00FD0804"/>
    <w:rsid w:val="00FD0899"/>
    <w:rsid w:val="00FD08EC"/>
    <w:rsid w:val="00FD09CF"/>
    <w:rsid w:val="00FD0B2E"/>
    <w:rsid w:val="00FD0B99"/>
    <w:rsid w:val="00FD0C6A"/>
    <w:rsid w:val="00FD0CF1"/>
    <w:rsid w:val="00FD1043"/>
    <w:rsid w:val="00FD13BA"/>
    <w:rsid w:val="00FD147B"/>
    <w:rsid w:val="00FD1496"/>
    <w:rsid w:val="00FD15D8"/>
    <w:rsid w:val="00FD178D"/>
    <w:rsid w:val="00FD17CB"/>
    <w:rsid w:val="00FD186A"/>
    <w:rsid w:val="00FD1A12"/>
    <w:rsid w:val="00FD1A97"/>
    <w:rsid w:val="00FD1B07"/>
    <w:rsid w:val="00FD1BF2"/>
    <w:rsid w:val="00FD1F96"/>
    <w:rsid w:val="00FD1FB6"/>
    <w:rsid w:val="00FD2090"/>
    <w:rsid w:val="00FD21EE"/>
    <w:rsid w:val="00FD221E"/>
    <w:rsid w:val="00FD22E0"/>
    <w:rsid w:val="00FD2390"/>
    <w:rsid w:val="00FD24AB"/>
    <w:rsid w:val="00FD24CD"/>
    <w:rsid w:val="00FD255B"/>
    <w:rsid w:val="00FD257C"/>
    <w:rsid w:val="00FD25A1"/>
    <w:rsid w:val="00FD2781"/>
    <w:rsid w:val="00FD2842"/>
    <w:rsid w:val="00FD2925"/>
    <w:rsid w:val="00FD293A"/>
    <w:rsid w:val="00FD2A0D"/>
    <w:rsid w:val="00FD2A86"/>
    <w:rsid w:val="00FD2AE4"/>
    <w:rsid w:val="00FD2B7F"/>
    <w:rsid w:val="00FD2BFD"/>
    <w:rsid w:val="00FD2F22"/>
    <w:rsid w:val="00FD3030"/>
    <w:rsid w:val="00FD303E"/>
    <w:rsid w:val="00FD3041"/>
    <w:rsid w:val="00FD306B"/>
    <w:rsid w:val="00FD321E"/>
    <w:rsid w:val="00FD32BD"/>
    <w:rsid w:val="00FD336F"/>
    <w:rsid w:val="00FD3569"/>
    <w:rsid w:val="00FD3781"/>
    <w:rsid w:val="00FD37A9"/>
    <w:rsid w:val="00FD37CD"/>
    <w:rsid w:val="00FD398D"/>
    <w:rsid w:val="00FD3B61"/>
    <w:rsid w:val="00FD3BB8"/>
    <w:rsid w:val="00FD3FAD"/>
    <w:rsid w:val="00FD40B9"/>
    <w:rsid w:val="00FD433A"/>
    <w:rsid w:val="00FD4345"/>
    <w:rsid w:val="00FD4409"/>
    <w:rsid w:val="00FD45CA"/>
    <w:rsid w:val="00FD4612"/>
    <w:rsid w:val="00FD46B8"/>
    <w:rsid w:val="00FD48D9"/>
    <w:rsid w:val="00FD4A2D"/>
    <w:rsid w:val="00FD4A35"/>
    <w:rsid w:val="00FD4AB2"/>
    <w:rsid w:val="00FD4B14"/>
    <w:rsid w:val="00FD4B29"/>
    <w:rsid w:val="00FD4EB4"/>
    <w:rsid w:val="00FD4F60"/>
    <w:rsid w:val="00FD4FBD"/>
    <w:rsid w:val="00FD4FD6"/>
    <w:rsid w:val="00FD5097"/>
    <w:rsid w:val="00FD512D"/>
    <w:rsid w:val="00FD5139"/>
    <w:rsid w:val="00FD514B"/>
    <w:rsid w:val="00FD5299"/>
    <w:rsid w:val="00FD52C1"/>
    <w:rsid w:val="00FD54BA"/>
    <w:rsid w:val="00FD5554"/>
    <w:rsid w:val="00FD5644"/>
    <w:rsid w:val="00FD5A3C"/>
    <w:rsid w:val="00FD5A91"/>
    <w:rsid w:val="00FD5BB4"/>
    <w:rsid w:val="00FD5C57"/>
    <w:rsid w:val="00FD5CF9"/>
    <w:rsid w:val="00FD5D51"/>
    <w:rsid w:val="00FD5EFE"/>
    <w:rsid w:val="00FD60FB"/>
    <w:rsid w:val="00FD635A"/>
    <w:rsid w:val="00FD63B0"/>
    <w:rsid w:val="00FD6518"/>
    <w:rsid w:val="00FD654B"/>
    <w:rsid w:val="00FD66F3"/>
    <w:rsid w:val="00FD6B9E"/>
    <w:rsid w:val="00FD6BB1"/>
    <w:rsid w:val="00FD6D42"/>
    <w:rsid w:val="00FD6D8C"/>
    <w:rsid w:val="00FD6DD0"/>
    <w:rsid w:val="00FD6FB8"/>
    <w:rsid w:val="00FD70C5"/>
    <w:rsid w:val="00FD716E"/>
    <w:rsid w:val="00FD717E"/>
    <w:rsid w:val="00FD72CF"/>
    <w:rsid w:val="00FD748F"/>
    <w:rsid w:val="00FD75F1"/>
    <w:rsid w:val="00FD7977"/>
    <w:rsid w:val="00FD797D"/>
    <w:rsid w:val="00FD7A11"/>
    <w:rsid w:val="00FD7AD2"/>
    <w:rsid w:val="00FD7DBA"/>
    <w:rsid w:val="00FD7ED5"/>
    <w:rsid w:val="00FD7F21"/>
    <w:rsid w:val="00FD7FFD"/>
    <w:rsid w:val="00FE0006"/>
    <w:rsid w:val="00FE00DA"/>
    <w:rsid w:val="00FE02B8"/>
    <w:rsid w:val="00FE035D"/>
    <w:rsid w:val="00FE03A0"/>
    <w:rsid w:val="00FE04A5"/>
    <w:rsid w:val="00FE050D"/>
    <w:rsid w:val="00FE050F"/>
    <w:rsid w:val="00FE052D"/>
    <w:rsid w:val="00FE0601"/>
    <w:rsid w:val="00FE0608"/>
    <w:rsid w:val="00FE07C1"/>
    <w:rsid w:val="00FE08FF"/>
    <w:rsid w:val="00FE0E79"/>
    <w:rsid w:val="00FE0FA8"/>
    <w:rsid w:val="00FE100E"/>
    <w:rsid w:val="00FE1039"/>
    <w:rsid w:val="00FE10DE"/>
    <w:rsid w:val="00FE11B7"/>
    <w:rsid w:val="00FE1269"/>
    <w:rsid w:val="00FE12A1"/>
    <w:rsid w:val="00FE13F5"/>
    <w:rsid w:val="00FE1404"/>
    <w:rsid w:val="00FE14EF"/>
    <w:rsid w:val="00FE1611"/>
    <w:rsid w:val="00FE1630"/>
    <w:rsid w:val="00FE1667"/>
    <w:rsid w:val="00FE1675"/>
    <w:rsid w:val="00FE16EA"/>
    <w:rsid w:val="00FE17CF"/>
    <w:rsid w:val="00FE1845"/>
    <w:rsid w:val="00FE188C"/>
    <w:rsid w:val="00FE1A47"/>
    <w:rsid w:val="00FE1A8A"/>
    <w:rsid w:val="00FE1AA5"/>
    <w:rsid w:val="00FE1CCB"/>
    <w:rsid w:val="00FE1D77"/>
    <w:rsid w:val="00FE1F37"/>
    <w:rsid w:val="00FE1F5A"/>
    <w:rsid w:val="00FE1FC8"/>
    <w:rsid w:val="00FE1FD1"/>
    <w:rsid w:val="00FE20E8"/>
    <w:rsid w:val="00FE21BC"/>
    <w:rsid w:val="00FE22CD"/>
    <w:rsid w:val="00FE22E4"/>
    <w:rsid w:val="00FE2424"/>
    <w:rsid w:val="00FE243B"/>
    <w:rsid w:val="00FE2669"/>
    <w:rsid w:val="00FE26A1"/>
    <w:rsid w:val="00FE285F"/>
    <w:rsid w:val="00FE2890"/>
    <w:rsid w:val="00FE295F"/>
    <w:rsid w:val="00FE2B61"/>
    <w:rsid w:val="00FE2B6C"/>
    <w:rsid w:val="00FE2D88"/>
    <w:rsid w:val="00FE2DEE"/>
    <w:rsid w:val="00FE2EAB"/>
    <w:rsid w:val="00FE2F09"/>
    <w:rsid w:val="00FE2F13"/>
    <w:rsid w:val="00FE3086"/>
    <w:rsid w:val="00FE31AE"/>
    <w:rsid w:val="00FE3205"/>
    <w:rsid w:val="00FE320E"/>
    <w:rsid w:val="00FE3537"/>
    <w:rsid w:val="00FE357D"/>
    <w:rsid w:val="00FE3603"/>
    <w:rsid w:val="00FE3799"/>
    <w:rsid w:val="00FE37D2"/>
    <w:rsid w:val="00FE388A"/>
    <w:rsid w:val="00FE3981"/>
    <w:rsid w:val="00FE3A21"/>
    <w:rsid w:val="00FE3AD8"/>
    <w:rsid w:val="00FE3D92"/>
    <w:rsid w:val="00FE3D9C"/>
    <w:rsid w:val="00FE3DFD"/>
    <w:rsid w:val="00FE3E4B"/>
    <w:rsid w:val="00FE3FE2"/>
    <w:rsid w:val="00FE4045"/>
    <w:rsid w:val="00FE40A5"/>
    <w:rsid w:val="00FE4508"/>
    <w:rsid w:val="00FE46AB"/>
    <w:rsid w:val="00FE47AA"/>
    <w:rsid w:val="00FE492C"/>
    <w:rsid w:val="00FE494B"/>
    <w:rsid w:val="00FE4A64"/>
    <w:rsid w:val="00FE4AA7"/>
    <w:rsid w:val="00FE4BF6"/>
    <w:rsid w:val="00FE4C5A"/>
    <w:rsid w:val="00FE4CF0"/>
    <w:rsid w:val="00FE4FAF"/>
    <w:rsid w:val="00FE504D"/>
    <w:rsid w:val="00FE507B"/>
    <w:rsid w:val="00FE5180"/>
    <w:rsid w:val="00FE51BC"/>
    <w:rsid w:val="00FE54EB"/>
    <w:rsid w:val="00FE55BD"/>
    <w:rsid w:val="00FE55C4"/>
    <w:rsid w:val="00FE5640"/>
    <w:rsid w:val="00FE581E"/>
    <w:rsid w:val="00FE58A6"/>
    <w:rsid w:val="00FE5938"/>
    <w:rsid w:val="00FE5A85"/>
    <w:rsid w:val="00FE5B05"/>
    <w:rsid w:val="00FE5C98"/>
    <w:rsid w:val="00FE5D05"/>
    <w:rsid w:val="00FE5DA8"/>
    <w:rsid w:val="00FE5F58"/>
    <w:rsid w:val="00FE5F9A"/>
    <w:rsid w:val="00FE607F"/>
    <w:rsid w:val="00FE608B"/>
    <w:rsid w:val="00FE6096"/>
    <w:rsid w:val="00FE640A"/>
    <w:rsid w:val="00FE65FD"/>
    <w:rsid w:val="00FE662A"/>
    <w:rsid w:val="00FE66AE"/>
    <w:rsid w:val="00FE67E5"/>
    <w:rsid w:val="00FE6845"/>
    <w:rsid w:val="00FE693C"/>
    <w:rsid w:val="00FE6981"/>
    <w:rsid w:val="00FE6AF3"/>
    <w:rsid w:val="00FE6C48"/>
    <w:rsid w:val="00FE6D1D"/>
    <w:rsid w:val="00FE7003"/>
    <w:rsid w:val="00FE716F"/>
    <w:rsid w:val="00FE724D"/>
    <w:rsid w:val="00FE727D"/>
    <w:rsid w:val="00FE731A"/>
    <w:rsid w:val="00FE733A"/>
    <w:rsid w:val="00FE7555"/>
    <w:rsid w:val="00FE76DC"/>
    <w:rsid w:val="00FE7837"/>
    <w:rsid w:val="00FE7A70"/>
    <w:rsid w:val="00FE7A7B"/>
    <w:rsid w:val="00FE7BDC"/>
    <w:rsid w:val="00FE7BFD"/>
    <w:rsid w:val="00FE7C5E"/>
    <w:rsid w:val="00FE7CDC"/>
    <w:rsid w:val="00FE7D1C"/>
    <w:rsid w:val="00FE7D38"/>
    <w:rsid w:val="00FE7D53"/>
    <w:rsid w:val="00FE7E20"/>
    <w:rsid w:val="00FE7E47"/>
    <w:rsid w:val="00FF020A"/>
    <w:rsid w:val="00FF0218"/>
    <w:rsid w:val="00FF0255"/>
    <w:rsid w:val="00FF05EE"/>
    <w:rsid w:val="00FF061E"/>
    <w:rsid w:val="00FF0657"/>
    <w:rsid w:val="00FF065E"/>
    <w:rsid w:val="00FF0744"/>
    <w:rsid w:val="00FF080F"/>
    <w:rsid w:val="00FF090B"/>
    <w:rsid w:val="00FF091C"/>
    <w:rsid w:val="00FF0927"/>
    <w:rsid w:val="00FF0A32"/>
    <w:rsid w:val="00FF0A37"/>
    <w:rsid w:val="00FF0A62"/>
    <w:rsid w:val="00FF0C72"/>
    <w:rsid w:val="00FF0CA4"/>
    <w:rsid w:val="00FF0CF3"/>
    <w:rsid w:val="00FF0DFA"/>
    <w:rsid w:val="00FF0F27"/>
    <w:rsid w:val="00FF0F8F"/>
    <w:rsid w:val="00FF0FB2"/>
    <w:rsid w:val="00FF1022"/>
    <w:rsid w:val="00FF102E"/>
    <w:rsid w:val="00FF1259"/>
    <w:rsid w:val="00FF1319"/>
    <w:rsid w:val="00FF1331"/>
    <w:rsid w:val="00FF139B"/>
    <w:rsid w:val="00FF159E"/>
    <w:rsid w:val="00FF1602"/>
    <w:rsid w:val="00FF1695"/>
    <w:rsid w:val="00FF16F0"/>
    <w:rsid w:val="00FF1B65"/>
    <w:rsid w:val="00FF1BA8"/>
    <w:rsid w:val="00FF1F38"/>
    <w:rsid w:val="00FF1F9A"/>
    <w:rsid w:val="00FF2069"/>
    <w:rsid w:val="00FF2199"/>
    <w:rsid w:val="00FF21A3"/>
    <w:rsid w:val="00FF21C3"/>
    <w:rsid w:val="00FF2266"/>
    <w:rsid w:val="00FF2292"/>
    <w:rsid w:val="00FF2401"/>
    <w:rsid w:val="00FF24CB"/>
    <w:rsid w:val="00FF24EE"/>
    <w:rsid w:val="00FF2711"/>
    <w:rsid w:val="00FF28AC"/>
    <w:rsid w:val="00FF296D"/>
    <w:rsid w:val="00FF2B56"/>
    <w:rsid w:val="00FF2BC4"/>
    <w:rsid w:val="00FF2C81"/>
    <w:rsid w:val="00FF2C91"/>
    <w:rsid w:val="00FF2CB6"/>
    <w:rsid w:val="00FF2D1E"/>
    <w:rsid w:val="00FF2D99"/>
    <w:rsid w:val="00FF2EC8"/>
    <w:rsid w:val="00FF324E"/>
    <w:rsid w:val="00FF34B3"/>
    <w:rsid w:val="00FF3584"/>
    <w:rsid w:val="00FF35AA"/>
    <w:rsid w:val="00FF35C1"/>
    <w:rsid w:val="00FF361E"/>
    <w:rsid w:val="00FF3757"/>
    <w:rsid w:val="00FF38AA"/>
    <w:rsid w:val="00FF38F6"/>
    <w:rsid w:val="00FF3AF2"/>
    <w:rsid w:val="00FF3BD8"/>
    <w:rsid w:val="00FF3D32"/>
    <w:rsid w:val="00FF3E3D"/>
    <w:rsid w:val="00FF3FF6"/>
    <w:rsid w:val="00FF4002"/>
    <w:rsid w:val="00FF409B"/>
    <w:rsid w:val="00FF40AD"/>
    <w:rsid w:val="00FF40DC"/>
    <w:rsid w:val="00FF41D8"/>
    <w:rsid w:val="00FF42D2"/>
    <w:rsid w:val="00FF42F6"/>
    <w:rsid w:val="00FF43B0"/>
    <w:rsid w:val="00FF4492"/>
    <w:rsid w:val="00FF45FE"/>
    <w:rsid w:val="00FF499E"/>
    <w:rsid w:val="00FF49ED"/>
    <w:rsid w:val="00FF49F3"/>
    <w:rsid w:val="00FF4B45"/>
    <w:rsid w:val="00FF4B59"/>
    <w:rsid w:val="00FF4B89"/>
    <w:rsid w:val="00FF4D07"/>
    <w:rsid w:val="00FF4DFC"/>
    <w:rsid w:val="00FF4E7D"/>
    <w:rsid w:val="00FF4FA6"/>
    <w:rsid w:val="00FF500F"/>
    <w:rsid w:val="00FF50E3"/>
    <w:rsid w:val="00FF50EE"/>
    <w:rsid w:val="00FF515C"/>
    <w:rsid w:val="00FF5228"/>
    <w:rsid w:val="00FF5499"/>
    <w:rsid w:val="00FF54C6"/>
    <w:rsid w:val="00FF5608"/>
    <w:rsid w:val="00FF5682"/>
    <w:rsid w:val="00FF5702"/>
    <w:rsid w:val="00FF575D"/>
    <w:rsid w:val="00FF586F"/>
    <w:rsid w:val="00FF5A00"/>
    <w:rsid w:val="00FF5A2C"/>
    <w:rsid w:val="00FF5AE3"/>
    <w:rsid w:val="00FF5BB5"/>
    <w:rsid w:val="00FF5C67"/>
    <w:rsid w:val="00FF5D63"/>
    <w:rsid w:val="00FF5F21"/>
    <w:rsid w:val="00FF60E8"/>
    <w:rsid w:val="00FF610D"/>
    <w:rsid w:val="00FF6150"/>
    <w:rsid w:val="00FF6171"/>
    <w:rsid w:val="00FF61EE"/>
    <w:rsid w:val="00FF6264"/>
    <w:rsid w:val="00FF6303"/>
    <w:rsid w:val="00FF6358"/>
    <w:rsid w:val="00FF63C6"/>
    <w:rsid w:val="00FF645F"/>
    <w:rsid w:val="00FF658F"/>
    <w:rsid w:val="00FF665F"/>
    <w:rsid w:val="00FF68A7"/>
    <w:rsid w:val="00FF68F4"/>
    <w:rsid w:val="00FF6966"/>
    <w:rsid w:val="00FF6A34"/>
    <w:rsid w:val="00FF6E43"/>
    <w:rsid w:val="00FF6EB1"/>
    <w:rsid w:val="00FF6F94"/>
    <w:rsid w:val="00FF70A9"/>
    <w:rsid w:val="00FF7134"/>
    <w:rsid w:val="00FF71DF"/>
    <w:rsid w:val="00FF7489"/>
    <w:rsid w:val="00FF74A0"/>
    <w:rsid w:val="00FF7570"/>
    <w:rsid w:val="00FF7573"/>
    <w:rsid w:val="00FF75A4"/>
    <w:rsid w:val="00FF768A"/>
    <w:rsid w:val="00FF77FD"/>
    <w:rsid w:val="00FF7A9C"/>
    <w:rsid w:val="00FF7AC2"/>
    <w:rsid w:val="00FF7C80"/>
    <w:rsid w:val="00FF7DAC"/>
    <w:rsid w:val="00FF7E6A"/>
    <w:rsid w:val="00FF7ECD"/>
    <w:rsid w:val="00FF7EF5"/>
    <w:rsid w:val="0121D460"/>
    <w:rsid w:val="01295819"/>
    <w:rsid w:val="0131B112"/>
    <w:rsid w:val="013EA23C"/>
    <w:rsid w:val="014AAEA4"/>
    <w:rsid w:val="01561142"/>
    <w:rsid w:val="018D8C83"/>
    <w:rsid w:val="018DC4C6"/>
    <w:rsid w:val="01A8896F"/>
    <w:rsid w:val="01E7BA58"/>
    <w:rsid w:val="01FCE4B2"/>
    <w:rsid w:val="020FF172"/>
    <w:rsid w:val="023196E4"/>
    <w:rsid w:val="02333D0C"/>
    <w:rsid w:val="02466BC0"/>
    <w:rsid w:val="0294DBE4"/>
    <w:rsid w:val="02CE07B7"/>
    <w:rsid w:val="02E80B58"/>
    <w:rsid w:val="02EE7CD0"/>
    <w:rsid w:val="02F3BB72"/>
    <w:rsid w:val="02F97F85"/>
    <w:rsid w:val="03126A32"/>
    <w:rsid w:val="0364FC45"/>
    <w:rsid w:val="036A1AC8"/>
    <w:rsid w:val="03847C08"/>
    <w:rsid w:val="03A73836"/>
    <w:rsid w:val="03AE2B6F"/>
    <w:rsid w:val="03C99EAF"/>
    <w:rsid w:val="03D08B56"/>
    <w:rsid w:val="03D0B95B"/>
    <w:rsid w:val="03D4CCA0"/>
    <w:rsid w:val="03EDDE39"/>
    <w:rsid w:val="0408CFC4"/>
    <w:rsid w:val="040C2A47"/>
    <w:rsid w:val="0427EA86"/>
    <w:rsid w:val="0447AE12"/>
    <w:rsid w:val="044E1B03"/>
    <w:rsid w:val="044E37A8"/>
    <w:rsid w:val="0478D477"/>
    <w:rsid w:val="047DBE71"/>
    <w:rsid w:val="04A84642"/>
    <w:rsid w:val="04BA5A35"/>
    <w:rsid w:val="04C69478"/>
    <w:rsid w:val="04D376B7"/>
    <w:rsid w:val="04DDA493"/>
    <w:rsid w:val="04F9D818"/>
    <w:rsid w:val="050F3E1E"/>
    <w:rsid w:val="05133ED0"/>
    <w:rsid w:val="0541DADD"/>
    <w:rsid w:val="05467897"/>
    <w:rsid w:val="054978AF"/>
    <w:rsid w:val="05554C49"/>
    <w:rsid w:val="0573329A"/>
    <w:rsid w:val="0580403C"/>
    <w:rsid w:val="0599DE76"/>
    <w:rsid w:val="05A844E5"/>
    <w:rsid w:val="05DBB741"/>
    <w:rsid w:val="05DE3EC2"/>
    <w:rsid w:val="05ED0210"/>
    <w:rsid w:val="061E125D"/>
    <w:rsid w:val="062D32A8"/>
    <w:rsid w:val="063A8735"/>
    <w:rsid w:val="067DF4E8"/>
    <w:rsid w:val="069375F5"/>
    <w:rsid w:val="06AAFAC8"/>
    <w:rsid w:val="06AC9DF0"/>
    <w:rsid w:val="06B0AE3F"/>
    <w:rsid w:val="06BFC7E9"/>
    <w:rsid w:val="06C80C09"/>
    <w:rsid w:val="06D7F973"/>
    <w:rsid w:val="06DF9A37"/>
    <w:rsid w:val="074BDD61"/>
    <w:rsid w:val="0792B991"/>
    <w:rsid w:val="07A20080"/>
    <w:rsid w:val="07A6B3D5"/>
    <w:rsid w:val="07E8290C"/>
    <w:rsid w:val="07F2E77B"/>
    <w:rsid w:val="08082E14"/>
    <w:rsid w:val="08120F52"/>
    <w:rsid w:val="082462BE"/>
    <w:rsid w:val="0837B7F4"/>
    <w:rsid w:val="083F704B"/>
    <w:rsid w:val="08419892"/>
    <w:rsid w:val="08544A5A"/>
    <w:rsid w:val="0866212D"/>
    <w:rsid w:val="08BC3919"/>
    <w:rsid w:val="08C15009"/>
    <w:rsid w:val="08CB332D"/>
    <w:rsid w:val="08DCD83C"/>
    <w:rsid w:val="08DF68F5"/>
    <w:rsid w:val="09045552"/>
    <w:rsid w:val="09232394"/>
    <w:rsid w:val="093D968E"/>
    <w:rsid w:val="09527E6F"/>
    <w:rsid w:val="095A07D5"/>
    <w:rsid w:val="09C64DB9"/>
    <w:rsid w:val="0A01F085"/>
    <w:rsid w:val="0A23C19F"/>
    <w:rsid w:val="0A2603AF"/>
    <w:rsid w:val="0A2A90E4"/>
    <w:rsid w:val="0A2BCE7C"/>
    <w:rsid w:val="0A2C767E"/>
    <w:rsid w:val="0A3191DF"/>
    <w:rsid w:val="0A3C8D39"/>
    <w:rsid w:val="0A4258A1"/>
    <w:rsid w:val="0A610875"/>
    <w:rsid w:val="0A7B4747"/>
    <w:rsid w:val="0A7E7C1A"/>
    <w:rsid w:val="0A847EEC"/>
    <w:rsid w:val="0AAA18DD"/>
    <w:rsid w:val="0AB4AB96"/>
    <w:rsid w:val="0AD5D573"/>
    <w:rsid w:val="0AD76750"/>
    <w:rsid w:val="0AF31014"/>
    <w:rsid w:val="0B0F9710"/>
    <w:rsid w:val="0B11D848"/>
    <w:rsid w:val="0B160F09"/>
    <w:rsid w:val="0B1E5ADC"/>
    <w:rsid w:val="0B4119BF"/>
    <w:rsid w:val="0B59C459"/>
    <w:rsid w:val="0B670C6C"/>
    <w:rsid w:val="0B96AE7A"/>
    <w:rsid w:val="0BCCDC6B"/>
    <w:rsid w:val="0BD55F67"/>
    <w:rsid w:val="0BD62BDB"/>
    <w:rsid w:val="0BE0E67C"/>
    <w:rsid w:val="0BE76487"/>
    <w:rsid w:val="0C1736FB"/>
    <w:rsid w:val="0C26D25C"/>
    <w:rsid w:val="0C3B9908"/>
    <w:rsid w:val="0C441B65"/>
    <w:rsid w:val="0C5025A5"/>
    <w:rsid w:val="0C7C3EE0"/>
    <w:rsid w:val="0C884151"/>
    <w:rsid w:val="0C88B885"/>
    <w:rsid w:val="0C942D34"/>
    <w:rsid w:val="0C9BFF9C"/>
    <w:rsid w:val="0CA388F9"/>
    <w:rsid w:val="0CA8B5A7"/>
    <w:rsid w:val="0CB8E3A2"/>
    <w:rsid w:val="0CD22315"/>
    <w:rsid w:val="0CD5E6B4"/>
    <w:rsid w:val="0CDB2032"/>
    <w:rsid w:val="0CE01376"/>
    <w:rsid w:val="0CF3318A"/>
    <w:rsid w:val="0CF9F334"/>
    <w:rsid w:val="0D342F78"/>
    <w:rsid w:val="0D4834C9"/>
    <w:rsid w:val="0D490C38"/>
    <w:rsid w:val="0D67B9E2"/>
    <w:rsid w:val="0D7DF414"/>
    <w:rsid w:val="0D9BFEF2"/>
    <w:rsid w:val="0DA3D86E"/>
    <w:rsid w:val="0DA691D6"/>
    <w:rsid w:val="0DAA35B6"/>
    <w:rsid w:val="0DAC9F0E"/>
    <w:rsid w:val="0DD87FBF"/>
    <w:rsid w:val="0DF6A217"/>
    <w:rsid w:val="0E01A96B"/>
    <w:rsid w:val="0E02942E"/>
    <w:rsid w:val="0E123425"/>
    <w:rsid w:val="0E3C7D2C"/>
    <w:rsid w:val="0E4AC299"/>
    <w:rsid w:val="0E6C812B"/>
    <w:rsid w:val="0E7B5036"/>
    <w:rsid w:val="0E816992"/>
    <w:rsid w:val="0E854E6F"/>
    <w:rsid w:val="0E889B5A"/>
    <w:rsid w:val="0E8AF0FA"/>
    <w:rsid w:val="0EA7C216"/>
    <w:rsid w:val="0EB57835"/>
    <w:rsid w:val="0EB63B6A"/>
    <w:rsid w:val="0EC6B07C"/>
    <w:rsid w:val="0F0B4554"/>
    <w:rsid w:val="0F5536A4"/>
    <w:rsid w:val="0F74B748"/>
    <w:rsid w:val="0F80B412"/>
    <w:rsid w:val="0FB2351D"/>
    <w:rsid w:val="0FCF483E"/>
    <w:rsid w:val="0FD40324"/>
    <w:rsid w:val="0FE317A0"/>
    <w:rsid w:val="10160D31"/>
    <w:rsid w:val="101B5D2D"/>
    <w:rsid w:val="104DC525"/>
    <w:rsid w:val="1063D2AB"/>
    <w:rsid w:val="106B35C9"/>
    <w:rsid w:val="10791349"/>
    <w:rsid w:val="1080411E"/>
    <w:rsid w:val="1096CB6A"/>
    <w:rsid w:val="10A6B323"/>
    <w:rsid w:val="10BE459E"/>
    <w:rsid w:val="10CCF1A0"/>
    <w:rsid w:val="1101E2A5"/>
    <w:rsid w:val="1119F1B7"/>
    <w:rsid w:val="111F62D8"/>
    <w:rsid w:val="115165A7"/>
    <w:rsid w:val="1158CB7E"/>
    <w:rsid w:val="118B65AA"/>
    <w:rsid w:val="11A67CE9"/>
    <w:rsid w:val="11E2D63A"/>
    <w:rsid w:val="11E3E1E1"/>
    <w:rsid w:val="11ECA34B"/>
    <w:rsid w:val="121B7375"/>
    <w:rsid w:val="1220AD4E"/>
    <w:rsid w:val="122EA4E2"/>
    <w:rsid w:val="123986C5"/>
    <w:rsid w:val="12497E60"/>
    <w:rsid w:val="12545522"/>
    <w:rsid w:val="1255702B"/>
    <w:rsid w:val="125767CF"/>
    <w:rsid w:val="127A6529"/>
    <w:rsid w:val="1280AF48"/>
    <w:rsid w:val="128E9566"/>
    <w:rsid w:val="1294DDEF"/>
    <w:rsid w:val="129528D1"/>
    <w:rsid w:val="12ED888A"/>
    <w:rsid w:val="12F70EEF"/>
    <w:rsid w:val="13047DEB"/>
    <w:rsid w:val="131300EA"/>
    <w:rsid w:val="132B8350"/>
    <w:rsid w:val="133D8870"/>
    <w:rsid w:val="136F2DDD"/>
    <w:rsid w:val="137271FA"/>
    <w:rsid w:val="1391A02C"/>
    <w:rsid w:val="13BD3EB5"/>
    <w:rsid w:val="13F91761"/>
    <w:rsid w:val="13F9DBF9"/>
    <w:rsid w:val="13FB6DA2"/>
    <w:rsid w:val="1408FE49"/>
    <w:rsid w:val="140B3EAC"/>
    <w:rsid w:val="14170C73"/>
    <w:rsid w:val="143633DE"/>
    <w:rsid w:val="144D0873"/>
    <w:rsid w:val="144F86D1"/>
    <w:rsid w:val="148C56D5"/>
    <w:rsid w:val="14B33F1F"/>
    <w:rsid w:val="14B3B139"/>
    <w:rsid w:val="14C12C93"/>
    <w:rsid w:val="14D8A5BF"/>
    <w:rsid w:val="1501C8ED"/>
    <w:rsid w:val="1521B2D9"/>
    <w:rsid w:val="154C1FA5"/>
    <w:rsid w:val="155EFA04"/>
    <w:rsid w:val="156DAE0C"/>
    <w:rsid w:val="15816A28"/>
    <w:rsid w:val="15882DEA"/>
    <w:rsid w:val="1596B3A0"/>
    <w:rsid w:val="159BE6FC"/>
    <w:rsid w:val="15AA2F05"/>
    <w:rsid w:val="15B4B50B"/>
    <w:rsid w:val="15B7E8E5"/>
    <w:rsid w:val="15DE6A75"/>
    <w:rsid w:val="15E08C45"/>
    <w:rsid w:val="16117462"/>
    <w:rsid w:val="1613CAD1"/>
    <w:rsid w:val="1621006D"/>
    <w:rsid w:val="16858E9F"/>
    <w:rsid w:val="1694976C"/>
    <w:rsid w:val="16AD6408"/>
    <w:rsid w:val="16AF9D1D"/>
    <w:rsid w:val="16F3CDCA"/>
    <w:rsid w:val="175367A3"/>
    <w:rsid w:val="175B1B57"/>
    <w:rsid w:val="1779A72C"/>
    <w:rsid w:val="1788B12A"/>
    <w:rsid w:val="178C361A"/>
    <w:rsid w:val="1793FE3C"/>
    <w:rsid w:val="17B0C4E0"/>
    <w:rsid w:val="17B14062"/>
    <w:rsid w:val="17C2CCF4"/>
    <w:rsid w:val="17C5BC42"/>
    <w:rsid w:val="17CA8012"/>
    <w:rsid w:val="17D65E14"/>
    <w:rsid w:val="17E694A5"/>
    <w:rsid w:val="17F72E7B"/>
    <w:rsid w:val="17FF991B"/>
    <w:rsid w:val="180F3A88"/>
    <w:rsid w:val="18172623"/>
    <w:rsid w:val="184A5F4B"/>
    <w:rsid w:val="18763E0D"/>
    <w:rsid w:val="18879601"/>
    <w:rsid w:val="188B37C8"/>
    <w:rsid w:val="1891B0F6"/>
    <w:rsid w:val="189A3ED2"/>
    <w:rsid w:val="18CAE120"/>
    <w:rsid w:val="18D60D09"/>
    <w:rsid w:val="1902F61E"/>
    <w:rsid w:val="1909FB0A"/>
    <w:rsid w:val="190C229E"/>
    <w:rsid w:val="1921367E"/>
    <w:rsid w:val="1948B65B"/>
    <w:rsid w:val="19507195"/>
    <w:rsid w:val="19595CBA"/>
    <w:rsid w:val="195B1681"/>
    <w:rsid w:val="1984E473"/>
    <w:rsid w:val="198D488A"/>
    <w:rsid w:val="198E4F5A"/>
    <w:rsid w:val="19AF9865"/>
    <w:rsid w:val="19B6D048"/>
    <w:rsid w:val="19B7CBD9"/>
    <w:rsid w:val="19BA373E"/>
    <w:rsid w:val="19C52255"/>
    <w:rsid w:val="19FA918D"/>
    <w:rsid w:val="1A2D21DB"/>
    <w:rsid w:val="1A52519C"/>
    <w:rsid w:val="1A6402AB"/>
    <w:rsid w:val="1A696B13"/>
    <w:rsid w:val="1A7CCAAB"/>
    <w:rsid w:val="1A7F8D4F"/>
    <w:rsid w:val="1A876E19"/>
    <w:rsid w:val="1A8986FE"/>
    <w:rsid w:val="1A90ADCA"/>
    <w:rsid w:val="1A91A70F"/>
    <w:rsid w:val="1A9BDDAE"/>
    <w:rsid w:val="1AA2C420"/>
    <w:rsid w:val="1AA3FFD8"/>
    <w:rsid w:val="1AC2E890"/>
    <w:rsid w:val="1AC8BD3A"/>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36779A"/>
    <w:rsid w:val="1C428F9A"/>
    <w:rsid w:val="1C44DD65"/>
    <w:rsid w:val="1CA6E1A6"/>
    <w:rsid w:val="1CE07E24"/>
    <w:rsid w:val="1CE250AC"/>
    <w:rsid w:val="1CE49C62"/>
    <w:rsid w:val="1CF38B03"/>
    <w:rsid w:val="1D01345B"/>
    <w:rsid w:val="1D0557C2"/>
    <w:rsid w:val="1D2EF92B"/>
    <w:rsid w:val="1D352856"/>
    <w:rsid w:val="1D3573D3"/>
    <w:rsid w:val="1D4743F9"/>
    <w:rsid w:val="1D58508E"/>
    <w:rsid w:val="1D6578D7"/>
    <w:rsid w:val="1D665D17"/>
    <w:rsid w:val="1D80B19B"/>
    <w:rsid w:val="1D8133D7"/>
    <w:rsid w:val="1D8B361D"/>
    <w:rsid w:val="1DBB759D"/>
    <w:rsid w:val="1DC1292B"/>
    <w:rsid w:val="1DE443EE"/>
    <w:rsid w:val="1DEB0A06"/>
    <w:rsid w:val="1DF39795"/>
    <w:rsid w:val="1DF65D16"/>
    <w:rsid w:val="1E119F26"/>
    <w:rsid w:val="1E1C5C23"/>
    <w:rsid w:val="1E424051"/>
    <w:rsid w:val="1E525802"/>
    <w:rsid w:val="1E54742A"/>
    <w:rsid w:val="1E76BB00"/>
    <w:rsid w:val="1E76C90E"/>
    <w:rsid w:val="1E9A188D"/>
    <w:rsid w:val="1EADB1F3"/>
    <w:rsid w:val="1EB67A49"/>
    <w:rsid w:val="1EC00E15"/>
    <w:rsid w:val="1EC6E32D"/>
    <w:rsid w:val="1EC86BBF"/>
    <w:rsid w:val="1EE7EEDB"/>
    <w:rsid w:val="1EF65051"/>
    <w:rsid w:val="1EF9318D"/>
    <w:rsid w:val="1F014938"/>
    <w:rsid w:val="1F0C56D5"/>
    <w:rsid w:val="1F26C6C5"/>
    <w:rsid w:val="1F6A2152"/>
    <w:rsid w:val="1F738635"/>
    <w:rsid w:val="1F7B7031"/>
    <w:rsid w:val="1F848C07"/>
    <w:rsid w:val="1F8731A6"/>
    <w:rsid w:val="1F9FF672"/>
    <w:rsid w:val="1FA254F8"/>
    <w:rsid w:val="1FBA299D"/>
    <w:rsid w:val="1FC81832"/>
    <w:rsid w:val="1FC8714B"/>
    <w:rsid w:val="1FD0394D"/>
    <w:rsid w:val="1FF1544B"/>
    <w:rsid w:val="1FFA430C"/>
    <w:rsid w:val="1FFFA7B2"/>
    <w:rsid w:val="201FAC63"/>
    <w:rsid w:val="2029D60B"/>
    <w:rsid w:val="2053B564"/>
    <w:rsid w:val="206AE54E"/>
    <w:rsid w:val="206FDB92"/>
    <w:rsid w:val="2085D23D"/>
    <w:rsid w:val="208FF150"/>
    <w:rsid w:val="209FEFBE"/>
    <w:rsid w:val="20B5B57F"/>
    <w:rsid w:val="20BA3819"/>
    <w:rsid w:val="20CDD246"/>
    <w:rsid w:val="20EEB888"/>
    <w:rsid w:val="210E3BB6"/>
    <w:rsid w:val="21318468"/>
    <w:rsid w:val="214A18DE"/>
    <w:rsid w:val="214C44B5"/>
    <w:rsid w:val="21599826"/>
    <w:rsid w:val="219DBB90"/>
    <w:rsid w:val="21BAF6EE"/>
    <w:rsid w:val="21CB9942"/>
    <w:rsid w:val="21E54347"/>
    <w:rsid w:val="21ED4D59"/>
    <w:rsid w:val="22006935"/>
    <w:rsid w:val="22103EB8"/>
    <w:rsid w:val="221A3C38"/>
    <w:rsid w:val="2223F07D"/>
    <w:rsid w:val="222E8841"/>
    <w:rsid w:val="22468F14"/>
    <w:rsid w:val="2254930D"/>
    <w:rsid w:val="226B51E9"/>
    <w:rsid w:val="228CB3CE"/>
    <w:rsid w:val="228E4DFC"/>
    <w:rsid w:val="2292DA56"/>
    <w:rsid w:val="22A18F6C"/>
    <w:rsid w:val="22B9CD5D"/>
    <w:rsid w:val="22BACC83"/>
    <w:rsid w:val="22CA58CF"/>
    <w:rsid w:val="22D57425"/>
    <w:rsid w:val="22DBBCA5"/>
    <w:rsid w:val="22FF7D4A"/>
    <w:rsid w:val="231CD8D1"/>
    <w:rsid w:val="2325E873"/>
    <w:rsid w:val="2333D747"/>
    <w:rsid w:val="233E5A9C"/>
    <w:rsid w:val="23402422"/>
    <w:rsid w:val="2349B859"/>
    <w:rsid w:val="235EDD1F"/>
    <w:rsid w:val="2372C77F"/>
    <w:rsid w:val="239B067B"/>
    <w:rsid w:val="23B0C40D"/>
    <w:rsid w:val="23C17E66"/>
    <w:rsid w:val="23C839CD"/>
    <w:rsid w:val="23DC1012"/>
    <w:rsid w:val="23DE028A"/>
    <w:rsid w:val="23EB3F2E"/>
    <w:rsid w:val="23EB6490"/>
    <w:rsid w:val="240687BE"/>
    <w:rsid w:val="2414F30A"/>
    <w:rsid w:val="241998D7"/>
    <w:rsid w:val="241EADC5"/>
    <w:rsid w:val="241EEF04"/>
    <w:rsid w:val="2422D1AA"/>
    <w:rsid w:val="24244CBD"/>
    <w:rsid w:val="24367731"/>
    <w:rsid w:val="24656259"/>
    <w:rsid w:val="248B4831"/>
    <w:rsid w:val="249878AC"/>
    <w:rsid w:val="24B9489E"/>
    <w:rsid w:val="24BF522C"/>
    <w:rsid w:val="24CC5015"/>
    <w:rsid w:val="24CCB9E9"/>
    <w:rsid w:val="24D99885"/>
    <w:rsid w:val="24EA1207"/>
    <w:rsid w:val="24EBCEFA"/>
    <w:rsid w:val="251B09A7"/>
    <w:rsid w:val="2537CD34"/>
    <w:rsid w:val="257ABEA3"/>
    <w:rsid w:val="25804C09"/>
    <w:rsid w:val="25A7C02E"/>
    <w:rsid w:val="25F5CD9B"/>
    <w:rsid w:val="25F75889"/>
    <w:rsid w:val="261882D5"/>
    <w:rsid w:val="262AAEFF"/>
    <w:rsid w:val="262CC4AF"/>
    <w:rsid w:val="263EAC5D"/>
    <w:rsid w:val="26422C9C"/>
    <w:rsid w:val="264C0121"/>
    <w:rsid w:val="2655D24C"/>
    <w:rsid w:val="265A50B9"/>
    <w:rsid w:val="267BDDEF"/>
    <w:rsid w:val="268B5E01"/>
    <w:rsid w:val="26A11FCC"/>
    <w:rsid w:val="26ACC164"/>
    <w:rsid w:val="26B19098"/>
    <w:rsid w:val="26B84B14"/>
    <w:rsid w:val="271DF720"/>
    <w:rsid w:val="27366ED5"/>
    <w:rsid w:val="2750B74A"/>
    <w:rsid w:val="27586407"/>
    <w:rsid w:val="275D8CAD"/>
    <w:rsid w:val="275DA8DD"/>
    <w:rsid w:val="2780D65E"/>
    <w:rsid w:val="2785E438"/>
    <w:rsid w:val="2788433B"/>
    <w:rsid w:val="27B8F16D"/>
    <w:rsid w:val="27BC9FAB"/>
    <w:rsid w:val="27D58038"/>
    <w:rsid w:val="27D679BF"/>
    <w:rsid w:val="27D7C3E6"/>
    <w:rsid w:val="27E4C2CC"/>
    <w:rsid w:val="27EC7FFF"/>
    <w:rsid w:val="280EFFF4"/>
    <w:rsid w:val="2816DEA5"/>
    <w:rsid w:val="2819672B"/>
    <w:rsid w:val="28363847"/>
    <w:rsid w:val="283E327C"/>
    <w:rsid w:val="283FAD1D"/>
    <w:rsid w:val="28517BB8"/>
    <w:rsid w:val="28643765"/>
    <w:rsid w:val="287D975C"/>
    <w:rsid w:val="289451E3"/>
    <w:rsid w:val="28CD9716"/>
    <w:rsid w:val="28EF7692"/>
    <w:rsid w:val="2901B7F3"/>
    <w:rsid w:val="2931C4E1"/>
    <w:rsid w:val="296ADE25"/>
    <w:rsid w:val="296E8AAF"/>
    <w:rsid w:val="29976502"/>
    <w:rsid w:val="29A3FBFB"/>
    <w:rsid w:val="29A59CEE"/>
    <w:rsid w:val="29F9584B"/>
    <w:rsid w:val="29FE9661"/>
    <w:rsid w:val="2A0E80A6"/>
    <w:rsid w:val="2A11F38D"/>
    <w:rsid w:val="2A337E3C"/>
    <w:rsid w:val="2A66ED9E"/>
    <w:rsid w:val="2A6B485A"/>
    <w:rsid w:val="2A707F83"/>
    <w:rsid w:val="2A72330B"/>
    <w:rsid w:val="2A9D8854"/>
    <w:rsid w:val="2AA3AF72"/>
    <w:rsid w:val="2AA50D39"/>
    <w:rsid w:val="2AB90D13"/>
    <w:rsid w:val="2ABA3837"/>
    <w:rsid w:val="2AD1D9CC"/>
    <w:rsid w:val="2AD28BFF"/>
    <w:rsid w:val="2AD31077"/>
    <w:rsid w:val="2AE551F9"/>
    <w:rsid w:val="2B4C8F5D"/>
    <w:rsid w:val="2B5BA8F0"/>
    <w:rsid w:val="2B629862"/>
    <w:rsid w:val="2B79046C"/>
    <w:rsid w:val="2B7B7CAB"/>
    <w:rsid w:val="2B7D9601"/>
    <w:rsid w:val="2B8CE8AC"/>
    <w:rsid w:val="2BA2788A"/>
    <w:rsid w:val="2BB9EA0E"/>
    <w:rsid w:val="2BE5E186"/>
    <w:rsid w:val="2BE76308"/>
    <w:rsid w:val="2C1E4112"/>
    <w:rsid w:val="2C4A0368"/>
    <w:rsid w:val="2C618F5D"/>
    <w:rsid w:val="2C67E105"/>
    <w:rsid w:val="2C80B688"/>
    <w:rsid w:val="2C9785F2"/>
    <w:rsid w:val="2CA25E58"/>
    <w:rsid w:val="2CB520F6"/>
    <w:rsid w:val="2CC84FC6"/>
    <w:rsid w:val="2CDB4572"/>
    <w:rsid w:val="2CEF8301"/>
    <w:rsid w:val="2CFCEA86"/>
    <w:rsid w:val="2D068269"/>
    <w:rsid w:val="2D0F6507"/>
    <w:rsid w:val="2D0FD66B"/>
    <w:rsid w:val="2D1AFCAD"/>
    <w:rsid w:val="2D23BE82"/>
    <w:rsid w:val="2D298254"/>
    <w:rsid w:val="2D598D6F"/>
    <w:rsid w:val="2D821E7E"/>
    <w:rsid w:val="2D83B8D6"/>
    <w:rsid w:val="2D85A50A"/>
    <w:rsid w:val="2D9064F8"/>
    <w:rsid w:val="2D971028"/>
    <w:rsid w:val="2DA29D82"/>
    <w:rsid w:val="2DD7B982"/>
    <w:rsid w:val="2DDA96F0"/>
    <w:rsid w:val="2DFF3028"/>
    <w:rsid w:val="2E05882E"/>
    <w:rsid w:val="2E0BB6C5"/>
    <w:rsid w:val="2E253865"/>
    <w:rsid w:val="2E361419"/>
    <w:rsid w:val="2E48EC6E"/>
    <w:rsid w:val="2E5FF66D"/>
    <w:rsid w:val="2E8E9A09"/>
    <w:rsid w:val="2EA669BF"/>
    <w:rsid w:val="2EAD4501"/>
    <w:rsid w:val="2ECE9280"/>
    <w:rsid w:val="2EE00C76"/>
    <w:rsid w:val="2EF21E7E"/>
    <w:rsid w:val="2F03C477"/>
    <w:rsid w:val="2F0BBD01"/>
    <w:rsid w:val="2F0CE5DE"/>
    <w:rsid w:val="2F337067"/>
    <w:rsid w:val="2F81BDED"/>
    <w:rsid w:val="2FBC0E79"/>
    <w:rsid w:val="2FE8A06F"/>
    <w:rsid w:val="3001CF87"/>
    <w:rsid w:val="3011F461"/>
    <w:rsid w:val="3013CE9D"/>
    <w:rsid w:val="3018B9AC"/>
    <w:rsid w:val="30301C04"/>
    <w:rsid w:val="30336F9F"/>
    <w:rsid w:val="303D929E"/>
    <w:rsid w:val="3046EBB8"/>
    <w:rsid w:val="305BD2C5"/>
    <w:rsid w:val="306225FC"/>
    <w:rsid w:val="3070B5A2"/>
    <w:rsid w:val="30757438"/>
    <w:rsid w:val="3088F453"/>
    <w:rsid w:val="3089C7A5"/>
    <w:rsid w:val="308E01B3"/>
    <w:rsid w:val="30945E22"/>
    <w:rsid w:val="309F4AD9"/>
    <w:rsid w:val="30AB7F33"/>
    <w:rsid w:val="30CF40C8"/>
    <w:rsid w:val="30D8C037"/>
    <w:rsid w:val="30ED4ECD"/>
    <w:rsid w:val="30FA54C4"/>
    <w:rsid w:val="31043BC8"/>
    <w:rsid w:val="3105A69B"/>
    <w:rsid w:val="310A60D3"/>
    <w:rsid w:val="311994F2"/>
    <w:rsid w:val="313CF4F5"/>
    <w:rsid w:val="313EC953"/>
    <w:rsid w:val="31489DC2"/>
    <w:rsid w:val="315FD470"/>
    <w:rsid w:val="3172D0A8"/>
    <w:rsid w:val="319A66B8"/>
    <w:rsid w:val="31A0BF7F"/>
    <w:rsid w:val="31A4141D"/>
    <w:rsid w:val="31AB922F"/>
    <w:rsid w:val="31B81A6E"/>
    <w:rsid w:val="32212D41"/>
    <w:rsid w:val="3228F3A2"/>
    <w:rsid w:val="322913B8"/>
    <w:rsid w:val="3255BB42"/>
    <w:rsid w:val="32B304B8"/>
    <w:rsid w:val="32C4D290"/>
    <w:rsid w:val="32C936C1"/>
    <w:rsid w:val="32D6BBA1"/>
    <w:rsid w:val="32F039C2"/>
    <w:rsid w:val="32F5A919"/>
    <w:rsid w:val="3301777E"/>
    <w:rsid w:val="3336C75A"/>
    <w:rsid w:val="3357089A"/>
    <w:rsid w:val="33623969"/>
    <w:rsid w:val="336BCEF6"/>
    <w:rsid w:val="33CFA6F2"/>
    <w:rsid w:val="33EB2F73"/>
    <w:rsid w:val="340BAB36"/>
    <w:rsid w:val="340F593B"/>
    <w:rsid w:val="3414B056"/>
    <w:rsid w:val="34648ADA"/>
    <w:rsid w:val="34682C93"/>
    <w:rsid w:val="34890289"/>
    <w:rsid w:val="34BA9635"/>
    <w:rsid w:val="34C521FD"/>
    <w:rsid w:val="34C9C551"/>
    <w:rsid w:val="34DA42DE"/>
    <w:rsid w:val="34DFB7A9"/>
    <w:rsid w:val="34F715EC"/>
    <w:rsid w:val="34FCDF26"/>
    <w:rsid w:val="3542DD3F"/>
    <w:rsid w:val="3559BA4D"/>
    <w:rsid w:val="355FBF4F"/>
    <w:rsid w:val="35602708"/>
    <w:rsid w:val="358D5C04"/>
    <w:rsid w:val="359300DA"/>
    <w:rsid w:val="35B09021"/>
    <w:rsid w:val="35B72301"/>
    <w:rsid w:val="35CB2A1B"/>
    <w:rsid w:val="35CDE5F9"/>
    <w:rsid w:val="35F7B101"/>
    <w:rsid w:val="36067155"/>
    <w:rsid w:val="361AD7B6"/>
    <w:rsid w:val="361BCDA6"/>
    <w:rsid w:val="3620AFC2"/>
    <w:rsid w:val="362C3E29"/>
    <w:rsid w:val="363106B7"/>
    <w:rsid w:val="3660F25E"/>
    <w:rsid w:val="366BD96B"/>
    <w:rsid w:val="368BF501"/>
    <w:rsid w:val="36920A07"/>
    <w:rsid w:val="3693BC39"/>
    <w:rsid w:val="36A9A127"/>
    <w:rsid w:val="36BBA42C"/>
    <w:rsid w:val="36CA2FA8"/>
    <w:rsid w:val="36CAFE70"/>
    <w:rsid w:val="36D784AC"/>
    <w:rsid w:val="36E035A6"/>
    <w:rsid w:val="36EC7992"/>
    <w:rsid w:val="37157A1A"/>
    <w:rsid w:val="37162A2E"/>
    <w:rsid w:val="3720E168"/>
    <w:rsid w:val="3744A700"/>
    <w:rsid w:val="37611FB8"/>
    <w:rsid w:val="37648EB4"/>
    <w:rsid w:val="37824DED"/>
    <w:rsid w:val="3786407B"/>
    <w:rsid w:val="378CDE0A"/>
    <w:rsid w:val="37BFA004"/>
    <w:rsid w:val="37E55608"/>
    <w:rsid w:val="385266E8"/>
    <w:rsid w:val="38679A8A"/>
    <w:rsid w:val="387B1F9E"/>
    <w:rsid w:val="387CA144"/>
    <w:rsid w:val="388DB90F"/>
    <w:rsid w:val="389FEC28"/>
    <w:rsid w:val="38D7E8B9"/>
    <w:rsid w:val="38DB9971"/>
    <w:rsid w:val="38EC426D"/>
    <w:rsid w:val="38F737E2"/>
    <w:rsid w:val="38F99946"/>
    <w:rsid w:val="38FBBA58"/>
    <w:rsid w:val="390B530D"/>
    <w:rsid w:val="391111B0"/>
    <w:rsid w:val="392EBA07"/>
    <w:rsid w:val="392F5B4A"/>
    <w:rsid w:val="393ADD6E"/>
    <w:rsid w:val="395355E3"/>
    <w:rsid w:val="39A7C622"/>
    <w:rsid w:val="39AE0A63"/>
    <w:rsid w:val="39D6FE4A"/>
    <w:rsid w:val="39DAC7A4"/>
    <w:rsid w:val="39E37790"/>
    <w:rsid w:val="39EE6ED9"/>
    <w:rsid w:val="39F149AB"/>
    <w:rsid w:val="3A1AF24E"/>
    <w:rsid w:val="3A1E35A0"/>
    <w:rsid w:val="3A247359"/>
    <w:rsid w:val="3A2907C4"/>
    <w:rsid w:val="3A29BE85"/>
    <w:rsid w:val="3A3E9A11"/>
    <w:rsid w:val="3A56F713"/>
    <w:rsid w:val="3A615037"/>
    <w:rsid w:val="3A839B54"/>
    <w:rsid w:val="3A84E409"/>
    <w:rsid w:val="3A8D6096"/>
    <w:rsid w:val="3A998D80"/>
    <w:rsid w:val="3AA6FE1C"/>
    <w:rsid w:val="3ABF65A1"/>
    <w:rsid w:val="3AD86973"/>
    <w:rsid w:val="3ADF9DD1"/>
    <w:rsid w:val="3AE3135C"/>
    <w:rsid w:val="3AE35D53"/>
    <w:rsid w:val="3AEF18E0"/>
    <w:rsid w:val="3AFA4681"/>
    <w:rsid w:val="3B0E23EA"/>
    <w:rsid w:val="3B1EE866"/>
    <w:rsid w:val="3B431626"/>
    <w:rsid w:val="3B74AB68"/>
    <w:rsid w:val="3B8C02F5"/>
    <w:rsid w:val="3B8FA5A6"/>
    <w:rsid w:val="3BCFBBB6"/>
    <w:rsid w:val="3C0F2A1C"/>
    <w:rsid w:val="3C391870"/>
    <w:rsid w:val="3C404053"/>
    <w:rsid w:val="3C705835"/>
    <w:rsid w:val="3C775C60"/>
    <w:rsid w:val="3C7F45DF"/>
    <w:rsid w:val="3CB60E79"/>
    <w:rsid w:val="3CB68946"/>
    <w:rsid w:val="3CC3F02D"/>
    <w:rsid w:val="3CC4D585"/>
    <w:rsid w:val="3CE2FB0F"/>
    <w:rsid w:val="3CE49239"/>
    <w:rsid w:val="3CF89D8A"/>
    <w:rsid w:val="3CFDC210"/>
    <w:rsid w:val="3D094110"/>
    <w:rsid w:val="3D0E9F0C"/>
    <w:rsid w:val="3D1C2ED4"/>
    <w:rsid w:val="3D7F19EB"/>
    <w:rsid w:val="3D8F26CD"/>
    <w:rsid w:val="3D938366"/>
    <w:rsid w:val="3DA45678"/>
    <w:rsid w:val="3DB50A55"/>
    <w:rsid w:val="3DECC4BE"/>
    <w:rsid w:val="3DEF9398"/>
    <w:rsid w:val="3DFB054F"/>
    <w:rsid w:val="3DFD27D7"/>
    <w:rsid w:val="3E286631"/>
    <w:rsid w:val="3E2D0DBA"/>
    <w:rsid w:val="3E6962E3"/>
    <w:rsid w:val="3E6DFAA4"/>
    <w:rsid w:val="3E9A5E87"/>
    <w:rsid w:val="3EAC4152"/>
    <w:rsid w:val="3EAF5A38"/>
    <w:rsid w:val="3EAFC001"/>
    <w:rsid w:val="3ECDB2C8"/>
    <w:rsid w:val="3EEBA0EA"/>
    <w:rsid w:val="3F091DC4"/>
    <w:rsid w:val="3F541DA4"/>
    <w:rsid w:val="3F55C175"/>
    <w:rsid w:val="3F6A1FEC"/>
    <w:rsid w:val="3F77E115"/>
    <w:rsid w:val="3FC45614"/>
    <w:rsid w:val="3FD556CC"/>
    <w:rsid w:val="3FDED46A"/>
    <w:rsid w:val="405FADD1"/>
    <w:rsid w:val="4062B3F6"/>
    <w:rsid w:val="4073F53A"/>
    <w:rsid w:val="408B1A4B"/>
    <w:rsid w:val="409AAAB0"/>
    <w:rsid w:val="40C9E9E8"/>
    <w:rsid w:val="40CBE678"/>
    <w:rsid w:val="40D779ED"/>
    <w:rsid w:val="40E15B4D"/>
    <w:rsid w:val="40F0E628"/>
    <w:rsid w:val="40F91DBB"/>
    <w:rsid w:val="41087C3F"/>
    <w:rsid w:val="41204F93"/>
    <w:rsid w:val="413E2492"/>
    <w:rsid w:val="414A01EF"/>
    <w:rsid w:val="416B6922"/>
    <w:rsid w:val="41741CFE"/>
    <w:rsid w:val="4175D9E9"/>
    <w:rsid w:val="4183D4E7"/>
    <w:rsid w:val="4183DC2A"/>
    <w:rsid w:val="418EDD7E"/>
    <w:rsid w:val="418F7313"/>
    <w:rsid w:val="4195EB5F"/>
    <w:rsid w:val="419C3D93"/>
    <w:rsid w:val="41A22B8E"/>
    <w:rsid w:val="41B32E9B"/>
    <w:rsid w:val="41DAF4B9"/>
    <w:rsid w:val="420B5EF0"/>
    <w:rsid w:val="421ABF76"/>
    <w:rsid w:val="421C9945"/>
    <w:rsid w:val="4226E715"/>
    <w:rsid w:val="423FF3F4"/>
    <w:rsid w:val="425B2951"/>
    <w:rsid w:val="426685B1"/>
    <w:rsid w:val="4284C460"/>
    <w:rsid w:val="42BBC9F1"/>
    <w:rsid w:val="42BC165B"/>
    <w:rsid w:val="42CE9ED7"/>
    <w:rsid w:val="42CF1AEA"/>
    <w:rsid w:val="42D6B84B"/>
    <w:rsid w:val="42D85301"/>
    <w:rsid w:val="42E86186"/>
    <w:rsid w:val="42FE5282"/>
    <w:rsid w:val="430BBC0E"/>
    <w:rsid w:val="430EE96B"/>
    <w:rsid w:val="43261E04"/>
    <w:rsid w:val="432649B5"/>
    <w:rsid w:val="437D9D75"/>
    <w:rsid w:val="437DE090"/>
    <w:rsid w:val="4383F7EF"/>
    <w:rsid w:val="438F724B"/>
    <w:rsid w:val="439EBFDC"/>
    <w:rsid w:val="43A369FE"/>
    <w:rsid w:val="43AEF232"/>
    <w:rsid w:val="43BBDDE5"/>
    <w:rsid w:val="43D7DB8B"/>
    <w:rsid w:val="43F22082"/>
    <w:rsid w:val="43F5C5C2"/>
    <w:rsid w:val="43FA916D"/>
    <w:rsid w:val="43FD6C32"/>
    <w:rsid w:val="4407AF22"/>
    <w:rsid w:val="443454EA"/>
    <w:rsid w:val="44374E6D"/>
    <w:rsid w:val="447E1136"/>
    <w:rsid w:val="4481AE76"/>
    <w:rsid w:val="4492B3D4"/>
    <w:rsid w:val="44B7ACAE"/>
    <w:rsid w:val="44CF7630"/>
    <w:rsid w:val="44D21D13"/>
    <w:rsid w:val="45191655"/>
    <w:rsid w:val="45338ABA"/>
    <w:rsid w:val="453F1569"/>
    <w:rsid w:val="4540547A"/>
    <w:rsid w:val="4550FCAA"/>
    <w:rsid w:val="455315BA"/>
    <w:rsid w:val="4583A958"/>
    <w:rsid w:val="45875B05"/>
    <w:rsid w:val="4589999D"/>
    <w:rsid w:val="458A6B6F"/>
    <w:rsid w:val="459097D1"/>
    <w:rsid w:val="459F7FD1"/>
    <w:rsid w:val="459FF8B9"/>
    <w:rsid w:val="45AEFE3C"/>
    <w:rsid w:val="45CCD6DF"/>
    <w:rsid w:val="45E18C85"/>
    <w:rsid w:val="45FEC9AB"/>
    <w:rsid w:val="461B4783"/>
    <w:rsid w:val="462E6A24"/>
    <w:rsid w:val="4630FCBB"/>
    <w:rsid w:val="4640ED47"/>
    <w:rsid w:val="4669932B"/>
    <w:rsid w:val="467317F0"/>
    <w:rsid w:val="467BB0EF"/>
    <w:rsid w:val="469884BF"/>
    <w:rsid w:val="469E4B62"/>
    <w:rsid w:val="46AD5B2A"/>
    <w:rsid w:val="46E81CC2"/>
    <w:rsid w:val="471082E0"/>
    <w:rsid w:val="471A8DB9"/>
    <w:rsid w:val="472CED98"/>
    <w:rsid w:val="47424CED"/>
    <w:rsid w:val="474B50FE"/>
    <w:rsid w:val="474C229D"/>
    <w:rsid w:val="475027EF"/>
    <w:rsid w:val="4757F45B"/>
    <w:rsid w:val="477B3845"/>
    <w:rsid w:val="4789A127"/>
    <w:rsid w:val="478A20CF"/>
    <w:rsid w:val="47ACF28E"/>
    <w:rsid w:val="47CEDA55"/>
    <w:rsid w:val="47E26DE3"/>
    <w:rsid w:val="47FB2E51"/>
    <w:rsid w:val="480193E1"/>
    <w:rsid w:val="48094B57"/>
    <w:rsid w:val="480D71B1"/>
    <w:rsid w:val="481DDF62"/>
    <w:rsid w:val="482A6A26"/>
    <w:rsid w:val="4842AE7B"/>
    <w:rsid w:val="484588CB"/>
    <w:rsid w:val="485F7080"/>
    <w:rsid w:val="486DB402"/>
    <w:rsid w:val="48756B95"/>
    <w:rsid w:val="4876DB21"/>
    <w:rsid w:val="4883A37B"/>
    <w:rsid w:val="48843B7A"/>
    <w:rsid w:val="4889DE59"/>
    <w:rsid w:val="489BB511"/>
    <w:rsid w:val="48A00DF3"/>
    <w:rsid w:val="48BCC120"/>
    <w:rsid w:val="48C0D073"/>
    <w:rsid w:val="48D92441"/>
    <w:rsid w:val="48E0C2EA"/>
    <w:rsid w:val="48E89D62"/>
    <w:rsid w:val="48F51DA9"/>
    <w:rsid w:val="48FA57DE"/>
    <w:rsid w:val="490867AC"/>
    <w:rsid w:val="492E9708"/>
    <w:rsid w:val="49361BA9"/>
    <w:rsid w:val="495455AA"/>
    <w:rsid w:val="4976735F"/>
    <w:rsid w:val="497D6C82"/>
    <w:rsid w:val="49861D10"/>
    <w:rsid w:val="49957A2C"/>
    <w:rsid w:val="49D62D06"/>
    <w:rsid w:val="49EAEAC5"/>
    <w:rsid w:val="4A1AB546"/>
    <w:rsid w:val="4A1FBE04"/>
    <w:rsid w:val="4A65A965"/>
    <w:rsid w:val="4A6C4097"/>
    <w:rsid w:val="4A83D588"/>
    <w:rsid w:val="4AA153E2"/>
    <w:rsid w:val="4AA40594"/>
    <w:rsid w:val="4ADD1503"/>
    <w:rsid w:val="4AEB540F"/>
    <w:rsid w:val="4AF19144"/>
    <w:rsid w:val="4B31D399"/>
    <w:rsid w:val="4B35E111"/>
    <w:rsid w:val="4B39840F"/>
    <w:rsid w:val="4B44F4E2"/>
    <w:rsid w:val="4B467E03"/>
    <w:rsid w:val="4B588538"/>
    <w:rsid w:val="4B7048E3"/>
    <w:rsid w:val="4B8CE249"/>
    <w:rsid w:val="4BA8DC39"/>
    <w:rsid w:val="4BB04EED"/>
    <w:rsid w:val="4BCBCDEF"/>
    <w:rsid w:val="4BD878AC"/>
    <w:rsid w:val="4BE92E9C"/>
    <w:rsid w:val="4BEAC8A0"/>
    <w:rsid w:val="4C3B0351"/>
    <w:rsid w:val="4C435C71"/>
    <w:rsid w:val="4C555B40"/>
    <w:rsid w:val="4C632C57"/>
    <w:rsid w:val="4C7CB568"/>
    <w:rsid w:val="4C86F175"/>
    <w:rsid w:val="4C88208F"/>
    <w:rsid w:val="4C8E45A0"/>
    <w:rsid w:val="4CED91FE"/>
    <w:rsid w:val="4CEE4532"/>
    <w:rsid w:val="4CF02B11"/>
    <w:rsid w:val="4D009ED6"/>
    <w:rsid w:val="4D0F322B"/>
    <w:rsid w:val="4D38A23C"/>
    <w:rsid w:val="4D4054D0"/>
    <w:rsid w:val="4D585ADB"/>
    <w:rsid w:val="4D60977E"/>
    <w:rsid w:val="4D9FD68E"/>
    <w:rsid w:val="4DA8E9CC"/>
    <w:rsid w:val="4DB11CDD"/>
    <w:rsid w:val="4DD35433"/>
    <w:rsid w:val="4DD76DB4"/>
    <w:rsid w:val="4DF7D0BE"/>
    <w:rsid w:val="4E259E71"/>
    <w:rsid w:val="4E395604"/>
    <w:rsid w:val="4E4C7C9C"/>
    <w:rsid w:val="4E55C040"/>
    <w:rsid w:val="4E58503D"/>
    <w:rsid w:val="4E5961E0"/>
    <w:rsid w:val="4E82F7AF"/>
    <w:rsid w:val="4E9826B9"/>
    <w:rsid w:val="4EBA45F3"/>
    <w:rsid w:val="4ECAB846"/>
    <w:rsid w:val="4ECB7610"/>
    <w:rsid w:val="4ED3EBE4"/>
    <w:rsid w:val="4EF50739"/>
    <w:rsid w:val="4F23FACA"/>
    <w:rsid w:val="4F2533DA"/>
    <w:rsid w:val="4F2F3C93"/>
    <w:rsid w:val="4F40C978"/>
    <w:rsid w:val="4FC20B24"/>
    <w:rsid w:val="4FF513D1"/>
    <w:rsid w:val="4FFEDF59"/>
    <w:rsid w:val="5014C241"/>
    <w:rsid w:val="5017F0FA"/>
    <w:rsid w:val="5026BE25"/>
    <w:rsid w:val="5034A0AF"/>
    <w:rsid w:val="506F553E"/>
    <w:rsid w:val="5078AB5C"/>
    <w:rsid w:val="508F5764"/>
    <w:rsid w:val="509C0C99"/>
    <w:rsid w:val="50A8191D"/>
    <w:rsid w:val="50A847A2"/>
    <w:rsid w:val="50C5F478"/>
    <w:rsid w:val="50E02CEC"/>
    <w:rsid w:val="5108AFF0"/>
    <w:rsid w:val="510D906E"/>
    <w:rsid w:val="5117DE3E"/>
    <w:rsid w:val="512310DA"/>
    <w:rsid w:val="512F020C"/>
    <w:rsid w:val="5145EBBA"/>
    <w:rsid w:val="51563EF2"/>
    <w:rsid w:val="51579FC2"/>
    <w:rsid w:val="5178AB41"/>
    <w:rsid w:val="51790B0C"/>
    <w:rsid w:val="51A85723"/>
    <w:rsid w:val="51BDA2A2"/>
    <w:rsid w:val="51C0201D"/>
    <w:rsid w:val="521F4AC8"/>
    <w:rsid w:val="5229F00C"/>
    <w:rsid w:val="524F4C10"/>
    <w:rsid w:val="5256D1C5"/>
    <w:rsid w:val="5269758A"/>
    <w:rsid w:val="526DEADC"/>
    <w:rsid w:val="528601B3"/>
    <w:rsid w:val="529572F5"/>
    <w:rsid w:val="529D8CAB"/>
    <w:rsid w:val="52BBF1A4"/>
    <w:rsid w:val="52BF0445"/>
    <w:rsid w:val="52CE49AB"/>
    <w:rsid w:val="52D08561"/>
    <w:rsid w:val="52DAECD7"/>
    <w:rsid w:val="52E2EE68"/>
    <w:rsid w:val="52F76213"/>
    <w:rsid w:val="52FA8FDD"/>
    <w:rsid w:val="52FC8D12"/>
    <w:rsid w:val="52FE26A5"/>
    <w:rsid w:val="534C5D51"/>
    <w:rsid w:val="5358C42A"/>
    <w:rsid w:val="535D9EA1"/>
    <w:rsid w:val="535F357F"/>
    <w:rsid w:val="53714B7C"/>
    <w:rsid w:val="5393E7A6"/>
    <w:rsid w:val="5397837F"/>
    <w:rsid w:val="539B032A"/>
    <w:rsid w:val="53A865E8"/>
    <w:rsid w:val="53AD22F9"/>
    <w:rsid w:val="53B027A8"/>
    <w:rsid w:val="53B9DCF9"/>
    <w:rsid w:val="53CC64FA"/>
    <w:rsid w:val="53DA1D03"/>
    <w:rsid w:val="541C1BD6"/>
    <w:rsid w:val="542AB4B5"/>
    <w:rsid w:val="54317640"/>
    <w:rsid w:val="544C4EDA"/>
    <w:rsid w:val="5489CB2F"/>
    <w:rsid w:val="549B5715"/>
    <w:rsid w:val="54A22EDC"/>
    <w:rsid w:val="54C9D86D"/>
    <w:rsid w:val="54DB8E5A"/>
    <w:rsid w:val="54E4D234"/>
    <w:rsid w:val="54E66F5A"/>
    <w:rsid w:val="54EDF51F"/>
    <w:rsid w:val="551B834A"/>
    <w:rsid w:val="551DB926"/>
    <w:rsid w:val="55324663"/>
    <w:rsid w:val="554A8A9F"/>
    <w:rsid w:val="554FFBE8"/>
    <w:rsid w:val="555C7425"/>
    <w:rsid w:val="55AFA338"/>
    <w:rsid w:val="55C0F33F"/>
    <w:rsid w:val="55CA30A2"/>
    <w:rsid w:val="55D6A37C"/>
    <w:rsid w:val="55DAE4AE"/>
    <w:rsid w:val="55E82049"/>
    <w:rsid w:val="55E94298"/>
    <w:rsid w:val="55EACCF6"/>
    <w:rsid w:val="560CFA87"/>
    <w:rsid w:val="5625E75A"/>
    <w:rsid w:val="562B1219"/>
    <w:rsid w:val="5665E1D5"/>
    <w:rsid w:val="56795453"/>
    <w:rsid w:val="567BDCDF"/>
    <w:rsid w:val="56DF264A"/>
    <w:rsid w:val="56EAF2D7"/>
    <w:rsid w:val="56FB57E8"/>
    <w:rsid w:val="56FE3238"/>
    <w:rsid w:val="5708F45D"/>
    <w:rsid w:val="5710C580"/>
    <w:rsid w:val="57127984"/>
    <w:rsid w:val="5734D155"/>
    <w:rsid w:val="573E4511"/>
    <w:rsid w:val="57667F98"/>
    <w:rsid w:val="57A5B745"/>
    <w:rsid w:val="57B76BD7"/>
    <w:rsid w:val="57D32269"/>
    <w:rsid w:val="57E5D853"/>
    <w:rsid w:val="580EA1A2"/>
    <w:rsid w:val="582297A0"/>
    <w:rsid w:val="583F1B1C"/>
    <w:rsid w:val="58561395"/>
    <w:rsid w:val="58AB6981"/>
    <w:rsid w:val="58AE3F04"/>
    <w:rsid w:val="58BC7360"/>
    <w:rsid w:val="58F34BB4"/>
    <w:rsid w:val="58F521CC"/>
    <w:rsid w:val="58FC02E6"/>
    <w:rsid w:val="591D0341"/>
    <w:rsid w:val="592A6FF7"/>
    <w:rsid w:val="5937ED9F"/>
    <w:rsid w:val="59454146"/>
    <w:rsid w:val="596AAAB6"/>
    <w:rsid w:val="599646C5"/>
    <w:rsid w:val="599C54D2"/>
    <w:rsid w:val="59A2FBB8"/>
    <w:rsid w:val="59B6823A"/>
    <w:rsid w:val="59E05DF5"/>
    <w:rsid w:val="59F31766"/>
    <w:rsid w:val="5A57FF1D"/>
    <w:rsid w:val="5A6C1282"/>
    <w:rsid w:val="5AAD3848"/>
    <w:rsid w:val="5AAE680A"/>
    <w:rsid w:val="5AC72CFE"/>
    <w:rsid w:val="5AD0BADB"/>
    <w:rsid w:val="5AF2D84B"/>
    <w:rsid w:val="5AFAD76A"/>
    <w:rsid w:val="5B00BF90"/>
    <w:rsid w:val="5B0E6775"/>
    <w:rsid w:val="5B0F8B39"/>
    <w:rsid w:val="5B429EB3"/>
    <w:rsid w:val="5B5BA5AE"/>
    <w:rsid w:val="5B5E5686"/>
    <w:rsid w:val="5B642525"/>
    <w:rsid w:val="5B669C11"/>
    <w:rsid w:val="5B76FEEB"/>
    <w:rsid w:val="5B7F7C9A"/>
    <w:rsid w:val="5B8FF404"/>
    <w:rsid w:val="5BCBAF1A"/>
    <w:rsid w:val="5BCEFBB8"/>
    <w:rsid w:val="5BFD5A28"/>
    <w:rsid w:val="5C0032EA"/>
    <w:rsid w:val="5C01C75B"/>
    <w:rsid w:val="5C11FF47"/>
    <w:rsid w:val="5C34E5EB"/>
    <w:rsid w:val="5C4A6934"/>
    <w:rsid w:val="5C5CE7FC"/>
    <w:rsid w:val="5C853E3C"/>
    <w:rsid w:val="5C947095"/>
    <w:rsid w:val="5CAA0D17"/>
    <w:rsid w:val="5CAF1507"/>
    <w:rsid w:val="5CB36435"/>
    <w:rsid w:val="5CB52E52"/>
    <w:rsid w:val="5CE1B713"/>
    <w:rsid w:val="5CF31559"/>
    <w:rsid w:val="5D00D446"/>
    <w:rsid w:val="5D4EF997"/>
    <w:rsid w:val="5D8128F4"/>
    <w:rsid w:val="5D91DF33"/>
    <w:rsid w:val="5D993B8E"/>
    <w:rsid w:val="5E01350B"/>
    <w:rsid w:val="5E3EF7C2"/>
    <w:rsid w:val="5E6AEDFE"/>
    <w:rsid w:val="5E78B205"/>
    <w:rsid w:val="5E8FCF2F"/>
    <w:rsid w:val="5E9F2350"/>
    <w:rsid w:val="5EEE940B"/>
    <w:rsid w:val="5EFAEF88"/>
    <w:rsid w:val="5F2093BF"/>
    <w:rsid w:val="5F856E2D"/>
    <w:rsid w:val="5F8DE546"/>
    <w:rsid w:val="5F9F2C06"/>
    <w:rsid w:val="5FB96337"/>
    <w:rsid w:val="5FB9A69F"/>
    <w:rsid w:val="5FBD8F46"/>
    <w:rsid w:val="5FD67B73"/>
    <w:rsid w:val="60022ED2"/>
    <w:rsid w:val="600AB220"/>
    <w:rsid w:val="6015D1EF"/>
    <w:rsid w:val="60160FD6"/>
    <w:rsid w:val="6022CDDA"/>
    <w:rsid w:val="602C3D6F"/>
    <w:rsid w:val="60398556"/>
    <w:rsid w:val="607DDAC1"/>
    <w:rsid w:val="60A54F12"/>
    <w:rsid w:val="60B4AFDB"/>
    <w:rsid w:val="60CA9AF1"/>
    <w:rsid w:val="60F15D57"/>
    <w:rsid w:val="61259557"/>
    <w:rsid w:val="61272991"/>
    <w:rsid w:val="61294074"/>
    <w:rsid w:val="613074F8"/>
    <w:rsid w:val="61426583"/>
    <w:rsid w:val="6156838E"/>
    <w:rsid w:val="615D478E"/>
    <w:rsid w:val="619950EF"/>
    <w:rsid w:val="61D10AEF"/>
    <w:rsid w:val="61DA4952"/>
    <w:rsid w:val="61DF162A"/>
    <w:rsid w:val="61F6913F"/>
    <w:rsid w:val="61F721D3"/>
    <w:rsid w:val="620E619A"/>
    <w:rsid w:val="6229D387"/>
    <w:rsid w:val="625695C5"/>
    <w:rsid w:val="626BDD8D"/>
    <w:rsid w:val="6274CC0D"/>
    <w:rsid w:val="62870731"/>
    <w:rsid w:val="62A32278"/>
    <w:rsid w:val="62AD8DBF"/>
    <w:rsid w:val="62C8D2C4"/>
    <w:rsid w:val="62F031C4"/>
    <w:rsid w:val="632A51B9"/>
    <w:rsid w:val="633A2F99"/>
    <w:rsid w:val="63577A99"/>
    <w:rsid w:val="6378FA1C"/>
    <w:rsid w:val="6388284C"/>
    <w:rsid w:val="639C9EBA"/>
    <w:rsid w:val="63B36937"/>
    <w:rsid w:val="63D228AA"/>
    <w:rsid w:val="63F217C2"/>
    <w:rsid w:val="640148D0"/>
    <w:rsid w:val="640C6180"/>
    <w:rsid w:val="644538CA"/>
    <w:rsid w:val="644B0E51"/>
    <w:rsid w:val="6459CFDC"/>
    <w:rsid w:val="64769029"/>
    <w:rsid w:val="64871050"/>
    <w:rsid w:val="64932121"/>
    <w:rsid w:val="64AE9242"/>
    <w:rsid w:val="64C7EB38"/>
    <w:rsid w:val="64D2AA38"/>
    <w:rsid w:val="64E980F9"/>
    <w:rsid w:val="64EB25FF"/>
    <w:rsid w:val="650E0D0C"/>
    <w:rsid w:val="6519EB47"/>
    <w:rsid w:val="651B511C"/>
    <w:rsid w:val="6538B771"/>
    <w:rsid w:val="653B49F9"/>
    <w:rsid w:val="6570824E"/>
    <w:rsid w:val="6579ADD1"/>
    <w:rsid w:val="659937B3"/>
    <w:rsid w:val="65AE6440"/>
    <w:rsid w:val="65B9881A"/>
    <w:rsid w:val="65BAFC68"/>
    <w:rsid w:val="65C16FBC"/>
    <w:rsid w:val="65CF8BD1"/>
    <w:rsid w:val="65D4C286"/>
    <w:rsid w:val="65EFA01E"/>
    <w:rsid w:val="65FBA41B"/>
    <w:rsid w:val="6600A321"/>
    <w:rsid w:val="66042794"/>
    <w:rsid w:val="662880A1"/>
    <w:rsid w:val="662CF97C"/>
    <w:rsid w:val="66692D32"/>
    <w:rsid w:val="666B4782"/>
    <w:rsid w:val="666DBEE8"/>
    <w:rsid w:val="667C5136"/>
    <w:rsid w:val="6685515A"/>
    <w:rsid w:val="668BA8FB"/>
    <w:rsid w:val="66981066"/>
    <w:rsid w:val="66A00E5D"/>
    <w:rsid w:val="66B02FC8"/>
    <w:rsid w:val="66B06E7A"/>
    <w:rsid w:val="66B96C54"/>
    <w:rsid w:val="66C0AD32"/>
    <w:rsid w:val="66DC0B36"/>
    <w:rsid w:val="66E46B1D"/>
    <w:rsid w:val="6716A700"/>
    <w:rsid w:val="6729B88F"/>
    <w:rsid w:val="675460A8"/>
    <w:rsid w:val="6762E0C4"/>
    <w:rsid w:val="6768DB67"/>
    <w:rsid w:val="676F3BCD"/>
    <w:rsid w:val="6790A952"/>
    <w:rsid w:val="67AC26AC"/>
    <w:rsid w:val="67B2FFD4"/>
    <w:rsid w:val="67E69740"/>
    <w:rsid w:val="67E6FFB9"/>
    <w:rsid w:val="67F50CD7"/>
    <w:rsid w:val="67FA50B0"/>
    <w:rsid w:val="68028D63"/>
    <w:rsid w:val="682670A6"/>
    <w:rsid w:val="6827E051"/>
    <w:rsid w:val="685971E3"/>
    <w:rsid w:val="686D0555"/>
    <w:rsid w:val="6876B210"/>
    <w:rsid w:val="6876CD78"/>
    <w:rsid w:val="688A8A5F"/>
    <w:rsid w:val="68A785CC"/>
    <w:rsid w:val="68E409EB"/>
    <w:rsid w:val="68F95BD1"/>
    <w:rsid w:val="691EA910"/>
    <w:rsid w:val="695287E0"/>
    <w:rsid w:val="69602163"/>
    <w:rsid w:val="69767C87"/>
    <w:rsid w:val="69893CF7"/>
    <w:rsid w:val="69929754"/>
    <w:rsid w:val="69953708"/>
    <w:rsid w:val="69974477"/>
    <w:rsid w:val="69AA4BF2"/>
    <w:rsid w:val="69D168A9"/>
    <w:rsid w:val="69D54A59"/>
    <w:rsid w:val="69D6AF7D"/>
    <w:rsid w:val="69EBD332"/>
    <w:rsid w:val="6A1203AF"/>
    <w:rsid w:val="6A204270"/>
    <w:rsid w:val="6A28D821"/>
    <w:rsid w:val="6A37A855"/>
    <w:rsid w:val="6A3A15AA"/>
    <w:rsid w:val="6A3ECDE2"/>
    <w:rsid w:val="6A4CB30A"/>
    <w:rsid w:val="6A686AF8"/>
    <w:rsid w:val="6A8A3160"/>
    <w:rsid w:val="6A8D0C48"/>
    <w:rsid w:val="6AA09A85"/>
    <w:rsid w:val="6AA10C1B"/>
    <w:rsid w:val="6AAFF992"/>
    <w:rsid w:val="6AB4E719"/>
    <w:rsid w:val="6ABA7971"/>
    <w:rsid w:val="6ABCA1E2"/>
    <w:rsid w:val="6ACF3F97"/>
    <w:rsid w:val="6AD1EC6B"/>
    <w:rsid w:val="6AD9BB93"/>
    <w:rsid w:val="6ADCC341"/>
    <w:rsid w:val="6B44FDE9"/>
    <w:rsid w:val="6B67163B"/>
    <w:rsid w:val="6B88D929"/>
    <w:rsid w:val="6B8BAC6E"/>
    <w:rsid w:val="6BA2A666"/>
    <w:rsid w:val="6BAD721B"/>
    <w:rsid w:val="6BCF7F71"/>
    <w:rsid w:val="6BEFC24B"/>
    <w:rsid w:val="6BF1E745"/>
    <w:rsid w:val="6BFA3692"/>
    <w:rsid w:val="6C0CB06B"/>
    <w:rsid w:val="6C1F2F90"/>
    <w:rsid w:val="6C1F3F4E"/>
    <w:rsid w:val="6C569710"/>
    <w:rsid w:val="6C7A6892"/>
    <w:rsid w:val="6C946A68"/>
    <w:rsid w:val="6CB9D8D1"/>
    <w:rsid w:val="6CC02B34"/>
    <w:rsid w:val="6CD0CFE8"/>
    <w:rsid w:val="6CE73FE3"/>
    <w:rsid w:val="6D058B82"/>
    <w:rsid w:val="6D1DBE8C"/>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339286"/>
    <w:rsid w:val="6E97287D"/>
    <w:rsid w:val="6E99928A"/>
    <w:rsid w:val="6EA2FA2A"/>
    <w:rsid w:val="6EAFB261"/>
    <w:rsid w:val="6EB3506C"/>
    <w:rsid w:val="6EBE2868"/>
    <w:rsid w:val="6EC97C22"/>
    <w:rsid w:val="6ED7F0E8"/>
    <w:rsid w:val="6EDCA610"/>
    <w:rsid w:val="6EE29F71"/>
    <w:rsid w:val="6F09DD0F"/>
    <w:rsid w:val="6F184DA4"/>
    <w:rsid w:val="6F1F8865"/>
    <w:rsid w:val="6F273E01"/>
    <w:rsid w:val="6F80A6A6"/>
    <w:rsid w:val="6F9BFA12"/>
    <w:rsid w:val="6FD5E173"/>
    <w:rsid w:val="6FE35DA4"/>
    <w:rsid w:val="7013CEA7"/>
    <w:rsid w:val="7016230F"/>
    <w:rsid w:val="701710CC"/>
    <w:rsid w:val="701FF358"/>
    <w:rsid w:val="7030C905"/>
    <w:rsid w:val="7036A924"/>
    <w:rsid w:val="70454BA0"/>
    <w:rsid w:val="706180A2"/>
    <w:rsid w:val="7088F141"/>
    <w:rsid w:val="70B1EBFC"/>
    <w:rsid w:val="70BC6078"/>
    <w:rsid w:val="70DD4BFE"/>
    <w:rsid w:val="70EA4C0F"/>
    <w:rsid w:val="70EF6DFF"/>
    <w:rsid w:val="70F62859"/>
    <w:rsid w:val="7108D5E4"/>
    <w:rsid w:val="711E2DBC"/>
    <w:rsid w:val="711FF693"/>
    <w:rsid w:val="71268806"/>
    <w:rsid w:val="713AC3F6"/>
    <w:rsid w:val="71480290"/>
    <w:rsid w:val="714869E1"/>
    <w:rsid w:val="714F729D"/>
    <w:rsid w:val="716AE295"/>
    <w:rsid w:val="716B286D"/>
    <w:rsid w:val="71B7BF84"/>
    <w:rsid w:val="71CA49B4"/>
    <w:rsid w:val="72188CC6"/>
    <w:rsid w:val="7223F665"/>
    <w:rsid w:val="722C52D4"/>
    <w:rsid w:val="72305777"/>
    <w:rsid w:val="7237B602"/>
    <w:rsid w:val="72571326"/>
    <w:rsid w:val="725901EE"/>
    <w:rsid w:val="725E06BA"/>
    <w:rsid w:val="726440B1"/>
    <w:rsid w:val="7274CC6F"/>
    <w:rsid w:val="7279824C"/>
    <w:rsid w:val="72969B84"/>
    <w:rsid w:val="72A13ED1"/>
    <w:rsid w:val="72AFD5C4"/>
    <w:rsid w:val="72B2A8D0"/>
    <w:rsid w:val="72CB87D5"/>
    <w:rsid w:val="72F5118B"/>
    <w:rsid w:val="72F5795A"/>
    <w:rsid w:val="73002599"/>
    <w:rsid w:val="73140D09"/>
    <w:rsid w:val="731DAB7E"/>
    <w:rsid w:val="7321A6D5"/>
    <w:rsid w:val="732C8D17"/>
    <w:rsid w:val="7335B04A"/>
    <w:rsid w:val="733BCFB0"/>
    <w:rsid w:val="735D5A0C"/>
    <w:rsid w:val="736BC1E8"/>
    <w:rsid w:val="736F5F2C"/>
    <w:rsid w:val="7375E5B7"/>
    <w:rsid w:val="737925BC"/>
    <w:rsid w:val="7381C423"/>
    <w:rsid w:val="738789D8"/>
    <w:rsid w:val="738C15D2"/>
    <w:rsid w:val="738D60DA"/>
    <w:rsid w:val="73A59402"/>
    <w:rsid w:val="73A7B647"/>
    <w:rsid w:val="73AE2492"/>
    <w:rsid w:val="73C6BECC"/>
    <w:rsid w:val="73E8AF1D"/>
    <w:rsid w:val="740B8DB6"/>
    <w:rsid w:val="744BE654"/>
    <w:rsid w:val="745A387A"/>
    <w:rsid w:val="7466B671"/>
    <w:rsid w:val="7473BA44"/>
    <w:rsid w:val="748F19F7"/>
    <w:rsid w:val="748F254F"/>
    <w:rsid w:val="74A75532"/>
    <w:rsid w:val="74D17AB9"/>
    <w:rsid w:val="74E56CCA"/>
    <w:rsid w:val="74FA268C"/>
    <w:rsid w:val="751E800C"/>
    <w:rsid w:val="754394B2"/>
    <w:rsid w:val="75577A00"/>
    <w:rsid w:val="755A7253"/>
    <w:rsid w:val="75704933"/>
    <w:rsid w:val="75719C73"/>
    <w:rsid w:val="75869F80"/>
    <w:rsid w:val="758DBB56"/>
    <w:rsid w:val="75911731"/>
    <w:rsid w:val="759EDD07"/>
    <w:rsid w:val="75D841DC"/>
    <w:rsid w:val="75DFBF40"/>
    <w:rsid w:val="761440BA"/>
    <w:rsid w:val="76528D9D"/>
    <w:rsid w:val="765A604A"/>
    <w:rsid w:val="7692F9AA"/>
    <w:rsid w:val="769B42F5"/>
    <w:rsid w:val="76C69244"/>
    <w:rsid w:val="76D48D40"/>
    <w:rsid w:val="76E0E5BA"/>
    <w:rsid w:val="7712799F"/>
    <w:rsid w:val="77294797"/>
    <w:rsid w:val="77325251"/>
    <w:rsid w:val="773A79FA"/>
    <w:rsid w:val="774AEAC5"/>
    <w:rsid w:val="7755CBB4"/>
    <w:rsid w:val="775FE69A"/>
    <w:rsid w:val="7783992F"/>
    <w:rsid w:val="778B1045"/>
    <w:rsid w:val="778F3817"/>
    <w:rsid w:val="77953308"/>
    <w:rsid w:val="77A9249B"/>
    <w:rsid w:val="77DF382A"/>
    <w:rsid w:val="7803DE33"/>
    <w:rsid w:val="780C885E"/>
    <w:rsid w:val="780F89D5"/>
    <w:rsid w:val="78425242"/>
    <w:rsid w:val="784A63E3"/>
    <w:rsid w:val="784F2F87"/>
    <w:rsid w:val="785749BB"/>
    <w:rsid w:val="787258E7"/>
    <w:rsid w:val="787975EC"/>
    <w:rsid w:val="78838090"/>
    <w:rsid w:val="78985217"/>
    <w:rsid w:val="78ADAAC4"/>
    <w:rsid w:val="78AF5D65"/>
    <w:rsid w:val="78B101EF"/>
    <w:rsid w:val="78BD8254"/>
    <w:rsid w:val="78CC6F2B"/>
    <w:rsid w:val="78D15C76"/>
    <w:rsid w:val="78E0C623"/>
    <w:rsid w:val="793E8678"/>
    <w:rsid w:val="79411C9D"/>
    <w:rsid w:val="79692224"/>
    <w:rsid w:val="796E4ECC"/>
    <w:rsid w:val="7971375D"/>
    <w:rsid w:val="798A9990"/>
    <w:rsid w:val="798A99F9"/>
    <w:rsid w:val="798D283C"/>
    <w:rsid w:val="79AA2C4F"/>
    <w:rsid w:val="79B31080"/>
    <w:rsid w:val="79C75BE7"/>
    <w:rsid w:val="79D16109"/>
    <w:rsid w:val="79DE7466"/>
    <w:rsid w:val="79E55330"/>
    <w:rsid w:val="79FB3943"/>
    <w:rsid w:val="7A046839"/>
    <w:rsid w:val="7A2F2C97"/>
    <w:rsid w:val="7A2FEE93"/>
    <w:rsid w:val="7A38DF8A"/>
    <w:rsid w:val="7A41D0C3"/>
    <w:rsid w:val="7A498706"/>
    <w:rsid w:val="7A8D5DFD"/>
    <w:rsid w:val="7A9E82CF"/>
    <w:rsid w:val="7AB917C7"/>
    <w:rsid w:val="7ABEE666"/>
    <w:rsid w:val="7AC445C1"/>
    <w:rsid w:val="7AD806BA"/>
    <w:rsid w:val="7ADD6832"/>
    <w:rsid w:val="7AE2F743"/>
    <w:rsid w:val="7AF9EFBF"/>
    <w:rsid w:val="7B1E769F"/>
    <w:rsid w:val="7B2E0869"/>
    <w:rsid w:val="7B3C97BE"/>
    <w:rsid w:val="7B6E3527"/>
    <w:rsid w:val="7B7251B5"/>
    <w:rsid w:val="7B87858E"/>
    <w:rsid w:val="7B993A8E"/>
    <w:rsid w:val="7BA40B88"/>
    <w:rsid w:val="7BAAC207"/>
    <w:rsid w:val="7BC4602E"/>
    <w:rsid w:val="7BCEC34F"/>
    <w:rsid w:val="7BCF2121"/>
    <w:rsid w:val="7BCFE2AD"/>
    <w:rsid w:val="7BD6A52F"/>
    <w:rsid w:val="7BF6B08E"/>
    <w:rsid w:val="7C33517F"/>
    <w:rsid w:val="7C5DD324"/>
    <w:rsid w:val="7C5E5223"/>
    <w:rsid w:val="7C71514D"/>
    <w:rsid w:val="7C7811F2"/>
    <w:rsid w:val="7C7A6A55"/>
    <w:rsid w:val="7C9F12E4"/>
    <w:rsid w:val="7CCA081A"/>
    <w:rsid w:val="7CE47A44"/>
    <w:rsid w:val="7CEB6946"/>
    <w:rsid w:val="7CF97BD1"/>
    <w:rsid w:val="7D12A42E"/>
    <w:rsid w:val="7D148AAB"/>
    <w:rsid w:val="7D151AA5"/>
    <w:rsid w:val="7D30B88E"/>
    <w:rsid w:val="7D3C50D2"/>
    <w:rsid w:val="7D3F5B2F"/>
    <w:rsid w:val="7D44C8FB"/>
    <w:rsid w:val="7D50F596"/>
    <w:rsid w:val="7D579A7E"/>
    <w:rsid w:val="7D760985"/>
    <w:rsid w:val="7D888085"/>
    <w:rsid w:val="7D8B4F28"/>
    <w:rsid w:val="7D9836AF"/>
    <w:rsid w:val="7DC84D23"/>
    <w:rsid w:val="7E100DD1"/>
    <w:rsid w:val="7E2D32C1"/>
    <w:rsid w:val="7E330138"/>
    <w:rsid w:val="7E34F75B"/>
    <w:rsid w:val="7E6BFBC5"/>
    <w:rsid w:val="7E963256"/>
    <w:rsid w:val="7EA9C613"/>
    <w:rsid w:val="7EE21B89"/>
    <w:rsid w:val="7EFCFD0F"/>
    <w:rsid w:val="7F2F1F93"/>
    <w:rsid w:val="7F6203B8"/>
    <w:rsid w:val="7F633043"/>
    <w:rsid w:val="7F7028D4"/>
    <w:rsid w:val="7F7959C5"/>
    <w:rsid w:val="7F7C1235"/>
    <w:rsid w:val="7F92CF9D"/>
    <w:rsid w:val="7F9665C9"/>
    <w:rsid w:val="7FACE9D9"/>
    <w:rsid w:val="7FBB7D79"/>
    <w:rsid w:val="7FBC18D0"/>
    <w:rsid w:val="7FEF71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E8E57"/>
  <w15:docId w15:val="{072A321A-BCFC-4F10-A9EF-CD80110A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Arial"/>
        <w:color w:val="000000" w:themeColor="text1"/>
        <w:sz w:val="26"/>
        <w:szCs w:val="26"/>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73E8"/>
    <w:pPr>
      <w:spacing w:after="180"/>
    </w:p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8C9095" w:themeColor="text2" w:themeTint="A6"/>
      <w:spacing w:val="20"/>
      <w:sz w:val="48"/>
      <w:szCs w:val="28"/>
    </w:rPr>
  </w:style>
  <w:style w:type="paragraph" w:styleId="Heading2">
    <w:name w:val="heading 2"/>
    <w:basedOn w:val="Normal"/>
    <w:next w:val="Normal"/>
    <w:link w:val="Heading2Char"/>
    <w:uiPriority w:val="9"/>
    <w:semiHidden/>
    <w:rsid w:val="00320A8D"/>
    <w:pPr>
      <w:keepNext/>
      <w:keepLines/>
      <w:spacing w:before="120" w:after="0"/>
      <w:outlineLvl w:val="1"/>
    </w:pPr>
    <w:rPr>
      <w:rFonts w:eastAsiaTheme="majorEastAsia" w:cstheme="majorBidi"/>
      <w:b/>
      <w:bCs/>
      <w:color w:val="00573F" w:themeColor="accent1"/>
      <w:sz w:val="28"/>
    </w:rPr>
  </w:style>
  <w:style w:type="paragraph" w:styleId="Heading3">
    <w:name w:val="heading 3"/>
    <w:basedOn w:val="Normal"/>
    <w:next w:val="Normal"/>
    <w:link w:val="Heading3Char"/>
    <w:uiPriority w:val="9"/>
    <w:semiHidden/>
    <w:rsid w:val="00320A8D"/>
    <w:pPr>
      <w:keepNext/>
      <w:keepLines/>
      <w:spacing w:before="20" w:after="0"/>
      <w:outlineLvl w:val="2"/>
    </w:pPr>
    <w:rPr>
      <w:rFonts w:asciiTheme="majorHAnsi" w:eastAsiaTheme="majorEastAsia" w:hAnsiTheme="majorHAnsi" w:cstheme="majorBidi"/>
      <w:bCs/>
      <w:color w:val="53565A" w:themeColor="text2"/>
      <w:spacing w:val="14"/>
      <w:sz w:val="24"/>
    </w:rPr>
  </w:style>
  <w:style w:type="paragraph" w:styleId="Heading4">
    <w:name w:val="heading 4"/>
    <w:basedOn w:val="Normal"/>
    <w:next w:val="Normal"/>
    <w:link w:val="Heading4Char"/>
    <w:uiPriority w:val="9"/>
    <w:semiHidden/>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rsid w:val="00320A8D"/>
    <w:pPr>
      <w:keepNext/>
      <w:keepLines/>
      <w:spacing w:before="200" w:after="0"/>
      <w:outlineLvl w:val="5"/>
    </w:pPr>
    <w:rPr>
      <w:rFonts w:asciiTheme="majorHAnsi" w:eastAsiaTheme="majorEastAsia" w:hAnsiTheme="majorHAnsi" w:cstheme="majorBidi"/>
      <w:iCs/>
      <w:color w:val="00573F"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ulletsinatable">
    <w:name w:val="11. Bullets in a table"/>
    <w:link w:val="11BulletsinatableChar"/>
    <w:qFormat/>
    <w:locked/>
    <w:rsid w:val="00180EB7"/>
    <w:pPr>
      <w:spacing w:after="0"/>
      <w:ind w:left="360" w:hanging="360"/>
    </w:pPr>
    <w:rPr>
      <w:bCs/>
      <w:sz w:val="22"/>
    </w:rPr>
  </w:style>
  <w:style w:type="character" w:customStyle="1" w:styleId="11BulletsinatableChar">
    <w:name w:val="11. Bullets in a table Char"/>
    <w:basedOn w:val="DefaultParagraphFont"/>
    <w:link w:val="11Bulletsinatable"/>
    <w:rsid w:val="00180EB7"/>
    <w:rPr>
      <w:bCs/>
      <w:sz w:val="22"/>
    </w:rPr>
  </w:style>
  <w:style w:type="paragraph" w:customStyle="1" w:styleId="Tableheading">
    <w:name w:val="Table heading"/>
    <w:link w:val="TableheadingChar"/>
    <w:locked/>
    <w:rsid w:val="00537975"/>
    <w:pPr>
      <w:keepNext/>
      <w:spacing w:before="180" w:after="60"/>
    </w:pPr>
    <w:rPr>
      <w:b/>
      <w:color w:val="CCEFD9" w:themeColor="accent6"/>
      <w:sz w:val="24"/>
    </w:rPr>
  </w:style>
  <w:style w:type="character" w:customStyle="1" w:styleId="TableheadingChar">
    <w:name w:val="Table heading Char"/>
    <w:basedOn w:val="DefaultParagraphFont"/>
    <w:link w:val="Tableheading"/>
    <w:rsid w:val="003973E8"/>
    <w:rPr>
      <w:b/>
      <w:color w:val="CCEFD9" w:themeColor="accent6"/>
      <w:sz w:val="24"/>
    </w:rPr>
  </w:style>
  <w:style w:type="paragraph" w:customStyle="1" w:styleId="08Figuretableboxheading">
    <w:name w:val="08. Figure/table/box heading"/>
    <w:basedOn w:val="Tableheading"/>
    <w:link w:val="08FiguretableboxheadingChar"/>
    <w:qFormat/>
    <w:locked/>
    <w:rsid w:val="007903F9"/>
    <w:pPr>
      <w:ind w:left="794" w:hanging="794"/>
    </w:pPr>
    <w:rPr>
      <w:color w:val="00573F" w:themeColor="accent1"/>
    </w:rPr>
  </w:style>
  <w:style w:type="character" w:customStyle="1" w:styleId="08FiguretableboxheadingChar">
    <w:name w:val="08. Figure/table/box heading Char"/>
    <w:basedOn w:val="TableheadingChar"/>
    <w:link w:val="08Figuretableboxheading"/>
    <w:rsid w:val="007903F9"/>
    <w:rPr>
      <w:b/>
      <w:color w:val="00573F" w:themeColor="accent1"/>
      <w:sz w:val="24"/>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8C9095" w:themeColor="text2" w:themeTint="A6"/>
      <w:spacing w:val="20"/>
      <w:sz w:val="48"/>
      <w:szCs w:val="28"/>
    </w:rPr>
  </w:style>
  <w:style w:type="character" w:customStyle="1" w:styleId="Heading2Char">
    <w:name w:val="Heading 2 Char"/>
    <w:basedOn w:val="DefaultParagraphFont"/>
    <w:link w:val="Heading2"/>
    <w:uiPriority w:val="9"/>
    <w:semiHidden/>
    <w:rsid w:val="003973E8"/>
    <w:rPr>
      <w:rFonts w:eastAsiaTheme="majorEastAsia" w:cstheme="majorBidi"/>
      <w:b/>
      <w:bCs/>
      <w:color w:val="00573F" w:themeColor="accent1"/>
      <w:sz w:val="28"/>
    </w:rPr>
  </w:style>
  <w:style w:type="character" w:customStyle="1" w:styleId="Heading3Char">
    <w:name w:val="Heading 3 Char"/>
    <w:basedOn w:val="DefaultParagraphFont"/>
    <w:link w:val="Heading3"/>
    <w:uiPriority w:val="9"/>
    <w:semiHidden/>
    <w:rsid w:val="003973E8"/>
    <w:rPr>
      <w:rFonts w:asciiTheme="majorHAnsi" w:eastAsiaTheme="majorEastAsia" w:hAnsiTheme="majorHAnsi" w:cstheme="majorBidi"/>
      <w:bCs/>
      <w:color w:val="53565A" w:themeColor="text2"/>
      <w:spacing w:val="14"/>
      <w:sz w:val="24"/>
    </w:rPr>
  </w:style>
  <w:style w:type="character" w:customStyle="1" w:styleId="Heading4Char">
    <w:name w:val="Heading 4 Char"/>
    <w:basedOn w:val="DefaultParagraphFont"/>
    <w:link w:val="Heading4"/>
    <w:uiPriority w:val="9"/>
    <w:semiHidden/>
    <w:rsid w:val="003973E8"/>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3973E8"/>
    <w:rPr>
      <w:rFonts w:asciiTheme="majorHAnsi" w:eastAsiaTheme="majorEastAsia" w:hAnsiTheme="majorHAnsi" w:cstheme="majorBidi"/>
      <w:color w:val="000000"/>
      <w:sz w:val="22"/>
    </w:rPr>
  </w:style>
  <w:style w:type="character" w:customStyle="1" w:styleId="Heading6Char">
    <w:name w:val="Heading 6 Char"/>
    <w:basedOn w:val="DefaultParagraphFont"/>
    <w:link w:val="Heading6"/>
    <w:uiPriority w:val="9"/>
    <w:semiHidden/>
    <w:rsid w:val="003973E8"/>
    <w:rPr>
      <w:rFonts w:asciiTheme="majorHAnsi" w:eastAsiaTheme="majorEastAsia" w:hAnsiTheme="majorHAnsi" w:cstheme="majorBidi"/>
      <w:iCs/>
      <w:color w:val="00573F" w:themeColor="accent1"/>
      <w:sz w:val="22"/>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D75598"/>
    <w:pPr>
      <w:spacing w:after="0"/>
      <w:ind w:left="227" w:hanging="227"/>
    </w:pPr>
    <w:rPr>
      <w:rFonts w:cs="Times New Roman (Body CS)"/>
      <w:spacing w:val="-6"/>
      <w:sz w:val="18"/>
      <w:szCs w:val="72"/>
    </w:rPr>
  </w:style>
  <w:style w:type="character" w:customStyle="1" w:styleId="FootnotesChar">
    <w:name w:val="Footnotes Char"/>
    <w:basedOn w:val="DefaultParagraphFont"/>
    <w:link w:val="Footnotes"/>
    <w:rsid w:val="00D75598"/>
    <w:rPr>
      <w:rFonts w:ascii="Calibri Light" w:hAnsi="Calibri Light" w:cs="Times New Roman (Body CS)"/>
      <w:color w:val="000000" w:themeColor="text1"/>
      <w:spacing w:val="-6"/>
      <w:sz w:val="18"/>
      <w:szCs w:val="72"/>
    </w:rPr>
  </w:style>
  <w:style w:type="table" w:styleId="ListTable3-Accent2">
    <w:name w:val="List Table 3 Accent 2"/>
    <w:basedOn w:val="TableNormal"/>
    <w:uiPriority w:val="48"/>
    <w:rsid w:val="00F771F2"/>
    <w:pPr>
      <w:spacing w:after="0"/>
    </w:pPr>
    <w:tblPr>
      <w:tblStyleRowBandSize w:val="1"/>
      <w:tblStyleColBandSize w:val="1"/>
      <w:tblBorders>
        <w:top w:val="single" w:sz="4" w:space="0" w:color="007B4B" w:themeColor="accent2"/>
        <w:bottom w:val="single" w:sz="4" w:space="0" w:color="007B4B" w:themeColor="accent2"/>
        <w:insideH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paragraph" w:customStyle="1" w:styleId="Notesfortablesfigures">
    <w:name w:val="Notes for tables/figures"/>
    <w:link w:val="NotesfortablesfiguresChar"/>
    <w:locked/>
    <w:rsid w:val="00AC7E77"/>
    <w:pPr>
      <w:spacing w:after="0"/>
    </w:pPr>
    <w:rPr>
      <w:sz w:val="18"/>
    </w:rPr>
  </w:style>
  <w:style w:type="character" w:customStyle="1" w:styleId="NotesfortablesfiguresChar">
    <w:name w:val="Notes for tables/figures Char"/>
    <w:basedOn w:val="DefaultParagraphFont"/>
    <w:link w:val="Notesfortablesfigures"/>
    <w:rsid w:val="00AC7E77"/>
    <w:rPr>
      <w:rFonts w:ascii="Calibri Light" w:hAnsi="Calibri Light"/>
      <w:color w:val="000000" w:themeColor="text1"/>
      <w:sz w:val="18"/>
      <w:szCs w:val="20"/>
    </w:rPr>
  </w:style>
  <w:style w:type="paragraph" w:customStyle="1" w:styleId="Paragraph">
    <w:name w:val="Paragraph"/>
    <w:semiHidden/>
    <w:locked/>
    <w:rsid w:val="00F771F2"/>
    <w:pPr>
      <w:spacing w:before="180" w:after="180" w:line="276" w:lineRule="auto"/>
      <w:jc w:val="both"/>
    </w:pPr>
    <w:rPr>
      <w:color w:val="CCEFD9" w:themeColor="accent6"/>
    </w:rPr>
  </w:style>
  <w:style w:type="paragraph" w:customStyle="1" w:styleId="Parapraphbeforeabulletlist">
    <w:name w:val="Parapraph before a bullet list"/>
    <w:basedOn w:val="Paragraph"/>
    <w:link w:val="ParapraphbeforeabulletlistChar"/>
    <w:semiHidden/>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semiHidden/>
    <w:rsid w:val="003973E8"/>
    <w:rPr>
      <w:rFonts w:ascii="@MS PMincho" w:hAnsi="@MS PMincho" w:cs="@MS PMincho"/>
      <w:color w:val="CCEFD9" w:themeColor="accent6"/>
      <w:szCs w:val="44"/>
    </w:rPr>
  </w:style>
  <w:style w:type="paragraph" w:customStyle="1" w:styleId="09Sourcesandnotesfortablesfiguresboxes">
    <w:name w:val="09. Sources and notes for tables/figures/boxes"/>
    <w:basedOn w:val="Normal"/>
    <w:link w:val="09SourcesandnotesfortablesfiguresboxesChar"/>
    <w:qFormat/>
    <w:locked/>
    <w:rsid w:val="00FC34C2"/>
    <w:pPr>
      <w:spacing w:after="240"/>
      <w:ind w:right="-149"/>
      <w:contextualSpacing/>
    </w:pPr>
    <w:rPr>
      <w:sz w:val="18"/>
    </w:rPr>
  </w:style>
  <w:style w:type="character" w:customStyle="1" w:styleId="09SourcesandnotesfortablesfiguresboxesChar">
    <w:name w:val="09. Sources and notes for tables/figures/boxes Char"/>
    <w:basedOn w:val="DefaultParagraphFont"/>
    <w:link w:val="09Sourcesandnotesfortablesfiguresboxes"/>
    <w:rsid w:val="00FC34C2"/>
    <w:rPr>
      <w:rFonts w:ascii="Calibri Light" w:hAnsi="Calibri Light"/>
      <w:color w:val="000000" w:themeColor="text1"/>
      <w:sz w:val="18"/>
      <w:szCs w:val="20"/>
    </w:rPr>
  </w:style>
  <w:style w:type="paragraph" w:customStyle="1" w:styleId="Tabletext">
    <w:name w:val="Table text"/>
    <w:link w:val="TabletextChar"/>
    <w:locked/>
    <w:rsid w:val="001434B6"/>
    <w:pPr>
      <w:spacing w:after="0"/>
    </w:pPr>
  </w:style>
  <w:style w:type="character" w:customStyle="1" w:styleId="TabletextChar">
    <w:name w:val="Table text Char"/>
    <w:basedOn w:val="DefaultParagraphFont"/>
    <w:link w:val="Tabletext"/>
    <w:rsid w:val="001434B6"/>
    <w:rPr>
      <w:rFonts w:ascii="Calibri Light" w:hAnsi="Calibri Light"/>
      <w:color w:val="000000" w:themeColor="text1"/>
    </w:rPr>
  </w:style>
  <w:style w:type="paragraph" w:customStyle="1" w:styleId="07VIRTBreakouttext">
    <w:name w:val="07. VIRT Breakout text"/>
    <w:basedOn w:val="Normal"/>
    <w:link w:val="07VIRTBreakouttextChar"/>
    <w:qFormat/>
    <w:locked/>
    <w:rsid w:val="00845CD0"/>
    <w:pPr>
      <w:tabs>
        <w:tab w:val="center" w:pos="4680"/>
        <w:tab w:val="right" w:pos="9360"/>
      </w:tabs>
      <w:spacing w:before="180" w:line="276" w:lineRule="auto"/>
      <w:ind w:left="567" w:right="567"/>
      <w:mirrorIndents/>
      <w:jc w:val="both"/>
    </w:pPr>
    <w:rPr>
      <w:rFonts w:cs="Times New Roman (Body CS)"/>
      <w:i/>
      <w:color w:val="0E7650"/>
      <w:spacing w:val="-6"/>
    </w:rPr>
  </w:style>
  <w:style w:type="character" w:customStyle="1" w:styleId="07VIRTBreakouttextChar">
    <w:name w:val="07. VIRT Breakout text Char"/>
    <w:basedOn w:val="DefaultParagraphFont"/>
    <w:link w:val="07VIRTBreakouttext"/>
    <w:rsid w:val="00845CD0"/>
    <w:rPr>
      <w:rFonts w:ascii="Calibri Light" w:hAnsi="Calibri Light" w:cs="Times New Roman (Body CS)"/>
      <w:i/>
      <w:color w:val="0E7650"/>
      <w:spacing w:val="-6"/>
      <w:sz w:val="26"/>
    </w:rPr>
  </w:style>
  <w:style w:type="paragraph" w:customStyle="1" w:styleId="VIRTBulletpoints">
    <w:name w:val="VIRT Bullet points"/>
    <w:link w:val="VIRTBulletpointsChar"/>
    <w:semiHidden/>
    <w:qFormat/>
    <w:locked/>
    <w:rsid w:val="00AE11E9"/>
    <w:pPr>
      <w:spacing w:before="120" w:after="120" w:line="259" w:lineRule="auto"/>
      <w:contextualSpacing/>
    </w:pPr>
  </w:style>
  <w:style w:type="character" w:customStyle="1" w:styleId="VIRTBulletpointsChar">
    <w:name w:val="VIRT Bullet points Char"/>
    <w:basedOn w:val="DefaultParagraphFont"/>
    <w:link w:val="VIRTBulletpoints"/>
    <w:semiHidden/>
    <w:locked/>
    <w:rsid w:val="003973E8"/>
  </w:style>
  <w:style w:type="paragraph" w:customStyle="1" w:styleId="02VIRTHeading2">
    <w:name w:val="02. VIRT Heading 2"/>
    <w:basedOn w:val="Normal"/>
    <w:link w:val="02VIRTHeading2Char"/>
    <w:qFormat/>
    <w:locked/>
    <w:rsid w:val="00CC353D"/>
    <w:pPr>
      <w:keepNext/>
      <w:spacing w:before="240" w:after="240"/>
      <w:ind w:left="990" w:hanging="990"/>
      <w:outlineLvl w:val="1"/>
    </w:pPr>
    <w:rPr>
      <w:rFonts w:ascii="Rockwell" w:hAnsi="Rockwell" w:cs="Times New Roman (Body CS)"/>
      <w:color w:val="007449"/>
      <w:sz w:val="36"/>
      <w:szCs w:val="44"/>
    </w:rPr>
  </w:style>
  <w:style w:type="character" w:customStyle="1" w:styleId="02VIRTHeading2Char">
    <w:name w:val="02. VIRT Heading 2 Char"/>
    <w:basedOn w:val="DefaultParagraphFont"/>
    <w:link w:val="02VIRTHeading2"/>
    <w:rsid w:val="00CC353D"/>
    <w:rPr>
      <w:rFonts w:ascii="Rockwell" w:hAnsi="Rockwell" w:cs="Times New Roman (Body CS)"/>
      <w:color w:val="007449"/>
      <w:sz w:val="36"/>
      <w:szCs w:val="44"/>
    </w:rPr>
  </w:style>
  <w:style w:type="paragraph" w:customStyle="1" w:styleId="03VIRTHeading3">
    <w:name w:val="03. VIRT Heading 3"/>
    <w:basedOn w:val="Normal"/>
    <w:link w:val="03VIRTHeading3Char"/>
    <w:qFormat/>
    <w:locked/>
    <w:rsid w:val="00907136"/>
    <w:pPr>
      <w:keepNext/>
      <w:spacing w:before="240" w:after="240"/>
      <w:outlineLvl w:val="2"/>
    </w:pPr>
    <w:rPr>
      <w:rFonts w:ascii="Rockwell" w:hAnsi="Rockwell"/>
      <w:color w:val="005C37" w:themeColor="accent2" w:themeShade="BF"/>
      <w:spacing w:val="-6"/>
      <w:sz w:val="30"/>
    </w:rPr>
  </w:style>
  <w:style w:type="character" w:customStyle="1" w:styleId="03VIRTHeading3Char">
    <w:name w:val="03. VIRT Heading 3 Char"/>
    <w:basedOn w:val="DefaultParagraphFont"/>
    <w:link w:val="03VIRTHeading3"/>
    <w:locked/>
    <w:rsid w:val="00907136"/>
    <w:rPr>
      <w:rFonts w:ascii="Rockwell" w:hAnsi="Rockwell" w:cs="Arial"/>
      <w:color w:val="005C37" w:themeColor="accent2" w:themeShade="BF"/>
      <w:spacing w:val="-6"/>
      <w:sz w:val="30"/>
    </w:rPr>
  </w:style>
  <w:style w:type="paragraph" w:customStyle="1" w:styleId="04VIRTheading4">
    <w:name w:val="04. VIRT heading 4"/>
    <w:link w:val="04VIRTheading4Char"/>
    <w:qFormat/>
    <w:locked/>
    <w:rsid w:val="006E6BDD"/>
    <w:pPr>
      <w:keepNext/>
      <w:spacing w:before="120" w:after="120"/>
    </w:pPr>
    <w:rPr>
      <w:b/>
      <w:color w:val="00573F" w:themeColor="accent1"/>
    </w:rPr>
  </w:style>
  <w:style w:type="character" w:customStyle="1" w:styleId="04VIRTheading4Char">
    <w:name w:val="04. VIRT heading 4 Char"/>
    <w:basedOn w:val="DefaultParagraphFont"/>
    <w:link w:val="04VIRTheading4"/>
    <w:rsid w:val="006E6BDD"/>
    <w:rPr>
      <w:b/>
      <w:color w:val="00573F" w:themeColor="accent1"/>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rsid w:val="008829E5"/>
    <w:pPr>
      <w:spacing w:after="720"/>
    </w:pPr>
    <w:rPr>
      <w:rFonts w:ascii="Rockwell" w:hAnsi="Rockwell"/>
      <w:color w:val="00573F" w:themeColor="accent1"/>
      <w:sz w:val="72"/>
    </w:rPr>
  </w:style>
  <w:style w:type="character" w:customStyle="1" w:styleId="ChapterheadingChar">
    <w:name w:val="Chapter heading Char"/>
    <w:basedOn w:val="DefaultParagraphFont"/>
    <w:link w:val="Chapterheading"/>
    <w:rsid w:val="008829E5"/>
    <w:rPr>
      <w:rFonts w:ascii="Rockwell" w:hAnsi="Rockwell"/>
      <w:color w:val="00573F"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iPriority w:val="99"/>
    <w:unhideWhenUsed/>
    <w:rsid w:val="0006640C"/>
    <w:pPr>
      <w:tabs>
        <w:tab w:val="center" w:pos="4513"/>
        <w:tab w:val="right" w:pos="9026"/>
      </w:tabs>
      <w:spacing w:after="0"/>
    </w:pPr>
  </w:style>
  <w:style w:type="character" w:customStyle="1" w:styleId="HeaderChar">
    <w:name w:val="Header Char"/>
    <w:basedOn w:val="DefaultParagraphFont"/>
    <w:link w:val="Header"/>
    <w:uiPriority w:val="99"/>
    <w:rsid w:val="0006640C"/>
    <w:rPr>
      <w:rFonts w:ascii="Arial" w:hAnsi="Arial"/>
      <w:color w:val="7F7F7F" w:themeColor="text1" w:themeTint="80"/>
      <w:sz w:val="20"/>
    </w:rPr>
  </w:style>
  <w:style w:type="paragraph" w:styleId="Footer">
    <w:name w:val="footer"/>
    <w:basedOn w:val="Normal"/>
    <w:link w:val="FooterChar"/>
    <w:uiPriority w:val="99"/>
    <w:unhideWhenUsed/>
    <w:rsid w:val="0006640C"/>
    <w:pPr>
      <w:tabs>
        <w:tab w:val="center" w:pos="4513"/>
        <w:tab w:val="right" w:pos="9026"/>
      </w:tabs>
      <w:spacing w:after="0"/>
    </w:pPr>
  </w:style>
  <w:style w:type="character" w:customStyle="1" w:styleId="FooterChar">
    <w:name w:val="Footer Char"/>
    <w:basedOn w:val="DefaultParagraphFont"/>
    <w:link w:val="Footer"/>
    <w:uiPriority w:val="99"/>
    <w:rsid w:val="0006640C"/>
    <w:rPr>
      <w:rFonts w:ascii="Arial" w:hAnsi="Arial"/>
      <w:color w:val="7F7F7F" w:themeColor="text1" w:themeTint="80"/>
      <w:sz w:val="20"/>
    </w:rPr>
  </w:style>
  <w:style w:type="character" w:styleId="Hyperlink">
    <w:name w:val="Hyperlink"/>
    <w:basedOn w:val="DefaultParagraphFont"/>
    <w:uiPriority w:val="99"/>
    <w:unhideWhenUsed/>
    <w:rsid w:val="00B76457"/>
    <w:rPr>
      <w:color w:val="0000FF" w:themeColor="hyperlink"/>
      <w:u w:val="single"/>
    </w:rPr>
  </w:style>
  <w:style w:type="paragraph" w:styleId="TOC1">
    <w:name w:val="toc 1"/>
    <w:basedOn w:val="05Paragraph"/>
    <w:next w:val="05Paragraph"/>
    <w:link w:val="TOC1Char"/>
    <w:uiPriority w:val="39"/>
    <w:unhideWhenUsed/>
    <w:qFormat/>
    <w:rsid w:val="00D23539"/>
    <w:pPr>
      <w:tabs>
        <w:tab w:val="left" w:pos="504"/>
        <w:tab w:val="right" w:leader="dot" w:pos="8494"/>
      </w:tabs>
      <w:spacing w:before="120" w:after="120"/>
      <w:ind w:right="504"/>
    </w:pPr>
    <w:rPr>
      <w:b/>
      <w:noProof/>
      <w:lang w:eastAsia="en-AU"/>
    </w:rPr>
  </w:style>
  <w:style w:type="paragraph" w:styleId="TOC2">
    <w:name w:val="toc 2"/>
    <w:basedOn w:val="05Paragraph"/>
    <w:next w:val="05Paragraph"/>
    <w:uiPriority w:val="39"/>
    <w:unhideWhenUsed/>
    <w:rsid w:val="00023C4B"/>
    <w:pPr>
      <w:tabs>
        <w:tab w:val="left" w:pos="1200"/>
        <w:tab w:val="right" w:leader="dot" w:pos="8494"/>
      </w:tabs>
      <w:spacing w:before="120" w:after="120"/>
      <w:ind w:left="1200" w:right="504" w:hanging="696"/>
    </w:pPr>
    <w:rPr>
      <w:rFonts w:asciiTheme="minorHAnsi" w:eastAsiaTheme="minorEastAsia" w:hAnsiTheme="minorHAnsi" w:cstheme="minorBidi"/>
      <w:noProof/>
      <w:color w:val="auto"/>
      <w:kern w:val="2"/>
      <w:sz w:val="24"/>
      <w:szCs w:val="24"/>
      <w:lang w:eastAsia="en-AU"/>
      <w14:ligatures w14:val="standardContextual"/>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05Paragraph"/>
    <w:next w:val="05Paragraph"/>
    <w:uiPriority w:val="99"/>
    <w:unhideWhenUsed/>
    <w:rsid w:val="001D3424"/>
    <w:pPr>
      <w:tabs>
        <w:tab w:val="right" w:leader="dot" w:pos="8494"/>
      </w:tabs>
      <w:spacing w:before="120" w:after="120"/>
      <w:ind w:right="576"/>
    </w:pPr>
    <w:rPr>
      <w:color w:val="auto"/>
    </w:rPr>
  </w:style>
  <w:style w:type="table" w:styleId="TableGrid">
    <w:name w:val="Table Grid"/>
    <w:basedOn w:val="TableNormal"/>
    <w:uiPriority w:val="59"/>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Footnotes"/>
    <w:link w:val="FootnoteTextChar"/>
    <w:uiPriority w:val="99"/>
    <w:unhideWhenUsed/>
    <w:qFormat/>
    <w:rsid w:val="00673EF5"/>
  </w:style>
  <w:style w:type="character" w:customStyle="1" w:styleId="FootnoteTextChar">
    <w:name w:val="Footnote Text Char"/>
    <w:basedOn w:val="DefaultParagraphFont"/>
    <w:link w:val="FootnoteText"/>
    <w:uiPriority w:val="99"/>
    <w:rsid w:val="00673EF5"/>
    <w:rPr>
      <w:rFonts w:ascii="Calibri Light" w:hAnsi="Calibri Light" w:cs="Times New Roman (Body CS)"/>
      <w:color w:val="000000" w:themeColor="text1"/>
      <w:spacing w:val="-6"/>
      <w:sz w:val="18"/>
      <w:szCs w:val="72"/>
    </w:rPr>
  </w:style>
  <w:style w:type="character" w:styleId="FootnoteReference">
    <w:name w:val="footnote reference"/>
    <w:basedOn w:val="DefaultParagraphFont"/>
    <w:uiPriority w:val="99"/>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semiHidden/>
    <w:rsid w:val="00FB79D3"/>
  </w:style>
  <w:style w:type="character" w:customStyle="1" w:styleId="CommentTextChar">
    <w:name w:val="Comment Text Char"/>
    <w:basedOn w:val="DefaultParagraphFont"/>
    <w:link w:val="CommentText"/>
    <w:uiPriority w:val="99"/>
    <w:semiHidden/>
    <w:rsid w:val="000D725D"/>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rsid w:val="000162EE"/>
    <w:pPr>
      <w:keepNext/>
      <w:spacing w:after="0"/>
      <w:contextualSpacing/>
    </w:pPr>
    <w:rPr>
      <w:rFonts w:eastAsia="Rockwell"/>
      <w:lang w:val="en-US"/>
    </w:rPr>
  </w:style>
  <w:style w:type="character" w:customStyle="1" w:styleId="TextinthetableChar">
    <w:name w:val="Text in the table Char"/>
    <w:basedOn w:val="DefaultParagraphFont"/>
    <w:link w:val="Textinthetable"/>
    <w:rsid w:val="000162EE"/>
    <w:rPr>
      <w:rFonts w:ascii="Calibri Light" w:eastAsia="Rockwell" w:hAnsi="Calibri Light" w:cs="Arial"/>
      <w:lang w:val="en-US"/>
    </w:rPr>
  </w:style>
  <w:style w:type="paragraph" w:customStyle="1" w:styleId="Parabeforeabulletlist">
    <w:name w:val="Para before a bullet list"/>
    <w:basedOn w:val="Normal"/>
    <w:link w:val="ParabeforeabulletlistChar"/>
    <w:semiHidden/>
    <w:rsid w:val="00B9267A"/>
    <w:pPr>
      <w:spacing w:before="240" w:after="120" w:line="276" w:lineRule="auto"/>
      <w:jc w:val="both"/>
    </w:pPr>
    <w:rPr>
      <w:rFonts w:cs="Times New Roman (Body CS)"/>
      <w:color w:val="CCEFD9" w:themeColor="accent6"/>
      <w:szCs w:val="44"/>
    </w:rPr>
  </w:style>
  <w:style w:type="character" w:customStyle="1" w:styleId="ParabeforeabulletlistChar">
    <w:name w:val="Para before a bullet list Char"/>
    <w:basedOn w:val="DefaultParagraphFont"/>
    <w:link w:val="Parabeforeabulletlist"/>
    <w:semiHidden/>
    <w:rsid w:val="003973E8"/>
    <w:rPr>
      <w:rFonts w:cs="Times New Roman (Body CS)"/>
      <w:color w:val="CCEFD9" w:themeColor="accent6"/>
      <w:szCs w:val="44"/>
    </w:rPr>
  </w:style>
  <w:style w:type="paragraph" w:styleId="Caption">
    <w:name w:val="caption"/>
    <w:basedOn w:val="Normal"/>
    <w:next w:val="Normal"/>
    <w:uiPriority w:val="35"/>
    <w:unhideWhenUsed/>
    <w:rsid w:val="00481F5A"/>
    <w:pPr>
      <w:spacing w:after="200"/>
    </w:pPr>
    <w:rPr>
      <w:i/>
      <w:iCs/>
      <w:color w:val="53565A" w:themeColor="text2"/>
      <w:sz w:val="18"/>
      <w:szCs w:val="18"/>
    </w:rPr>
  </w:style>
  <w:style w:type="character" w:styleId="FollowedHyperlink">
    <w:name w:val="FollowedHyperlink"/>
    <w:basedOn w:val="DefaultParagraphFont"/>
    <w:uiPriority w:val="99"/>
    <w:semiHidden/>
    <w:unhideWhenUsed/>
    <w:rsid w:val="00B83A6E"/>
    <w:rPr>
      <w:color w:val="800080" w:themeColor="followedHyperlink"/>
      <w:u w:val="single"/>
    </w:rPr>
  </w:style>
  <w:style w:type="character" w:styleId="UnresolvedMention">
    <w:name w:val="Unresolved Mention"/>
    <w:basedOn w:val="DefaultParagraphFont"/>
    <w:uiPriority w:val="99"/>
    <w:semiHidden/>
    <w:rsid w:val="00E25847"/>
    <w:rPr>
      <w:color w:val="605E5C"/>
      <w:shd w:val="clear" w:color="auto" w:fill="E1DFDD"/>
    </w:rPr>
  </w:style>
  <w:style w:type="character" w:styleId="BookTitle">
    <w:name w:val="Book Title"/>
    <w:basedOn w:val="DefaultParagraphFont"/>
    <w:uiPriority w:val="33"/>
    <w:semiHidden/>
    <w:rsid w:val="0003672D"/>
    <w:rPr>
      <w:rFonts w:ascii="Arial" w:hAnsi="Arial"/>
      <w:b/>
      <w:bCs/>
      <w:i w:val="0"/>
      <w:caps/>
      <w:smallCaps w:val="0"/>
      <w:color w:val="53565A" w:themeColor="text2"/>
      <w:spacing w:val="10"/>
      <w:sz w:val="20"/>
    </w:rPr>
  </w:style>
  <w:style w:type="character" w:customStyle="1" w:styleId="ParabeforebulletlistChar">
    <w:name w:val="Para before bullet list Char"/>
    <w:basedOn w:val="DefaultParagraphFont"/>
    <w:link w:val="Parabeforebulletlist"/>
    <w:semiHidden/>
    <w:locked/>
    <w:rsid w:val="003973E8"/>
    <w:rPr>
      <w:color w:val="CCEFD9" w:themeColor="accent6"/>
    </w:rPr>
  </w:style>
  <w:style w:type="paragraph" w:customStyle="1" w:styleId="Parabeforebulletlist">
    <w:name w:val="Para before bullet list"/>
    <w:link w:val="ParabeforebulletlistChar"/>
    <w:autoRedefine/>
    <w:semiHidden/>
    <w:rsid w:val="0003672D"/>
    <w:pPr>
      <w:keepNext/>
      <w:spacing w:before="120" w:after="120" w:line="276" w:lineRule="auto"/>
      <w:jc w:val="both"/>
    </w:pPr>
    <w:rPr>
      <w:color w:val="CCEFD9" w:themeColor="accent6"/>
    </w:rPr>
  </w:style>
  <w:style w:type="paragraph" w:styleId="TOCHeading">
    <w:name w:val="TOC Heading"/>
    <w:basedOn w:val="Heading1"/>
    <w:next w:val="Normal"/>
    <w:uiPriority w:val="39"/>
    <w:unhideWhenUsed/>
    <w:rsid w:val="001E105B"/>
    <w:pPr>
      <w:spacing w:before="240" w:line="259" w:lineRule="auto"/>
      <w:outlineLvl w:val="9"/>
    </w:pPr>
    <w:rPr>
      <w:rFonts w:asciiTheme="majorHAnsi" w:hAnsiTheme="majorHAnsi" w:cstheme="majorBidi"/>
      <w:bCs w:val="0"/>
      <w:color w:val="00412E" w:themeColor="accent1" w:themeShade="BF"/>
      <w:spacing w:val="0"/>
      <w:sz w:val="32"/>
      <w:szCs w:val="32"/>
      <w:lang w:val="en-US"/>
    </w:rPr>
  </w:style>
  <w:style w:type="table" w:customStyle="1" w:styleId="Boxtable">
    <w:name w:val="Box table"/>
    <w:basedOn w:val="TableNormal"/>
    <w:uiPriority w:val="99"/>
    <w:rsid w:val="001A34BC"/>
    <w:pPr>
      <w:spacing w:after="0"/>
    </w:pPr>
    <w:tblPr>
      <w:tblBorders>
        <w:top w:val="single" w:sz="12" w:space="0" w:color="007B4B" w:themeColor="accent2"/>
        <w:left w:val="single" w:sz="12" w:space="0" w:color="007B4B" w:themeColor="accent2"/>
        <w:bottom w:val="single" w:sz="12" w:space="0" w:color="007B4B" w:themeColor="accent2"/>
        <w:right w:val="single" w:sz="12" w:space="0" w:color="007B4B" w:themeColor="accent2"/>
      </w:tblBorders>
    </w:tblPr>
    <w:trPr>
      <w:cantSplit/>
    </w:trPr>
  </w:style>
  <w:style w:type="paragraph" w:styleId="ListParagraph">
    <w:name w:val="List Paragraph"/>
    <w:basedOn w:val="Normal"/>
    <w:uiPriority w:val="34"/>
    <w:semiHidden/>
    <w:qFormat/>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00573F" w:themeColor="accent1"/>
        <w:left w:val="single" w:sz="2" w:space="10" w:color="00573F" w:themeColor="accent1"/>
        <w:bottom w:val="single" w:sz="2" w:space="10" w:color="00573F" w:themeColor="accent1"/>
        <w:right w:val="single" w:sz="2" w:space="10" w:color="00573F" w:themeColor="accent1"/>
      </w:pBdr>
      <w:ind w:left="1152" w:right="1152"/>
    </w:pPr>
    <w:rPr>
      <w:rFonts w:asciiTheme="minorHAnsi" w:eastAsiaTheme="minorEastAsia" w:hAnsiTheme="minorHAnsi"/>
      <w:i/>
      <w:iCs/>
      <w:color w:val="00573F"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7A4F80"/>
    <w:pPr>
      <w:pBdr>
        <w:top w:val="single" w:sz="4" w:space="10" w:color="00573F" w:themeColor="accent1"/>
        <w:bottom w:val="single" w:sz="4" w:space="10" w:color="00573F" w:themeColor="accent1"/>
      </w:pBdr>
      <w:spacing w:before="360" w:after="360"/>
      <w:ind w:left="864" w:right="864"/>
      <w:jc w:val="center"/>
    </w:pPr>
    <w:rPr>
      <w:i/>
      <w:iCs/>
      <w:color w:val="00573F" w:themeColor="accent1"/>
    </w:rPr>
  </w:style>
  <w:style w:type="character" w:customStyle="1" w:styleId="IntenseQuoteChar">
    <w:name w:val="Intense Quote Char"/>
    <w:basedOn w:val="DefaultParagraphFont"/>
    <w:link w:val="IntenseQuote"/>
    <w:uiPriority w:val="30"/>
    <w:semiHidden/>
    <w:rsid w:val="000D725D"/>
    <w:rPr>
      <w:i/>
      <w:iCs/>
      <w:color w:val="00573F" w:themeColor="accent1"/>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3"/>
      </w:numPr>
      <w:contextualSpacing/>
    </w:pPr>
  </w:style>
  <w:style w:type="paragraph" w:styleId="ListBullet2">
    <w:name w:val="List Bullet 2"/>
    <w:basedOn w:val="Normal"/>
    <w:uiPriority w:val="99"/>
    <w:semiHidden/>
    <w:unhideWhenUsed/>
    <w:rsid w:val="007A4F80"/>
    <w:pPr>
      <w:numPr>
        <w:numId w:val="4"/>
      </w:numPr>
      <w:contextualSpacing/>
    </w:pPr>
  </w:style>
  <w:style w:type="paragraph" w:styleId="ListBullet3">
    <w:name w:val="List Bullet 3"/>
    <w:basedOn w:val="Normal"/>
    <w:uiPriority w:val="99"/>
    <w:semiHidden/>
    <w:unhideWhenUsed/>
    <w:rsid w:val="007A4F80"/>
    <w:pPr>
      <w:numPr>
        <w:numId w:val="5"/>
      </w:numPr>
      <w:contextualSpacing/>
    </w:pPr>
  </w:style>
  <w:style w:type="paragraph" w:styleId="ListBullet4">
    <w:name w:val="List Bullet 4"/>
    <w:basedOn w:val="Normal"/>
    <w:uiPriority w:val="99"/>
    <w:semiHidden/>
    <w:unhideWhenUsed/>
    <w:rsid w:val="007A4F80"/>
    <w:pPr>
      <w:numPr>
        <w:numId w:val="6"/>
      </w:numPr>
      <w:contextualSpacing/>
    </w:pPr>
  </w:style>
  <w:style w:type="paragraph" w:styleId="ListBullet5">
    <w:name w:val="List Bullet 5"/>
    <w:basedOn w:val="Normal"/>
    <w:uiPriority w:val="99"/>
    <w:semiHidden/>
    <w:unhideWhenUsed/>
    <w:rsid w:val="007A4F80"/>
    <w:pPr>
      <w:numPr>
        <w:numId w:val="7"/>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8"/>
      </w:numPr>
      <w:contextualSpacing/>
    </w:pPr>
  </w:style>
  <w:style w:type="paragraph" w:styleId="ListNumber2">
    <w:name w:val="List Number 2"/>
    <w:basedOn w:val="Normal"/>
    <w:uiPriority w:val="99"/>
    <w:semiHidden/>
    <w:unhideWhenUsed/>
    <w:rsid w:val="007A4F80"/>
    <w:pPr>
      <w:numPr>
        <w:numId w:val="9"/>
      </w:numPr>
      <w:contextualSpacing/>
    </w:pPr>
  </w:style>
  <w:style w:type="paragraph" w:styleId="ListNumber3">
    <w:name w:val="List Number 3"/>
    <w:basedOn w:val="Normal"/>
    <w:uiPriority w:val="99"/>
    <w:semiHidden/>
    <w:unhideWhenUsed/>
    <w:rsid w:val="007A4F80"/>
    <w:pPr>
      <w:numPr>
        <w:numId w:val="10"/>
      </w:numPr>
      <w:contextualSpacing/>
    </w:pPr>
  </w:style>
  <w:style w:type="paragraph" w:styleId="ListNumber4">
    <w:name w:val="List Number 4"/>
    <w:basedOn w:val="Normal"/>
    <w:uiPriority w:val="99"/>
    <w:semiHidden/>
    <w:unhideWhenUsed/>
    <w:rsid w:val="007A4F80"/>
    <w:pPr>
      <w:numPr>
        <w:numId w:val="11"/>
      </w:numPr>
      <w:contextualSpacing/>
    </w:pPr>
  </w:style>
  <w:style w:type="paragraph" w:styleId="ListNumber5">
    <w:name w:val="List Number 5"/>
    <w:basedOn w:val="Normal"/>
    <w:uiPriority w:val="99"/>
    <w:semiHidden/>
    <w:unhideWhenUsed/>
    <w:rsid w:val="007A4F80"/>
    <w:pPr>
      <w:numPr>
        <w:numId w:val="12"/>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semiHidden/>
    <w:rsid w:val="007A4F80"/>
    <w:pPr>
      <w:spacing w:after="0"/>
    </w:pPr>
    <w:rPr>
      <w:rFonts w:ascii="Arial" w:hAnsi="Arial"/>
      <w:color w:val="7F7F7F" w:themeColor="text1" w:themeTint="80"/>
      <w:sz w:val="20"/>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rsid w:val="007A4F8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F80"/>
    <w:pPr>
      <w:spacing w:after="100"/>
      <w:ind w:left="600"/>
    </w:pPr>
  </w:style>
  <w:style w:type="paragraph" w:styleId="TOC5">
    <w:name w:val="toc 5"/>
    <w:basedOn w:val="Normal"/>
    <w:next w:val="Normal"/>
    <w:autoRedefine/>
    <w:semiHidden/>
    <w:unhideWhenUsed/>
    <w:rsid w:val="007A4F80"/>
    <w:pPr>
      <w:spacing w:after="100"/>
      <w:ind w:left="800"/>
    </w:pPr>
  </w:style>
  <w:style w:type="paragraph" w:styleId="TOC6">
    <w:name w:val="toc 6"/>
    <w:basedOn w:val="Normal"/>
    <w:next w:val="Normal"/>
    <w:autoRedefine/>
    <w:semiHidden/>
    <w:unhideWhenUsed/>
    <w:rsid w:val="007A4F80"/>
    <w:pPr>
      <w:spacing w:after="100"/>
      <w:ind w:left="1000"/>
    </w:pPr>
  </w:style>
  <w:style w:type="paragraph" w:styleId="TOC7">
    <w:name w:val="toc 7"/>
    <w:basedOn w:val="Normal"/>
    <w:next w:val="Normal"/>
    <w:autoRedefine/>
    <w:semiHidden/>
    <w:unhideWhenUsed/>
    <w:rsid w:val="007A4F80"/>
    <w:pPr>
      <w:spacing w:after="100"/>
      <w:ind w:left="1200"/>
    </w:pPr>
  </w:style>
  <w:style w:type="paragraph" w:styleId="TOC8">
    <w:name w:val="toc 8"/>
    <w:basedOn w:val="Normal"/>
    <w:next w:val="Normal"/>
    <w:autoRedefine/>
    <w:semiHidden/>
    <w:unhideWhenUsed/>
    <w:rsid w:val="007A4F80"/>
    <w:pPr>
      <w:spacing w:after="100"/>
      <w:ind w:left="1400"/>
    </w:pPr>
  </w:style>
  <w:style w:type="paragraph" w:styleId="TOC9">
    <w:name w:val="toc 9"/>
    <w:basedOn w:val="Normal"/>
    <w:next w:val="Normal"/>
    <w:autoRedefine/>
    <w:semiHidden/>
    <w:unhideWhenUsed/>
    <w:rsid w:val="007A4F80"/>
    <w:pPr>
      <w:spacing w:after="100"/>
      <w:ind w:left="1600"/>
    </w:pPr>
  </w:style>
  <w:style w:type="character" w:customStyle="1" w:styleId="CommentTextChar1">
    <w:name w:val="Comment Text Char1"/>
    <w:basedOn w:val="DefaultParagraphFont"/>
    <w:uiPriority w:val="99"/>
    <w:semiHidden/>
    <w:rsid w:val="00691224"/>
    <w:rPr>
      <w:rFonts w:ascii="Arial" w:hAnsi="Arial"/>
      <w:color w:val="7F7F7F" w:themeColor="text1" w:themeTint="80"/>
      <w:sz w:val="20"/>
      <w:szCs w:val="20"/>
    </w:rPr>
  </w:style>
  <w:style w:type="paragraph" w:customStyle="1" w:styleId="05Paragraph">
    <w:name w:val="05. Paragraph"/>
    <w:link w:val="05ParagraphChar"/>
    <w:qFormat/>
    <w:locked/>
    <w:rsid w:val="001A34BC"/>
    <w:pPr>
      <w:keepLines/>
      <w:spacing w:before="180" w:after="0" w:line="276" w:lineRule="auto"/>
    </w:pPr>
  </w:style>
  <w:style w:type="character" w:customStyle="1" w:styleId="05ParagraphChar">
    <w:name w:val="05. Paragraph Char"/>
    <w:basedOn w:val="DefaultParagraphFont"/>
    <w:link w:val="05Paragraph"/>
    <w:rsid w:val="001A34BC"/>
  </w:style>
  <w:style w:type="paragraph" w:customStyle="1" w:styleId="Paragraphbeforeabulletlist">
    <w:name w:val="Paragraph before a bullet list"/>
    <w:basedOn w:val="Paragraph"/>
    <w:link w:val="ParagraphbeforeabulletlistChar"/>
    <w:autoRedefine/>
    <w:locked/>
    <w:rsid w:val="001434B6"/>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1434B6"/>
    <w:rPr>
      <w:rFonts w:ascii="Calibri Light" w:hAnsi="Calibri Light" w:cs="Times New Roman (Body CS)"/>
      <w:noProof/>
      <w:sz w:val="26"/>
      <w:szCs w:val="44"/>
    </w:rPr>
  </w:style>
  <w:style w:type="character" w:customStyle="1" w:styleId="FiguretitleChar">
    <w:name w:val="Figure title Char"/>
    <w:basedOn w:val="DefaultParagraphFont"/>
    <w:link w:val="Figuretitle"/>
    <w:locked/>
    <w:rsid w:val="008F6079"/>
    <w:rPr>
      <w:rFonts w:ascii="Calibri Light" w:hAnsi="Calibri Light" w:cs="Times New Roman (Body CS)"/>
      <w:b/>
      <w:noProof/>
      <w:color w:val="005C37" w:themeColor="accent2" w:themeShade="BF"/>
      <w:sz w:val="24"/>
      <w:szCs w:val="24"/>
      <w:lang w:val="en-US"/>
    </w:rPr>
  </w:style>
  <w:style w:type="paragraph" w:customStyle="1" w:styleId="Figuretitle">
    <w:name w:val="Figure title"/>
    <w:link w:val="FiguretitleChar"/>
    <w:autoRedefine/>
    <w:rsid w:val="008F6079"/>
    <w:pPr>
      <w:keepNext/>
      <w:spacing w:before="240" w:after="120"/>
    </w:pPr>
    <w:rPr>
      <w:rFonts w:cs="Times New Roman (Body CS)"/>
      <w:b/>
      <w:noProof/>
      <w:color w:val="005C37" w:themeColor="accent2" w:themeShade="BF"/>
      <w:sz w:val="24"/>
      <w:szCs w:val="24"/>
      <w:lang w:val="en-US"/>
    </w:rPr>
  </w:style>
  <w:style w:type="paragraph" w:customStyle="1" w:styleId="Tablebullets">
    <w:name w:val="Table bullets"/>
    <w:link w:val="TablebulletsChar"/>
    <w:semiHidden/>
    <w:rsid w:val="00EF01B2"/>
    <w:pPr>
      <w:spacing w:before="60" w:after="60"/>
      <w:contextualSpacing/>
    </w:pPr>
    <w:rPr>
      <w:rFonts w:cs="Times New Roman (Body CS)"/>
      <w:color w:val="CCEFD9" w:themeColor="accent6"/>
    </w:rPr>
  </w:style>
  <w:style w:type="character" w:customStyle="1" w:styleId="TablebulletsChar">
    <w:name w:val="Table bullets Char"/>
    <w:basedOn w:val="DefaultParagraphFont"/>
    <w:link w:val="Tablebullets"/>
    <w:semiHidden/>
    <w:locked/>
    <w:rsid w:val="003973E8"/>
    <w:rPr>
      <w:rFonts w:cs="Times New Roman (Body CS)"/>
      <w:color w:val="CCEFD9" w:themeColor="accent6"/>
    </w:rPr>
  </w:style>
  <w:style w:type="paragraph" w:customStyle="1" w:styleId="Tableheaderrow">
    <w:name w:val="Table header row"/>
    <w:link w:val="TableheaderrowChar"/>
    <w:semiHidden/>
    <w:rsid w:val="00B1131E"/>
    <w:pPr>
      <w:spacing w:after="0"/>
    </w:pPr>
    <w:rPr>
      <w:rFonts w:eastAsia="Rockwell"/>
      <w:b/>
      <w:bCs/>
      <w:color w:val="CCEFD9" w:themeColor="accent6"/>
    </w:rPr>
  </w:style>
  <w:style w:type="character" w:customStyle="1" w:styleId="TableheaderrowChar">
    <w:name w:val="Table header row Char"/>
    <w:basedOn w:val="DefaultParagraphFont"/>
    <w:link w:val="Tableheaderrow"/>
    <w:semiHidden/>
    <w:rsid w:val="003973E8"/>
    <w:rPr>
      <w:rFonts w:eastAsia="Rockwell"/>
      <w:b/>
      <w:bCs/>
      <w:color w:val="CCEFD9" w:themeColor="accent6"/>
    </w:rPr>
  </w:style>
  <w:style w:type="paragraph" w:customStyle="1" w:styleId="Instrumenttableofcontents">
    <w:name w:val="Instrument table of contents"/>
    <w:qFormat/>
    <w:rsid w:val="00B1131E"/>
    <w:pPr>
      <w:spacing w:before="180" w:after="180" w:line="276" w:lineRule="auto"/>
      <w:jc w:val="both"/>
    </w:pPr>
    <w:rPr>
      <w:bCs/>
    </w:rPr>
  </w:style>
  <w:style w:type="table" w:customStyle="1" w:styleId="VIRTDeterminationTableStyle">
    <w:name w:val="VIRT Determination Table Style"/>
    <w:basedOn w:val="TableNormal"/>
    <w:next w:val="ListTable3-Accent2"/>
    <w:uiPriority w:val="48"/>
    <w:rsid w:val="00EE7F4C"/>
    <w:pPr>
      <w:spacing w:after="0"/>
    </w:pPr>
    <w:rPr>
      <w:rFonts w:eastAsia="Rockwell" w:cs="Times New Roman"/>
      <w:sz w:val="22"/>
    </w:rPr>
    <w:tblPr>
      <w:tblStyleRowBandSize w:val="1"/>
      <w:tblStyleColBandSize w:val="1"/>
      <w:tblInd w:w="0" w:type="nil"/>
      <w:tblBorders>
        <w:top w:val="single" w:sz="4" w:space="0" w:color="007B4B" w:themeColor="accent2"/>
        <w:bottom w:val="single" w:sz="4" w:space="0" w:color="007B4B" w:themeColor="accent2"/>
      </w:tblBorders>
    </w:tblPr>
    <w:tblStylePr w:type="firstRow">
      <w:pPr>
        <w:jc w:val="left"/>
      </w:pPr>
      <w:rPr>
        <w:rFonts w:ascii="Calibri Light" w:hAnsi="Calibri Light" w:cs="Calibri Light" w:hint="default"/>
        <w:b/>
        <w:bCs/>
        <w:color w:val="FFFFFF" w:themeColor="background1"/>
        <w:sz w:val="22"/>
        <w:szCs w:val="22"/>
      </w:rPr>
      <w:tblPr/>
      <w:tcPr>
        <w:shd w:val="clear" w:color="auto" w:fill="00573F" w:themeFill="accent1"/>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Parapraph">
    <w:name w:val="Parapraph"/>
    <w:link w:val="ParapraphChar"/>
    <w:semiHidden/>
    <w:rsid w:val="00B1131E"/>
    <w:pPr>
      <w:spacing w:before="180" w:after="180" w:line="276" w:lineRule="auto"/>
      <w:jc w:val="both"/>
    </w:pPr>
    <w:rPr>
      <w:rFonts w:cs="Times New Roman (Body CS)"/>
      <w:color w:val="CCEFD9" w:themeColor="accent6"/>
      <w:szCs w:val="44"/>
    </w:rPr>
  </w:style>
  <w:style w:type="character" w:customStyle="1" w:styleId="ParapraphChar">
    <w:name w:val="Parapraph Char"/>
    <w:basedOn w:val="DefaultParagraphFont"/>
    <w:link w:val="Parapraph"/>
    <w:semiHidden/>
    <w:rsid w:val="003973E8"/>
    <w:rPr>
      <w:rFonts w:cs="Times New Roman (Body CS)"/>
      <w:color w:val="CCEFD9" w:themeColor="accent6"/>
      <w:szCs w:val="44"/>
    </w:rPr>
  </w:style>
  <w:style w:type="paragraph" w:customStyle="1" w:styleId="Heading">
    <w:name w:val="Heading"/>
    <w:link w:val="HeadingChar"/>
    <w:autoRedefine/>
    <w:locked/>
    <w:rsid w:val="00051414"/>
    <w:pPr>
      <w:spacing w:after="720"/>
      <w:outlineLvl w:val="0"/>
    </w:pPr>
    <w:rPr>
      <w:rFonts w:ascii="Rockwell" w:hAnsi="Rockwell" w:cs="Times New Roman (Body CS)"/>
      <w:color w:val="FFFFFF" w:themeColor="background1"/>
      <w:spacing w:val="-6"/>
      <w:sz w:val="56"/>
      <w:szCs w:val="72"/>
    </w:rPr>
  </w:style>
  <w:style w:type="character" w:customStyle="1" w:styleId="HeadingChar">
    <w:name w:val="Heading Char"/>
    <w:basedOn w:val="02VIRTHeading2Char"/>
    <w:link w:val="Heading"/>
    <w:rsid w:val="00051414"/>
    <w:rPr>
      <w:rFonts w:ascii="Rockwell" w:hAnsi="Rockwell" w:cs="Times New Roman (Body CS)"/>
      <w:color w:val="FFFFFF" w:themeColor="background1"/>
      <w:spacing w:val="-6"/>
      <w:sz w:val="56"/>
      <w:szCs w:val="72"/>
    </w:rPr>
  </w:style>
  <w:style w:type="paragraph" w:customStyle="1" w:styleId="Numberedparagraphs">
    <w:name w:val="Numbered paragraphs"/>
    <w:link w:val="NumberedparagraphsChar"/>
    <w:semiHidden/>
    <w:locked/>
    <w:rsid w:val="00051414"/>
    <w:pPr>
      <w:numPr>
        <w:numId w:val="20"/>
      </w:numPr>
      <w:spacing w:before="180" w:after="180" w:line="276" w:lineRule="auto"/>
    </w:pPr>
    <w:rPr>
      <w:rFonts w:cs="Times New Roman (Body CS)"/>
      <w:color w:val="CCEFD9" w:themeColor="accent6"/>
      <w:szCs w:val="44"/>
    </w:rPr>
  </w:style>
  <w:style w:type="character" w:customStyle="1" w:styleId="NumberedparagraphsChar">
    <w:name w:val="Numbered paragraphs Char"/>
    <w:basedOn w:val="DefaultParagraphFont"/>
    <w:link w:val="Numberedparagraphs"/>
    <w:semiHidden/>
    <w:rsid w:val="003973E8"/>
    <w:rPr>
      <w:rFonts w:cs="Times New Roman (Body CS)"/>
      <w:color w:val="CCEFD9" w:themeColor="accent6"/>
      <w:szCs w:val="44"/>
    </w:rPr>
  </w:style>
  <w:style w:type="paragraph" w:customStyle="1" w:styleId="DPCnumberdigit">
    <w:name w:val="DPC number digit"/>
    <w:basedOn w:val="Normal"/>
    <w:uiPriority w:val="4"/>
    <w:semiHidden/>
    <w:rsid w:val="00051414"/>
    <w:pPr>
      <w:numPr>
        <w:numId w:val="21"/>
      </w:numPr>
      <w:spacing w:after="160" w:line="300" w:lineRule="atLeast"/>
    </w:pPr>
    <w:rPr>
      <w:rFonts w:asciiTheme="minorHAnsi" w:eastAsia="Times" w:hAnsiTheme="minorHAnsi"/>
      <w:sz w:val="22"/>
    </w:rPr>
  </w:style>
  <w:style w:type="paragraph" w:customStyle="1" w:styleId="DPCtabletext">
    <w:name w:val="DPC table text"/>
    <w:uiPriority w:val="3"/>
    <w:semiHidden/>
    <w:qFormat/>
    <w:rsid w:val="00051414"/>
    <w:pPr>
      <w:spacing w:before="60" w:after="40"/>
    </w:pPr>
    <w:rPr>
      <w:rFonts w:eastAsia="Times New Roman" w:cs="Times New Roman"/>
      <w:sz w:val="20"/>
    </w:rPr>
  </w:style>
  <w:style w:type="numbering" w:customStyle="1" w:styleId="ZZNumbersdigit">
    <w:name w:val="ZZ Numbers digit"/>
    <w:basedOn w:val="NoList"/>
    <w:uiPriority w:val="99"/>
    <w:rsid w:val="00051414"/>
    <w:pPr>
      <w:numPr>
        <w:numId w:val="21"/>
      </w:numPr>
    </w:pPr>
  </w:style>
  <w:style w:type="paragraph" w:customStyle="1" w:styleId="VIRTCoverPageHeading">
    <w:name w:val="VIRT Cover Page Heading"/>
    <w:basedOn w:val="Normal"/>
    <w:rsid w:val="00051414"/>
    <w:rPr>
      <w:rFonts w:asciiTheme="minorHAnsi" w:hAnsiTheme="minorHAnsi"/>
      <w:noProof/>
      <w:color w:val="FFFFFF" w:themeColor="background1"/>
      <w:spacing w:val="20"/>
      <w:sz w:val="64"/>
      <w:lang w:val="en-US"/>
    </w:rPr>
  </w:style>
  <w:style w:type="paragraph" w:customStyle="1" w:styleId="TOClevel1">
    <w:name w:val="TOC level 1"/>
    <w:basedOn w:val="TOC1"/>
    <w:link w:val="TOClevel1Char"/>
    <w:rsid w:val="00051414"/>
    <w:pPr>
      <w:tabs>
        <w:tab w:val="left" w:pos="440"/>
      </w:tabs>
      <w:spacing w:before="0" w:after="100" w:line="259" w:lineRule="auto"/>
    </w:pPr>
  </w:style>
  <w:style w:type="character" w:customStyle="1" w:styleId="TOC1Char">
    <w:name w:val="TOC 1 Char"/>
    <w:basedOn w:val="DefaultParagraphFont"/>
    <w:link w:val="TOC1"/>
    <w:uiPriority w:val="39"/>
    <w:rsid w:val="00D23539"/>
    <w:rPr>
      <w:b/>
      <w:noProof/>
      <w:lang w:eastAsia="en-AU"/>
    </w:rPr>
  </w:style>
  <w:style w:type="character" w:customStyle="1" w:styleId="TOClevel1Char">
    <w:name w:val="TOC level 1 Char"/>
    <w:basedOn w:val="TOC1Char"/>
    <w:link w:val="TOClevel1"/>
    <w:rsid w:val="00051414"/>
    <w:rPr>
      <w:rFonts w:ascii="Calibri Light" w:hAnsi="Calibri Light" w:cs="Arial"/>
      <w:b/>
      <w:noProof/>
      <w:color w:val="CCEFD9" w:themeColor="accent6"/>
      <w:sz w:val="26"/>
      <w:szCs w:val="20"/>
      <w:lang w:eastAsia="en-AU"/>
    </w:rPr>
  </w:style>
  <w:style w:type="character" w:styleId="Mention">
    <w:name w:val="Mention"/>
    <w:basedOn w:val="DefaultParagraphFont"/>
    <w:uiPriority w:val="99"/>
    <w:semiHidden/>
    <w:rsid w:val="00051414"/>
    <w:rPr>
      <w:color w:val="2B579A"/>
      <w:shd w:val="clear" w:color="auto" w:fill="E1DFDD"/>
    </w:rPr>
  </w:style>
  <w:style w:type="character" w:styleId="PlaceholderText">
    <w:name w:val="Placeholder Text"/>
    <w:basedOn w:val="DefaultParagraphFont"/>
    <w:uiPriority w:val="99"/>
    <w:semiHidden/>
    <w:rsid w:val="00051414"/>
    <w:rPr>
      <w:color w:val="808080"/>
    </w:rPr>
  </w:style>
  <w:style w:type="character" w:customStyle="1" w:styleId="Hyperlink1">
    <w:name w:val="Hyperlink1"/>
    <w:basedOn w:val="DefaultParagraphFont"/>
    <w:uiPriority w:val="99"/>
    <w:semiHidden/>
    <w:locked/>
    <w:rsid w:val="00051414"/>
    <w:rPr>
      <w:color w:val="5F5F5F"/>
      <w:u w:val="single"/>
    </w:rPr>
  </w:style>
  <w:style w:type="paragraph" w:customStyle="1" w:styleId="QuoteinBox">
    <w:name w:val="Quote in Box"/>
    <w:basedOn w:val="12BoxText"/>
    <w:link w:val="QuoteinBoxChar"/>
    <w:rsid w:val="00320726"/>
  </w:style>
  <w:style w:type="character" w:customStyle="1" w:styleId="QuoteinBoxChar">
    <w:name w:val="Quote in Box Char"/>
    <w:basedOn w:val="07VIRTBreakouttextChar"/>
    <w:link w:val="QuoteinBox"/>
    <w:rsid w:val="00320726"/>
    <w:rPr>
      <w:rFonts w:ascii="Calibri Light" w:hAnsi="Calibri Light" w:cs="Times New Roman (Body CS)"/>
      <w:i w:val="0"/>
      <w:color w:val="0E7650"/>
      <w:spacing w:val="-6"/>
      <w:sz w:val="26"/>
    </w:rPr>
  </w:style>
  <w:style w:type="numbering" w:customStyle="1" w:styleId="NoList1">
    <w:name w:val="No List1"/>
    <w:next w:val="NoList"/>
    <w:uiPriority w:val="99"/>
    <w:semiHidden/>
    <w:unhideWhenUsed/>
    <w:rsid w:val="00051414"/>
  </w:style>
  <w:style w:type="numbering" w:customStyle="1" w:styleId="ZZNumbersdigit1">
    <w:name w:val="ZZ Numbers digit1"/>
    <w:basedOn w:val="NoList"/>
    <w:uiPriority w:val="99"/>
    <w:rsid w:val="00051414"/>
    <w:pPr>
      <w:numPr>
        <w:numId w:val="6"/>
      </w:numPr>
    </w:pPr>
  </w:style>
  <w:style w:type="paragraph" w:customStyle="1" w:styleId="Instrumenttableheading">
    <w:name w:val="Instrument table heading"/>
    <w:basedOn w:val="Tableheading"/>
    <w:link w:val="InstrumenttableheadingChar"/>
    <w:rsid w:val="00587004"/>
    <w:pPr>
      <w:ind w:left="907" w:hanging="907"/>
    </w:pPr>
    <w:rPr>
      <w:color w:val="auto"/>
    </w:rPr>
  </w:style>
  <w:style w:type="character" w:customStyle="1" w:styleId="InstrumenttableheadingChar">
    <w:name w:val="Instrument table heading Char"/>
    <w:basedOn w:val="TableheadingChar"/>
    <w:link w:val="Instrumenttableheading"/>
    <w:rsid w:val="00587004"/>
    <w:rPr>
      <w:rFonts w:ascii="Calibri Light" w:hAnsi="Calibri Light" w:cs="Arial"/>
      <w:b/>
      <w:color w:val="CCEFD9" w:themeColor="accent6"/>
      <w:sz w:val="24"/>
    </w:rPr>
  </w:style>
  <w:style w:type="paragraph" w:customStyle="1" w:styleId="12BoxText">
    <w:name w:val="12. Box Text"/>
    <w:basedOn w:val="Tabletext"/>
    <w:link w:val="12BoxTextChar"/>
    <w:qFormat/>
    <w:rsid w:val="002C25F4"/>
    <w:pPr>
      <w:spacing w:before="90" w:after="90"/>
    </w:pPr>
    <w:rPr>
      <w:color w:val="auto"/>
      <w:sz w:val="22"/>
    </w:rPr>
  </w:style>
  <w:style w:type="paragraph" w:customStyle="1" w:styleId="13Boxbullets">
    <w:name w:val="13. Box bullets"/>
    <w:basedOn w:val="Normal"/>
    <w:link w:val="13BoxbulletsChar"/>
    <w:qFormat/>
    <w:rsid w:val="00704575"/>
    <w:pPr>
      <w:numPr>
        <w:numId w:val="40"/>
      </w:numPr>
      <w:spacing w:after="90"/>
      <w:ind w:left="504"/>
      <w:contextualSpacing/>
    </w:pPr>
    <w:rPr>
      <w:bCs/>
      <w:sz w:val="22"/>
    </w:rPr>
  </w:style>
  <w:style w:type="character" w:customStyle="1" w:styleId="12BoxTextChar">
    <w:name w:val="12. Box Text Char"/>
    <w:basedOn w:val="TabletextChar"/>
    <w:link w:val="12BoxText"/>
    <w:rsid w:val="002C25F4"/>
    <w:rPr>
      <w:rFonts w:ascii="Calibri Light" w:hAnsi="Calibri Light"/>
      <w:color w:val="auto"/>
      <w:sz w:val="22"/>
    </w:rPr>
  </w:style>
  <w:style w:type="character" w:customStyle="1" w:styleId="13BoxbulletsChar">
    <w:name w:val="13. Box bullets Char"/>
    <w:basedOn w:val="11BulletsinatableChar"/>
    <w:link w:val="13Boxbullets"/>
    <w:rsid w:val="002C25F4"/>
    <w:rPr>
      <w:bCs/>
      <w:sz w:val="22"/>
    </w:rPr>
  </w:style>
  <w:style w:type="paragraph" w:customStyle="1" w:styleId="Instrumentclauses">
    <w:name w:val="Instrument clauses"/>
    <w:basedOn w:val="Instrumenttableofcontents"/>
    <w:qFormat/>
    <w:rsid w:val="00CA273E"/>
  </w:style>
  <w:style w:type="paragraph" w:customStyle="1" w:styleId="10Tabletext">
    <w:name w:val="10. Table text"/>
    <w:link w:val="10TabletextChar"/>
    <w:qFormat/>
    <w:locked/>
    <w:rsid w:val="00180EB7"/>
    <w:pPr>
      <w:spacing w:after="0"/>
    </w:pPr>
    <w:rPr>
      <w:sz w:val="22"/>
    </w:rPr>
  </w:style>
  <w:style w:type="character" w:customStyle="1" w:styleId="10TabletextChar">
    <w:name w:val="10. Table text Char"/>
    <w:basedOn w:val="DefaultParagraphFont"/>
    <w:link w:val="10Tabletext"/>
    <w:rsid w:val="00180EB7"/>
    <w:rPr>
      <w:sz w:val="22"/>
    </w:rPr>
  </w:style>
  <w:style w:type="paragraph" w:customStyle="1" w:styleId="01Chapterheading">
    <w:name w:val="01. Chapter heading"/>
    <w:link w:val="01ChapterheadingChar"/>
    <w:qFormat/>
    <w:rsid w:val="00023C4B"/>
    <w:pPr>
      <w:spacing w:after="240"/>
      <w:outlineLvl w:val="0"/>
    </w:pPr>
    <w:rPr>
      <w:rFonts w:ascii="Rockwell" w:hAnsi="Rockwell"/>
      <w:color w:val="00573F" w:themeColor="accent1"/>
      <w:sz w:val="56"/>
    </w:rPr>
  </w:style>
  <w:style w:type="character" w:customStyle="1" w:styleId="01ChapterheadingChar">
    <w:name w:val="01. Chapter heading Char"/>
    <w:basedOn w:val="DefaultParagraphFont"/>
    <w:link w:val="01Chapterheading"/>
    <w:rsid w:val="00023C4B"/>
    <w:rPr>
      <w:rFonts w:ascii="Rockwell" w:hAnsi="Rockwell"/>
      <w:color w:val="00573F" w:themeColor="accent1"/>
      <w:sz w:val="56"/>
    </w:rPr>
  </w:style>
  <w:style w:type="paragraph" w:customStyle="1" w:styleId="06VIRTBulletpoints">
    <w:name w:val="06. VIRT Bullet points"/>
    <w:basedOn w:val="VIRTBulletpoints"/>
    <w:link w:val="06VIRTBulletpointsChar"/>
    <w:qFormat/>
    <w:locked/>
    <w:rsid w:val="00FF020A"/>
    <w:pPr>
      <w:numPr>
        <w:numId w:val="38"/>
      </w:numPr>
      <w:spacing w:line="276" w:lineRule="auto"/>
      <w:ind w:left="357" w:hanging="357"/>
      <w:jc w:val="both"/>
    </w:pPr>
  </w:style>
  <w:style w:type="character" w:customStyle="1" w:styleId="06VIRTBulletpointsChar">
    <w:name w:val="06. VIRT Bullet points Char"/>
    <w:basedOn w:val="DefaultParagraphFont"/>
    <w:link w:val="06VIRTBulletpoints"/>
    <w:locked/>
    <w:rsid w:val="00FF020A"/>
  </w:style>
  <w:style w:type="paragraph" w:customStyle="1" w:styleId="VIRTHeading3">
    <w:name w:val="VIRT Heading 3"/>
    <w:basedOn w:val="Normal"/>
    <w:link w:val="VIRTHeading3Char"/>
    <w:autoRedefine/>
    <w:rsid w:val="000416D7"/>
    <w:pPr>
      <w:keepNext/>
      <w:spacing w:before="240" w:after="240"/>
      <w:outlineLvl w:val="2"/>
    </w:pPr>
    <w:rPr>
      <w:rFonts w:ascii="Rockwell" w:hAnsi="Rockwell"/>
      <w:color w:val="005C37" w:themeColor="accent2" w:themeShade="BF"/>
      <w:spacing w:val="-6"/>
      <w:sz w:val="30"/>
    </w:rPr>
  </w:style>
  <w:style w:type="character" w:customStyle="1" w:styleId="VIRTHeading3Char">
    <w:name w:val="VIRT Heading 3 Char"/>
    <w:basedOn w:val="DefaultParagraphFont"/>
    <w:link w:val="VIRTHeading3"/>
    <w:locked/>
    <w:rsid w:val="000416D7"/>
    <w:rPr>
      <w:rFonts w:ascii="Rockwell" w:hAnsi="Rockwell" w:cs="Arial"/>
      <w:color w:val="005C37" w:themeColor="accent2" w:themeShade="BF"/>
      <w:spacing w:val="-6"/>
      <w:sz w:val="30"/>
    </w:rPr>
  </w:style>
  <w:style w:type="paragraph" w:customStyle="1" w:styleId="14Annualadjustmentinstrumentclause">
    <w:name w:val="14. Annual adjustment instrument clause"/>
    <w:basedOn w:val="Normal"/>
    <w:link w:val="14AnnualadjustmentinstrumentclauseChar"/>
    <w:qFormat/>
    <w:rsid w:val="00800D4B"/>
    <w:pPr>
      <w:numPr>
        <w:numId w:val="31"/>
      </w:numPr>
      <w:spacing w:before="180" w:after="160" w:line="276" w:lineRule="auto"/>
    </w:pPr>
    <w:rPr>
      <w:rFonts w:eastAsia="Calibri" w:cs="Calibri Light"/>
      <w:szCs w:val="44"/>
    </w:rPr>
  </w:style>
  <w:style w:type="character" w:customStyle="1" w:styleId="14AnnualadjustmentinstrumentclauseChar">
    <w:name w:val="14. Annual adjustment instrument clause Char"/>
    <w:basedOn w:val="DefaultParagraphFont"/>
    <w:link w:val="14Annualadjustmentinstrumentclause"/>
    <w:rsid w:val="00800D4B"/>
    <w:rPr>
      <w:rFonts w:eastAsia="Calibri" w:cs="Calibri Light"/>
      <w:szCs w:val="44"/>
    </w:rPr>
  </w:style>
  <w:style w:type="paragraph" w:customStyle="1" w:styleId="Contentsheading">
    <w:name w:val="Contents heading"/>
    <w:basedOn w:val="01Chapterheading"/>
    <w:semiHidden/>
    <w:rsid w:val="004F2F13"/>
  </w:style>
  <w:style w:type="paragraph" w:customStyle="1" w:styleId="Contentssubheading">
    <w:name w:val="Contents subheading"/>
    <w:basedOn w:val="Normal"/>
    <w:semiHidden/>
    <w:rsid w:val="00023C4B"/>
    <w:rPr>
      <w:rFonts w:ascii="Rockwell" w:hAnsi="Rockwell" w:cs="Times New Roman (Body CS)"/>
      <w:color w:val="007449"/>
      <w:sz w:val="36"/>
      <w:szCs w:val="44"/>
    </w:rPr>
  </w:style>
  <w:style w:type="character" w:customStyle="1" w:styleId="InstrumenttablenotesChar">
    <w:name w:val="Instrument table notes Char"/>
    <w:basedOn w:val="DefaultParagraphFont"/>
    <w:link w:val="Instrumenttablenotes"/>
    <w:locked/>
    <w:rsid w:val="00916685"/>
    <w:rPr>
      <w:rFonts w:cs="Calibri Light"/>
    </w:rPr>
  </w:style>
  <w:style w:type="paragraph" w:customStyle="1" w:styleId="Instrumenttablenotes">
    <w:name w:val="Instrument table notes"/>
    <w:basedOn w:val="Normal"/>
    <w:link w:val="InstrumenttablenotesChar"/>
    <w:qFormat/>
    <w:rsid w:val="00916685"/>
    <w:pPr>
      <w:spacing w:after="0"/>
      <w:ind w:left="227"/>
    </w:pPr>
    <w:rPr>
      <w:rFonts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66110260">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3491121">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1292208">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6942845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2433623">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yperlink" Target="https://www.forgov.qld.gov.au/pay-benefits-and-policy/directives-policies-circulars-and-guidelines/senior-executive-service-employment-conditions-directive-0923"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www.vic.gov.au/wages-policy-and-enterprise-bargaining-framework" TargetMode="External"/><Relationship Id="rId33" Type="http://schemas.openxmlformats.org/officeDocument/2006/relationships/footer" Target="foot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to.gov.au/tax-rates-and-codes/key-superannuation-rates-and-thresholds/super-guarantee?page=7" TargetMode="External"/><Relationship Id="rId32" Type="http://schemas.openxmlformats.org/officeDocument/2006/relationships/header" Target="header6.xml"/><Relationship Id="rId37"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apsc.gov.au/apsbargaining" TargetMode="External"/><Relationship Id="rId28" Type="http://schemas.openxmlformats.org/officeDocument/2006/relationships/hyperlink" Target="https://vpsc.vic.gov.au/executive-employment/victorian-public-service-executive-employment/victorian-public-service-executive-employment-handbook/" TargetMode="External"/><Relationship Id="rId36"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s://www.vic.gov.au/executive-and-senior-office-holders-annual-remuneration-changes" TargetMode="External"/><Relationship Id="rId30" Type="http://schemas.openxmlformats.org/officeDocument/2006/relationships/header" Target="header5.xml"/><Relationship Id="rId35" Type="http://schemas.openxmlformats.org/officeDocument/2006/relationships/header" Target="header8.xml"/></Relationships>
</file>

<file path=word/theme/theme1.xml><?xml version="1.0" encoding="utf-8"?>
<a:theme xmlns:a="http://schemas.openxmlformats.org/drawingml/2006/main" name="SPF">
  <a:themeElements>
    <a:clrScheme name="Brand Victoria - Green">
      <a:dk1>
        <a:sysClr val="windowText" lastClr="000000"/>
      </a:dk1>
      <a:lt1>
        <a:sysClr val="window" lastClr="FFFFFF"/>
      </a:lt1>
      <a:dk2>
        <a:srgbClr val="53565A"/>
      </a:dk2>
      <a:lt2>
        <a:srgbClr val="D9D9D6"/>
      </a:lt2>
      <a:accent1>
        <a:srgbClr val="00573F"/>
      </a:accent1>
      <a:accent2>
        <a:srgbClr val="007B4B"/>
      </a:accent2>
      <a:accent3>
        <a:srgbClr val="00B140"/>
      </a:accent3>
      <a:accent4>
        <a:srgbClr val="7FAB9F"/>
      </a:accent4>
      <a:accent5>
        <a:srgbClr val="99CAB7"/>
      </a:accent5>
      <a:accent6>
        <a:srgbClr val="CCEFD9"/>
      </a:accent6>
      <a:hlink>
        <a:srgbClr val="0000FF"/>
      </a:hlink>
      <a:folHlink>
        <a:srgbClr val="800080"/>
      </a:folHlink>
    </a:clrScheme>
    <a:fontScheme name="VIRT">
      <a:majorFont>
        <a:latin typeface="Rockwell"/>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e989a2-3204-4aee-ad9d-48b2a46f5417" xsi:nil="true"/>
    <lcf76f155ced4ddcb4097134ff3c332f xmlns="995bc272-dcd9-4c4c-836c-ea7799e453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0FA5EF53BDE18040AC0DCF66FF610308" ma:contentTypeVersion="12" ma:contentTypeDescription="Create a new document." ma:contentTypeScope="" ma:versionID="445d32365dfe99739a826e76fab91296">
  <xsd:schema xmlns:xsd="http://www.w3.org/2001/XMLSchema" xmlns:xs="http://www.w3.org/2001/XMLSchema" xmlns:p="http://schemas.microsoft.com/office/2006/metadata/properties" xmlns:ns2="995bc272-dcd9-4c4c-836c-ea7799e4539d" xmlns:ns3="b2e989a2-3204-4aee-ad9d-48b2a46f5417" targetNamespace="http://schemas.microsoft.com/office/2006/metadata/properties" ma:root="true" ma:fieldsID="df3b718651ad4028be82fad9ed42437d" ns2:_="" ns3:_="">
    <xsd:import namespace="995bc272-dcd9-4c4c-836c-ea7799e4539d"/>
    <xsd:import namespace="b2e989a2-3204-4aee-ad9d-48b2a46f5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bc272-dcd9-4c4c-836c-ea7799e45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e989a2-3204-4aee-ad9d-48b2a46f54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01a6f5-0870-4a5d-aab1-c8b175f4e248}" ma:internalName="TaxCatchAll" ma:showField="CatchAllData" ma:web="b2e989a2-3204-4aee-ad9d-48b2a46f5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EEBD3-4CCC-40CC-9E61-78DD41F898F9}">
  <ds:schemaRefs>
    <ds:schemaRef ds:uri="http://schemas.microsoft.com/office/2006/metadata/properties"/>
    <ds:schemaRef ds:uri="http://schemas.microsoft.com/office/infopath/2007/PartnerControls"/>
    <ds:schemaRef ds:uri="b2e989a2-3204-4aee-ad9d-48b2a46f5417"/>
    <ds:schemaRef ds:uri="995bc272-dcd9-4c4c-836c-ea7799e4539d"/>
  </ds:schemaRefs>
</ds:datastoreItem>
</file>

<file path=customXml/itemProps2.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customXml/itemProps3.xml><?xml version="1.0" encoding="utf-8"?>
<ds:datastoreItem xmlns:ds="http://schemas.openxmlformats.org/officeDocument/2006/customXml" ds:itemID="{14E4EA1B-21C5-451E-AD27-01431FBE1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bc272-dcd9-4c4c-836c-ea7799e4539d"/>
    <ds:schemaRef ds:uri="b2e989a2-3204-4aee-ad9d-48b2a46f5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35D600-FD2E-4BD3-90A0-DEFD7F08E79E}">
  <ds:schemaRefs>
    <ds:schemaRef ds:uri="http://www.w3.org/2001/XMLSchema"/>
  </ds:schemaRefs>
</ds:datastoreItem>
</file>

<file path=customXml/itemProps5.xml><?xml version="1.0" encoding="utf-8"?>
<ds:datastoreItem xmlns:ds="http://schemas.openxmlformats.org/officeDocument/2006/customXml" ds:itemID="{539DEFD4-802E-4E71-B4B2-679B105ECD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6337</Words>
  <Characters>36122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42375</CharactersWithSpaces>
  <SharedDoc>false</SharedDoc>
  <HLinks>
    <vt:vector size="150" baseType="variant">
      <vt:variant>
        <vt:i4>3211316</vt:i4>
      </vt:variant>
      <vt:variant>
        <vt:i4>132</vt:i4>
      </vt:variant>
      <vt:variant>
        <vt:i4>0</vt:i4>
      </vt:variant>
      <vt:variant>
        <vt:i4>5</vt:i4>
      </vt:variant>
      <vt:variant>
        <vt:lpwstr>https://vpsc.vic.gov.au/executive-employment/victorian-public-service-executive-employment/victorian-public-service-executive-employment-handbook/</vt:lpwstr>
      </vt:variant>
      <vt:variant>
        <vt:lpwstr/>
      </vt:variant>
      <vt:variant>
        <vt:i4>2490417</vt:i4>
      </vt:variant>
      <vt:variant>
        <vt:i4>129</vt:i4>
      </vt:variant>
      <vt:variant>
        <vt:i4>0</vt:i4>
      </vt:variant>
      <vt:variant>
        <vt:i4>5</vt:i4>
      </vt:variant>
      <vt:variant>
        <vt:lpwstr>https://www.vic.gov.au/executive-and-senior-office-holders-annual-remuneration-changes</vt:lpwstr>
      </vt:variant>
      <vt:variant>
        <vt:lpwstr/>
      </vt:variant>
      <vt:variant>
        <vt:i4>1507408</vt:i4>
      </vt:variant>
      <vt:variant>
        <vt:i4>126</vt:i4>
      </vt:variant>
      <vt:variant>
        <vt:i4>0</vt:i4>
      </vt:variant>
      <vt:variant>
        <vt:i4>5</vt:i4>
      </vt:variant>
      <vt:variant>
        <vt:lpwstr>https://www.forgov.qld.gov.au/pay-benefits-and-policy/directives-policies-circulars-and-guidelines/senior-executive-service-employment-conditions-directive-0923</vt:lpwstr>
      </vt:variant>
      <vt:variant>
        <vt:lpwstr/>
      </vt:variant>
      <vt:variant>
        <vt:i4>7864442</vt:i4>
      </vt:variant>
      <vt:variant>
        <vt:i4>123</vt:i4>
      </vt:variant>
      <vt:variant>
        <vt:i4>0</vt:i4>
      </vt:variant>
      <vt:variant>
        <vt:i4>5</vt:i4>
      </vt:variant>
      <vt:variant>
        <vt:lpwstr>https://www.vic.gov.au/wages-policy-and-enterprise-bargaining-framework</vt:lpwstr>
      </vt:variant>
      <vt:variant>
        <vt:lpwstr/>
      </vt:variant>
      <vt:variant>
        <vt:i4>6094856</vt:i4>
      </vt:variant>
      <vt:variant>
        <vt:i4>120</vt:i4>
      </vt:variant>
      <vt:variant>
        <vt:i4>0</vt:i4>
      </vt:variant>
      <vt:variant>
        <vt:i4>5</vt:i4>
      </vt:variant>
      <vt:variant>
        <vt:lpwstr>https://www.ato.gov.au/tax-rates-and-codes/key-superannuation-rates-and-thresholds/super-guarantee?page=7</vt:lpwstr>
      </vt:variant>
      <vt:variant>
        <vt:lpwstr/>
      </vt:variant>
      <vt:variant>
        <vt:i4>327772</vt:i4>
      </vt:variant>
      <vt:variant>
        <vt:i4>117</vt:i4>
      </vt:variant>
      <vt:variant>
        <vt:i4>0</vt:i4>
      </vt:variant>
      <vt:variant>
        <vt:i4>5</vt:i4>
      </vt:variant>
      <vt:variant>
        <vt:lpwstr>https://www.apsc.gov.au/apsbargaining</vt:lpwstr>
      </vt:variant>
      <vt:variant>
        <vt:lpwstr/>
      </vt:variant>
      <vt:variant>
        <vt:i4>1114174</vt:i4>
      </vt:variant>
      <vt:variant>
        <vt:i4>110</vt:i4>
      </vt:variant>
      <vt:variant>
        <vt:i4>0</vt:i4>
      </vt:variant>
      <vt:variant>
        <vt:i4>5</vt:i4>
      </vt:variant>
      <vt:variant>
        <vt:lpwstr/>
      </vt:variant>
      <vt:variant>
        <vt:lpwstr>_Toc209105523</vt:lpwstr>
      </vt:variant>
      <vt:variant>
        <vt:i4>1114174</vt:i4>
      </vt:variant>
      <vt:variant>
        <vt:i4>104</vt:i4>
      </vt:variant>
      <vt:variant>
        <vt:i4>0</vt:i4>
      </vt:variant>
      <vt:variant>
        <vt:i4>5</vt:i4>
      </vt:variant>
      <vt:variant>
        <vt:lpwstr/>
      </vt:variant>
      <vt:variant>
        <vt:lpwstr>_Toc209105522</vt:lpwstr>
      </vt:variant>
      <vt:variant>
        <vt:i4>1114174</vt:i4>
      </vt:variant>
      <vt:variant>
        <vt:i4>98</vt:i4>
      </vt:variant>
      <vt:variant>
        <vt:i4>0</vt:i4>
      </vt:variant>
      <vt:variant>
        <vt:i4>5</vt:i4>
      </vt:variant>
      <vt:variant>
        <vt:lpwstr/>
      </vt:variant>
      <vt:variant>
        <vt:lpwstr>_Toc209105521</vt:lpwstr>
      </vt:variant>
      <vt:variant>
        <vt:i4>1114174</vt:i4>
      </vt:variant>
      <vt:variant>
        <vt:i4>92</vt:i4>
      </vt:variant>
      <vt:variant>
        <vt:i4>0</vt:i4>
      </vt:variant>
      <vt:variant>
        <vt:i4>5</vt:i4>
      </vt:variant>
      <vt:variant>
        <vt:lpwstr/>
      </vt:variant>
      <vt:variant>
        <vt:lpwstr>_Toc209105520</vt:lpwstr>
      </vt:variant>
      <vt:variant>
        <vt:i4>1179710</vt:i4>
      </vt:variant>
      <vt:variant>
        <vt:i4>86</vt:i4>
      </vt:variant>
      <vt:variant>
        <vt:i4>0</vt:i4>
      </vt:variant>
      <vt:variant>
        <vt:i4>5</vt:i4>
      </vt:variant>
      <vt:variant>
        <vt:lpwstr/>
      </vt:variant>
      <vt:variant>
        <vt:lpwstr>_Toc209105519</vt:lpwstr>
      </vt:variant>
      <vt:variant>
        <vt:i4>1179710</vt:i4>
      </vt:variant>
      <vt:variant>
        <vt:i4>80</vt:i4>
      </vt:variant>
      <vt:variant>
        <vt:i4>0</vt:i4>
      </vt:variant>
      <vt:variant>
        <vt:i4>5</vt:i4>
      </vt:variant>
      <vt:variant>
        <vt:lpwstr/>
      </vt:variant>
      <vt:variant>
        <vt:lpwstr>_Toc209105518</vt:lpwstr>
      </vt:variant>
      <vt:variant>
        <vt:i4>1179710</vt:i4>
      </vt:variant>
      <vt:variant>
        <vt:i4>74</vt:i4>
      </vt:variant>
      <vt:variant>
        <vt:i4>0</vt:i4>
      </vt:variant>
      <vt:variant>
        <vt:i4>5</vt:i4>
      </vt:variant>
      <vt:variant>
        <vt:lpwstr/>
      </vt:variant>
      <vt:variant>
        <vt:lpwstr>_Toc209105517</vt:lpwstr>
      </vt:variant>
      <vt:variant>
        <vt:i4>1179710</vt:i4>
      </vt:variant>
      <vt:variant>
        <vt:i4>68</vt:i4>
      </vt:variant>
      <vt:variant>
        <vt:i4>0</vt:i4>
      </vt:variant>
      <vt:variant>
        <vt:i4>5</vt:i4>
      </vt:variant>
      <vt:variant>
        <vt:lpwstr/>
      </vt:variant>
      <vt:variant>
        <vt:lpwstr>_Toc209105516</vt:lpwstr>
      </vt:variant>
      <vt:variant>
        <vt:i4>1179710</vt:i4>
      </vt:variant>
      <vt:variant>
        <vt:i4>62</vt:i4>
      </vt:variant>
      <vt:variant>
        <vt:i4>0</vt:i4>
      </vt:variant>
      <vt:variant>
        <vt:i4>5</vt:i4>
      </vt:variant>
      <vt:variant>
        <vt:lpwstr/>
      </vt:variant>
      <vt:variant>
        <vt:lpwstr>_Toc209105515</vt:lpwstr>
      </vt:variant>
      <vt:variant>
        <vt:i4>1179710</vt:i4>
      </vt:variant>
      <vt:variant>
        <vt:i4>56</vt:i4>
      </vt:variant>
      <vt:variant>
        <vt:i4>0</vt:i4>
      </vt:variant>
      <vt:variant>
        <vt:i4>5</vt:i4>
      </vt:variant>
      <vt:variant>
        <vt:lpwstr/>
      </vt:variant>
      <vt:variant>
        <vt:lpwstr>_Toc209105514</vt:lpwstr>
      </vt:variant>
      <vt:variant>
        <vt:i4>1179710</vt:i4>
      </vt:variant>
      <vt:variant>
        <vt:i4>50</vt:i4>
      </vt:variant>
      <vt:variant>
        <vt:i4>0</vt:i4>
      </vt:variant>
      <vt:variant>
        <vt:i4>5</vt:i4>
      </vt:variant>
      <vt:variant>
        <vt:lpwstr/>
      </vt:variant>
      <vt:variant>
        <vt:lpwstr>_Toc209105513</vt:lpwstr>
      </vt:variant>
      <vt:variant>
        <vt:i4>1179710</vt:i4>
      </vt:variant>
      <vt:variant>
        <vt:i4>44</vt:i4>
      </vt:variant>
      <vt:variant>
        <vt:i4>0</vt:i4>
      </vt:variant>
      <vt:variant>
        <vt:i4>5</vt:i4>
      </vt:variant>
      <vt:variant>
        <vt:lpwstr/>
      </vt:variant>
      <vt:variant>
        <vt:lpwstr>_Toc209105512</vt:lpwstr>
      </vt:variant>
      <vt:variant>
        <vt:i4>1179710</vt:i4>
      </vt:variant>
      <vt:variant>
        <vt:i4>38</vt:i4>
      </vt:variant>
      <vt:variant>
        <vt:i4>0</vt:i4>
      </vt:variant>
      <vt:variant>
        <vt:i4>5</vt:i4>
      </vt:variant>
      <vt:variant>
        <vt:lpwstr/>
      </vt:variant>
      <vt:variant>
        <vt:lpwstr>_Toc209105511</vt:lpwstr>
      </vt:variant>
      <vt:variant>
        <vt:i4>1179710</vt:i4>
      </vt:variant>
      <vt:variant>
        <vt:i4>32</vt:i4>
      </vt:variant>
      <vt:variant>
        <vt:i4>0</vt:i4>
      </vt:variant>
      <vt:variant>
        <vt:i4>5</vt:i4>
      </vt:variant>
      <vt:variant>
        <vt:lpwstr/>
      </vt:variant>
      <vt:variant>
        <vt:lpwstr>_Toc209105510</vt:lpwstr>
      </vt:variant>
      <vt:variant>
        <vt:i4>1245246</vt:i4>
      </vt:variant>
      <vt:variant>
        <vt:i4>26</vt:i4>
      </vt:variant>
      <vt:variant>
        <vt:i4>0</vt:i4>
      </vt:variant>
      <vt:variant>
        <vt:i4>5</vt:i4>
      </vt:variant>
      <vt:variant>
        <vt:lpwstr/>
      </vt:variant>
      <vt:variant>
        <vt:lpwstr>_Toc209105509</vt:lpwstr>
      </vt:variant>
      <vt:variant>
        <vt:i4>1245246</vt:i4>
      </vt:variant>
      <vt:variant>
        <vt:i4>20</vt:i4>
      </vt:variant>
      <vt:variant>
        <vt:i4>0</vt:i4>
      </vt:variant>
      <vt:variant>
        <vt:i4>5</vt:i4>
      </vt:variant>
      <vt:variant>
        <vt:lpwstr/>
      </vt:variant>
      <vt:variant>
        <vt:lpwstr>_Toc209105508</vt:lpwstr>
      </vt:variant>
      <vt:variant>
        <vt:i4>1245246</vt:i4>
      </vt:variant>
      <vt:variant>
        <vt:i4>14</vt:i4>
      </vt:variant>
      <vt:variant>
        <vt:i4>0</vt:i4>
      </vt:variant>
      <vt:variant>
        <vt:i4>5</vt:i4>
      </vt:variant>
      <vt:variant>
        <vt:lpwstr/>
      </vt:variant>
      <vt:variant>
        <vt:lpwstr>_Toc209105507</vt:lpwstr>
      </vt:variant>
      <vt:variant>
        <vt:i4>1245246</vt:i4>
      </vt:variant>
      <vt:variant>
        <vt:i4>8</vt:i4>
      </vt:variant>
      <vt:variant>
        <vt:i4>0</vt:i4>
      </vt:variant>
      <vt:variant>
        <vt:i4>5</vt:i4>
      </vt:variant>
      <vt:variant>
        <vt:lpwstr/>
      </vt:variant>
      <vt:variant>
        <vt:lpwstr>_Toc209105506</vt:lpwstr>
      </vt:variant>
      <vt:variant>
        <vt:i4>1245246</vt:i4>
      </vt:variant>
      <vt:variant>
        <vt:i4>2</vt:i4>
      </vt:variant>
      <vt:variant>
        <vt:i4>0</vt:i4>
      </vt:variant>
      <vt:variant>
        <vt:i4>5</vt:i4>
      </vt:variant>
      <vt:variant>
        <vt:lpwstr/>
      </vt:variant>
      <vt:variant>
        <vt:lpwstr>_Toc209105505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 Gutkin</dc:creator>
  <cp:keywords/>
  <dc:description/>
  <cp:lastModifiedBy>Andrew Walker (VIRT)</cp:lastModifiedBy>
  <cp:revision>9</cp:revision>
  <cp:lastPrinted>2025-09-19T17:00:00Z</cp:lastPrinted>
  <dcterms:created xsi:type="dcterms:W3CDTF">2025-09-19T05:52:00Z</dcterms:created>
  <dcterms:modified xsi:type="dcterms:W3CDTF">2025-09-22T03:07:00Z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87f7b4e8-b6f9-47ba-9908-e9f333e1dc92</vt:lpwstr>
  </property>
  <property fmtid="{D5CDD505-2E9C-101B-9397-08002B2CF9AE}" pid="3" name="PSPFClassification">
    <vt:lpwstr>Do Not Mark</vt:lpwstr>
  </property>
  <property fmtid="{D5CDD505-2E9C-101B-9397-08002B2CF9AE}" pid="4" name="ZOTERO_PREF_2">
    <vt:lpwstr> name="fieldType" value="Field"/&gt;&lt;/prefs&gt;&lt;/data&gt;</vt:lpwstr>
  </property>
  <property fmtid="{D5CDD505-2E9C-101B-9397-08002B2CF9AE}" pid="5" name="ContentTypeId">
    <vt:lpwstr>0x0101000FA5EF53BDE18040AC0DCF66FF610308</vt:lpwstr>
  </property>
  <property fmtid="{D5CDD505-2E9C-101B-9397-08002B2CF9AE}" pid="6" name="ZOTERO_PREF_1">
    <vt:lpwstr>&lt;data data-version="3" zotero-version="5.0.74"&gt;&lt;session id="FBM6ATKm"/&gt;&lt;style id="http://www.zotero.org/styles/chicago-fullnote-bibliography" locale="en-GB" hasBibliography="1" bibliographyStyleHasBeenSet="1"/&gt;&lt;prefs&gt;&lt;pref name="noteType" value="1"/&gt;&lt;pref</vt:lpwstr>
  </property>
  <property fmtid="{D5CDD505-2E9C-101B-9397-08002B2CF9AE}" pid="7" name="ComplianceAssetId">
    <vt:lpwstr/>
  </property>
  <property fmtid="{D5CDD505-2E9C-101B-9397-08002B2CF9AE}" pid="8" name="MSIP_Label_17d22cff-4d41-44a1-a7ea-af857521bf50_Enabled">
    <vt:lpwstr>true</vt:lpwstr>
  </property>
  <property fmtid="{D5CDD505-2E9C-101B-9397-08002B2CF9AE}" pid="9" name="MSIP_Label_17d22cff-4d41-44a1-a7ea-af857521bf50_SetDate">
    <vt:lpwstr>2022-03-08T06:27:53Z</vt:lpwstr>
  </property>
  <property fmtid="{D5CDD505-2E9C-101B-9397-08002B2CF9AE}" pid="10" name="MSIP_Label_17d22cff-4d41-44a1-a7ea-af857521bf50_Method">
    <vt:lpwstr>Privileged</vt:lpwstr>
  </property>
  <property fmtid="{D5CDD505-2E9C-101B-9397-08002B2CF9AE}" pid="11" name="MSIP_Label_17d22cff-4d41-44a1-a7ea-af857521bf50_Name">
    <vt:lpwstr>17d22cff-4d41-44a1-a7ea-af857521bf50</vt:lpwstr>
  </property>
  <property fmtid="{D5CDD505-2E9C-101B-9397-08002B2CF9AE}" pid="12" name="MSIP_Label_17d22cff-4d41-44a1-a7ea-af857521bf50_SiteId">
    <vt:lpwstr>722ea0be-3e1c-4b11-ad6f-9401d6856e24</vt:lpwstr>
  </property>
  <property fmtid="{D5CDD505-2E9C-101B-9397-08002B2CF9AE}" pid="13" name="MSIP_Label_17d22cff-4d41-44a1-a7ea-af857521bf50_ActionId">
    <vt:lpwstr/>
  </property>
  <property fmtid="{D5CDD505-2E9C-101B-9397-08002B2CF9AE}" pid="14" name="MSIP_Label_17d22cff-4d41-44a1-a7ea-af857521bf50_ContentBits">
    <vt:lpwstr>2</vt:lpwstr>
  </property>
  <property fmtid="{D5CDD505-2E9C-101B-9397-08002B2CF9AE}" pid="15" name="Order">
    <vt:r8>153000</vt:r8>
  </property>
  <property fmtid="{D5CDD505-2E9C-101B-9397-08002B2CF9AE}" pid="16" name="xd_Signature">
    <vt:bool>false</vt:bool>
  </property>
  <property fmtid="{D5CDD505-2E9C-101B-9397-08002B2CF9AE}" pid="17" name="xd_Prog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y fmtid="{D5CDD505-2E9C-101B-9397-08002B2CF9AE}" pid="22" name="_dlc_DocIdItemGuid">
    <vt:lpwstr>a7598bbe-6b2a-4ebd-bdd3-1ca05093855d</vt:lpwstr>
  </property>
</Properties>
</file>